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204D4" w14:textId="77777777" w:rsidR="007F53B3" w:rsidRDefault="007F53B3" w:rsidP="00835D7E">
      <w:pPr>
        <w:spacing w:after="182" w:line="259" w:lineRule="auto"/>
        <w:ind w:right="4"/>
        <w:jc w:val="center"/>
        <w:rPr>
          <w:b/>
          <w:u w:val="single"/>
        </w:rPr>
      </w:pPr>
    </w:p>
    <w:p w14:paraId="41602656" w14:textId="38DB0CD7" w:rsidR="00835D7E" w:rsidRDefault="00835D7E" w:rsidP="00835D7E">
      <w:pPr>
        <w:spacing w:after="182" w:line="259" w:lineRule="auto"/>
        <w:ind w:right="4"/>
        <w:jc w:val="center"/>
        <w:rPr>
          <w:b/>
          <w:u w:val="single"/>
        </w:rPr>
      </w:pPr>
      <w:r>
        <w:rPr>
          <w:b/>
          <w:u w:val="single"/>
        </w:rPr>
        <w:t>FUTURE FORESTRY LIMITED</w:t>
      </w:r>
    </w:p>
    <w:p w14:paraId="46887716" w14:textId="62E7C4C0" w:rsidR="00D934EC" w:rsidRPr="00B64455" w:rsidRDefault="00D934EC" w:rsidP="00835D7E">
      <w:pPr>
        <w:spacing w:after="182" w:line="259" w:lineRule="auto"/>
        <w:ind w:right="4"/>
        <w:jc w:val="center"/>
        <w:rPr>
          <w:u w:val="single"/>
        </w:rPr>
      </w:pPr>
      <w:r>
        <w:rPr>
          <w:b/>
          <w:u w:val="single"/>
        </w:rPr>
        <w:t>ANTI SLAVERY AND HUMAN TRAFFICKING POLICY</w:t>
      </w:r>
    </w:p>
    <w:p w14:paraId="701A7543" w14:textId="77777777" w:rsidR="00B64455" w:rsidRDefault="00B64455">
      <w:pPr>
        <w:pStyle w:val="Heading1"/>
        <w:tabs>
          <w:tab w:val="center" w:pos="1119"/>
        </w:tabs>
        <w:ind w:left="-15" w:right="0" w:firstLine="0"/>
      </w:pPr>
    </w:p>
    <w:p w14:paraId="4211907D" w14:textId="24B367A3" w:rsidR="006D596A" w:rsidRDefault="00EF7BCC">
      <w:pPr>
        <w:pStyle w:val="Heading1"/>
        <w:tabs>
          <w:tab w:val="center" w:pos="1119"/>
        </w:tabs>
        <w:ind w:left="-15" w:right="0" w:firstLine="0"/>
      </w:pPr>
      <w:r>
        <w:t xml:space="preserve">1. </w:t>
      </w:r>
      <w:r>
        <w:tab/>
        <w:t>P</w:t>
      </w:r>
      <w:r w:rsidR="001339F3">
        <w:t>olicy Statement</w:t>
      </w:r>
    </w:p>
    <w:p w14:paraId="36E0DCB5" w14:textId="77777777" w:rsidR="006D596A" w:rsidRDefault="00EF7BCC">
      <w:pPr>
        <w:spacing w:after="0" w:line="259" w:lineRule="auto"/>
        <w:ind w:left="720" w:firstLine="0"/>
        <w:jc w:val="left"/>
      </w:pPr>
      <w:r>
        <w:rPr>
          <w:b/>
        </w:rPr>
        <w:t xml:space="preserve"> </w:t>
      </w:r>
    </w:p>
    <w:p w14:paraId="65E5D9E7" w14:textId="1BDA8D49" w:rsidR="001339F3" w:rsidRPr="0088778E" w:rsidRDefault="001339F3" w:rsidP="001339F3">
      <w:pPr>
        <w:pStyle w:val="NormalWeb"/>
        <w:spacing w:before="0" w:beforeAutospacing="0" w:after="180" w:afterAutospacing="0"/>
        <w:rPr>
          <w:rFonts w:ascii="Arial" w:hAnsi="Arial" w:cs="Arial"/>
          <w:sz w:val="20"/>
          <w:szCs w:val="20"/>
        </w:rPr>
      </w:pPr>
      <w:r w:rsidRPr="0088778E">
        <w:rPr>
          <w:rFonts w:ascii="Arial" w:hAnsi="Arial" w:cs="Arial"/>
          <w:sz w:val="20"/>
          <w:szCs w:val="20"/>
        </w:rPr>
        <w:t>Future Forestry Ltd are committed to ensuring that its staff and any workers it supplies (directly or indirectly) are not subject to behaviour or threats that may amount to modern slavery, human trafficking, forced labour, and or similar human rights abuses. </w:t>
      </w:r>
    </w:p>
    <w:p w14:paraId="3DE55C1E" w14:textId="77777777" w:rsidR="001339F3" w:rsidRPr="0088778E" w:rsidRDefault="001339F3" w:rsidP="001339F3">
      <w:pPr>
        <w:pStyle w:val="NormalWeb"/>
        <w:spacing w:before="0" w:beforeAutospacing="0" w:after="180" w:afterAutospacing="0"/>
        <w:rPr>
          <w:rFonts w:ascii="Arial" w:hAnsi="Arial" w:cs="Arial"/>
          <w:sz w:val="20"/>
          <w:szCs w:val="20"/>
        </w:rPr>
      </w:pPr>
      <w:r w:rsidRPr="0088778E">
        <w:rPr>
          <w:rFonts w:ascii="Arial" w:hAnsi="Arial" w:cs="Arial"/>
          <w:sz w:val="20"/>
          <w:szCs w:val="20"/>
        </w:rPr>
        <w:t>We are also committed to ensuring our approach to tackling modern slavery in our own business and throughout our supply chains is consistent with our disclosure obligations under the Modern Slavery Act 2015. We all have a responsibly to be alert to the risks, however small, in our business and in the wider supply chain.</w:t>
      </w:r>
    </w:p>
    <w:p w14:paraId="230BC5A4" w14:textId="75CFBF2B" w:rsidR="001339F3" w:rsidRPr="0088778E" w:rsidRDefault="001339F3" w:rsidP="001339F3">
      <w:pPr>
        <w:pStyle w:val="NormalWeb"/>
        <w:spacing w:before="0" w:beforeAutospacing="0" w:after="180" w:afterAutospacing="0"/>
        <w:rPr>
          <w:rFonts w:ascii="Arial" w:hAnsi="Arial" w:cs="Arial"/>
          <w:sz w:val="20"/>
          <w:szCs w:val="20"/>
        </w:rPr>
      </w:pPr>
      <w:r w:rsidRPr="0088778E">
        <w:rPr>
          <w:rFonts w:ascii="Arial" w:hAnsi="Arial" w:cs="Arial"/>
          <w:sz w:val="20"/>
          <w:szCs w:val="20"/>
        </w:rPr>
        <w:t xml:space="preserve">This statement sets out Future </w:t>
      </w:r>
      <w:r w:rsidR="0088778E" w:rsidRPr="0088778E">
        <w:rPr>
          <w:rFonts w:ascii="Arial" w:hAnsi="Arial" w:cs="Arial"/>
          <w:sz w:val="20"/>
          <w:szCs w:val="20"/>
        </w:rPr>
        <w:t>Forestry’s</w:t>
      </w:r>
      <w:r w:rsidRPr="0088778E">
        <w:rPr>
          <w:rFonts w:ascii="Arial" w:hAnsi="Arial" w:cs="Arial"/>
          <w:sz w:val="20"/>
          <w:szCs w:val="20"/>
        </w:rPr>
        <w:t xml:space="preserve"> actions to understand all potential modern slavery risks related to the business and to ensure steps are maintained to prevent both slavery and human trafficking.</w:t>
      </w:r>
    </w:p>
    <w:p w14:paraId="250DA497" w14:textId="5E23A306" w:rsidR="006D596A" w:rsidRDefault="00835D7E" w:rsidP="00835D7E">
      <w:pPr>
        <w:tabs>
          <w:tab w:val="left" w:pos="2715"/>
        </w:tabs>
        <w:spacing w:after="0" w:line="259" w:lineRule="auto"/>
        <w:ind w:left="720" w:firstLine="0"/>
        <w:jc w:val="left"/>
      </w:pPr>
      <w:r>
        <w:rPr>
          <w:b/>
        </w:rPr>
        <w:tab/>
      </w:r>
    </w:p>
    <w:p w14:paraId="176FFED0" w14:textId="012231D0" w:rsidR="006D596A" w:rsidRDefault="00EF7BCC">
      <w:pPr>
        <w:pStyle w:val="Heading1"/>
        <w:tabs>
          <w:tab w:val="center" w:pos="1514"/>
        </w:tabs>
        <w:ind w:left="-15" w:right="0" w:firstLine="0"/>
      </w:pPr>
      <w:r>
        <w:t xml:space="preserve">2. </w:t>
      </w:r>
      <w:r w:rsidR="001339F3">
        <w:t xml:space="preserve">Processes for Managing Risk </w:t>
      </w:r>
    </w:p>
    <w:p w14:paraId="3E8F2FC1" w14:textId="77777777" w:rsidR="006D596A" w:rsidRDefault="00EF7BCC">
      <w:pPr>
        <w:spacing w:after="0" w:line="259" w:lineRule="auto"/>
        <w:ind w:left="720" w:firstLine="0"/>
        <w:jc w:val="left"/>
      </w:pPr>
      <w:r>
        <w:t xml:space="preserve"> </w:t>
      </w:r>
    </w:p>
    <w:p w14:paraId="0ED9BF29" w14:textId="77777777" w:rsidR="001339F3" w:rsidRPr="001339F3" w:rsidRDefault="001339F3" w:rsidP="001339F3">
      <w:pPr>
        <w:spacing w:after="180" w:line="240" w:lineRule="auto"/>
        <w:ind w:left="0" w:firstLine="0"/>
        <w:jc w:val="left"/>
        <w:rPr>
          <w:rFonts w:eastAsia="Times New Roman"/>
          <w:color w:val="auto"/>
          <w:szCs w:val="18"/>
        </w:rPr>
      </w:pPr>
      <w:r w:rsidRPr="001339F3">
        <w:rPr>
          <w:rFonts w:eastAsia="Times New Roman"/>
          <w:color w:val="auto"/>
          <w:szCs w:val="18"/>
        </w:rPr>
        <w:t>In order to assess the risk of modern slavery, we use the following processes:</w:t>
      </w:r>
    </w:p>
    <w:p w14:paraId="52875059" w14:textId="77777777" w:rsidR="001339F3" w:rsidRPr="001339F3" w:rsidRDefault="001339F3" w:rsidP="001339F3">
      <w:pPr>
        <w:numPr>
          <w:ilvl w:val="0"/>
          <w:numId w:val="4"/>
        </w:numPr>
        <w:spacing w:before="100" w:beforeAutospacing="1" w:after="100" w:afterAutospacing="1" w:line="240" w:lineRule="auto"/>
        <w:jc w:val="left"/>
        <w:rPr>
          <w:rFonts w:eastAsia="Times New Roman"/>
          <w:color w:val="auto"/>
          <w:szCs w:val="18"/>
        </w:rPr>
      </w:pPr>
      <w:r w:rsidRPr="001339F3">
        <w:rPr>
          <w:rFonts w:eastAsia="Times New Roman"/>
          <w:color w:val="auto"/>
          <w:szCs w:val="18"/>
        </w:rPr>
        <w:t>Identify and assess potential risk areas when considering taking on new suppliers and regularly review our existing supply chains</w:t>
      </w:r>
    </w:p>
    <w:p w14:paraId="2C2258F9" w14:textId="77777777" w:rsidR="001339F3" w:rsidRPr="001339F3" w:rsidRDefault="001339F3" w:rsidP="001339F3">
      <w:pPr>
        <w:numPr>
          <w:ilvl w:val="0"/>
          <w:numId w:val="4"/>
        </w:numPr>
        <w:spacing w:before="100" w:beforeAutospacing="1" w:after="100" w:afterAutospacing="1" w:line="240" w:lineRule="auto"/>
        <w:jc w:val="left"/>
        <w:rPr>
          <w:rFonts w:eastAsia="Times New Roman"/>
          <w:color w:val="auto"/>
          <w:szCs w:val="18"/>
        </w:rPr>
      </w:pPr>
      <w:r w:rsidRPr="001339F3">
        <w:rPr>
          <w:rFonts w:eastAsia="Times New Roman"/>
          <w:color w:val="auto"/>
          <w:szCs w:val="18"/>
        </w:rPr>
        <w:t>Review the potential for risk at regular intervals, including the possibility of re-auditing a supplier or conducting spot checks.</w:t>
      </w:r>
    </w:p>
    <w:p w14:paraId="3CBC1EDA" w14:textId="77777777" w:rsidR="001339F3" w:rsidRPr="001339F3" w:rsidRDefault="001339F3" w:rsidP="001339F3">
      <w:pPr>
        <w:numPr>
          <w:ilvl w:val="0"/>
          <w:numId w:val="4"/>
        </w:numPr>
        <w:spacing w:before="100" w:beforeAutospacing="1" w:after="100" w:afterAutospacing="1" w:line="240" w:lineRule="auto"/>
        <w:jc w:val="left"/>
        <w:rPr>
          <w:rFonts w:eastAsia="Times New Roman"/>
          <w:color w:val="auto"/>
          <w:szCs w:val="18"/>
        </w:rPr>
      </w:pPr>
      <w:r w:rsidRPr="001339F3">
        <w:rPr>
          <w:rFonts w:eastAsia="Times New Roman"/>
          <w:color w:val="auto"/>
          <w:szCs w:val="18"/>
        </w:rPr>
        <w:t>Protect whistle blowers.</w:t>
      </w:r>
    </w:p>
    <w:p w14:paraId="3819ADD8" w14:textId="619122DA" w:rsidR="006D596A" w:rsidRDefault="00D14181">
      <w:pPr>
        <w:tabs>
          <w:tab w:val="center" w:pos="2352"/>
        </w:tabs>
        <w:spacing w:after="0" w:line="265" w:lineRule="auto"/>
        <w:ind w:left="-15" w:firstLine="0"/>
        <w:jc w:val="left"/>
      </w:pPr>
      <w:r>
        <w:rPr>
          <w:b/>
        </w:rPr>
        <w:t>3.</w:t>
      </w:r>
      <w:r w:rsidR="00EF7BCC">
        <w:rPr>
          <w:b/>
        </w:rPr>
        <w:t xml:space="preserve"> </w:t>
      </w:r>
      <w:r w:rsidR="00EF7BCC">
        <w:rPr>
          <w:b/>
        </w:rPr>
        <w:tab/>
        <w:t xml:space="preserve">Who is responsible for the policy? </w:t>
      </w:r>
    </w:p>
    <w:p w14:paraId="4C2F0372" w14:textId="77777777" w:rsidR="006D596A" w:rsidRDefault="00EF7BCC">
      <w:pPr>
        <w:spacing w:after="0" w:line="259" w:lineRule="auto"/>
        <w:ind w:left="720" w:firstLine="0"/>
        <w:jc w:val="left"/>
      </w:pPr>
      <w:r>
        <w:t xml:space="preserve"> </w:t>
      </w:r>
    </w:p>
    <w:p w14:paraId="42A40D4C" w14:textId="77777777" w:rsidR="006D596A" w:rsidRDefault="00EF7BCC">
      <w:pPr>
        <w:ind w:left="715"/>
      </w:pPr>
      <w:r>
        <w:t xml:space="preserve">The </w:t>
      </w:r>
      <w:r w:rsidR="00D073B0">
        <w:t>company director</w:t>
      </w:r>
      <w:r>
        <w:t xml:space="preserve"> has overall responsibility for ensuring this policy complies with our legal and ethical obligations, and that all those under our control comply with it. </w:t>
      </w:r>
    </w:p>
    <w:p w14:paraId="2A9EF121" w14:textId="77777777" w:rsidR="006D596A" w:rsidRDefault="00EF7BCC">
      <w:pPr>
        <w:spacing w:after="0" w:line="259" w:lineRule="auto"/>
        <w:ind w:left="720" w:firstLine="0"/>
        <w:jc w:val="left"/>
      </w:pPr>
      <w:r>
        <w:t xml:space="preserve"> </w:t>
      </w:r>
    </w:p>
    <w:p w14:paraId="2E9554A2" w14:textId="77777777" w:rsidR="006D596A" w:rsidRDefault="00EF7BCC">
      <w:pPr>
        <w:ind w:left="715"/>
      </w:pPr>
      <w:r>
        <w:t>The Company Secretary has primary and day-to-day responsibility for implementing this</w:t>
      </w:r>
      <w:r w:rsidR="00306A78">
        <w:t xml:space="preserve"> </w:t>
      </w:r>
      <w:r w:rsidR="00555339">
        <w:t>policy,</w:t>
      </w:r>
      <w:r w:rsidR="00306A78">
        <w:t xml:space="preserve"> </w:t>
      </w:r>
      <w:r>
        <w:t xml:space="preserve">and for monitoring its use and effectiveness and dealing with any queries on its interpretation. Management at all levels are responsible for ensuring those reporting to them are made aware of and understand this policy and are given adequate and regular training on it. </w:t>
      </w:r>
      <w:r>
        <w:rPr>
          <w:b/>
        </w:rPr>
        <w:t xml:space="preserve"> </w:t>
      </w:r>
    </w:p>
    <w:p w14:paraId="31DC95EE" w14:textId="77777777" w:rsidR="006D596A" w:rsidRDefault="00EF7BCC">
      <w:pPr>
        <w:spacing w:after="3" w:line="259" w:lineRule="auto"/>
        <w:ind w:left="720" w:firstLine="0"/>
        <w:jc w:val="left"/>
      </w:pPr>
      <w:r>
        <w:rPr>
          <w:b/>
        </w:rPr>
        <w:t xml:space="preserve"> </w:t>
      </w:r>
    </w:p>
    <w:p w14:paraId="7670A572" w14:textId="750D9CB9" w:rsidR="006D596A" w:rsidRDefault="00D14181">
      <w:pPr>
        <w:pStyle w:val="Heading1"/>
        <w:tabs>
          <w:tab w:val="center" w:pos="1780"/>
        </w:tabs>
        <w:ind w:left="-15" w:right="0" w:firstLine="0"/>
      </w:pPr>
      <w:r>
        <w:t>4</w:t>
      </w:r>
      <w:r w:rsidR="00EF7BCC">
        <w:t xml:space="preserve">. </w:t>
      </w:r>
      <w:r w:rsidR="00EF7BCC">
        <w:tab/>
        <w:t xml:space="preserve">Monitoring and review </w:t>
      </w:r>
    </w:p>
    <w:p w14:paraId="5A880C62" w14:textId="77777777" w:rsidR="006D596A" w:rsidRDefault="00EF7BCC">
      <w:pPr>
        <w:spacing w:after="0" w:line="259" w:lineRule="auto"/>
        <w:ind w:left="720" w:firstLine="0"/>
        <w:jc w:val="left"/>
      </w:pPr>
      <w:r>
        <w:t xml:space="preserve"> </w:t>
      </w:r>
    </w:p>
    <w:p w14:paraId="3050031D" w14:textId="77777777" w:rsidR="006D596A" w:rsidRDefault="00EF7BCC">
      <w:pPr>
        <w:ind w:left="715"/>
      </w:pPr>
      <w:r>
        <w:t>The Company Secretary will monitor the effectiveness and review the implementation of this policy, regularly considering its suitability, adequacy and effectiveness.  Any improvements identified will be made as soon as possible</w:t>
      </w:r>
      <w:r w:rsidR="00BA4EF7">
        <w:t xml:space="preserve">.  </w:t>
      </w:r>
    </w:p>
    <w:p w14:paraId="08943E83" w14:textId="77777777" w:rsidR="006D596A" w:rsidRDefault="00EF7BCC">
      <w:pPr>
        <w:spacing w:after="0" w:line="259" w:lineRule="auto"/>
        <w:ind w:left="720" w:firstLine="0"/>
        <w:jc w:val="left"/>
      </w:pPr>
      <w:r>
        <w:t xml:space="preserve"> </w:t>
      </w:r>
    </w:p>
    <w:p w14:paraId="3A2EEC4D" w14:textId="77777777" w:rsidR="006D596A" w:rsidRDefault="00EF7BCC">
      <w:pPr>
        <w:ind w:left="715"/>
      </w:pPr>
      <w:r>
        <w:lastRenderedPageBreak/>
        <w:t xml:space="preserve">All employees are responsible for the success of this policy and should ensure they use it to disclose any suspected danger or wrongdoing. </w:t>
      </w:r>
    </w:p>
    <w:p w14:paraId="352C0F1B" w14:textId="77777777" w:rsidR="006D596A" w:rsidRDefault="00EF7BCC">
      <w:pPr>
        <w:spacing w:after="0" w:line="259" w:lineRule="auto"/>
        <w:ind w:left="720" w:firstLine="0"/>
        <w:jc w:val="left"/>
      </w:pPr>
      <w:r>
        <w:t xml:space="preserve"> </w:t>
      </w:r>
    </w:p>
    <w:p w14:paraId="764C3D12" w14:textId="77777777" w:rsidR="006D596A" w:rsidRDefault="00EF7BCC">
      <w:pPr>
        <w:ind w:left="715"/>
      </w:pPr>
      <w:r>
        <w:t xml:space="preserve">Employees are invited to comment on this policy and suggest ways in which it might be improved. Comments, suggestions and queries should be addressed to the Company Secretary. </w:t>
      </w:r>
    </w:p>
    <w:p w14:paraId="65CFD991" w14:textId="77777777" w:rsidR="006D596A" w:rsidRDefault="00EF7BCC">
      <w:pPr>
        <w:spacing w:after="0" w:line="259" w:lineRule="auto"/>
        <w:ind w:left="720" w:firstLine="0"/>
        <w:jc w:val="left"/>
      </w:pPr>
      <w:r>
        <w:t xml:space="preserve"> </w:t>
      </w:r>
    </w:p>
    <w:p w14:paraId="5E3267AD" w14:textId="7F47F7F0" w:rsidR="00D14181" w:rsidRDefault="00D14181" w:rsidP="009C456F">
      <w:pPr>
        <w:ind w:left="0" w:firstLine="0"/>
      </w:pPr>
      <w:r>
        <w:t xml:space="preserve"> </w:t>
      </w:r>
    </w:p>
    <w:p w14:paraId="65B77EBD" w14:textId="003B45C9" w:rsidR="00F80FBC" w:rsidRDefault="00F80FBC" w:rsidP="00F80FBC">
      <w:pPr>
        <w:numPr>
          <w:ilvl w:val="0"/>
          <w:numId w:val="5"/>
        </w:numPr>
        <w:spacing w:after="0" w:line="240" w:lineRule="auto"/>
        <w:ind w:left="0" w:firstLine="0"/>
        <w:rPr>
          <w:rFonts w:eastAsia="Times New Roman" w:cs="Times New Roman"/>
          <w:color w:val="auto"/>
        </w:rPr>
      </w:pPr>
      <w:r>
        <w:rPr>
          <w:noProof/>
        </w:rPr>
        <w:drawing>
          <wp:inline distT="0" distB="0" distL="0" distR="0" wp14:anchorId="7CF0DD0C" wp14:editId="3F5D1BEF">
            <wp:extent cx="1495425"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371475"/>
                    </a:xfrm>
                    <a:prstGeom prst="rect">
                      <a:avLst/>
                    </a:prstGeom>
                    <a:noFill/>
                    <a:ln>
                      <a:noFill/>
                    </a:ln>
                  </pic:spPr>
                </pic:pic>
              </a:graphicData>
            </a:graphic>
          </wp:inline>
        </w:drawing>
      </w:r>
      <w:r>
        <w:tab/>
      </w:r>
      <w:r>
        <w:t xml:space="preserve"> </w:t>
      </w:r>
    </w:p>
    <w:p w14:paraId="4B860C6D" w14:textId="77777777" w:rsidR="00F80FBC" w:rsidRDefault="00F80FBC" w:rsidP="00F80FBC">
      <w:pPr>
        <w:numPr>
          <w:ilvl w:val="0"/>
          <w:numId w:val="5"/>
        </w:numPr>
        <w:spacing w:after="0" w:line="240" w:lineRule="auto"/>
        <w:ind w:left="0" w:firstLine="0"/>
      </w:pPr>
      <w:r>
        <w:t>06/08/2</w:t>
      </w:r>
    </w:p>
    <w:p w14:paraId="06FFA1AF" w14:textId="70977D6C" w:rsidR="00F80FBC" w:rsidRPr="00B64455" w:rsidRDefault="00F80FBC" w:rsidP="009C456F">
      <w:pPr>
        <w:ind w:left="0" w:firstLine="0"/>
      </w:pPr>
    </w:p>
    <w:sectPr w:rsidR="00F80FBC" w:rsidRPr="00B64455" w:rsidSect="00824BCF">
      <w:headerReference w:type="default" r:id="rId9"/>
      <w:footerReference w:type="default" r:id="rId10"/>
      <w:pgSz w:w="11900" w:h="16840"/>
      <w:pgMar w:top="1440" w:right="1430" w:bottom="15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4882E" w14:textId="77777777" w:rsidR="0060226D" w:rsidRDefault="0060226D" w:rsidP="00B64455">
      <w:pPr>
        <w:spacing w:after="0" w:line="240" w:lineRule="auto"/>
      </w:pPr>
      <w:r>
        <w:separator/>
      </w:r>
    </w:p>
  </w:endnote>
  <w:endnote w:type="continuationSeparator" w:id="0">
    <w:p w14:paraId="4FF465BC" w14:textId="77777777" w:rsidR="0060226D" w:rsidRDefault="0060226D" w:rsidP="00B6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6771" w14:textId="5FE07D65" w:rsidR="00F74BEF" w:rsidRDefault="009C456F">
    <w:pPr>
      <w:pStyle w:val="Footer"/>
      <w:jc w:val="right"/>
    </w:pPr>
    <w:r>
      <w:t>DOC0</w:t>
    </w:r>
    <w:r w:rsidR="00351A8F">
      <w:t>075</w:t>
    </w:r>
    <w:r>
      <w:t xml:space="preserve"> V1</w:t>
    </w:r>
  </w:p>
  <w:p w14:paraId="397A4460" w14:textId="3A0B3455" w:rsidR="007F53B3" w:rsidRDefault="007F53B3" w:rsidP="007F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37905" w14:textId="77777777" w:rsidR="0060226D" w:rsidRDefault="0060226D" w:rsidP="00B64455">
      <w:pPr>
        <w:spacing w:after="0" w:line="240" w:lineRule="auto"/>
      </w:pPr>
      <w:r>
        <w:separator/>
      </w:r>
    </w:p>
  </w:footnote>
  <w:footnote w:type="continuationSeparator" w:id="0">
    <w:p w14:paraId="21F2D3FC" w14:textId="77777777" w:rsidR="0060226D" w:rsidRDefault="0060226D" w:rsidP="00B6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31FFF" w14:textId="1774B339" w:rsidR="00F74BEF" w:rsidRDefault="00D934EC" w:rsidP="006E4F3B">
    <w:pPr>
      <w:pStyle w:val="Header"/>
      <w:tabs>
        <w:tab w:val="clear" w:pos="4513"/>
        <w:tab w:val="left" w:pos="3870"/>
        <w:tab w:val="center" w:pos="4515"/>
      </w:tabs>
      <w:ind w:left="0" w:firstLine="0"/>
      <w:jc w:val="center"/>
    </w:pPr>
    <w:r>
      <w:rPr>
        <w:noProof/>
      </w:rPr>
      <w:drawing>
        <wp:inline distT="0" distB="0" distL="0" distR="0" wp14:anchorId="4BAED1F3" wp14:editId="264DF31F">
          <wp:extent cx="1426845" cy="1426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p w14:paraId="678F32BB" w14:textId="77777777" w:rsidR="00F74BEF" w:rsidRPr="00835D7E" w:rsidRDefault="00F74BEF" w:rsidP="00B64455">
    <w:pPr>
      <w:pStyle w:val="Header"/>
      <w:rPr>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4240"/>
    <w:multiLevelType w:val="hybridMultilevel"/>
    <w:tmpl w:val="91608F38"/>
    <w:lvl w:ilvl="0" w:tplc="F96435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A626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9609A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882C4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A395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AC2D0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D0114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613D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8ED91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583256"/>
    <w:multiLevelType w:val="hybridMultilevel"/>
    <w:tmpl w:val="7FC2C8D4"/>
    <w:lvl w:ilvl="0" w:tplc="F5FEBBDA">
      <w:start w:val="1"/>
      <w:numFmt w:val="bullet"/>
      <w:lvlText w:val="•"/>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44128">
      <w:start w:val="1"/>
      <w:numFmt w:val="bullet"/>
      <w:lvlText w:val="o"/>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62C56">
      <w:start w:val="1"/>
      <w:numFmt w:val="bullet"/>
      <w:lvlText w:val="▪"/>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A89166">
      <w:start w:val="1"/>
      <w:numFmt w:val="bullet"/>
      <w:lvlText w:val="•"/>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4C01C">
      <w:start w:val="1"/>
      <w:numFmt w:val="bullet"/>
      <w:lvlText w:val="o"/>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64890">
      <w:start w:val="1"/>
      <w:numFmt w:val="bullet"/>
      <w:lvlText w:val="▪"/>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C8707C">
      <w:start w:val="1"/>
      <w:numFmt w:val="bullet"/>
      <w:lvlText w:val="•"/>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D04E26">
      <w:start w:val="1"/>
      <w:numFmt w:val="bullet"/>
      <w:lvlText w:val="o"/>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96801C">
      <w:start w:val="1"/>
      <w:numFmt w:val="bullet"/>
      <w:lvlText w:val="▪"/>
      <w:lvlJc w:val="left"/>
      <w:pPr>
        <w:ind w:left="7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5311C6"/>
    <w:multiLevelType w:val="hybridMultilevel"/>
    <w:tmpl w:val="F42E1FFE"/>
    <w:lvl w:ilvl="0" w:tplc="D3CA683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6635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86123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C9FC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80A96">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0C5AD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6242B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ED36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7E6C9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551D77"/>
    <w:multiLevelType w:val="multilevel"/>
    <w:tmpl w:val="43AE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F2C90"/>
    <w:multiLevelType w:val="hybridMultilevel"/>
    <w:tmpl w:val="BBB47048"/>
    <w:lvl w:ilvl="0" w:tplc="E03299FC">
      <w:start w:val="1"/>
      <w:numFmt w:val="decimal"/>
      <w:pStyle w:val="Normal"/>
      <w:lvlText w:val="%1."/>
      <w:lvlJc w:val="left"/>
      <w:pPr>
        <w:ind w:left="720" w:hanging="360"/>
      </w:pPr>
      <w:rPr>
        <w:color w:val="D0CEC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596A"/>
    <w:rsid w:val="001339F3"/>
    <w:rsid w:val="0017081D"/>
    <w:rsid w:val="00306A78"/>
    <w:rsid w:val="00351A8F"/>
    <w:rsid w:val="00376D53"/>
    <w:rsid w:val="004C4774"/>
    <w:rsid w:val="00555339"/>
    <w:rsid w:val="0060226D"/>
    <w:rsid w:val="00621A65"/>
    <w:rsid w:val="006A7CD3"/>
    <w:rsid w:val="006D596A"/>
    <w:rsid w:val="006E4F3B"/>
    <w:rsid w:val="007F53B3"/>
    <w:rsid w:val="00824BCF"/>
    <w:rsid w:val="00835D7E"/>
    <w:rsid w:val="00840859"/>
    <w:rsid w:val="0088778E"/>
    <w:rsid w:val="00901B25"/>
    <w:rsid w:val="009674D3"/>
    <w:rsid w:val="009C456F"/>
    <w:rsid w:val="00A35C76"/>
    <w:rsid w:val="00B64455"/>
    <w:rsid w:val="00BA4EF7"/>
    <w:rsid w:val="00C47479"/>
    <w:rsid w:val="00CF5F33"/>
    <w:rsid w:val="00D02895"/>
    <w:rsid w:val="00D073B0"/>
    <w:rsid w:val="00D14181"/>
    <w:rsid w:val="00D934EC"/>
    <w:rsid w:val="00EC7D84"/>
    <w:rsid w:val="00EF7BCC"/>
    <w:rsid w:val="00F67FDF"/>
    <w:rsid w:val="00F74BEF"/>
    <w:rsid w:val="00F80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47B7D"/>
  <w15:docId w15:val="{83B4B6BA-AC8B-4822-B632-B320B027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CF"/>
    <w:pPr>
      <w:spacing w:after="5"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rsid w:val="00824BCF"/>
    <w:pPr>
      <w:keepNext/>
      <w:keepLines/>
      <w:spacing w:after="0" w:line="265" w:lineRule="auto"/>
      <w:ind w:left="10" w:right="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rsid w:val="00824BCF"/>
    <w:pPr>
      <w:keepNext/>
      <w:keepLines/>
      <w:spacing w:after="0" w:line="265" w:lineRule="auto"/>
      <w:ind w:left="10" w:right="4"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4BCF"/>
    <w:rPr>
      <w:rFonts w:ascii="Arial" w:eastAsia="Arial" w:hAnsi="Arial" w:cs="Arial"/>
      <w:b/>
      <w:color w:val="000000"/>
      <w:sz w:val="20"/>
    </w:rPr>
  </w:style>
  <w:style w:type="character" w:customStyle="1" w:styleId="Heading2Char">
    <w:name w:val="Heading 2 Char"/>
    <w:link w:val="Heading2"/>
    <w:rsid w:val="00824BCF"/>
    <w:rPr>
      <w:rFonts w:ascii="Arial" w:eastAsia="Arial" w:hAnsi="Arial" w:cs="Arial"/>
      <w:b/>
      <w:color w:val="000000"/>
      <w:sz w:val="20"/>
    </w:rPr>
  </w:style>
  <w:style w:type="paragraph" w:styleId="Header">
    <w:name w:val="header"/>
    <w:basedOn w:val="Normal"/>
    <w:link w:val="HeaderChar"/>
    <w:uiPriority w:val="99"/>
    <w:unhideWhenUsed/>
    <w:rsid w:val="00B6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55"/>
    <w:rPr>
      <w:rFonts w:ascii="Arial" w:eastAsia="Arial" w:hAnsi="Arial" w:cs="Arial"/>
      <w:color w:val="000000"/>
      <w:sz w:val="20"/>
    </w:rPr>
  </w:style>
  <w:style w:type="paragraph" w:styleId="Footer">
    <w:name w:val="footer"/>
    <w:basedOn w:val="Normal"/>
    <w:link w:val="FooterChar"/>
    <w:uiPriority w:val="99"/>
    <w:unhideWhenUsed/>
    <w:rsid w:val="00B6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55"/>
    <w:rPr>
      <w:rFonts w:ascii="Arial" w:eastAsia="Arial" w:hAnsi="Arial" w:cs="Arial"/>
      <w:color w:val="000000"/>
      <w:sz w:val="20"/>
    </w:rPr>
  </w:style>
  <w:style w:type="paragraph" w:styleId="BalloonText">
    <w:name w:val="Balloon Text"/>
    <w:basedOn w:val="Normal"/>
    <w:link w:val="BalloonTextChar"/>
    <w:uiPriority w:val="99"/>
    <w:semiHidden/>
    <w:unhideWhenUsed/>
    <w:rsid w:val="0062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65"/>
    <w:rPr>
      <w:rFonts w:ascii="Segoe UI" w:eastAsia="Arial" w:hAnsi="Segoe UI" w:cs="Segoe UI"/>
      <w:color w:val="000000"/>
      <w:sz w:val="18"/>
      <w:szCs w:val="18"/>
    </w:rPr>
  </w:style>
  <w:style w:type="paragraph" w:styleId="NormalWeb">
    <w:name w:val="Normal (Web)"/>
    <w:basedOn w:val="Normal"/>
    <w:uiPriority w:val="99"/>
    <w:semiHidden/>
    <w:unhideWhenUsed/>
    <w:rsid w:val="001339F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06605">
      <w:bodyDiv w:val="1"/>
      <w:marLeft w:val="0"/>
      <w:marRight w:val="0"/>
      <w:marTop w:val="0"/>
      <w:marBottom w:val="0"/>
      <w:divBdr>
        <w:top w:val="none" w:sz="0" w:space="0" w:color="auto"/>
        <w:left w:val="none" w:sz="0" w:space="0" w:color="auto"/>
        <w:bottom w:val="none" w:sz="0" w:space="0" w:color="auto"/>
        <w:right w:val="none" w:sz="0" w:space="0" w:color="auto"/>
      </w:divBdr>
    </w:div>
    <w:div w:id="1067417416">
      <w:bodyDiv w:val="1"/>
      <w:marLeft w:val="0"/>
      <w:marRight w:val="0"/>
      <w:marTop w:val="0"/>
      <w:marBottom w:val="0"/>
      <w:divBdr>
        <w:top w:val="none" w:sz="0" w:space="0" w:color="auto"/>
        <w:left w:val="none" w:sz="0" w:space="0" w:color="auto"/>
        <w:bottom w:val="none" w:sz="0" w:space="0" w:color="auto"/>
        <w:right w:val="none" w:sz="0" w:space="0" w:color="auto"/>
      </w:divBdr>
    </w:div>
    <w:div w:id="149294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DC4F-4672-45E7-9364-BCE13E65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Free Anti-Bribery Policy Template</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Anti-Bribery Policy Template</dc:title>
  <dc:subject/>
  <dc:creator>Alan</dc:creator>
  <cp:keywords/>
  <cp:lastModifiedBy>Admin Future Forestry</cp:lastModifiedBy>
  <cp:revision>5</cp:revision>
  <cp:lastPrinted>2018-07-28T13:22:00Z</cp:lastPrinted>
  <dcterms:created xsi:type="dcterms:W3CDTF">2018-07-30T19:58:00Z</dcterms:created>
  <dcterms:modified xsi:type="dcterms:W3CDTF">2020-12-11T16:19:00Z</dcterms:modified>
</cp:coreProperties>
</file>