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F289" w14:textId="30E18F71" w:rsidR="00344D4B" w:rsidRPr="003533DB" w:rsidRDefault="00D001DE">
      <w:pPr>
        <w:spacing w:after="86" w:line="259" w:lineRule="auto"/>
        <w:ind w:left="0" w:right="0" w:firstLine="0"/>
      </w:pPr>
      <w:r w:rsidRPr="003533DB">
        <w:rPr>
          <w:b/>
          <w:sz w:val="32"/>
        </w:rPr>
        <w:t>202</w:t>
      </w:r>
      <w:r w:rsidR="00E86BA3">
        <w:rPr>
          <w:b/>
          <w:sz w:val="32"/>
        </w:rPr>
        <w:t>5</w:t>
      </w:r>
      <w:r w:rsidRPr="003533DB">
        <w:rPr>
          <w:b/>
          <w:sz w:val="32"/>
        </w:rPr>
        <w:t xml:space="preserve"> NSS, BGUSSS</w:t>
      </w:r>
      <w:r w:rsidR="002C7413">
        <w:rPr>
          <w:b/>
          <w:sz w:val="32"/>
        </w:rPr>
        <w:t>,</w:t>
      </w:r>
      <w:r w:rsidRPr="003533DB">
        <w:rPr>
          <w:b/>
          <w:sz w:val="32"/>
        </w:rPr>
        <w:t xml:space="preserve"> and Graduate Outcome Survey Results Summary </w:t>
      </w:r>
    </w:p>
    <w:p w14:paraId="008968D6" w14:textId="77777777" w:rsidR="00344D4B" w:rsidRPr="003533DB" w:rsidRDefault="00D001DE">
      <w:pPr>
        <w:pStyle w:val="Heading1"/>
        <w:ind w:left="-5"/>
      </w:pPr>
      <w:r w:rsidRPr="003533DB">
        <w:t xml:space="preserve">The National Student Survey </w:t>
      </w:r>
    </w:p>
    <w:p w14:paraId="32877EFC" w14:textId="3BA51AF8" w:rsidR="00344D4B" w:rsidRPr="003533DB" w:rsidRDefault="00D001DE">
      <w:pPr>
        <w:numPr>
          <w:ilvl w:val="0"/>
          <w:numId w:val="1"/>
        </w:numPr>
        <w:ind w:right="605" w:hanging="358"/>
      </w:pPr>
      <w:r w:rsidRPr="003533DB">
        <w:t>The survey ran from January to April 202</w:t>
      </w:r>
      <w:r w:rsidR="005218F2">
        <w:t>5</w:t>
      </w:r>
      <w:r w:rsidRPr="003533DB">
        <w:t xml:space="preserve"> for all undergraduate students in the final year of their degree, either Foundation Degree (Level 5) or Honours Degree (Level 6). </w:t>
      </w:r>
    </w:p>
    <w:p w14:paraId="131F4797" w14:textId="63F2C12D" w:rsidR="00344D4B" w:rsidRPr="003533DB" w:rsidRDefault="003B49BC">
      <w:pPr>
        <w:numPr>
          <w:ilvl w:val="0"/>
          <w:numId w:val="1"/>
        </w:numPr>
        <w:spacing w:after="114"/>
        <w:ind w:right="605" w:hanging="358"/>
      </w:pPr>
      <w:r w:rsidRPr="003B49BC">
        <w:t>In total, 78.44% or 291 out of the 371 eligible BGU students participated in the NSS 2025 compared to 74.19% or 296 of the 399 eligible students in the previous year.  The final response rate of 78.44% was 4.24% points higher than NSS2024.</w:t>
      </w:r>
    </w:p>
    <w:p w14:paraId="320A3A1F" w14:textId="77777777" w:rsidR="00344D4B" w:rsidRPr="003533DB" w:rsidRDefault="00D001DE">
      <w:pPr>
        <w:pStyle w:val="Heading2"/>
        <w:ind w:left="-5"/>
      </w:pPr>
      <w:r w:rsidRPr="003533DB">
        <w:t xml:space="preserve">Institutional average </w:t>
      </w:r>
    </w:p>
    <w:p w14:paraId="3F811296" w14:textId="3FAB78A5" w:rsidR="003F1B54" w:rsidRPr="007C276F" w:rsidRDefault="00AC3F08">
      <w:pPr>
        <w:numPr>
          <w:ilvl w:val="0"/>
          <w:numId w:val="2"/>
        </w:numPr>
        <w:ind w:right="605" w:hanging="358"/>
      </w:pPr>
      <w:r w:rsidRPr="003533DB">
        <w:t>Since NSS2023 the overall satisfaction (Q27) has been withdrawn for institutions based in England.  Although not a</w:t>
      </w:r>
      <w:r w:rsidR="00254C88">
        <w:t>n</w:t>
      </w:r>
      <w:r w:rsidRPr="003533DB">
        <w:t xml:space="preserve"> official measure, </w:t>
      </w:r>
      <w:r w:rsidR="0074367E" w:rsidRPr="003533DB">
        <w:t xml:space="preserve">an aggregated score of all the questions provides a </w:t>
      </w:r>
      <w:r w:rsidR="0074367E" w:rsidRPr="007C276F">
        <w:t xml:space="preserve">comparable score to benchmark against other institutions.  </w:t>
      </w:r>
    </w:p>
    <w:p w14:paraId="39CB3FAA" w14:textId="73A9EF1C" w:rsidR="00AC3F08" w:rsidRPr="007C276F" w:rsidRDefault="0074367E">
      <w:pPr>
        <w:numPr>
          <w:ilvl w:val="0"/>
          <w:numId w:val="2"/>
        </w:numPr>
        <w:ind w:right="605" w:hanging="358"/>
      </w:pPr>
      <w:r w:rsidRPr="007C276F">
        <w:t xml:space="preserve">The aggregated score benchmark returns a score of </w:t>
      </w:r>
      <w:r w:rsidR="003B4FD6" w:rsidRPr="007C276F">
        <w:t>90.2</w:t>
      </w:r>
      <w:r w:rsidRPr="007C276F">
        <w:t>% which ranks BGU as 1</w:t>
      </w:r>
      <w:r w:rsidRPr="007C276F">
        <w:rPr>
          <w:vertAlign w:val="superscript"/>
        </w:rPr>
        <w:t>st</w:t>
      </w:r>
      <w:r w:rsidRPr="007C276F">
        <w:t xml:space="preserve"> in the sector, excluding small institutions and specialist providers.</w:t>
      </w:r>
    </w:p>
    <w:p w14:paraId="205657BF" w14:textId="3736E357" w:rsidR="0074367E" w:rsidRPr="007C276F" w:rsidRDefault="0074367E" w:rsidP="002F52EB">
      <w:pPr>
        <w:pStyle w:val="ListParagraph"/>
        <w:numPr>
          <w:ilvl w:val="0"/>
          <w:numId w:val="2"/>
        </w:numPr>
        <w:ind w:right="605"/>
      </w:pPr>
      <w:r w:rsidRPr="007C276F">
        <w:t xml:space="preserve">The aggregated score measure has increased from </w:t>
      </w:r>
      <w:r w:rsidR="003704D5" w:rsidRPr="007C276F">
        <w:t>88.6</w:t>
      </w:r>
      <w:r w:rsidRPr="007C276F">
        <w:t>% in 202</w:t>
      </w:r>
      <w:r w:rsidR="003704D5" w:rsidRPr="007C276F">
        <w:t>4</w:t>
      </w:r>
      <w:r w:rsidRPr="007C276F">
        <w:t xml:space="preserve">, </w:t>
      </w:r>
      <w:r w:rsidR="003F1B54" w:rsidRPr="007C276F">
        <w:t>up by</w:t>
      </w:r>
      <w:r w:rsidRPr="007C276F">
        <w:t xml:space="preserve"> </w:t>
      </w:r>
      <w:r w:rsidR="003F1B54" w:rsidRPr="007C276F">
        <w:t>1.</w:t>
      </w:r>
      <w:r w:rsidR="003704D5" w:rsidRPr="007C276F">
        <w:t>6</w:t>
      </w:r>
      <w:r w:rsidR="003F1B54" w:rsidRPr="007C276F">
        <w:t xml:space="preserve">%.  By comparison, the sector benchmark increased from </w:t>
      </w:r>
      <w:r w:rsidR="00B26893" w:rsidRPr="007C276F">
        <w:t>81.1</w:t>
      </w:r>
      <w:r w:rsidR="003F1B54" w:rsidRPr="007C276F">
        <w:t>% to 8</w:t>
      </w:r>
      <w:r w:rsidR="00B26893" w:rsidRPr="007C276F">
        <w:t>2.5</w:t>
      </w:r>
      <w:r w:rsidR="003F1B54" w:rsidRPr="007C276F">
        <w:t>%, up by 1.</w:t>
      </w:r>
      <w:r w:rsidR="00B26893" w:rsidRPr="007C276F">
        <w:t>4</w:t>
      </w:r>
      <w:r w:rsidR="003F1B54" w:rsidRPr="007C276F">
        <w:t>%.</w:t>
      </w:r>
    </w:p>
    <w:p w14:paraId="62FB40C9" w14:textId="562752CF" w:rsidR="00344D4B" w:rsidRPr="003533DB" w:rsidRDefault="00D001DE">
      <w:pPr>
        <w:numPr>
          <w:ilvl w:val="0"/>
          <w:numId w:val="2"/>
        </w:numPr>
        <w:ind w:right="605" w:hanging="358"/>
      </w:pPr>
      <w:r w:rsidRPr="007C276F">
        <w:t xml:space="preserve">For </w:t>
      </w:r>
      <w:r w:rsidR="00500408" w:rsidRPr="007C276F">
        <w:t>6</w:t>
      </w:r>
      <w:r w:rsidRPr="007C276F">
        <w:t xml:space="preserve"> </w:t>
      </w:r>
      <w:r w:rsidR="00500408" w:rsidRPr="007C276F">
        <w:t>out of</w:t>
      </w:r>
      <w:r w:rsidR="00500408">
        <w:t xml:space="preserve"> 7 </w:t>
      </w:r>
      <w:r w:rsidRPr="003533DB">
        <w:t>satisfaction scale themes, BGU</w:t>
      </w:r>
      <w:r w:rsidR="00500408">
        <w:t xml:space="preserve"> maintained or improved its sector ranking</w:t>
      </w:r>
      <w:r w:rsidR="00254C88">
        <w:t>, with only Academic Support dropping from 1st to 5th</w:t>
      </w:r>
      <w:r w:rsidRPr="003533DB">
        <w:t xml:space="preserve">: </w:t>
      </w:r>
    </w:p>
    <w:tbl>
      <w:tblPr>
        <w:tblStyle w:val="GridTable1Light"/>
        <w:tblW w:w="9357" w:type="dxa"/>
        <w:tblLook w:val="04A0" w:firstRow="1" w:lastRow="0" w:firstColumn="1" w:lastColumn="0" w:noHBand="0" w:noVBand="1"/>
      </w:tblPr>
      <w:tblGrid>
        <w:gridCol w:w="3406"/>
        <w:gridCol w:w="1475"/>
        <w:gridCol w:w="1475"/>
        <w:gridCol w:w="1475"/>
        <w:gridCol w:w="1526"/>
      </w:tblGrid>
      <w:tr w:rsidR="004031B0" w:rsidRPr="00516E20" w14:paraId="1922C624" w14:textId="77777777" w:rsidTr="004031B0">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5AEB9DC1" w14:textId="77777777" w:rsidR="004031B0" w:rsidRPr="00516E20" w:rsidRDefault="004031B0" w:rsidP="004031B0">
            <w:pPr>
              <w:spacing w:after="0" w:line="240" w:lineRule="auto"/>
              <w:ind w:left="57" w:right="57" w:firstLine="0"/>
            </w:pPr>
            <w:r w:rsidRPr="00516E20">
              <w:t>Theme</w:t>
            </w:r>
          </w:p>
        </w:tc>
        <w:tc>
          <w:tcPr>
            <w:tcW w:w="0" w:type="auto"/>
            <w:hideMark/>
          </w:tcPr>
          <w:p w14:paraId="1C0FE043" w14:textId="77777777" w:rsidR="004031B0" w:rsidRPr="00516E20" w:rsidRDefault="004031B0" w:rsidP="004031B0">
            <w:pPr>
              <w:spacing w:after="0" w:line="240" w:lineRule="auto"/>
              <w:ind w:left="57" w:right="57" w:firstLine="0"/>
              <w:cnfStyle w:val="100000000000" w:firstRow="1" w:lastRow="0" w:firstColumn="0" w:lastColumn="0" w:oddVBand="0" w:evenVBand="0" w:oddHBand="0" w:evenHBand="0" w:firstRowFirstColumn="0" w:firstRowLastColumn="0" w:lastRowFirstColumn="0" w:lastRowLastColumn="0"/>
            </w:pPr>
            <w:r w:rsidRPr="00516E20">
              <w:t>2023 Rank</w:t>
            </w:r>
          </w:p>
        </w:tc>
        <w:tc>
          <w:tcPr>
            <w:tcW w:w="0" w:type="auto"/>
            <w:hideMark/>
          </w:tcPr>
          <w:p w14:paraId="281B3A71" w14:textId="77777777" w:rsidR="004031B0" w:rsidRPr="00516E20" w:rsidRDefault="004031B0" w:rsidP="004031B0">
            <w:pPr>
              <w:spacing w:after="0" w:line="240" w:lineRule="auto"/>
              <w:ind w:left="57" w:right="57" w:firstLine="0"/>
              <w:cnfStyle w:val="100000000000" w:firstRow="1" w:lastRow="0" w:firstColumn="0" w:lastColumn="0" w:oddVBand="0" w:evenVBand="0" w:oddHBand="0" w:evenHBand="0" w:firstRowFirstColumn="0" w:firstRowLastColumn="0" w:lastRowFirstColumn="0" w:lastRowLastColumn="0"/>
            </w:pPr>
            <w:r w:rsidRPr="00516E20">
              <w:t>2024 Rank</w:t>
            </w:r>
          </w:p>
        </w:tc>
        <w:tc>
          <w:tcPr>
            <w:tcW w:w="0" w:type="auto"/>
            <w:hideMark/>
          </w:tcPr>
          <w:p w14:paraId="379DBB32" w14:textId="77777777" w:rsidR="004031B0" w:rsidRPr="00516E20" w:rsidRDefault="004031B0" w:rsidP="004031B0">
            <w:pPr>
              <w:spacing w:after="0" w:line="240" w:lineRule="auto"/>
              <w:ind w:left="57" w:right="57" w:firstLine="0"/>
              <w:cnfStyle w:val="100000000000" w:firstRow="1" w:lastRow="0" w:firstColumn="0" w:lastColumn="0" w:oddVBand="0" w:evenVBand="0" w:oddHBand="0" w:evenHBand="0" w:firstRowFirstColumn="0" w:firstRowLastColumn="0" w:lastRowFirstColumn="0" w:lastRowLastColumn="0"/>
            </w:pPr>
            <w:r w:rsidRPr="00516E20">
              <w:t>2025 Rank</w:t>
            </w:r>
          </w:p>
        </w:tc>
        <w:tc>
          <w:tcPr>
            <w:tcW w:w="0" w:type="auto"/>
            <w:hideMark/>
          </w:tcPr>
          <w:p w14:paraId="39234535" w14:textId="77777777" w:rsidR="004031B0" w:rsidRPr="00516E20" w:rsidRDefault="004031B0" w:rsidP="004031B0">
            <w:pPr>
              <w:spacing w:after="0" w:line="240" w:lineRule="auto"/>
              <w:ind w:left="57" w:right="57" w:firstLine="0"/>
              <w:cnfStyle w:val="100000000000" w:firstRow="1" w:lastRow="0" w:firstColumn="0" w:lastColumn="0" w:oddVBand="0" w:evenVBand="0" w:oddHBand="0" w:evenHBand="0" w:firstRowFirstColumn="0" w:firstRowLastColumn="0" w:lastRowFirstColumn="0" w:lastRowLastColumn="0"/>
            </w:pPr>
            <w:r w:rsidRPr="00516E20">
              <w:t xml:space="preserve">2025 </w:t>
            </w:r>
            <w:proofErr w:type="gramStart"/>
            <w:r w:rsidRPr="00516E20">
              <w:t>Score</w:t>
            </w:r>
            <w:proofErr w:type="gramEnd"/>
          </w:p>
        </w:tc>
      </w:tr>
      <w:tr w:rsidR="004031B0" w:rsidRPr="00516E20" w14:paraId="0CC61956" w14:textId="77777777" w:rsidTr="004031B0">
        <w:trPr>
          <w:trHeight w:val="271"/>
        </w:trPr>
        <w:tc>
          <w:tcPr>
            <w:cnfStyle w:val="001000000000" w:firstRow="0" w:lastRow="0" w:firstColumn="1" w:lastColumn="0" w:oddVBand="0" w:evenVBand="0" w:oddHBand="0" w:evenHBand="0" w:firstRowFirstColumn="0" w:firstRowLastColumn="0" w:lastRowFirstColumn="0" w:lastRowLastColumn="0"/>
            <w:tcW w:w="0" w:type="auto"/>
            <w:hideMark/>
          </w:tcPr>
          <w:p w14:paraId="66181C48" w14:textId="3DA64520" w:rsidR="004031B0" w:rsidRPr="00516E20" w:rsidRDefault="004031B0" w:rsidP="004031B0">
            <w:pPr>
              <w:spacing w:after="0" w:line="240" w:lineRule="auto"/>
              <w:ind w:left="57" w:right="57" w:firstLine="0"/>
            </w:pPr>
            <w:r w:rsidRPr="00516E20">
              <w:t>Teaching on my</w:t>
            </w:r>
            <w:r>
              <w:t xml:space="preserve"> </w:t>
            </w:r>
            <w:r w:rsidRPr="00516E20">
              <w:t>course</w:t>
            </w:r>
          </w:p>
        </w:tc>
        <w:tc>
          <w:tcPr>
            <w:tcW w:w="0" w:type="auto"/>
            <w:hideMark/>
          </w:tcPr>
          <w:p w14:paraId="4601E1C1"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2nd</w:t>
            </w:r>
          </w:p>
        </w:tc>
        <w:tc>
          <w:tcPr>
            <w:tcW w:w="0" w:type="auto"/>
            <w:hideMark/>
          </w:tcPr>
          <w:p w14:paraId="513E7CA8"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3rd</w:t>
            </w:r>
          </w:p>
        </w:tc>
        <w:tc>
          <w:tcPr>
            <w:tcW w:w="0" w:type="auto"/>
            <w:hideMark/>
          </w:tcPr>
          <w:p w14:paraId="6541272D"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1st</w:t>
            </w:r>
          </w:p>
        </w:tc>
        <w:tc>
          <w:tcPr>
            <w:tcW w:w="0" w:type="auto"/>
            <w:hideMark/>
          </w:tcPr>
          <w:p w14:paraId="0F88C3A4"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93.42%</w:t>
            </w:r>
          </w:p>
        </w:tc>
      </w:tr>
      <w:tr w:rsidR="004031B0" w:rsidRPr="00516E20" w14:paraId="5EC20DE1" w14:textId="77777777" w:rsidTr="004031B0">
        <w:trPr>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26C6B8E8" w14:textId="77777777" w:rsidR="004031B0" w:rsidRPr="00516E20" w:rsidRDefault="004031B0" w:rsidP="004031B0">
            <w:pPr>
              <w:spacing w:after="0" w:line="240" w:lineRule="auto"/>
              <w:ind w:left="57" w:right="57" w:firstLine="0"/>
            </w:pPr>
            <w:r w:rsidRPr="00516E20">
              <w:t>Learning opportunities</w:t>
            </w:r>
          </w:p>
        </w:tc>
        <w:tc>
          <w:tcPr>
            <w:tcW w:w="0" w:type="auto"/>
            <w:hideMark/>
          </w:tcPr>
          <w:p w14:paraId="30B06CC1"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1st</w:t>
            </w:r>
          </w:p>
        </w:tc>
        <w:tc>
          <w:tcPr>
            <w:tcW w:w="0" w:type="auto"/>
            <w:hideMark/>
          </w:tcPr>
          <w:p w14:paraId="7B490519"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1st</w:t>
            </w:r>
          </w:p>
        </w:tc>
        <w:tc>
          <w:tcPr>
            <w:tcW w:w="0" w:type="auto"/>
            <w:hideMark/>
          </w:tcPr>
          <w:p w14:paraId="3B5579E2"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1st</w:t>
            </w:r>
          </w:p>
        </w:tc>
        <w:tc>
          <w:tcPr>
            <w:tcW w:w="0" w:type="auto"/>
            <w:hideMark/>
          </w:tcPr>
          <w:p w14:paraId="593198DC"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94.70%</w:t>
            </w:r>
          </w:p>
        </w:tc>
      </w:tr>
      <w:tr w:rsidR="004031B0" w:rsidRPr="00516E20" w14:paraId="7C78B4C8" w14:textId="77777777" w:rsidTr="004031B0">
        <w:trPr>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559B6866" w14:textId="77777777" w:rsidR="004031B0" w:rsidRPr="00516E20" w:rsidRDefault="004031B0" w:rsidP="004031B0">
            <w:pPr>
              <w:spacing w:after="0" w:line="240" w:lineRule="auto"/>
              <w:ind w:left="57" w:right="57" w:firstLine="0"/>
            </w:pPr>
            <w:r w:rsidRPr="00516E20">
              <w:t>Assessment and feedback</w:t>
            </w:r>
          </w:p>
        </w:tc>
        <w:tc>
          <w:tcPr>
            <w:tcW w:w="0" w:type="auto"/>
            <w:hideMark/>
          </w:tcPr>
          <w:p w14:paraId="4600EDF7"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3rd</w:t>
            </w:r>
          </w:p>
        </w:tc>
        <w:tc>
          <w:tcPr>
            <w:tcW w:w="0" w:type="auto"/>
            <w:hideMark/>
          </w:tcPr>
          <w:p w14:paraId="2CB5FF90"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2nd</w:t>
            </w:r>
          </w:p>
        </w:tc>
        <w:tc>
          <w:tcPr>
            <w:tcW w:w="0" w:type="auto"/>
            <w:hideMark/>
          </w:tcPr>
          <w:p w14:paraId="5D1A0131"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1st</w:t>
            </w:r>
          </w:p>
        </w:tc>
        <w:tc>
          <w:tcPr>
            <w:tcW w:w="0" w:type="auto"/>
            <w:hideMark/>
          </w:tcPr>
          <w:p w14:paraId="49AC9263"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92.16%</w:t>
            </w:r>
          </w:p>
        </w:tc>
      </w:tr>
      <w:tr w:rsidR="004031B0" w:rsidRPr="00516E20" w14:paraId="4759EE50" w14:textId="77777777" w:rsidTr="004031B0">
        <w:trPr>
          <w:trHeight w:val="271"/>
        </w:trPr>
        <w:tc>
          <w:tcPr>
            <w:cnfStyle w:val="001000000000" w:firstRow="0" w:lastRow="0" w:firstColumn="1" w:lastColumn="0" w:oddVBand="0" w:evenVBand="0" w:oddHBand="0" w:evenHBand="0" w:firstRowFirstColumn="0" w:firstRowLastColumn="0" w:lastRowFirstColumn="0" w:lastRowLastColumn="0"/>
            <w:tcW w:w="0" w:type="auto"/>
            <w:hideMark/>
          </w:tcPr>
          <w:p w14:paraId="3DBC4E2C" w14:textId="77777777" w:rsidR="004031B0" w:rsidRPr="00516E20" w:rsidRDefault="004031B0" w:rsidP="004031B0">
            <w:pPr>
              <w:spacing w:after="0" w:line="240" w:lineRule="auto"/>
              <w:ind w:left="57" w:right="57" w:firstLine="0"/>
            </w:pPr>
            <w:r w:rsidRPr="00516E20">
              <w:t>Academic support</w:t>
            </w:r>
          </w:p>
        </w:tc>
        <w:tc>
          <w:tcPr>
            <w:tcW w:w="0" w:type="auto"/>
            <w:hideMark/>
          </w:tcPr>
          <w:p w14:paraId="7C0FCF03"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21st</w:t>
            </w:r>
          </w:p>
        </w:tc>
        <w:tc>
          <w:tcPr>
            <w:tcW w:w="0" w:type="auto"/>
            <w:hideMark/>
          </w:tcPr>
          <w:p w14:paraId="0585AEEA"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1st</w:t>
            </w:r>
          </w:p>
        </w:tc>
        <w:tc>
          <w:tcPr>
            <w:tcW w:w="0" w:type="auto"/>
            <w:hideMark/>
          </w:tcPr>
          <w:p w14:paraId="7493EE31"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5th</w:t>
            </w:r>
          </w:p>
        </w:tc>
        <w:tc>
          <w:tcPr>
            <w:tcW w:w="0" w:type="auto"/>
            <w:hideMark/>
          </w:tcPr>
          <w:p w14:paraId="6A25CDED"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91.17%</w:t>
            </w:r>
          </w:p>
        </w:tc>
      </w:tr>
      <w:tr w:rsidR="004031B0" w:rsidRPr="00516E20" w14:paraId="0E363607" w14:textId="77777777" w:rsidTr="004031B0">
        <w:trPr>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60185E82" w14:textId="77777777" w:rsidR="004031B0" w:rsidRPr="00516E20" w:rsidRDefault="004031B0" w:rsidP="004031B0">
            <w:pPr>
              <w:spacing w:after="0" w:line="240" w:lineRule="auto"/>
              <w:ind w:left="57" w:right="57" w:firstLine="0"/>
            </w:pPr>
            <w:r w:rsidRPr="00516E20">
              <w:t>Organisation &amp; management</w:t>
            </w:r>
          </w:p>
        </w:tc>
        <w:tc>
          <w:tcPr>
            <w:tcW w:w="0" w:type="auto"/>
            <w:hideMark/>
          </w:tcPr>
          <w:p w14:paraId="21EE8D33"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49th</w:t>
            </w:r>
          </w:p>
        </w:tc>
        <w:tc>
          <w:tcPr>
            <w:tcW w:w="0" w:type="auto"/>
            <w:hideMark/>
          </w:tcPr>
          <w:p w14:paraId="57ABAD8D"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27th</w:t>
            </w:r>
          </w:p>
        </w:tc>
        <w:tc>
          <w:tcPr>
            <w:tcW w:w="0" w:type="auto"/>
            <w:hideMark/>
          </w:tcPr>
          <w:p w14:paraId="702DD3C2"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16th</w:t>
            </w:r>
          </w:p>
        </w:tc>
        <w:tc>
          <w:tcPr>
            <w:tcW w:w="0" w:type="auto"/>
            <w:hideMark/>
          </w:tcPr>
          <w:p w14:paraId="2921BC01"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89.62%</w:t>
            </w:r>
          </w:p>
        </w:tc>
      </w:tr>
      <w:tr w:rsidR="004031B0" w:rsidRPr="00516E20" w14:paraId="64136B79" w14:textId="77777777" w:rsidTr="004031B0">
        <w:trPr>
          <w:trHeight w:val="271"/>
        </w:trPr>
        <w:tc>
          <w:tcPr>
            <w:cnfStyle w:val="001000000000" w:firstRow="0" w:lastRow="0" w:firstColumn="1" w:lastColumn="0" w:oddVBand="0" w:evenVBand="0" w:oddHBand="0" w:evenHBand="0" w:firstRowFirstColumn="0" w:firstRowLastColumn="0" w:lastRowFirstColumn="0" w:lastRowLastColumn="0"/>
            <w:tcW w:w="0" w:type="auto"/>
            <w:hideMark/>
          </w:tcPr>
          <w:p w14:paraId="50C35ED8" w14:textId="77777777" w:rsidR="004031B0" w:rsidRPr="00516E20" w:rsidRDefault="004031B0" w:rsidP="004031B0">
            <w:pPr>
              <w:spacing w:after="0" w:line="240" w:lineRule="auto"/>
              <w:ind w:left="57" w:right="57" w:firstLine="0"/>
            </w:pPr>
            <w:r w:rsidRPr="00516E20">
              <w:t>Learning resources</w:t>
            </w:r>
          </w:p>
        </w:tc>
        <w:tc>
          <w:tcPr>
            <w:tcW w:w="0" w:type="auto"/>
            <w:hideMark/>
          </w:tcPr>
          <w:p w14:paraId="721A5610"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16th</w:t>
            </w:r>
          </w:p>
        </w:tc>
        <w:tc>
          <w:tcPr>
            <w:tcW w:w="0" w:type="auto"/>
            <w:hideMark/>
          </w:tcPr>
          <w:p w14:paraId="77649C98"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2nd</w:t>
            </w:r>
          </w:p>
        </w:tc>
        <w:tc>
          <w:tcPr>
            <w:tcW w:w="0" w:type="auto"/>
            <w:hideMark/>
          </w:tcPr>
          <w:p w14:paraId="69D86BED"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2nd</w:t>
            </w:r>
          </w:p>
        </w:tc>
        <w:tc>
          <w:tcPr>
            <w:tcW w:w="0" w:type="auto"/>
            <w:hideMark/>
          </w:tcPr>
          <w:p w14:paraId="2EB154EA"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91.58%</w:t>
            </w:r>
          </w:p>
        </w:tc>
      </w:tr>
      <w:tr w:rsidR="004031B0" w:rsidRPr="00516E20" w14:paraId="1BE6243B" w14:textId="77777777" w:rsidTr="004031B0">
        <w:trPr>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580EF253" w14:textId="77777777" w:rsidR="004031B0" w:rsidRPr="00516E20" w:rsidRDefault="004031B0" w:rsidP="004031B0">
            <w:pPr>
              <w:spacing w:after="0" w:line="240" w:lineRule="auto"/>
              <w:ind w:left="57" w:right="57" w:firstLine="0"/>
            </w:pPr>
            <w:r w:rsidRPr="00516E20">
              <w:t>Student voice</w:t>
            </w:r>
          </w:p>
        </w:tc>
        <w:tc>
          <w:tcPr>
            <w:tcW w:w="0" w:type="auto"/>
            <w:hideMark/>
          </w:tcPr>
          <w:p w14:paraId="50732D2C"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4th</w:t>
            </w:r>
          </w:p>
        </w:tc>
        <w:tc>
          <w:tcPr>
            <w:tcW w:w="0" w:type="auto"/>
            <w:hideMark/>
          </w:tcPr>
          <w:p w14:paraId="6D98D4B6"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2nd</w:t>
            </w:r>
          </w:p>
        </w:tc>
        <w:tc>
          <w:tcPr>
            <w:tcW w:w="0" w:type="auto"/>
            <w:hideMark/>
          </w:tcPr>
          <w:p w14:paraId="1B254141"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1st</w:t>
            </w:r>
          </w:p>
        </w:tc>
        <w:tc>
          <w:tcPr>
            <w:tcW w:w="0" w:type="auto"/>
            <w:hideMark/>
          </w:tcPr>
          <w:p w14:paraId="7F452D41" w14:textId="77777777" w:rsidR="004031B0" w:rsidRPr="00516E20" w:rsidRDefault="004031B0" w:rsidP="004031B0">
            <w:pPr>
              <w:spacing w:after="0" w:line="240" w:lineRule="auto"/>
              <w:ind w:left="57" w:right="57" w:firstLine="0"/>
              <w:jc w:val="right"/>
              <w:cnfStyle w:val="000000000000" w:firstRow="0" w:lastRow="0" w:firstColumn="0" w:lastColumn="0" w:oddVBand="0" w:evenVBand="0" w:oddHBand="0" w:evenHBand="0" w:firstRowFirstColumn="0" w:firstRowLastColumn="0" w:lastRowFirstColumn="0" w:lastRowLastColumn="0"/>
            </w:pPr>
            <w:r w:rsidRPr="00516E20">
              <w:t>92.53%</w:t>
            </w:r>
          </w:p>
        </w:tc>
      </w:tr>
    </w:tbl>
    <w:p w14:paraId="0001ECC1" w14:textId="4B25F317" w:rsidR="00344D4B" w:rsidRPr="003533DB" w:rsidRDefault="00344D4B" w:rsidP="00CA7D49">
      <w:pPr>
        <w:spacing w:after="33" w:line="259" w:lineRule="auto"/>
        <w:ind w:left="0" w:right="0" w:firstLine="0"/>
      </w:pPr>
    </w:p>
    <w:p w14:paraId="292A0F8E" w14:textId="77777777" w:rsidR="00344D4B" w:rsidRPr="003533DB" w:rsidRDefault="00D001DE">
      <w:pPr>
        <w:numPr>
          <w:ilvl w:val="0"/>
          <w:numId w:val="2"/>
        </w:numPr>
        <w:ind w:right="605" w:hanging="358"/>
      </w:pPr>
      <w:r w:rsidRPr="003533DB">
        <w:t xml:space="preserve">Areas to improve across the institution: </w:t>
      </w:r>
    </w:p>
    <w:p w14:paraId="10B2BFB7" w14:textId="77777777" w:rsidR="00573BE4" w:rsidRDefault="00573BE4" w:rsidP="00573BE4">
      <w:pPr>
        <w:pStyle w:val="ListParagraph"/>
        <w:widowControl w:val="0"/>
        <w:numPr>
          <w:ilvl w:val="0"/>
          <w:numId w:val="24"/>
        </w:numPr>
        <w:autoSpaceDE w:val="0"/>
        <w:autoSpaceDN w:val="0"/>
        <w:spacing w:after="0" w:line="240" w:lineRule="auto"/>
        <w:ind w:right="0" w:hanging="360"/>
        <w:contextualSpacing w:val="0"/>
        <w:jc w:val="both"/>
      </w:pPr>
      <w:r w:rsidRPr="009C55B1">
        <w:rPr>
          <w:b/>
          <w:bCs/>
        </w:rPr>
        <w:t>Targeted Subject Support</w:t>
      </w:r>
      <w:r w:rsidRPr="00516E20">
        <w:t>: Conduct detailed programme reviews for Psychology, Sport, and Teacher Training to identify root causes of dissatisfaction.</w:t>
      </w:r>
    </w:p>
    <w:p w14:paraId="3471922B" w14:textId="77777777" w:rsidR="00573BE4" w:rsidRPr="00516E20" w:rsidRDefault="00573BE4" w:rsidP="00573BE4">
      <w:pPr>
        <w:pStyle w:val="ListParagraph"/>
        <w:widowControl w:val="0"/>
        <w:numPr>
          <w:ilvl w:val="0"/>
          <w:numId w:val="24"/>
        </w:numPr>
        <w:autoSpaceDE w:val="0"/>
        <w:autoSpaceDN w:val="0"/>
        <w:spacing w:after="0" w:line="240" w:lineRule="auto"/>
        <w:ind w:right="0" w:hanging="360"/>
        <w:contextualSpacing w:val="0"/>
        <w:jc w:val="both"/>
      </w:pPr>
      <w:r w:rsidRPr="00F95CC9">
        <w:rPr>
          <w:b/>
          <w:bCs/>
        </w:rPr>
        <w:t>Celebrate and Share Best Practice</w:t>
      </w:r>
      <w:r w:rsidRPr="00516E20">
        <w:t>: Leverage successful strategies from Business, English, and Education pathways across the wider academic community.</w:t>
      </w:r>
    </w:p>
    <w:p w14:paraId="040156CB" w14:textId="77777777" w:rsidR="00573BE4" w:rsidRPr="00516E20" w:rsidRDefault="00573BE4" w:rsidP="00573BE4">
      <w:pPr>
        <w:pStyle w:val="ListParagraph"/>
        <w:widowControl w:val="0"/>
        <w:numPr>
          <w:ilvl w:val="0"/>
          <w:numId w:val="24"/>
        </w:numPr>
        <w:autoSpaceDE w:val="0"/>
        <w:autoSpaceDN w:val="0"/>
        <w:spacing w:after="0" w:line="240" w:lineRule="auto"/>
        <w:ind w:right="0" w:hanging="360"/>
        <w:contextualSpacing w:val="0"/>
        <w:jc w:val="both"/>
      </w:pPr>
      <w:r w:rsidRPr="00293A01">
        <w:rPr>
          <w:b/>
          <w:bCs/>
        </w:rPr>
        <w:t>Student Voice and Representation</w:t>
      </w:r>
      <w:r w:rsidRPr="00516E20">
        <w:t>: Continue efforts to ensure student feedback mechanisms are not only heard but visibly acted upon.</w:t>
      </w:r>
    </w:p>
    <w:p w14:paraId="426B6743" w14:textId="77777777" w:rsidR="00573BE4" w:rsidRPr="00516E20" w:rsidRDefault="00573BE4" w:rsidP="00573BE4">
      <w:pPr>
        <w:pStyle w:val="ListParagraph"/>
        <w:widowControl w:val="0"/>
        <w:numPr>
          <w:ilvl w:val="0"/>
          <w:numId w:val="24"/>
        </w:numPr>
        <w:autoSpaceDE w:val="0"/>
        <w:autoSpaceDN w:val="0"/>
        <w:spacing w:after="0" w:line="240" w:lineRule="auto"/>
        <w:ind w:right="0" w:hanging="360"/>
        <w:contextualSpacing w:val="0"/>
        <w:jc w:val="both"/>
      </w:pPr>
      <w:r w:rsidRPr="00366A18">
        <w:rPr>
          <w:b/>
          <w:bCs/>
        </w:rPr>
        <w:t>Learning Environment Monitoring</w:t>
      </w:r>
      <w:r w:rsidRPr="00516E20">
        <w:t>: Investigate the reasons behind subject-level ranking fluctuations, particularly in practical-based disciplines such as Sport.</w:t>
      </w:r>
    </w:p>
    <w:p w14:paraId="2D65540D" w14:textId="77777777" w:rsidR="00573BE4" w:rsidRPr="00516E20" w:rsidRDefault="00573BE4" w:rsidP="00573BE4">
      <w:pPr>
        <w:pStyle w:val="ListParagraph"/>
        <w:widowControl w:val="0"/>
        <w:numPr>
          <w:ilvl w:val="0"/>
          <w:numId w:val="24"/>
        </w:numPr>
        <w:autoSpaceDE w:val="0"/>
        <w:autoSpaceDN w:val="0"/>
        <w:spacing w:after="0" w:line="240" w:lineRule="auto"/>
        <w:ind w:right="0" w:hanging="360"/>
        <w:contextualSpacing w:val="0"/>
        <w:jc w:val="both"/>
      </w:pPr>
      <w:r w:rsidRPr="00516E20">
        <w:rPr>
          <w:b/>
          <w:bCs/>
        </w:rPr>
        <w:t>Foundation Degree Success</w:t>
      </w:r>
      <w:r w:rsidRPr="00516E20">
        <w:t>: Explore how the structured support in FdA pathways might inform enhancements to undergraduate programme design</w:t>
      </w:r>
      <w:r>
        <w:t>.</w:t>
      </w:r>
    </w:p>
    <w:p w14:paraId="187DA2BA" w14:textId="77777777" w:rsidR="00344D4B" w:rsidRPr="003533DB" w:rsidRDefault="00D001DE">
      <w:pPr>
        <w:spacing w:after="0" w:line="259" w:lineRule="auto"/>
        <w:ind w:left="0" w:right="0" w:firstLine="0"/>
      </w:pPr>
      <w:r w:rsidRPr="003533DB">
        <w:t xml:space="preserve"> </w:t>
      </w:r>
      <w:r w:rsidRPr="003533DB">
        <w:tab/>
        <w:t xml:space="preserve"> </w:t>
      </w:r>
    </w:p>
    <w:p w14:paraId="26D887CC" w14:textId="77777777" w:rsidR="00344D4B" w:rsidRPr="003533DB" w:rsidRDefault="00D001DE">
      <w:pPr>
        <w:pStyle w:val="Heading2"/>
        <w:ind w:left="-5"/>
      </w:pPr>
      <w:r w:rsidRPr="003533DB">
        <w:t xml:space="preserve">Subject variance </w:t>
      </w:r>
    </w:p>
    <w:p w14:paraId="70B1804C" w14:textId="6EC23D25" w:rsidR="00344D4B" w:rsidRPr="003533DB" w:rsidRDefault="002634AA" w:rsidP="00CA7D49">
      <w:pPr>
        <w:numPr>
          <w:ilvl w:val="0"/>
          <w:numId w:val="3"/>
        </w:numPr>
        <w:ind w:right="605" w:hanging="358"/>
      </w:pPr>
      <w:r>
        <w:t>8</w:t>
      </w:r>
      <w:r w:rsidR="0055459F" w:rsidRPr="003533DB">
        <w:t xml:space="preserve"> specific programmes (out of a possible 1</w:t>
      </w:r>
      <w:r>
        <w:t>0</w:t>
      </w:r>
      <w:r w:rsidR="0055459F" w:rsidRPr="003533DB">
        <w:t>) had at least 10 respondents, representing at least 50% of the cohort</w:t>
      </w:r>
      <w:r>
        <w:t>,</w:t>
      </w:r>
      <w:r w:rsidR="0055459F" w:rsidRPr="003533DB">
        <w:t xml:space="preserve"> and so achieved a specific set of NSS results. </w:t>
      </w:r>
    </w:p>
    <w:p w14:paraId="6493E695" w14:textId="77777777" w:rsidR="00344D4B" w:rsidRPr="003533DB" w:rsidRDefault="00D001DE">
      <w:pPr>
        <w:numPr>
          <w:ilvl w:val="0"/>
          <w:numId w:val="3"/>
        </w:numPr>
        <w:ind w:right="605" w:hanging="358"/>
      </w:pPr>
      <w:r w:rsidRPr="003533DB">
        <w:lastRenderedPageBreak/>
        <w:t xml:space="preserve">Clearly, there are considerable variations for these specific </w:t>
      </w:r>
      <w:proofErr w:type="gramStart"/>
      <w:r w:rsidRPr="003533DB">
        <w:t>programmes</w:t>
      </w:r>
      <w:proofErr w:type="gramEnd"/>
      <w:r w:rsidRPr="003533DB">
        <w:t xml:space="preserve"> and those programme leaders can use this information to inform their AMR action plan, especially for those programmes plotting to the lower left of the BGU average. </w:t>
      </w:r>
    </w:p>
    <w:p w14:paraId="1901CF74" w14:textId="1E7BD25D" w:rsidR="00344D4B" w:rsidRPr="003533DB" w:rsidRDefault="00D001DE">
      <w:pPr>
        <w:numPr>
          <w:ilvl w:val="0"/>
          <w:numId w:val="3"/>
        </w:numPr>
        <w:ind w:right="605" w:hanging="358"/>
      </w:pPr>
      <w:r w:rsidRPr="003533DB">
        <w:t xml:space="preserve">The OfS also provide amalgamated subject cluster data at CAH3, CAH2 and CAH1 groupings to bring in student responses on programmes that do not gain </w:t>
      </w:r>
      <w:proofErr w:type="gramStart"/>
      <w:r w:rsidRPr="003533DB">
        <w:t>a sufficient number of</w:t>
      </w:r>
      <w:proofErr w:type="gramEnd"/>
      <w:r w:rsidRPr="003533DB">
        <w:t xml:space="preserve"> responses. The alignment of programmes to subject clusters </w:t>
      </w:r>
      <w:r w:rsidR="008658D5">
        <w:t>is</w:t>
      </w:r>
      <w:r w:rsidRPr="003533DB">
        <w:t xml:space="preserve"> not as intuitive as one might expect</w:t>
      </w:r>
      <w:r w:rsidR="008658D5">
        <w:t>,</w:t>
      </w:r>
      <w:r w:rsidRPr="003533DB">
        <w:t xml:space="preserve"> and for this reason, the BGUSSS results offer a more direct set of results for subject teams. </w:t>
      </w:r>
    </w:p>
    <w:p w14:paraId="06B8A17B" w14:textId="3D8D62B9" w:rsidR="00344D4B" w:rsidRPr="003533DB" w:rsidRDefault="00D001DE">
      <w:pPr>
        <w:spacing w:after="134" w:line="259" w:lineRule="auto"/>
        <w:ind w:left="0" w:right="0" w:firstLine="0"/>
      </w:pPr>
      <w:r>
        <w:t>Guidance on the methodology used to derive the data cited above can be found</w:t>
      </w:r>
      <w:r w:rsidR="003A25D0">
        <w:t xml:space="preserve"> at</w:t>
      </w:r>
      <w:r>
        <w:t xml:space="preserve"> </w:t>
      </w:r>
      <w:hyperlink r:id="rId11" w:anchor="/site/bishopgrossetesteuniversity/views/NSSResults/IntroGuidance?:iid=1" w:history="1">
        <w:r w:rsidR="003A25D0" w:rsidRPr="003A25D0">
          <w:rPr>
            <w:rStyle w:val="Hyperlink"/>
          </w:rPr>
          <w:t>NSS Results: Intro &amp; Guidance - Tableau Cloud</w:t>
        </w:r>
      </w:hyperlink>
      <w:r>
        <w:t xml:space="preserve"> or by contacting Andrew Wright </w:t>
      </w:r>
      <w:r w:rsidR="00B0150F">
        <w:t>(</w:t>
      </w:r>
      <w:r w:rsidRPr="00B0150F">
        <w:t>andrew.wright2@</w:t>
      </w:r>
      <w:r w:rsidR="00B0150F">
        <w:t>lincoln</w:t>
      </w:r>
      <w:r w:rsidRPr="00B0150F">
        <w:t>bishop.ac.uk</w:t>
      </w:r>
      <w:r w:rsidR="00B0150F">
        <w:t>)</w:t>
      </w:r>
      <w:r>
        <w:t xml:space="preserve"> or Carolyn Dean </w:t>
      </w:r>
      <w:r w:rsidR="00B0150F">
        <w:t>(</w:t>
      </w:r>
      <w:r w:rsidRPr="00B0150F">
        <w:t>carolyn.dean@</w:t>
      </w:r>
      <w:r w:rsidR="00B0150F">
        <w:t>lincoln</w:t>
      </w:r>
      <w:r w:rsidRPr="00B0150F">
        <w:t>bishop.ac.uk</w:t>
      </w:r>
      <w:r w:rsidR="00B0150F">
        <w:t>)</w:t>
      </w:r>
      <w:r>
        <w:t xml:space="preserve"> in the Planning Team.</w:t>
      </w:r>
    </w:p>
    <w:p w14:paraId="74179C4F" w14:textId="77777777" w:rsidR="00344D4B" w:rsidRPr="003533DB" w:rsidRDefault="00D001DE">
      <w:pPr>
        <w:spacing w:after="0" w:line="259" w:lineRule="auto"/>
        <w:ind w:left="0" w:right="0" w:firstLine="0"/>
      </w:pPr>
      <w:r w:rsidRPr="003533DB">
        <w:rPr>
          <w:b/>
        </w:rPr>
        <w:t xml:space="preserve"> </w:t>
      </w:r>
      <w:r w:rsidRPr="003533DB">
        <w:rPr>
          <w:b/>
        </w:rPr>
        <w:tab/>
        <w:t xml:space="preserve"> </w:t>
      </w:r>
    </w:p>
    <w:p w14:paraId="48D47E7B" w14:textId="77777777" w:rsidR="00344D4B" w:rsidRPr="003533DB" w:rsidRDefault="00D001DE">
      <w:pPr>
        <w:pStyle w:val="Heading1"/>
        <w:ind w:left="-5"/>
      </w:pPr>
      <w:r w:rsidRPr="003533DB">
        <w:t xml:space="preserve">The BGU Student Satisfaction Survey </w:t>
      </w:r>
    </w:p>
    <w:p w14:paraId="1B051139" w14:textId="242AD2F4" w:rsidR="00344D4B" w:rsidRPr="003533DB" w:rsidRDefault="00D001DE" w:rsidP="003533DB">
      <w:pPr>
        <w:numPr>
          <w:ilvl w:val="0"/>
          <w:numId w:val="3"/>
        </w:numPr>
        <w:ind w:right="605" w:hanging="358"/>
      </w:pPr>
      <w:r w:rsidRPr="003533DB">
        <w:t xml:space="preserve">The BGUSSS ran in parallel with the NSS and </w:t>
      </w:r>
      <w:r w:rsidR="00753D11">
        <w:t>surveyed</w:t>
      </w:r>
      <w:r w:rsidRPr="003533DB">
        <w:t xml:space="preserve"> all </w:t>
      </w:r>
      <w:r w:rsidR="00753D11">
        <w:t>students</w:t>
      </w:r>
      <w:r w:rsidRPr="003533DB">
        <w:t xml:space="preserve"> across all levels of study</w:t>
      </w:r>
      <w:r w:rsidR="00753D11">
        <w:t>,</w:t>
      </w:r>
      <w:r w:rsidRPr="003533DB">
        <w:t xml:space="preserve"> from foundation year to research degree students. </w:t>
      </w:r>
    </w:p>
    <w:p w14:paraId="2C7277B3" w14:textId="57A1B556" w:rsidR="00344D4B" w:rsidRPr="003533DB" w:rsidRDefault="00D001DE" w:rsidP="003533DB">
      <w:pPr>
        <w:numPr>
          <w:ilvl w:val="0"/>
          <w:numId w:val="3"/>
        </w:numPr>
        <w:ind w:right="605" w:hanging="358"/>
      </w:pPr>
      <w:r w:rsidRPr="003533DB">
        <w:t xml:space="preserve">The BGUSSS asks a greater number of questions across a broader range of academic </w:t>
      </w:r>
      <w:r w:rsidR="00753D11">
        <w:t>courses</w:t>
      </w:r>
      <w:r w:rsidRPr="003533DB">
        <w:t xml:space="preserve"> and student experience themes.  The questions include the equivalent NSS questions to enable BGU to understand how satisfaction might be progressing with undergraduate cohorts prior to their final year. </w:t>
      </w:r>
    </w:p>
    <w:p w14:paraId="02B5EE25" w14:textId="08D0ED1E" w:rsidR="00344D4B" w:rsidRPr="003533DB" w:rsidRDefault="001E1B37" w:rsidP="00D81B1B">
      <w:pPr>
        <w:numPr>
          <w:ilvl w:val="0"/>
          <w:numId w:val="3"/>
        </w:numPr>
        <w:ind w:right="605" w:hanging="358"/>
      </w:pPr>
      <w:r w:rsidRPr="001E1B37">
        <w:t>The overall response rate rose from 37.7% in 2024 to 41.3% in 2025</w:t>
      </w:r>
      <w:r w:rsidR="00753D11">
        <w:t>,</w:t>
      </w:r>
      <w:r w:rsidRPr="001E1B37">
        <w:t xml:space="preserve"> with 722 of the 1,747 eligible students completing the BGUSSS.</w:t>
      </w:r>
    </w:p>
    <w:p w14:paraId="187DAA21" w14:textId="77777777" w:rsidR="00344D4B" w:rsidRPr="003533DB" w:rsidRDefault="00D001DE">
      <w:pPr>
        <w:pStyle w:val="Heading2"/>
        <w:ind w:left="-5"/>
      </w:pPr>
      <w:r w:rsidRPr="003533DB">
        <w:t xml:space="preserve">Institutional level satisfaction </w:t>
      </w:r>
    </w:p>
    <w:p w14:paraId="27F47FAC" w14:textId="71F35147" w:rsidR="00344D4B" w:rsidRPr="003533DB" w:rsidRDefault="00D001DE" w:rsidP="003533DB">
      <w:pPr>
        <w:numPr>
          <w:ilvl w:val="0"/>
          <w:numId w:val="3"/>
        </w:numPr>
        <w:ind w:right="605" w:hanging="360"/>
      </w:pPr>
      <w:r w:rsidRPr="003533DB">
        <w:t>A comprehensive data dashboard has been created by Andrew Wright</w:t>
      </w:r>
      <w:r w:rsidR="008E5520">
        <w:t>,</w:t>
      </w:r>
      <w:r w:rsidRPr="003533DB">
        <w:t xml:space="preserve"> allowing detailed analysis of the responses and filtering by academic level and APP characteristics. </w:t>
      </w:r>
    </w:p>
    <w:p w14:paraId="157BC98C" w14:textId="29E4ED9B" w:rsidR="00D224E1" w:rsidRPr="003533DB" w:rsidRDefault="00D224E1" w:rsidP="003533DB">
      <w:pPr>
        <w:numPr>
          <w:ilvl w:val="0"/>
          <w:numId w:val="3"/>
        </w:numPr>
        <w:ind w:right="605" w:hanging="360"/>
      </w:pPr>
      <w:r w:rsidRPr="003533DB">
        <w:t>In line with the changes to the NSS in 2023</w:t>
      </w:r>
      <w:r w:rsidR="003D38AB">
        <w:t>,</w:t>
      </w:r>
      <w:r w:rsidRPr="003533DB">
        <w:t xml:space="preserve"> the overall satisfaction questions have been withdrawn.</w:t>
      </w:r>
    </w:p>
    <w:p w14:paraId="59658108" w14:textId="07A11B1E" w:rsidR="00344D4B" w:rsidRPr="003533DB" w:rsidRDefault="00D224E1" w:rsidP="003533DB">
      <w:pPr>
        <w:numPr>
          <w:ilvl w:val="0"/>
          <w:numId w:val="3"/>
        </w:numPr>
        <w:ind w:right="605" w:hanging="360"/>
      </w:pPr>
      <w:r w:rsidRPr="003533DB">
        <w:t xml:space="preserve">Student satisfaction with their course organisation </w:t>
      </w:r>
      <w:r w:rsidR="005932E1">
        <w:t>dropped slightly</w:t>
      </w:r>
      <w:r w:rsidRPr="003533DB">
        <w:t xml:space="preserve"> from 87.0%</w:t>
      </w:r>
      <w:r w:rsidR="005932E1">
        <w:t xml:space="preserve"> to 85.9%</w:t>
      </w:r>
      <w:r w:rsidRPr="003533DB">
        <w:t xml:space="preserve"> since 202</w:t>
      </w:r>
      <w:r w:rsidR="005932E1">
        <w:t>4</w:t>
      </w:r>
      <w:r w:rsidRPr="003533DB">
        <w:t xml:space="preserve">, although satisfaction with the timetable </w:t>
      </w:r>
      <w:r w:rsidR="00ED70C5">
        <w:t>increased</w:t>
      </w:r>
      <w:r w:rsidRPr="003533DB">
        <w:t xml:space="preserve"> from 84.5%</w:t>
      </w:r>
      <w:r w:rsidR="00ED70C5">
        <w:t xml:space="preserve"> to </w:t>
      </w:r>
      <w:r w:rsidR="00CF6265">
        <w:t>87.5%</w:t>
      </w:r>
      <w:r w:rsidRPr="003533DB">
        <w:t xml:space="preserve"> over the same period. </w:t>
      </w:r>
    </w:p>
    <w:p w14:paraId="261400C0" w14:textId="77777777" w:rsidR="00344D4B" w:rsidRPr="003533DB" w:rsidRDefault="00D001DE" w:rsidP="003533DB">
      <w:pPr>
        <w:numPr>
          <w:ilvl w:val="0"/>
          <w:numId w:val="3"/>
        </w:numPr>
        <w:spacing w:after="0"/>
        <w:ind w:right="605" w:hanging="360"/>
      </w:pPr>
      <w:r w:rsidRPr="003533DB">
        <w:t xml:space="preserve">More students stated that they would recommend BGU to a friend, colleague or relative now at </w:t>
      </w:r>
    </w:p>
    <w:p w14:paraId="27E5B170" w14:textId="0CE7C703" w:rsidR="00344D4B" w:rsidRDefault="00A3517E" w:rsidP="00BE04F8">
      <w:pPr>
        <w:ind w:left="425" w:right="605" w:firstLine="0"/>
      </w:pPr>
      <w:r>
        <w:t>91.0</w:t>
      </w:r>
      <w:r w:rsidR="00BE04F8">
        <w:t>% compared to 8</w:t>
      </w:r>
      <w:r w:rsidR="00387263">
        <w:t>9.8</w:t>
      </w:r>
      <w:r w:rsidR="00BE04F8">
        <w:t>% in 202</w:t>
      </w:r>
      <w:r w:rsidR="00387263">
        <w:t>4</w:t>
      </w:r>
      <w:r w:rsidR="00BE04F8">
        <w:t xml:space="preserve">.   </w:t>
      </w:r>
    </w:p>
    <w:p w14:paraId="66F77129" w14:textId="0F7BF9E2" w:rsidR="00344D4B" w:rsidRDefault="00D001DE">
      <w:pPr>
        <w:spacing w:after="0" w:line="259" w:lineRule="auto"/>
        <w:ind w:left="0" w:right="0" w:firstLine="0"/>
      </w:pPr>
      <w:r>
        <w:rPr>
          <w:i/>
        </w:rPr>
        <w:t xml:space="preserve"> </w:t>
      </w:r>
    </w:p>
    <w:p w14:paraId="0422895D" w14:textId="1BF6ED58" w:rsidR="0060478A" w:rsidRDefault="0060478A" w:rsidP="0060478A">
      <w:pPr>
        <w:pStyle w:val="Heading3"/>
      </w:pPr>
      <w:r>
        <w:t>Teaching and Teaching Staff</w:t>
      </w:r>
      <w:r w:rsidR="00CF72EA">
        <w:t xml:space="preserve"> (Figure </w:t>
      </w:r>
      <w:r w:rsidR="00A05248">
        <w:t>1</w:t>
      </w:r>
      <w:r w:rsidR="00CF72EA">
        <w:t>)</w:t>
      </w:r>
    </w:p>
    <w:p w14:paraId="3FAFAF15" w14:textId="408BA07A" w:rsidR="00344D4B" w:rsidRDefault="0091275D" w:rsidP="003533DB">
      <w:pPr>
        <w:pStyle w:val="ListParagraph"/>
        <w:numPr>
          <w:ilvl w:val="0"/>
          <w:numId w:val="3"/>
        </w:numPr>
        <w:ind w:hanging="360"/>
      </w:pPr>
      <w:r>
        <w:t xml:space="preserve">Questions in the Teaching and Teaching Staff themes have among the highest levels of positive responses within the BGUSSS.  </w:t>
      </w:r>
      <w:r w:rsidR="00B7722D">
        <w:t>The highest result is for how often staff are good at explaining things (9</w:t>
      </w:r>
      <w:r w:rsidR="00A06525">
        <w:t>4.5</w:t>
      </w:r>
      <w:r w:rsidR="00B7722D">
        <w:t>%) and how well staff have supported learning (94.</w:t>
      </w:r>
      <w:r w:rsidR="00DC587F">
        <w:t>4</w:t>
      </w:r>
      <w:r w:rsidR="00B7722D">
        <w:t>%).</w:t>
      </w:r>
    </w:p>
    <w:p w14:paraId="1B74447C" w14:textId="0243A726" w:rsidR="00B7722D" w:rsidRDefault="00D001DE">
      <w:pPr>
        <w:spacing w:after="0" w:line="259" w:lineRule="auto"/>
        <w:ind w:left="0" w:right="0" w:firstLine="0"/>
      </w:pPr>
      <w:r>
        <w:t xml:space="preserve"> </w:t>
      </w:r>
    </w:p>
    <w:p w14:paraId="621E7B6B" w14:textId="6D12BADE" w:rsidR="00A05248" w:rsidRDefault="001B3971">
      <w:pPr>
        <w:spacing w:after="0" w:line="259" w:lineRule="auto"/>
        <w:ind w:left="0" w:right="0" w:firstLine="0"/>
      </w:pPr>
      <w:r>
        <w:rPr>
          <w:noProof/>
        </w:rPr>
        <w:lastRenderedPageBreak/>
        <w:drawing>
          <wp:inline distT="0" distB="0" distL="0" distR="0" wp14:anchorId="4B7EA7BD" wp14:editId="78B5AF4B">
            <wp:extent cx="5773420" cy="2889885"/>
            <wp:effectExtent l="0" t="0" r="0" b="5715"/>
            <wp:docPr id="14692638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420" cy="2889885"/>
                    </a:xfrm>
                    <a:prstGeom prst="rect">
                      <a:avLst/>
                    </a:prstGeom>
                    <a:noFill/>
                  </pic:spPr>
                </pic:pic>
              </a:graphicData>
            </a:graphic>
          </wp:inline>
        </w:drawing>
      </w:r>
    </w:p>
    <w:p w14:paraId="0FADBA4A" w14:textId="074D8B14" w:rsidR="00B7722D" w:rsidRDefault="00B7722D" w:rsidP="00AF390D">
      <w:pPr>
        <w:spacing w:after="0" w:line="259" w:lineRule="auto"/>
        <w:ind w:right="0"/>
      </w:pPr>
    </w:p>
    <w:p w14:paraId="776538AC" w14:textId="32DE5F73" w:rsidR="00AF390D" w:rsidRDefault="00AF390D" w:rsidP="00AF390D">
      <w:pPr>
        <w:pStyle w:val="Heading3"/>
      </w:pPr>
      <w:r>
        <w:t>Learning Opportunities</w:t>
      </w:r>
      <w:r w:rsidR="00CF72EA">
        <w:t xml:space="preserve"> (Figure </w:t>
      </w:r>
      <w:r w:rsidR="003008D5">
        <w:t>2</w:t>
      </w:r>
      <w:r w:rsidR="00CF72EA">
        <w:t>)</w:t>
      </w:r>
    </w:p>
    <w:p w14:paraId="7814C714" w14:textId="6B9353C1" w:rsidR="00AF390D" w:rsidRDefault="000A46D2" w:rsidP="003533DB">
      <w:pPr>
        <w:pStyle w:val="ListParagraph"/>
        <w:numPr>
          <w:ilvl w:val="0"/>
          <w:numId w:val="3"/>
        </w:numPr>
        <w:ind w:hanging="360"/>
      </w:pPr>
      <w:r>
        <w:t xml:space="preserve">Most respondents to the BGUSSS stated positive responses to the learning opportunities available to them, with </w:t>
      </w:r>
      <w:r w:rsidR="0007283D">
        <w:t>five</w:t>
      </w:r>
      <w:r>
        <w:t xml:space="preserve"> out of </w:t>
      </w:r>
      <w:r w:rsidR="0007283D">
        <w:t>seven</w:t>
      </w:r>
      <w:r>
        <w:t xml:space="preserve"> questions above 90% positive, and the other t</w:t>
      </w:r>
      <w:r w:rsidR="0007283D">
        <w:t>wo</w:t>
      </w:r>
      <w:r>
        <w:t xml:space="preserve"> between 8</w:t>
      </w:r>
      <w:r w:rsidR="003008D5">
        <w:t>3.5</w:t>
      </w:r>
      <w:r>
        <w:t xml:space="preserve">% and </w:t>
      </w:r>
      <w:r w:rsidR="003008D5">
        <w:t>87.1</w:t>
      </w:r>
      <w:r>
        <w:t xml:space="preserve">%.  The lowest positive responses </w:t>
      </w:r>
      <w:r w:rsidR="003008D5">
        <w:t>were</w:t>
      </w:r>
      <w:r>
        <w:t xml:space="preserve"> regarding the balance of directed and independent study, albeit more than four out of every five respondents were positive.</w:t>
      </w:r>
    </w:p>
    <w:p w14:paraId="704D57A4" w14:textId="2C564E5F" w:rsidR="000A46D2" w:rsidRDefault="006064F4" w:rsidP="000A46D2">
      <w:r>
        <w:rPr>
          <w:noProof/>
        </w:rPr>
        <w:drawing>
          <wp:inline distT="0" distB="0" distL="0" distR="0" wp14:anchorId="1A6C3D1D" wp14:editId="786DEE27">
            <wp:extent cx="5773420" cy="3615055"/>
            <wp:effectExtent l="0" t="0" r="0" b="4445"/>
            <wp:docPr id="7854795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3420" cy="3615055"/>
                    </a:xfrm>
                    <a:prstGeom prst="rect">
                      <a:avLst/>
                    </a:prstGeom>
                    <a:noFill/>
                  </pic:spPr>
                </pic:pic>
              </a:graphicData>
            </a:graphic>
          </wp:inline>
        </w:drawing>
      </w:r>
    </w:p>
    <w:p w14:paraId="07DC5D3D" w14:textId="7338E7EC" w:rsidR="000A46D2" w:rsidRDefault="000A46D2" w:rsidP="000A46D2">
      <w:pPr>
        <w:pStyle w:val="Heading3"/>
      </w:pPr>
      <w:r>
        <w:t>Student Support</w:t>
      </w:r>
      <w:r w:rsidR="00CF72EA">
        <w:t xml:space="preserve"> (Figure </w:t>
      </w:r>
      <w:r w:rsidR="00891FBC">
        <w:t>3</w:t>
      </w:r>
      <w:r w:rsidR="00CF72EA">
        <w:t>)</w:t>
      </w:r>
    </w:p>
    <w:p w14:paraId="2B8E4066" w14:textId="77777777" w:rsidR="000A46D2" w:rsidRDefault="000A46D2" w:rsidP="003533DB">
      <w:pPr>
        <w:numPr>
          <w:ilvl w:val="0"/>
          <w:numId w:val="3"/>
        </w:numPr>
        <w:ind w:right="605"/>
      </w:pPr>
      <w:r>
        <w:t xml:space="preserve">Support provided to students covers areas such as Student Advice, Chaplaincy, personal tutoring, and mental health and wellbeing provisions.  </w:t>
      </w:r>
    </w:p>
    <w:p w14:paraId="3928F198" w14:textId="6D350CF1" w:rsidR="000A46D2" w:rsidRDefault="00BE1DB2" w:rsidP="003533DB">
      <w:pPr>
        <w:numPr>
          <w:ilvl w:val="0"/>
          <w:numId w:val="3"/>
        </w:numPr>
        <w:ind w:right="605" w:hanging="360"/>
      </w:pPr>
      <w:r>
        <w:lastRenderedPageBreak/>
        <w:t>88.9% of respondents gave positive responses regarding the availability of library services and other resources.</w:t>
      </w:r>
    </w:p>
    <w:p w14:paraId="36B1DD0A" w14:textId="599CAF87" w:rsidR="000A46D2" w:rsidRDefault="000A46D2" w:rsidP="003533DB">
      <w:pPr>
        <w:numPr>
          <w:ilvl w:val="0"/>
          <w:numId w:val="3"/>
        </w:numPr>
        <w:ind w:right="605" w:hanging="360"/>
      </w:pPr>
      <w:r>
        <w:t xml:space="preserve">However, </w:t>
      </w:r>
      <w:r w:rsidR="0019784E">
        <w:t>12.2% of respondents gave negative responses regarding personal tutoring</w:t>
      </w:r>
      <w:r w:rsidR="007609C3">
        <w:t>, and 7.3% gave negative responses regarding the careers and employability service.</w:t>
      </w:r>
    </w:p>
    <w:p w14:paraId="4D1AEC3C" w14:textId="4304364A" w:rsidR="000A46D2" w:rsidRDefault="000A46D2" w:rsidP="003533DB">
      <w:pPr>
        <w:numPr>
          <w:ilvl w:val="0"/>
          <w:numId w:val="3"/>
        </w:numPr>
        <w:ind w:right="605" w:hanging="360"/>
      </w:pPr>
      <w:r>
        <w:t>The results for Chaplaincy</w:t>
      </w:r>
      <w:r w:rsidR="00E415AE">
        <w:t>, accessibility, counselling, and mental health support</w:t>
      </w:r>
      <w:r>
        <w:t xml:space="preserve"> show a high level of</w:t>
      </w:r>
      <w:r w:rsidR="00CF72EA">
        <w:t xml:space="preserve"> ‘not applicable’ responses.  Whilst </w:t>
      </w:r>
      <w:r w:rsidR="00F72B7B">
        <w:t xml:space="preserve">it is </w:t>
      </w:r>
      <w:r w:rsidR="00CF72EA">
        <w:t xml:space="preserve">important to note this high level of ‘non applicable’ responses, if these are put aside the results for </w:t>
      </w:r>
      <w:r w:rsidR="00D07617">
        <w:t xml:space="preserve">these services </w:t>
      </w:r>
      <w:r w:rsidR="00CF72EA">
        <w:t>are overwhelmingly positive, with very low levels of negative responses.</w:t>
      </w:r>
    </w:p>
    <w:p w14:paraId="1F6F41DD" w14:textId="2C25A77F" w:rsidR="00CF72EA" w:rsidRDefault="00891FBC" w:rsidP="00CF72EA">
      <w:pPr>
        <w:ind w:right="605"/>
      </w:pPr>
      <w:r>
        <w:rPr>
          <w:noProof/>
        </w:rPr>
        <w:drawing>
          <wp:inline distT="0" distB="0" distL="0" distR="0" wp14:anchorId="73E7B801" wp14:editId="171217BF">
            <wp:extent cx="5773420" cy="3615055"/>
            <wp:effectExtent l="0" t="0" r="0" b="4445"/>
            <wp:docPr id="15351689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3420" cy="3615055"/>
                    </a:xfrm>
                    <a:prstGeom prst="rect">
                      <a:avLst/>
                    </a:prstGeom>
                    <a:noFill/>
                  </pic:spPr>
                </pic:pic>
              </a:graphicData>
            </a:graphic>
          </wp:inline>
        </w:drawing>
      </w:r>
    </w:p>
    <w:p w14:paraId="367BA766" w14:textId="34D499F7" w:rsidR="005541C3" w:rsidRDefault="005541C3" w:rsidP="005541C3">
      <w:pPr>
        <w:pStyle w:val="Heading3"/>
      </w:pPr>
      <w:r>
        <w:t xml:space="preserve">Campus &amp; Community (Figure </w:t>
      </w:r>
      <w:r w:rsidR="00F36948">
        <w:t>4</w:t>
      </w:r>
      <w:r>
        <w:t>)</w:t>
      </w:r>
    </w:p>
    <w:p w14:paraId="3ECCB8F3" w14:textId="133D545E" w:rsidR="005541C3" w:rsidRDefault="00855FE3" w:rsidP="003533DB">
      <w:pPr>
        <w:pStyle w:val="ListParagraph"/>
        <w:numPr>
          <w:ilvl w:val="0"/>
          <w:numId w:val="3"/>
        </w:numPr>
        <w:ind w:hanging="360"/>
      </w:pPr>
      <w:r>
        <w:t>82.2</w:t>
      </w:r>
      <w:r w:rsidR="005541C3">
        <w:t>% of respondents stated that they believe that they feel part of a community of staff and students at BGU, and that 9</w:t>
      </w:r>
      <w:r w:rsidR="00C00FD8">
        <w:t>1</w:t>
      </w:r>
      <w:r w:rsidR="005541C3">
        <w:t>% of respondents would recommend BGU to a colleague, friend, or family member.</w:t>
      </w:r>
    </w:p>
    <w:p w14:paraId="78622F0B" w14:textId="48FC0F29" w:rsidR="005541C3" w:rsidRDefault="005541C3" w:rsidP="00C00FD8">
      <w:pPr>
        <w:pStyle w:val="ListParagraph"/>
        <w:numPr>
          <w:ilvl w:val="0"/>
          <w:numId w:val="3"/>
        </w:numPr>
        <w:ind w:hanging="360"/>
      </w:pPr>
      <w:r>
        <w:t>9</w:t>
      </w:r>
      <w:r w:rsidR="00C00FD8">
        <w:t>7.0</w:t>
      </w:r>
      <w:r>
        <w:t xml:space="preserve">% of respondents stated that the BGU campus is a safe and secure environment, with only </w:t>
      </w:r>
      <w:r w:rsidR="00C00FD8">
        <w:t>3.0</w:t>
      </w:r>
      <w:r>
        <w:t>% of respondents disagreeing.</w:t>
      </w:r>
    </w:p>
    <w:p w14:paraId="42C34B92" w14:textId="48D20CB1" w:rsidR="005541C3" w:rsidRPr="005541C3" w:rsidRDefault="00B20453" w:rsidP="005541C3">
      <w:r>
        <w:rPr>
          <w:noProof/>
        </w:rPr>
        <w:lastRenderedPageBreak/>
        <w:drawing>
          <wp:inline distT="0" distB="0" distL="0" distR="0" wp14:anchorId="09A54C0C" wp14:editId="783C9FF9">
            <wp:extent cx="5773420" cy="3255645"/>
            <wp:effectExtent l="0" t="0" r="0" b="1905"/>
            <wp:docPr id="20085642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3420" cy="3255645"/>
                    </a:xfrm>
                    <a:prstGeom prst="rect">
                      <a:avLst/>
                    </a:prstGeom>
                    <a:noFill/>
                  </pic:spPr>
                </pic:pic>
              </a:graphicData>
            </a:graphic>
          </wp:inline>
        </w:drawing>
      </w:r>
    </w:p>
    <w:p w14:paraId="6CE33F32" w14:textId="31219B3F" w:rsidR="00B50407" w:rsidRDefault="00B50407" w:rsidP="00B50407">
      <w:pPr>
        <w:pStyle w:val="Heading3"/>
      </w:pPr>
      <w:r>
        <w:t>Access and Participation (Figure 5)</w:t>
      </w:r>
    </w:p>
    <w:p w14:paraId="0F1B6310" w14:textId="75CF9F8C" w:rsidR="000A46D2" w:rsidRDefault="000C665E" w:rsidP="00A3256B">
      <w:pPr>
        <w:pStyle w:val="ListParagraph"/>
        <w:numPr>
          <w:ilvl w:val="0"/>
          <w:numId w:val="26"/>
        </w:numPr>
      </w:pPr>
      <w:r>
        <w:t>Mature students report the highest overall satisfaction (3.42), exceeding the institution's average by 0.06.  Younger students are the low</w:t>
      </w:r>
      <w:r w:rsidR="007A4550">
        <w:t>est-scoring group (3.31), 0.05 below the institution's average.</w:t>
      </w:r>
    </w:p>
    <w:p w14:paraId="3428F5B1" w14:textId="6619DA25" w:rsidR="00FF534D" w:rsidRDefault="00FF534D" w:rsidP="00A3256B">
      <w:pPr>
        <w:pStyle w:val="ListParagraph"/>
        <w:numPr>
          <w:ilvl w:val="0"/>
          <w:numId w:val="26"/>
        </w:numPr>
      </w:pPr>
      <w:r>
        <w:t>BAME respondents are marginally above the institutional average, while</w:t>
      </w:r>
      <w:r w:rsidR="00EB1AA9">
        <w:t xml:space="preserve"> white students align with the average.  This is likely due to the high</w:t>
      </w:r>
      <w:r w:rsidR="00C8361A">
        <w:t xml:space="preserve"> proportion of students who are classified as white.</w:t>
      </w:r>
    </w:p>
    <w:p w14:paraId="17664FC2" w14:textId="47DB4BBB" w:rsidR="00C8361A" w:rsidRDefault="00C8361A" w:rsidP="00A3256B">
      <w:pPr>
        <w:pStyle w:val="ListParagraph"/>
        <w:numPr>
          <w:ilvl w:val="0"/>
          <w:numId w:val="26"/>
        </w:numPr>
      </w:pPr>
      <w:r>
        <w:t>Male respondents (3.40) rate their experience slightly higher than female respondents (3.34).</w:t>
      </w:r>
    </w:p>
    <w:p w14:paraId="3F711AE5" w14:textId="77777777" w:rsidR="005E2068" w:rsidRDefault="00F92E4D" w:rsidP="00A3256B">
      <w:pPr>
        <w:pStyle w:val="ListParagraph"/>
        <w:numPr>
          <w:ilvl w:val="0"/>
          <w:numId w:val="26"/>
        </w:numPr>
      </w:pPr>
      <w:r>
        <w:t>Students from the most deprived quintile (3.41) scored above the institutional average by 0.05</w:t>
      </w:r>
      <w:r w:rsidR="00A44D2A">
        <w:t>, whilst those from less-deprived areas matched it (3.36).</w:t>
      </w:r>
      <w:r w:rsidR="0063598A">
        <w:t xml:space="preserve">  </w:t>
      </w:r>
      <w:r w:rsidR="00695AC3">
        <w:t>Equally, those from the lowest participation are</w:t>
      </w:r>
      <w:r w:rsidR="005E2068">
        <w:t>a</w:t>
      </w:r>
      <w:r w:rsidR="00695AC3">
        <w:t xml:space="preserve">s (POLAR Q1) scored slightly higher (3.38) than those from higher participation areas (3.37).  </w:t>
      </w:r>
    </w:p>
    <w:p w14:paraId="53AFA0D0" w14:textId="18B5B830" w:rsidR="00C8361A" w:rsidRDefault="00C01FB0" w:rsidP="00A3256B">
      <w:pPr>
        <w:pStyle w:val="ListParagraph"/>
        <w:numPr>
          <w:ilvl w:val="0"/>
          <w:numId w:val="26"/>
        </w:numPr>
      </w:pPr>
      <w:r w:rsidRPr="00C01FB0">
        <w:t>The aggregated survey data indicate a stable and inclusive student experience across all APP groups, with only minor variation. Age appears to be the most differentiating factor, potentially warranting further exploration into how the learning environment, teaching style, or transition support could be enhanced for younger students. All other measures demonstrate broad equity of experience across the student population.</w:t>
      </w:r>
    </w:p>
    <w:p w14:paraId="450055BD" w14:textId="053BFA8F" w:rsidR="004E33DD" w:rsidRDefault="004E33DD" w:rsidP="004E33DD">
      <w:r>
        <w:rPr>
          <w:noProof/>
        </w:rPr>
        <w:lastRenderedPageBreak/>
        <w:drawing>
          <wp:inline distT="0" distB="0" distL="0" distR="0" wp14:anchorId="52B432A5" wp14:editId="2A9A870E">
            <wp:extent cx="5767070" cy="3249295"/>
            <wp:effectExtent l="0" t="0" r="5080" b="8255"/>
            <wp:docPr id="1199521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7070" cy="3249295"/>
                    </a:xfrm>
                    <a:prstGeom prst="rect">
                      <a:avLst/>
                    </a:prstGeom>
                    <a:noFill/>
                  </pic:spPr>
                </pic:pic>
              </a:graphicData>
            </a:graphic>
          </wp:inline>
        </w:drawing>
      </w:r>
    </w:p>
    <w:p w14:paraId="331EFF53" w14:textId="25035560" w:rsidR="00040A0D" w:rsidRDefault="00040A0D" w:rsidP="00040A0D">
      <w:pPr>
        <w:pStyle w:val="Heading3"/>
      </w:pPr>
      <w:r>
        <w:t>Access and Participation – by Key Themes (Figure 6a &amp; 6b)</w:t>
      </w:r>
    </w:p>
    <w:p w14:paraId="26C40F70" w14:textId="44FC9995" w:rsidR="00040A0D" w:rsidRDefault="00040A0D" w:rsidP="00C37A15">
      <w:pPr>
        <w:pStyle w:val="ListParagraph"/>
        <w:numPr>
          <w:ilvl w:val="0"/>
          <w:numId w:val="26"/>
        </w:numPr>
      </w:pPr>
      <w:r>
        <w:t>Campus environment and Teaching Staff emerge as the most positively rated themes across the APP demographics</w:t>
      </w:r>
      <w:r w:rsidR="004A553A">
        <w:t xml:space="preserve">.  These results suggest effective teaching quality and a supportive learning </w:t>
      </w:r>
      <w:r w:rsidR="00E558FD">
        <w:t>environment.</w:t>
      </w:r>
    </w:p>
    <w:p w14:paraId="008B57C4" w14:textId="6B273BB7" w:rsidR="00E558FD" w:rsidRDefault="00E558FD" w:rsidP="00C37A15">
      <w:pPr>
        <w:pStyle w:val="ListParagraph"/>
        <w:numPr>
          <w:ilvl w:val="0"/>
          <w:numId w:val="26"/>
        </w:numPr>
      </w:pPr>
      <w:r>
        <w:t>Course satisfaction and Student Voice consistently fall below the institutional average, which implies that there is scope for improvement in communication, curriculum coherence, and representation.</w:t>
      </w:r>
    </w:p>
    <w:p w14:paraId="13CAD676" w14:textId="3019BE40" w:rsidR="00E558FD" w:rsidRDefault="00C56979" w:rsidP="00C37A15">
      <w:pPr>
        <w:pStyle w:val="ListParagraph"/>
        <w:numPr>
          <w:ilvl w:val="0"/>
          <w:numId w:val="26"/>
        </w:numPr>
      </w:pPr>
      <w:r>
        <w:t>BAME students show higher than average satisfaction across several themes (Disability, Campus, Resources, Teaching Staff), suggesting positive inclusion outcomes.</w:t>
      </w:r>
    </w:p>
    <w:p w14:paraId="06A3AE07" w14:textId="478BDB69" w:rsidR="00B8247B" w:rsidRDefault="00B8247B" w:rsidP="00C37A15">
      <w:pPr>
        <w:pStyle w:val="ListParagraph"/>
        <w:numPr>
          <w:ilvl w:val="0"/>
          <w:numId w:val="26"/>
        </w:numPr>
      </w:pPr>
      <w:r>
        <w:t>IMD Q1 students generally score</w:t>
      </w:r>
      <w:r w:rsidR="00144070">
        <w:t xml:space="preserve"> equal to, or above average, which suggests stronger levels of satisfaction</w:t>
      </w:r>
      <w:r w:rsidR="00A5108D">
        <w:t xml:space="preserve"> for socio-economically disadvantaged students.</w:t>
      </w:r>
    </w:p>
    <w:p w14:paraId="074D10E9" w14:textId="32A36929" w:rsidR="00A5108D" w:rsidRDefault="00A5108D" w:rsidP="00C37A15">
      <w:pPr>
        <w:pStyle w:val="ListParagraph"/>
        <w:numPr>
          <w:ilvl w:val="0"/>
          <w:numId w:val="26"/>
        </w:numPr>
      </w:pPr>
      <w:r>
        <w:t xml:space="preserve">Mature students consistently score </w:t>
      </w:r>
      <w:r w:rsidR="00311FA2">
        <w:t>above average, reinforcing the earlier findings (Figure 5) that they are the most positive cohort overall.</w:t>
      </w:r>
    </w:p>
    <w:p w14:paraId="15B853A0" w14:textId="77777777" w:rsidR="00CB724D" w:rsidRDefault="00CB724D" w:rsidP="00CB724D">
      <w:pPr>
        <w:pStyle w:val="ListParagraph"/>
        <w:numPr>
          <w:ilvl w:val="0"/>
          <w:numId w:val="26"/>
        </w:numPr>
      </w:pPr>
      <w:r>
        <w:t>Across all domains, the data portray a consistently equitable and positive student experience with limited variation between demographic characteristics. Institutional support appears particularly effective for mature, BAME, and IMD Q1 students, while Student Voice and Course satisfaction warrant targeted enhancement.</w:t>
      </w:r>
    </w:p>
    <w:p w14:paraId="7E0EF210" w14:textId="6C4E5FA6" w:rsidR="00311FA2" w:rsidRDefault="00CB724D" w:rsidP="00CB724D">
      <w:pPr>
        <w:pStyle w:val="ListParagraph"/>
        <w:numPr>
          <w:ilvl w:val="0"/>
          <w:numId w:val="26"/>
        </w:numPr>
      </w:pPr>
      <w:r>
        <w:t>Overall, the dataset suggests BGU’s inclusive practices are working well, maintaining parity in perceptions of quality and support among traditionally under-represented groups.</w:t>
      </w:r>
    </w:p>
    <w:p w14:paraId="51DC7E16" w14:textId="1A36705B" w:rsidR="00344D4B" w:rsidRDefault="00D001DE">
      <w:pPr>
        <w:spacing w:after="0" w:line="259" w:lineRule="auto"/>
        <w:ind w:left="0" w:right="0" w:firstLine="0"/>
      </w:pPr>
      <w:r>
        <w:br w:type="page"/>
      </w:r>
      <w:r w:rsidR="00276E17">
        <w:rPr>
          <w:noProof/>
        </w:rPr>
        <w:lastRenderedPageBreak/>
        <w:drawing>
          <wp:inline distT="0" distB="0" distL="0" distR="0" wp14:anchorId="73F2EC47" wp14:editId="3742D6C7">
            <wp:extent cx="5773420" cy="9010650"/>
            <wp:effectExtent l="0" t="0" r="0" b="0"/>
            <wp:docPr id="1180221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3420" cy="9010650"/>
                    </a:xfrm>
                    <a:prstGeom prst="rect">
                      <a:avLst/>
                    </a:prstGeom>
                    <a:noFill/>
                  </pic:spPr>
                </pic:pic>
              </a:graphicData>
            </a:graphic>
          </wp:inline>
        </w:drawing>
      </w:r>
    </w:p>
    <w:p w14:paraId="66ACC501" w14:textId="57E06595" w:rsidR="00276E17" w:rsidRDefault="00276E17">
      <w:pPr>
        <w:spacing w:after="0" w:line="259" w:lineRule="auto"/>
        <w:ind w:left="0" w:right="0" w:firstLine="0"/>
      </w:pPr>
      <w:r>
        <w:rPr>
          <w:noProof/>
        </w:rPr>
        <w:lastRenderedPageBreak/>
        <w:drawing>
          <wp:inline distT="0" distB="0" distL="0" distR="0" wp14:anchorId="03BFBFBD" wp14:editId="588094FC">
            <wp:extent cx="5773420" cy="9010650"/>
            <wp:effectExtent l="0" t="0" r="0" b="0"/>
            <wp:docPr id="1913220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3420" cy="9010650"/>
                    </a:xfrm>
                    <a:prstGeom prst="rect">
                      <a:avLst/>
                    </a:prstGeom>
                    <a:noFill/>
                  </pic:spPr>
                </pic:pic>
              </a:graphicData>
            </a:graphic>
          </wp:inline>
        </w:drawing>
      </w:r>
    </w:p>
    <w:p w14:paraId="12DDFA72" w14:textId="77777777" w:rsidR="00344D4B" w:rsidRDefault="00D001DE">
      <w:pPr>
        <w:pStyle w:val="Heading1"/>
        <w:ind w:left="-5"/>
      </w:pPr>
      <w:r>
        <w:lastRenderedPageBreak/>
        <w:t xml:space="preserve">Graduate Outcome Survey </w:t>
      </w:r>
    </w:p>
    <w:p w14:paraId="382A5489" w14:textId="175D4F28" w:rsidR="007A225E" w:rsidRPr="007A225E" w:rsidRDefault="007A225E" w:rsidP="00A3256B">
      <w:pPr>
        <w:pStyle w:val="ListParagraph"/>
        <w:numPr>
          <w:ilvl w:val="0"/>
          <w:numId w:val="26"/>
        </w:numPr>
      </w:pPr>
      <w:r w:rsidRPr="007A225E">
        <w:t xml:space="preserve">The </w:t>
      </w:r>
      <w:r>
        <w:t>2025</w:t>
      </w:r>
      <w:r w:rsidRPr="007A225E">
        <w:t xml:space="preserve"> graduate outcomes survey tracks </w:t>
      </w:r>
      <w:r w:rsidR="00A2566E">
        <w:t>UK-domiciled</w:t>
      </w:r>
      <w:r w:rsidRPr="007A225E">
        <w:t xml:space="preserve"> students 15 months after they completed their awards. Outcomes recognise graduates as being in High-Skilled employment, further study, employed, unemployed</w:t>
      </w:r>
      <w:r w:rsidR="00A2566E">
        <w:t>,</w:t>
      </w:r>
      <w:r w:rsidRPr="007A225E">
        <w:t xml:space="preserve"> or other (travel, caring for someone or retired).</w:t>
      </w:r>
    </w:p>
    <w:p w14:paraId="68DDA2D4" w14:textId="4AF9E2C3" w:rsidR="00344D4B" w:rsidRDefault="00344D4B" w:rsidP="00A2566E">
      <w:pPr>
        <w:pStyle w:val="ListParagraph"/>
        <w:spacing w:after="114"/>
        <w:ind w:left="410" w:right="605" w:firstLine="0"/>
      </w:pPr>
    </w:p>
    <w:p w14:paraId="19BCA0CB" w14:textId="77777777" w:rsidR="00344D4B" w:rsidRDefault="00D001DE">
      <w:pPr>
        <w:pStyle w:val="Heading2"/>
        <w:ind w:left="-5"/>
      </w:pPr>
      <w:r>
        <w:t xml:space="preserve">Institution overall  </w:t>
      </w:r>
    </w:p>
    <w:p w14:paraId="146B5FD0" w14:textId="26655A8D" w:rsidR="007660FD" w:rsidRPr="007660FD" w:rsidRDefault="007660FD" w:rsidP="00A3256B">
      <w:pPr>
        <w:pStyle w:val="ListParagraph"/>
        <w:numPr>
          <w:ilvl w:val="0"/>
          <w:numId w:val="26"/>
        </w:numPr>
      </w:pPr>
      <w:r w:rsidRPr="007660FD">
        <w:t>For the 2022/23 graduating cohort, a total of 92% of respondents stated that they are either in employment or further study. This is the same as it was last year, and higher than the sector average (87%).</w:t>
      </w:r>
    </w:p>
    <w:p w14:paraId="719C1F6E" w14:textId="21D45ED8" w:rsidR="00653630" w:rsidRDefault="004D3E32" w:rsidP="00A3256B">
      <w:pPr>
        <w:pStyle w:val="ListParagraph"/>
        <w:numPr>
          <w:ilvl w:val="0"/>
          <w:numId w:val="26"/>
        </w:numPr>
      </w:pPr>
      <w:r w:rsidRPr="004D3E32">
        <w:t>Of these graduates entering employment, more than three-quarters of them are entering high- skilled employment (78.9%), which has moved above the sector average (76.8%) for the 2022/23 cohort.</w:t>
      </w:r>
    </w:p>
    <w:p w14:paraId="74B4E419" w14:textId="420332E5" w:rsidR="00653630" w:rsidRDefault="00803AC7" w:rsidP="00653630">
      <w:pPr>
        <w:ind w:right="605"/>
      </w:pPr>
      <w:r>
        <w:rPr>
          <w:noProof/>
        </w:rPr>
        <w:drawing>
          <wp:inline distT="0" distB="0" distL="0" distR="0" wp14:anchorId="0D39DEE7" wp14:editId="01FF6282">
            <wp:extent cx="5578475" cy="2725420"/>
            <wp:effectExtent l="0" t="0" r="3175" b="0"/>
            <wp:docPr id="6276611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8475" cy="2725420"/>
                    </a:xfrm>
                    <a:prstGeom prst="rect">
                      <a:avLst/>
                    </a:prstGeom>
                    <a:noFill/>
                  </pic:spPr>
                </pic:pic>
              </a:graphicData>
            </a:graphic>
          </wp:inline>
        </w:drawing>
      </w:r>
    </w:p>
    <w:p w14:paraId="59C25997" w14:textId="0FC454F5" w:rsidR="006315F2" w:rsidRDefault="00FA1D8D" w:rsidP="00653630">
      <w:pPr>
        <w:ind w:right="605"/>
      </w:pPr>
      <w:r>
        <w:rPr>
          <w:noProof/>
        </w:rPr>
        <w:drawing>
          <wp:inline distT="0" distB="0" distL="0" distR="0" wp14:anchorId="6D5C68D2" wp14:editId="4F21E217">
            <wp:extent cx="5596890" cy="2725420"/>
            <wp:effectExtent l="0" t="0" r="3810" b="0"/>
            <wp:docPr id="1628287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6890" cy="2725420"/>
                    </a:xfrm>
                    <a:prstGeom prst="rect">
                      <a:avLst/>
                    </a:prstGeom>
                    <a:noFill/>
                  </pic:spPr>
                </pic:pic>
              </a:graphicData>
            </a:graphic>
          </wp:inline>
        </w:drawing>
      </w:r>
    </w:p>
    <w:p w14:paraId="0606716E" w14:textId="5EE362C7" w:rsidR="00653630" w:rsidRDefault="00282D0B" w:rsidP="00A3256B">
      <w:pPr>
        <w:numPr>
          <w:ilvl w:val="0"/>
          <w:numId w:val="26"/>
        </w:numPr>
        <w:ind w:right="605" w:hanging="360"/>
      </w:pPr>
      <w:r>
        <w:lastRenderedPageBreak/>
        <w:t xml:space="preserve">The Graduate Outcomes Survey asks respondents to reflect on their work and study activity at the time of the census based on the utilisation of learnt skills, </w:t>
      </w:r>
      <w:r w:rsidR="00CA4F22">
        <w:t xml:space="preserve">how their current activities </w:t>
      </w:r>
      <w:proofErr w:type="gramStart"/>
      <w:r w:rsidR="00CA4F22">
        <w:t>fits</w:t>
      </w:r>
      <w:proofErr w:type="gramEnd"/>
      <w:r w:rsidR="00CA4F22">
        <w:t xml:space="preserve"> in with their </w:t>
      </w:r>
      <w:proofErr w:type="gramStart"/>
      <w:r w:rsidR="00CA4F22">
        <w:t>future plans</w:t>
      </w:r>
      <w:proofErr w:type="gramEnd"/>
      <w:r w:rsidR="00CA4F22">
        <w:t>, and whether they consider their current activities to be meaningful.</w:t>
      </w:r>
    </w:p>
    <w:p w14:paraId="48CAB490" w14:textId="477A810A" w:rsidR="00CA4F22" w:rsidRDefault="00CA4F22" w:rsidP="00A3256B">
      <w:pPr>
        <w:numPr>
          <w:ilvl w:val="0"/>
          <w:numId w:val="26"/>
        </w:numPr>
        <w:ind w:right="605" w:hanging="360"/>
      </w:pPr>
      <w:r>
        <w:t>For the 202</w:t>
      </w:r>
      <w:r w:rsidR="00F94C8E">
        <w:t>2</w:t>
      </w:r>
      <w:r>
        <w:t>/2</w:t>
      </w:r>
      <w:r w:rsidR="00F94C8E">
        <w:t>3</w:t>
      </w:r>
      <w:r>
        <w:t xml:space="preserve"> graduating cohort </w:t>
      </w:r>
      <w:r w:rsidR="00E62B16">
        <w:t>77</w:t>
      </w:r>
      <w:r>
        <w:t>% of respondents stated that they are currently utilising the skills they learnt during their course in their current activity</w:t>
      </w:r>
      <w:r w:rsidR="00D23FA5">
        <w:t>,</w:t>
      </w:r>
      <w:r>
        <w:t xml:space="preserve"> and </w:t>
      </w:r>
      <w:r w:rsidR="00D23FA5">
        <w:t xml:space="preserve">this is </w:t>
      </w:r>
      <w:r>
        <w:t>higher than the sector average (6</w:t>
      </w:r>
      <w:r w:rsidR="00D23FA5">
        <w:t>7</w:t>
      </w:r>
      <w:r>
        <w:t>%).</w:t>
      </w:r>
    </w:p>
    <w:p w14:paraId="033458D6" w14:textId="79FC05B4" w:rsidR="005426EF" w:rsidRDefault="00FA1D8D" w:rsidP="005426EF">
      <w:pPr>
        <w:ind w:left="50" w:right="605" w:firstLine="0"/>
      </w:pPr>
      <w:r>
        <w:rPr>
          <w:noProof/>
        </w:rPr>
        <w:drawing>
          <wp:inline distT="0" distB="0" distL="0" distR="0" wp14:anchorId="084FBF73" wp14:editId="27458861">
            <wp:extent cx="5426075" cy="4097020"/>
            <wp:effectExtent l="0" t="0" r="3175" b="0"/>
            <wp:docPr id="9923814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6075" cy="4097020"/>
                    </a:xfrm>
                    <a:prstGeom prst="rect">
                      <a:avLst/>
                    </a:prstGeom>
                    <a:noFill/>
                  </pic:spPr>
                </pic:pic>
              </a:graphicData>
            </a:graphic>
          </wp:inline>
        </w:drawing>
      </w:r>
    </w:p>
    <w:p w14:paraId="140B136D" w14:textId="5BBA7F6E" w:rsidR="00653630" w:rsidRDefault="00CA4F22" w:rsidP="00A3256B">
      <w:pPr>
        <w:numPr>
          <w:ilvl w:val="0"/>
          <w:numId w:val="26"/>
        </w:numPr>
        <w:ind w:right="605" w:hanging="360"/>
      </w:pPr>
      <w:r>
        <w:t xml:space="preserve">Whether their current activity fits in with their </w:t>
      </w:r>
      <w:proofErr w:type="gramStart"/>
      <w:r>
        <w:t>future plans</w:t>
      </w:r>
      <w:proofErr w:type="gramEnd"/>
      <w:r>
        <w:t xml:space="preserve"> is indicative of whether the current activity fits in with the overall </w:t>
      </w:r>
      <w:proofErr w:type="gramStart"/>
      <w:r>
        <w:t>future plans</w:t>
      </w:r>
      <w:proofErr w:type="gramEnd"/>
      <w:r>
        <w:t xml:space="preserve"> of the individual, and this remains higher at 84% than the sector average (7</w:t>
      </w:r>
      <w:r w:rsidR="00017A1D">
        <w:t>6</w:t>
      </w:r>
      <w:r>
        <w:t>%).</w:t>
      </w:r>
    </w:p>
    <w:p w14:paraId="59BC454F" w14:textId="7B8FA274" w:rsidR="00653630" w:rsidRDefault="00CA4F22" w:rsidP="00A3256B">
      <w:pPr>
        <w:numPr>
          <w:ilvl w:val="0"/>
          <w:numId w:val="26"/>
        </w:numPr>
        <w:ind w:right="605" w:hanging="360"/>
      </w:pPr>
      <w:r>
        <w:t>The self-assessed meaningfulness of the current activity reflects the results of the previous two questions, again being above the sector average</w:t>
      </w:r>
      <w:r w:rsidR="004964D5">
        <w:t>,</w:t>
      </w:r>
      <w:r>
        <w:t xml:space="preserve"> with 9</w:t>
      </w:r>
      <w:r w:rsidR="00B1763A">
        <w:t>0</w:t>
      </w:r>
      <w:r>
        <w:t>% of the 202</w:t>
      </w:r>
      <w:r w:rsidR="00B1763A">
        <w:t>2</w:t>
      </w:r>
      <w:r>
        <w:t>/2</w:t>
      </w:r>
      <w:r w:rsidR="00B1763A">
        <w:t>3</w:t>
      </w:r>
      <w:r>
        <w:t xml:space="preserve"> cohort respondents stating their current activity is meaningful (sector: 8</w:t>
      </w:r>
      <w:r w:rsidR="00B1763A">
        <w:t>5</w:t>
      </w:r>
      <w:r>
        <w:t>%).</w:t>
      </w:r>
    </w:p>
    <w:p w14:paraId="56D3C004" w14:textId="5473CE43" w:rsidR="00DE43C2" w:rsidRDefault="001364E6" w:rsidP="00A3256B">
      <w:pPr>
        <w:pStyle w:val="ListParagraph"/>
        <w:numPr>
          <w:ilvl w:val="0"/>
          <w:numId w:val="26"/>
        </w:numPr>
        <w:ind w:right="605"/>
      </w:pPr>
      <w:r>
        <w:t>BGU continues to focus on programmes that lead into the education sector, with 60.9% of employed respondents stating that they are employed in sectors related to education compared to the sector average of 16.9%.  The other sectors with higher than sector levels are “Administrative and support service activities” (+1.3%) and “Real estate activities” (+0.1%).</w:t>
      </w:r>
    </w:p>
    <w:p w14:paraId="715F40EF" w14:textId="77777777" w:rsidR="002F2057" w:rsidRDefault="002F2057" w:rsidP="00ED3416">
      <w:pPr>
        <w:ind w:right="605"/>
        <w:rPr>
          <w:b/>
          <w:bCs/>
          <w:i/>
          <w:iCs/>
        </w:rPr>
      </w:pPr>
      <w:r>
        <w:rPr>
          <w:b/>
          <w:bCs/>
          <w:i/>
          <w:iCs/>
        </w:rPr>
        <w:t>Graduates with a Known Disability</w:t>
      </w:r>
    </w:p>
    <w:p w14:paraId="0C7CDA6E" w14:textId="77777777" w:rsidR="002F2057" w:rsidRDefault="00853C2D" w:rsidP="00F0508B">
      <w:pPr>
        <w:pStyle w:val="ListParagraph"/>
        <w:numPr>
          <w:ilvl w:val="0"/>
          <w:numId w:val="26"/>
        </w:numPr>
        <w:ind w:right="605"/>
      </w:pPr>
      <w:r w:rsidRPr="00853C2D">
        <w:t>Figures 10 to 12 show the Graduate Outcomes data for BGU graduates who declared a disability at the point of study. The data track outcomes over the past four years (2019/20–2022/23) and highlight the balance between those entering employment or further study and those not engaged in either activity.</w:t>
      </w:r>
    </w:p>
    <w:p w14:paraId="5A5B7C64" w14:textId="77777777" w:rsidR="00853C2D" w:rsidRDefault="00853C2D" w:rsidP="00F0508B">
      <w:pPr>
        <w:pStyle w:val="ListParagraph"/>
        <w:numPr>
          <w:ilvl w:val="0"/>
          <w:numId w:val="26"/>
        </w:numPr>
        <w:ind w:right="605"/>
      </w:pPr>
      <w:r w:rsidRPr="00853C2D">
        <w:lastRenderedPageBreak/>
        <w:t>As shown in Figure 10, the proportion of disabled graduates in further study or employment has remained broadly stable, averaging 53.4% across the period. The highest outcome was recorded in 2021/22 (60%), followed by a return to 50% in 2022/23, mirroring post-pandemic labour market fluctuations. Although this represents a marginal decrease over time, the overall position remains comparable with national trends for disabled graduates.</w:t>
      </w:r>
    </w:p>
    <w:p w14:paraId="768EEF1C" w14:textId="6381C9AF" w:rsidR="00622143" w:rsidRDefault="00622143" w:rsidP="00622143">
      <w:pPr>
        <w:pStyle w:val="ListParagraph"/>
        <w:ind w:left="42" w:right="605" w:firstLine="0"/>
      </w:pPr>
      <w:r>
        <w:rPr>
          <w:noProof/>
        </w:rPr>
        <w:drawing>
          <wp:inline distT="0" distB="0" distL="0" distR="0" wp14:anchorId="7EBC542A" wp14:editId="3E732C93">
            <wp:extent cx="5773420" cy="3255645"/>
            <wp:effectExtent l="0" t="0" r="0" b="1905"/>
            <wp:docPr id="1604993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3420" cy="3255645"/>
                    </a:xfrm>
                    <a:prstGeom prst="rect">
                      <a:avLst/>
                    </a:prstGeom>
                    <a:noFill/>
                  </pic:spPr>
                </pic:pic>
              </a:graphicData>
            </a:graphic>
          </wp:inline>
        </w:drawing>
      </w:r>
    </w:p>
    <w:p w14:paraId="503F6DDD" w14:textId="77777777" w:rsidR="00853C2D" w:rsidRDefault="00853C2D" w:rsidP="00F0508B">
      <w:pPr>
        <w:pStyle w:val="ListParagraph"/>
        <w:numPr>
          <w:ilvl w:val="0"/>
          <w:numId w:val="26"/>
        </w:numPr>
        <w:ind w:right="605"/>
      </w:pPr>
      <w:r w:rsidRPr="00853C2D">
        <w:t>Figure 11 illustrates the breakdown of primary activities for those in further study or employment. The largest destination continues to be full-time employment, although this has declined from 35.3% in 2019/20 to 28.9% in 2022/23. Smaller but stable proportions are engaged in part-time employment (around 6–8%), full-time further study (approximately 5–6%), and employment combined with further study (around 5%). This pattern suggests that disabled graduates are successfully transitioning into work or study, with some evidence of a shift towards flexible or blended arrangements that may better suit accessibility and wellbeing needs.</w:t>
      </w:r>
    </w:p>
    <w:p w14:paraId="5693E0D4" w14:textId="480BC4AC" w:rsidR="00622143" w:rsidRDefault="00084128" w:rsidP="00622143">
      <w:pPr>
        <w:ind w:right="605"/>
      </w:pPr>
      <w:r>
        <w:rPr>
          <w:noProof/>
        </w:rPr>
        <w:lastRenderedPageBreak/>
        <w:drawing>
          <wp:inline distT="0" distB="0" distL="0" distR="0" wp14:anchorId="44892026" wp14:editId="45E39D06">
            <wp:extent cx="5779770" cy="9017000"/>
            <wp:effectExtent l="0" t="0" r="0" b="0"/>
            <wp:docPr id="376110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79770" cy="9017000"/>
                    </a:xfrm>
                    <a:prstGeom prst="rect">
                      <a:avLst/>
                    </a:prstGeom>
                    <a:noFill/>
                  </pic:spPr>
                </pic:pic>
              </a:graphicData>
            </a:graphic>
          </wp:inline>
        </w:drawing>
      </w:r>
    </w:p>
    <w:p w14:paraId="1A1655FF" w14:textId="77777777" w:rsidR="00853C2D" w:rsidRDefault="00AB2D93" w:rsidP="00F0508B">
      <w:pPr>
        <w:pStyle w:val="ListParagraph"/>
        <w:numPr>
          <w:ilvl w:val="0"/>
          <w:numId w:val="26"/>
        </w:numPr>
        <w:ind w:right="605"/>
      </w:pPr>
      <w:r w:rsidRPr="00AB2D93">
        <w:lastRenderedPageBreak/>
        <w:t>For those not in further study or employment, Figure 12 shows that non-response rates have steadily increased from 32.4% in 2019/20 to 42.1% in 2022/23, limiting the reliability of longitudinal comparison. Within the reported group, unemployment has declined from 5.9% to 2.6%, while other activities such as travel, caring, or retirement have reduced from 8.8% to 5.3%. This suggests that most graduates not captured in employment or study outcomes are untracked rather than unemployed.</w:t>
      </w:r>
    </w:p>
    <w:p w14:paraId="1C9D122F" w14:textId="0F04C9B9" w:rsidR="00084128" w:rsidRDefault="00084128" w:rsidP="00084128">
      <w:pPr>
        <w:ind w:right="605"/>
      </w:pPr>
      <w:r>
        <w:rPr>
          <w:noProof/>
        </w:rPr>
        <w:drawing>
          <wp:inline distT="0" distB="0" distL="0" distR="0" wp14:anchorId="223DE3D2" wp14:editId="74161A88">
            <wp:extent cx="5773420" cy="4340860"/>
            <wp:effectExtent l="0" t="0" r="0" b="2540"/>
            <wp:docPr id="19939267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3420" cy="4340860"/>
                    </a:xfrm>
                    <a:prstGeom prst="rect">
                      <a:avLst/>
                    </a:prstGeom>
                    <a:noFill/>
                  </pic:spPr>
                </pic:pic>
              </a:graphicData>
            </a:graphic>
          </wp:inline>
        </w:drawing>
      </w:r>
    </w:p>
    <w:p w14:paraId="04010FCB" w14:textId="6AFD63F6" w:rsidR="00AB2D93" w:rsidRPr="002F2057" w:rsidRDefault="00AB2D93" w:rsidP="00F0508B">
      <w:pPr>
        <w:pStyle w:val="ListParagraph"/>
        <w:numPr>
          <w:ilvl w:val="0"/>
          <w:numId w:val="26"/>
        </w:numPr>
        <w:ind w:right="605"/>
        <w:sectPr w:rsidR="00AB2D93" w:rsidRPr="002F2057" w:rsidSect="00CA4F22">
          <w:headerReference w:type="even" r:id="rId25"/>
          <w:headerReference w:type="default" r:id="rId26"/>
          <w:footerReference w:type="even" r:id="rId27"/>
          <w:footerReference w:type="default" r:id="rId28"/>
          <w:headerReference w:type="first" r:id="rId29"/>
          <w:footerReference w:type="first" r:id="rId30"/>
          <w:pgSz w:w="11906" w:h="16838"/>
          <w:pgMar w:top="1440" w:right="829" w:bottom="1544" w:left="1440" w:header="720" w:footer="707" w:gutter="0"/>
          <w:cols w:space="720"/>
        </w:sectPr>
      </w:pPr>
      <w:r w:rsidRPr="00AB2D93">
        <w:t>Overall, the outcomes for graduates with a known disability demonstrate broad parity with the wider graduate population. Around half of respondents are in work or further study within 15 months, and the proportion entering high-skilled or meaningful employment aligns closely with institutional averages. Nevertheless, the decline in full-time employment and rising non-response rate highlight the need to continue strengthening employability support and follow-up engagement for disabled graduates, particularly in ensuring that flexible, accessible career pathways remain visible and well supported.</w:t>
      </w:r>
    </w:p>
    <w:tbl>
      <w:tblPr>
        <w:tblW w:w="14880" w:type="dxa"/>
        <w:tblLook w:val="04A0" w:firstRow="1" w:lastRow="0" w:firstColumn="1" w:lastColumn="0" w:noHBand="0" w:noVBand="1"/>
      </w:tblPr>
      <w:tblGrid>
        <w:gridCol w:w="1240"/>
        <w:gridCol w:w="1364"/>
        <w:gridCol w:w="1240"/>
        <w:gridCol w:w="1320"/>
        <w:gridCol w:w="1240"/>
        <w:gridCol w:w="1240"/>
        <w:gridCol w:w="1240"/>
        <w:gridCol w:w="1240"/>
        <w:gridCol w:w="1240"/>
        <w:gridCol w:w="1240"/>
        <w:gridCol w:w="1240"/>
        <w:gridCol w:w="1240"/>
      </w:tblGrid>
      <w:tr w:rsidR="001364E6" w:rsidRPr="001C326C" w14:paraId="4643AE77" w14:textId="77777777" w:rsidTr="001364E6">
        <w:trPr>
          <w:trHeight w:val="300"/>
        </w:trPr>
        <w:tc>
          <w:tcPr>
            <w:tcW w:w="14880" w:type="dxa"/>
            <w:gridSpan w:val="12"/>
            <w:tcBorders>
              <w:top w:val="single" w:sz="4" w:space="0" w:color="auto"/>
              <w:left w:val="single" w:sz="4" w:space="0" w:color="auto"/>
              <w:bottom w:val="single" w:sz="4" w:space="0" w:color="auto"/>
              <w:right w:val="single" w:sz="4" w:space="0" w:color="auto"/>
            </w:tcBorders>
            <w:noWrap/>
            <w:vAlign w:val="bottom"/>
            <w:hideMark/>
          </w:tcPr>
          <w:p w14:paraId="06B76FAB"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lastRenderedPageBreak/>
              <w:t>Table 1a: Standard Industrial Classification (SIC) - BGU vs. Sector Average</w:t>
            </w:r>
          </w:p>
        </w:tc>
      </w:tr>
      <w:tr w:rsidR="001364E6" w:rsidRPr="001C326C" w14:paraId="123841FE" w14:textId="77777777" w:rsidTr="001364E6">
        <w:trPr>
          <w:trHeight w:val="2490"/>
        </w:trPr>
        <w:tc>
          <w:tcPr>
            <w:tcW w:w="1240" w:type="dxa"/>
            <w:tcBorders>
              <w:top w:val="nil"/>
              <w:left w:val="single" w:sz="4" w:space="0" w:color="auto"/>
              <w:bottom w:val="single" w:sz="4" w:space="0" w:color="auto"/>
              <w:right w:val="single" w:sz="4" w:space="0" w:color="auto"/>
            </w:tcBorders>
            <w:noWrap/>
            <w:vAlign w:val="bottom"/>
            <w:hideMark/>
          </w:tcPr>
          <w:p w14:paraId="2D88DFAD" w14:textId="77777777" w:rsidR="001364E6" w:rsidRPr="001C326C" w:rsidRDefault="001364E6" w:rsidP="001364E6">
            <w:pPr>
              <w:spacing w:after="0" w:line="240" w:lineRule="auto"/>
              <w:ind w:left="0" w:right="0" w:firstLine="0"/>
              <w:rPr>
                <w:rFonts w:ascii="Aptos Narrow" w:eastAsia="Times New Roman" w:hAnsi="Aptos Narrow" w:cs="Times New Roman"/>
                <w:kern w:val="0"/>
                <w:szCs w:val="22"/>
                <w14:ligatures w14:val="none"/>
              </w:rPr>
            </w:pPr>
            <w:r w:rsidRPr="001C326C">
              <w:rPr>
                <w:rFonts w:ascii="Aptos Narrow" w:eastAsia="Times New Roman" w:hAnsi="Aptos Narrow" w:cs="Times New Roman"/>
                <w:kern w:val="0"/>
                <w:szCs w:val="22"/>
                <w14:ligatures w14:val="none"/>
              </w:rPr>
              <w:t> </w:t>
            </w:r>
          </w:p>
        </w:tc>
        <w:tc>
          <w:tcPr>
            <w:tcW w:w="1240" w:type="dxa"/>
            <w:tcBorders>
              <w:top w:val="nil"/>
              <w:left w:val="nil"/>
              <w:bottom w:val="single" w:sz="4" w:space="0" w:color="auto"/>
              <w:right w:val="single" w:sz="4" w:space="0" w:color="auto"/>
            </w:tcBorders>
            <w:vAlign w:val="bottom"/>
            <w:hideMark/>
          </w:tcPr>
          <w:p w14:paraId="76F9BE85"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Accommodation and food service activities</w:t>
            </w:r>
          </w:p>
        </w:tc>
        <w:tc>
          <w:tcPr>
            <w:tcW w:w="1240" w:type="dxa"/>
            <w:tcBorders>
              <w:top w:val="nil"/>
              <w:left w:val="nil"/>
              <w:bottom w:val="single" w:sz="4" w:space="0" w:color="auto"/>
              <w:right w:val="single" w:sz="4" w:space="0" w:color="auto"/>
            </w:tcBorders>
            <w:vAlign w:val="bottom"/>
            <w:hideMark/>
          </w:tcPr>
          <w:p w14:paraId="660EE9E0"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Activities of extraterritorial organisations and bodies</w:t>
            </w:r>
          </w:p>
        </w:tc>
        <w:tc>
          <w:tcPr>
            <w:tcW w:w="1240" w:type="dxa"/>
            <w:tcBorders>
              <w:top w:val="nil"/>
              <w:left w:val="nil"/>
              <w:bottom w:val="single" w:sz="4" w:space="0" w:color="auto"/>
              <w:right w:val="single" w:sz="4" w:space="0" w:color="auto"/>
            </w:tcBorders>
            <w:vAlign w:val="bottom"/>
            <w:hideMark/>
          </w:tcPr>
          <w:p w14:paraId="652F366D"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Activities of households as employers; undifferentiated goods-and services-producing activities of households for own use</w:t>
            </w:r>
          </w:p>
        </w:tc>
        <w:tc>
          <w:tcPr>
            <w:tcW w:w="1240" w:type="dxa"/>
            <w:tcBorders>
              <w:top w:val="nil"/>
              <w:left w:val="nil"/>
              <w:bottom w:val="single" w:sz="4" w:space="0" w:color="auto"/>
              <w:right w:val="single" w:sz="4" w:space="0" w:color="auto"/>
            </w:tcBorders>
            <w:vAlign w:val="bottom"/>
            <w:hideMark/>
          </w:tcPr>
          <w:p w14:paraId="5F47DDB2"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Administrative and support service activities</w:t>
            </w:r>
          </w:p>
        </w:tc>
        <w:tc>
          <w:tcPr>
            <w:tcW w:w="1240" w:type="dxa"/>
            <w:tcBorders>
              <w:top w:val="nil"/>
              <w:left w:val="nil"/>
              <w:bottom w:val="single" w:sz="4" w:space="0" w:color="auto"/>
              <w:right w:val="single" w:sz="4" w:space="0" w:color="auto"/>
            </w:tcBorders>
            <w:vAlign w:val="bottom"/>
            <w:hideMark/>
          </w:tcPr>
          <w:p w14:paraId="6310D74B"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Agriculture, forestry and fishing</w:t>
            </w:r>
          </w:p>
        </w:tc>
        <w:tc>
          <w:tcPr>
            <w:tcW w:w="1240" w:type="dxa"/>
            <w:tcBorders>
              <w:top w:val="nil"/>
              <w:left w:val="nil"/>
              <w:bottom w:val="single" w:sz="4" w:space="0" w:color="auto"/>
              <w:right w:val="single" w:sz="4" w:space="0" w:color="auto"/>
            </w:tcBorders>
            <w:vAlign w:val="bottom"/>
            <w:hideMark/>
          </w:tcPr>
          <w:p w14:paraId="18204C17"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Arts, entertainment and recreation</w:t>
            </w:r>
          </w:p>
        </w:tc>
        <w:tc>
          <w:tcPr>
            <w:tcW w:w="1240" w:type="dxa"/>
            <w:tcBorders>
              <w:top w:val="nil"/>
              <w:left w:val="nil"/>
              <w:bottom w:val="single" w:sz="4" w:space="0" w:color="auto"/>
              <w:right w:val="single" w:sz="4" w:space="0" w:color="auto"/>
            </w:tcBorders>
            <w:vAlign w:val="bottom"/>
            <w:hideMark/>
          </w:tcPr>
          <w:p w14:paraId="2A13BACA"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Construction</w:t>
            </w:r>
          </w:p>
        </w:tc>
        <w:tc>
          <w:tcPr>
            <w:tcW w:w="1240" w:type="dxa"/>
            <w:tcBorders>
              <w:top w:val="nil"/>
              <w:left w:val="nil"/>
              <w:bottom w:val="single" w:sz="4" w:space="0" w:color="auto"/>
              <w:right w:val="single" w:sz="4" w:space="0" w:color="auto"/>
            </w:tcBorders>
            <w:vAlign w:val="bottom"/>
            <w:hideMark/>
          </w:tcPr>
          <w:p w14:paraId="51F1A635"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Education</w:t>
            </w:r>
          </w:p>
        </w:tc>
        <w:tc>
          <w:tcPr>
            <w:tcW w:w="1240" w:type="dxa"/>
            <w:tcBorders>
              <w:top w:val="nil"/>
              <w:left w:val="nil"/>
              <w:bottom w:val="single" w:sz="4" w:space="0" w:color="auto"/>
              <w:right w:val="single" w:sz="4" w:space="0" w:color="auto"/>
            </w:tcBorders>
            <w:vAlign w:val="bottom"/>
            <w:hideMark/>
          </w:tcPr>
          <w:p w14:paraId="3E821C64"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Electricity, gas, steam and air conditioning supply</w:t>
            </w:r>
          </w:p>
        </w:tc>
        <w:tc>
          <w:tcPr>
            <w:tcW w:w="1240" w:type="dxa"/>
            <w:tcBorders>
              <w:top w:val="nil"/>
              <w:left w:val="nil"/>
              <w:bottom w:val="single" w:sz="4" w:space="0" w:color="auto"/>
              <w:right w:val="single" w:sz="4" w:space="0" w:color="auto"/>
            </w:tcBorders>
            <w:vAlign w:val="bottom"/>
            <w:hideMark/>
          </w:tcPr>
          <w:p w14:paraId="2087F9B4"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Financial and insurance activities</w:t>
            </w:r>
          </w:p>
        </w:tc>
        <w:tc>
          <w:tcPr>
            <w:tcW w:w="1240" w:type="dxa"/>
            <w:tcBorders>
              <w:top w:val="nil"/>
              <w:left w:val="nil"/>
              <w:bottom w:val="single" w:sz="4" w:space="0" w:color="auto"/>
              <w:right w:val="single" w:sz="4" w:space="0" w:color="auto"/>
            </w:tcBorders>
            <w:vAlign w:val="bottom"/>
            <w:hideMark/>
          </w:tcPr>
          <w:p w14:paraId="1B832BE9"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Human health and social work activities</w:t>
            </w:r>
          </w:p>
        </w:tc>
      </w:tr>
      <w:tr w:rsidR="001364E6" w:rsidRPr="001C326C" w14:paraId="5BDECFC8" w14:textId="77777777" w:rsidTr="009E1121">
        <w:trPr>
          <w:trHeight w:val="300"/>
        </w:trPr>
        <w:tc>
          <w:tcPr>
            <w:tcW w:w="1240" w:type="dxa"/>
            <w:tcBorders>
              <w:top w:val="nil"/>
              <w:left w:val="single" w:sz="4" w:space="0" w:color="auto"/>
              <w:bottom w:val="single" w:sz="4" w:space="0" w:color="auto"/>
              <w:right w:val="single" w:sz="4" w:space="0" w:color="auto"/>
            </w:tcBorders>
            <w:vAlign w:val="bottom"/>
            <w:hideMark/>
          </w:tcPr>
          <w:p w14:paraId="13487788"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BGU</w:t>
            </w:r>
          </w:p>
        </w:tc>
        <w:tc>
          <w:tcPr>
            <w:tcW w:w="1240" w:type="dxa"/>
            <w:tcBorders>
              <w:top w:val="nil"/>
              <w:left w:val="nil"/>
              <w:bottom w:val="single" w:sz="4" w:space="0" w:color="auto"/>
              <w:right w:val="single" w:sz="4" w:space="0" w:color="auto"/>
            </w:tcBorders>
            <w:noWrap/>
            <w:vAlign w:val="center"/>
          </w:tcPr>
          <w:p w14:paraId="5E1E501B" w14:textId="4F0CF53D" w:rsidR="001364E6" w:rsidRPr="001C326C" w:rsidRDefault="008955FB"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2.8%</w:t>
            </w:r>
          </w:p>
        </w:tc>
        <w:tc>
          <w:tcPr>
            <w:tcW w:w="1240" w:type="dxa"/>
            <w:tcBorders>
              <w:top w:val="nil"/>
              <w:left w:val="nil"/>
              <w:bottom w:val="single" w:sz="4" w:space="0" w:color="auto"/>
              <w:right w:val="single" w:sz="4" w:space="0" w:color="auto"/>
            </w:tcBorders>
            <w:noWrap/>
            <w:vAlign w:val="center"/>
          </w:tcPr>
          <w:p w14:paraId="4BF40263" w14:textId="574E485C" w:rsidR="001364E6" w:rsidRPr="001C326C" w:rsidRDefault="00F676F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6B0C5CFD" w14:textId="2AE8EFDC" w:rsidR="001364E6" w:rsidRPr="001C326C" w:rsidRDefault="00DC4BC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54584B9F" w14:textId="089DF3E5" w:rsidR="001364E6" w:rsidRPr="001C326C" w:rsidRDefault="006B2683"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5.6%</w:t>
            </w:r>
          </w:p>
        </w:tc>
        <w:tc>
          <w:tcPr>
            <w:tcW w:w="1240" w:type="dxa"/>
            <w:tcBorders>
              <w:top w:val="nil"/>
              <w:left w:val="nil"/>
              <w:bottom w:val="single" w:sz="4" w:space="0" w:color="auto"/>
              <w:right w:val="single" w:sz="4" w:space="0" w:color="auto"/>
            </w:tcBorders>
            <w:noWrap/>
            <w:vAlign w:val="center"/>
          </w:tcPr>
          <w:p w14:paraId="5A59FA63" w14:textId="6326E68F" w:rsidR="001364E6" w:rsidRPr="001C326C" w:rsidRDefault="00296170"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48E789D2" w14:textId="3323D648" w:rsidR="001364E6" w:rsidRPr="001C326C" w:rsidRDefault="00296170"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2.8%</w:t>
            </w:r>
          </w:p>
        </w:tc>
        <w:tc>
          <w:tcPr>
            <w:tcW w:w="1240" w:type="dxa"/>
            <w:tcBorders>
              <w:top w:val="nil"/>
              <w:left w:val="nil"/>
              <w:bottom w:val="single" w:sz="4" w:space="0" w:color="auto"/>
              <w:right w:val="single" w:sz="4" w:space="0" w:color="auto"/>
            </w:tcBorders>
            <w:noWrap/>
            <w:vAlign w:val="center"/>
          </w:tcPr>
          <w:p w14:paraId="759F1FAB" w14:textId="2F8D37F5" w:rsidR="001364E6" w:rsidRPr="001C326C" w:rsidRDefault="00BF5C21"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748ECFEA" w14:textId="59932316" w:rsidR="001364E6" w:rsidRPr="001C326C" w:rsidRDefault="00BF5C21"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71.8%</w:t>
            </w:r>
          </w:p>
        </w:tc>
        <w:tc>
          <w:tcPr>
            <w:tcW w:w="1240" w:type="dxa"/>
            <w:tcBorders>
              <w:top w:val="nil"/>
              <w:left w:val="nil"/>
              <w:bottom w:val="single" w:sz="4" w:space="0" w:color="auto"/>
              <w:right w:val="single" w:sz="4" w:space="0" w:color="auto"/>
            </w:tcBorders>
            <w:noWrap/>
            <w:vAlign w:val="center"/>
          </w:tcPr>
          <w:p w14:paraId="25CB3A52" w14:textId="45AE5E2E" w:rsidR="001364E6" w:rsidRPr="001C326C" w:rsidRDefault="00F7242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00892E70" w14:textId="304CC7BB" w:rsidR="001364E6" w:rsidRPr="001C326C" w:rsidRDefault="00F7242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29C73F94" w14:textId="7699D30B" w:rsidR="001364E6" w:rsidRPr="001C326C" w:rsidRDefault="00CF58DD"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5.6%</w:t>
            </w:r>
          </w:p>
        </w:tc>
      </w:tr>
      <w:tr w:rsidR="001364E6" w:rsidRPr="001C326C" w14:paraId="66C9E10A" w14:textId="77777777" w:rsidTr="009E1121">
        <w:trPr>
          <w:trHeight w:val="300"/>
        </w:trPr>
        <w:tc>
          <w:tcPr>
            <w:tcW w:w="1240" w:type="dxa"/>
            <w:tcBorders>
              <w:top w:val="nil"/>
              <w:left w:val="single" w:sz="4" w:space="0" w:color="auto"/>
              <w:bottom w:val="single" w:sz="4" w:space="0" w:color="auto"/>
              <w:right w:val="single" w:sz="4" w:space="0" w:color="auto"/>
            </w:tcBorders>
            <w:vAlign w:val="bottom"/>
            <w:hideMark/>
          </w:tcPr>
          <w:p w14:paraId="0DD607C9"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Sector</w:t>
            </w:r>
          </w:p>
        </w:tc>
        <w:tc>
          <w:tcPr>
            <w:tcW w:w="1240" w:type="dxa"/>
            <w:tcBorders>
              <w:top w:val="nil"/>
              <w:left w:val="nil"/>
              <w:bottom w:val="single" w:sz="4" w:space="0" w:color="auto"/>
              <w:right w:val="single" w:sz="4" w:space="0" w:color="auto"/>
            </w:tcBorders>
            <w:noWrap/>
            <w:vAlign w:val="center"/>
          </w:tcPr>
          <w:p w14:paraId="66F556D3" w14:textId="058648D1" w:rsidR="001364E6" w:rsidRPr="001C326C" w:rsidRDefault="00F676F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4.1%</w:t>
            </w:r>
          </w:p>
        </w:tc>
        <w:tc>
          <w:tcPr>
            <w:tcW w:w="1240" w:type="dxa"/>
            <w:tcBorders>
              <w:top w:val="nil"/>
              <w:left w:val="nil"/>
              <w:bottom w:val="single" w:sz="4" w:space="0" w:color="auto"/>
              <w:right w:val="single" w:sz="4" w:space="0" w:color="auto"/>
            </w:tcBorders>
            <w:noWrap/>
            <w:vAlign w:val="center"/>
          </w:tcPr>
          <w:p w14:paraId="6D10CE51" w14:textId="4CB8153D" w:rsidR="001364E6" w:rsidRPr="001C326C" w:rsidRDefault="00F676F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38C7E852" w14:textId="2473A07B" w:rsidR="001364E6" w:rsidRPr="001C326C" w:rsidRDefault="00DC4BC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0.1%</w:t>
            </w:r>
          </w:p>
        </w:tc>
        <w:tc>
          <w:tcPr>
            <w:tcW w:w="1240" w:type="dxa"/>
            <w:tcBorders>
              <w:top w:val="nil"/>
              <w:left w:val="nil"/>
              <w:bottom w:val="single" w:sz="4" w:space="0" w:color="auto"/>
              <w:right w:val="single" w:sz="4" w:space="0" w:color="auto"/>
            </w:tcBorders>
            <w:noWrap/>
            <w:vAlign w:val="center"/>
          </w:tcPr>
          <w:p w14:paraId="68286508" w14:textId="4D4CD3A3" w:rsidR="001364E6" w:rsidRPr="001C326C" w:rsidRDefault="006B2683"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3.4%</w:t>
            </w:r>
          </w:p>
        </w:tc>
        <w:tc>
          <w:tcPr>
            <w:tcW w:w="1240" w:type="dxa"/>
            <w:tcBorders>
              <w:top w:val="nil"/>
              <w:left w:val="nil"/>
              <w:bottom w:val="single" w:sz="4" w:space="0" w:color="auto"/>
              <w:right w:val="single" w:sz="4" w:space="0" w:color="auto"/>
            </w:tcBorders>
            <w:noWrap/>
            <w:vAlign w:val="center"/>
          </w:tcPr>
          <w:p w14:paraId="70B8DC8A" w14:textId="344B00B6" w:rsidR="001364E6" w:rsidRPr="001C326C" w:rsidRDefault="00296170"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0.3%</w:t>
            </w:r>
          </w:p>
        </w:tc>
        <w:tc>
          <w:tcPr>
            <w:tcW w:w="1240" w:type="dxa"/>
            <w:tcBorders>
              <w:top w:val="nil"/>
              <w:left w:val="nil"/>
              <w:bottom w:val="single" w:sz="4" w:space="0" w:color="auto"/>
              <w:right w:val="single" w:sz="4" w:space="0" w:color="auto"/>
            </w:tcBorders>
            <w:noWrap/>
            <w:vAlign w:val="center"/>
          </w:tcPr>
          <w:p w14:paraId="7EF184E7" w14:textId="6DD31B2E" w:rsidR="001364E6" w:rsidRPr="001C326C" w:rsidRDefault="00296170"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3.5%</w:t>
            </w:r>
          </w:p>
        </w:tc>
        <w:tc>
          <w:tcPr>
            <w:tcW w:w="1240" w:type="dxa"/>
            <w:tcBorders>
              <w:top w:val="nil"/>
              <w:left w:val="nil"/>
              <w:bottom w:val="single" w:sz="4" w:space="0" w:color="auto"/>
              <w:right w:val="single" w:sz="4" w:space="0" w:color="auto"/>
            </w:tcBorders>
            <w:noWrap/>
            <w:vAlign w:val="center"/>
          </w:tcPr>
          <w:p w14:paraId="12848BFB" w14:textId="09ED7EFE" w:rsidR="001364E6" w:rsidRPr="001C326C" w:rsidRDefault="00BF5C21"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2.3%</w:t>
            </w:r>
          </w:p>
        </w:tc>
        <w:tc>
          <w:tcPr>
            <w:tcW w:w="1240" w:type="dxa"/>
            <w:tcBorders>
              <w:top w:val="nil"/>
              <w:left w:val="nil"/>
              <w:bottom w:val="single" w:sz="4" w:space="0" w:color="auto"/>
              <w:right w:val="single" w:sz="4" w:space="0" w:color="auto"/>
            </w:tcBorders>
            <w:noWrap/>
            <w:vAlign w:val="center"/>
          </w:tcPr>
          <w:p w14:paraId="01FACB9E" w14:textId="69C22F6B" w:rsidR="001364E6" w:rsidRPr="001C326C" w:rsidRDefault="00BF5C21"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16.4%</w:t>
            </w:r>
          </w:p>
        </w:tc>
        <w:tc>
          <w:tcPr>
            <w:tcW w:w="1240" w:type="dxa"/>
            <w:tcBorders>
              <w:top w:val="nil"/>
              <w:left w:val="nil"/>
              <w:bottom w:val="single" w:sz="4" w:space="0" w:color="auto"/>
              <w:right w:val="single" w:sz="4" w:space="0" w:color="auto"/>
            </w:tcBorders>
            <w:noWrap/>
            <w:vAlign w:val="center"/>
          </w:tcPr>
          <w:p w14:paraId="0D621F0E" w14:textId="511ADC03" w:rsidR="001364E6" w:rsidRPr="001C326C" w:rsidRDefault="00F7242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0.6%</w:t>
            </w:r>
          </w:p>
        </w:tc>
        <w:tc>
          <w:tcPr>
            <w:tcW w:w="1240" w:type="dxa"/>
            <w:tcBorders>
              <w:top w:val="nil"/>
              <w:left w:val="nil"/>
              <w:bottom w:val="single" w:sz="4" w:space="0" w:color="auto"/>
              <w:right w:val="single" w:sz="4" w:space="0" w:color="auto"/>
            </w:tcBorders>
            <w:noWrap/>
            <w:vAlign w:val="center"/>
          </w:tcPr>
          <w:p w14:paraId="084E077A" w14:textId="5D70DC2D" w:rsidR="001364E6" w:rsidRPr="001C326C" w:rsidRDefault="00F7242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4.0%</w:t>
            </w:r>
          </w:p>
        </w:tc>
        <w:tc>
          <w:tcPr>
            <w:tcW w:w="1240" w:type="dxa"/>
            <w:tcBorders>
              <w:top w:val="nil"/>
              <w:left w:val="nil"/>
              <w:bottom w:val="single" w:sz="4" w:space="0" w:color="auto"/>
              <w:right w:val="single" w:sz="4" w:space="0" w:color="auto"/>
            </w:tcBorders>
            <w:noWrap/>
            <w:vAlign w:val="center"/>
          </w:tcPr>
          <w:p w14:paraId="34817DF5" w14:textId="0E52F137" w:rsidR="001364E6" w:rsidRPr="001C326C" w:rsidRDefault="00CF58DD"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22.3%</w:t>
            </w:r>
          </w:p>
        </w:tc>
      </w:tr>
      <w:tr w:rsidR="001364E6" w:rsidRPr="001C326C" w14:paraId="0F777E46" w14:textId="77777777" w:rsidTr="009E1121">
        <w:trPr>
          <w:trHeight w:val="300"/>
        </w:trPr>
        <w:tc>
          <w:tcPr>
            <w:tcW w:w="1240" w:type="dxa"/>
            <w:tcBorders>
              <w:top w:val="nil"/>
              <w:left w:val="single" w:sz="4" w:space="0" w:color="auto"/>
              <w:bottom w:val="single" w:sz="4" w:space="0" w:color="auto"/>
              <w:right w:val="single" w:sz="4" w:space="0" w:color="auto"/>
            </w:tcBorders>
            <w:vAlign w:val="bottom"/>
            <w:hideMark/>
          </w:tcPr>
          <w:p w14:paraId="69CB2FF2"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Difference</w:t>
            </w:r>
          </w:p>
        </w:tc>
        <w:tc>
          <w:tcPr>
            <w:tcW w:w="1240" w:type="dxa"/>
            <w:tcBorders>
              <w:top w:val="single" w:sz="4" w:space="0" w:color="auto"/>
              <w:left w:val="single" w:sz="4" w:space="0" w:color="auto"/>
              <w:bottom w:val="single" w:sz="4" w:space="0" w:color="auto"/>
              <w:right w:val="single" w:sz="4" w:space="0" w:color="auto"/>
            </w:tcBorders>
            <w:noWrap/>
            <w:vAlign w:val="center"/>
          </w:tcPr>
          <w:p w14:paraId="32FB45A9" w14:textId="35F1CCCD" w:rsidR="001364E6" w:rsidRPr="001C326C" w:rsidRDefault="00F676F5"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-1.3%</w:t>
            </w:r>
          </w:p>
        </w:tc>
        <w:tc>
          <w:tcPr>
            <w:tcW w:w="1240" w:type="dxa"/>
            <w:tcBorders>
              <w:top w:val="single" w:sz="4" w:space="0" w:color="auto"/>
              <w:left w:val="single" w:sz="4" w:space="0" w:color="auto"/>
              <w:bottom w:val="single" w:sz="4" w:space="0" w:color="auto"/>
              <w:right w:val="single" w:sz="4" w:space="0" w:color="auto"/>
            </w:tcBorders>
            <w:noWrap/>
            <w:vAlign w:val="center"/>
          </w:tcPr>
          <w:p w14:paraId="6CAC29B3" w14:textId="6575D210" w:rsidR="001364E6" w:rsidRPr="001C326C" w:rsidRDefault="00F676F5" w:rsidP="001364E6">
            <w:pPr>
              <w:spacing w:after="0" w:line="240" w:lineRule="auto"/>
              <w:ind w:left="0" w:right="0" w:firstLine="0"/>
              <w:jc w:val="right"/>
              <w:rPr>
                <w:rFonts w:ascii="Arial" w:eastAsia="Times New Roman" w:hAnsi="Arial" w:cs="Arial"/>
                <w:color w:val="FF0000"/>
                <w:kern w:val="0"/>
                <w:sz w:val="16"/>
                <w:szCs w:val="16"/>
                <w14:ligatures w14:val="none"/>
              </w:rPr>
            </w:pPr>
            <w:r w:rsidRPr="00563C28">
              <w:rPr>
                <w:rFonts w:ascii="Arial" w:eastAsia="Times New Roman" w:hAnsi="Arial" w:cs="Arial"/>
                <w:color w:val="auto"/>
                <w:kern w:val="0"/>
                <w:sz w:val="16"/>
                <w:szCs w:val="16"/>
                <w14:ligatures w14:val="none"/>
              </w:rPr>
              <w:t>0.0%</w:t>
            </w:r>
          </w:p>
        </w:tc>
        <w:tc>
          <w:tcPr>
            <w:tcW w:w="1240" w:type="dxa"/>
            <w:tcBorders>
              <w:top w:val="single" w:sz="4" w:space="0" w:color="auto"/>
              <w:left w:val="single" w:sz="4" w:space="0" w:color="auto"/>
              <w:bottom w:val="single" w:sz="4" w:space="0" w:color="auto"/>
              <w:right w:val="single" w:sz="4" w:space="0" w:color="auto"/>
            </w:tcBorders>
            <w:noWrap/>
            <w:vAlign w:val="center"/>
          </w:tcPr>
          <w:p w14:paraId="23C8B8E8" w14:textId="63CFB42C" w:rsidR="001364E6" w:rsidRPr="001C326C" w:rsidRDefault="00DC4BC5"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-0.1%</w:t>
            </w:r>
          </w:p>
        </w:tc>
        <w:tc>
          <w:tcPr>
            <w:tcW w:w="1240" w:type="dxa"/>
            <w:tcBorders>
              <w:top w:val="single" w:sz="4" w:space="0" w:color="auto"/>
              <w:left w:val="single" w:sz="4" w:space="0" w:color="auto"/>
              <w:bottom w:val="single" w:sz="4" w:space="0" w:color="auto"/>
              <w:right w:val="single" w:sz="4" w:space="0" w:color="auto"/>
            </w:tcBorders>
            <w:noWrap/>
            <w:vAlign w:val="center"/>
          </w:tcPr>
          <w:p w14:paraId="666A5FF1" w14:textId="643BAF55" w:rsidR="001364E6" w:rsidRPr="001C326C" w:rsidRDefault="006B2683" w:rsidP="001364E6">
            <w:pPr>
              <w:spacing w:after="0" w:line="240" w:lineRule="auto"/>
              <w:ind w:left="0" w:right="0" w:firstLine="0"/>
              <w:jc w:val="right"/>
              <w:rPr>
                <w:rFonts w:ascii="Arial" w:eastAsia="Times New Roman" w:hAnsi="Arial" w:cs="Arial"/>
                <w:color w:val="3C7D22"/>
                <w:kern w:val="0"/>
                <w:sz w:val="16"/>
                <w:szCs w:val="16"/>
                <w14:ligatures w14:val="none"/>
              </w:rPr>
            </w:pPr>
            <w:r>
              <w:rPr>
                <w:rFonts w:ascii="Arial" w:eastAsia="Times New Roman" w:hAnsi="Arial" w:cs="Arial"/>
                <w:color w:val="3C7D22"/>
                <w:kern w:val="0"/>
                <w:sz w:val="16"/>
                <w:szCs w:val="16"/>
                <w14:ligatures w14:val="none"/>
              </w:rPr>
              <w:t>+2.2%</w:t>
            </w:r>
          </w:p>
        </w:tc>
        <w:tc>
          <w:tcPr>
            <w:tcW w:w="1240" w:type="dxa"/>
            <w:tcBorders>
              <w:top w:val="single" w:sz="4" w:space="0" w:color="auto"/>
              <w:left w:val="single" w:sz="4" w:space="0" w:color="auto"/>
              <w:bottom w:val="single" w:sz="4" w:space="0" w:color="auto"/>
              <w:right w:val="single" w:sz="4" w:space="0" w:color="auto"/>
            </w:tcBorders>
            <w:noWrap/>
            <w:vAlign w:val="center"/>
          </w:tcPr>
          <w:p w14:paraId="19EF7B37" w14:textId="17794E77" w:rsidR="001364E6" w:rsidRPr="001C326C" w:rsidRDefault="00296170"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-0.3%</w:t>
            </w:r>
          </w:p>
        </w:tc>
        <w:tc>
          <w:tcPr>
            <w:tcW w:w="1240" w:type="dxa"/>
            <w:tcBorders>
              <w:top w:val="single" w:sz="4" w:space="0" w:color="auto"/>
              <w:left w:val="single" w:sz="4" w:space="0" w:color="auto"/>
              <w:bottom w:val="single" w:sz="4" w:space="0" w:color="auto"/>
              <w:right w:val="single" w:sz="4" w:space="0" w:color="auto"/>
            </w:tcBorders>
            <w:noWrap/>
            <w:vAlign w:val="center"/>
          </w:tcPr>
          <w:p w14:paraId="1356BE95" w14:textId="7A43D81D" w:rsidR="001364E6" w:rsidRPr="001C326C" w:rsidRDefault="00296170"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-0.7%</w:t>
            </w:r>
          </w:p>
        </w:tc>
        <w:tc>
          <w:tcPr>
            <w:tcW w:w="1240" w:type="dxa"/>
            <w:tcBorders>
              <w:top w:val="single" w:sz="4" w:space="0" w:color="auto"/>
              <w:left w:val="single" w:sz="4" w:space="0" w:color="auto"/>
              <w:bottom w:val="single" w:sz="4" w:space="0" w:color="auto"/>
              <w:right w:val="single" w:sz="4" w:space="0" w:color="auto"/>
            </w:tcBorders>
            <w:noWrap/>
            <w:vAlign w:val="center"/>
          </w:tcPr>
          <w:p w14:paraId="01DA0631" w14:textId="41613CBE" w:rsidR="001364E6" w:rsidRPr="001C326C" w:rsidRDefault="00BF5C21"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-2.3%</w:t>
            </w:r>
          </w:p>
        </w:tc>
        <w:tc>
          <w:tcPr>
            <w:tcW w:w="1240" w:type="dxa"/>
            <w:tcBorders>
              <w:top w:val="single" w:sz="4" w:space="0" w:color="auto"/>
              <w:left w:val="single" w:sz="4" w:space="0" w:color="auto"/>
              <w:bottom w:val="single" w:sz="4" w:space="0" w:color="auto"/>
              <w:right w:val="single" w:sz="4" w:space="0" w:color="auto"/>
            </w:tcBorders>
            <w:noWrap/>
            <w:vAlign w:val="center"/>
          </w:tcPr>
          <w:p w14:paraId="242C31C9" w14:textId="3D5B63A1" w:rsidR="001364E6" w:rsidRPr="001C326C" w:rsidRDefault="00BF5C21" w:rsidP="001364E6">
            <w:pPr>
              <w:spacing w:after="0" w:line="240" w:lineRule="auto"/>
              <w:ind w:left="0" w:right="0" w:firstLine="0"/>
              <w:jc w:val="right"/>
              <w:rPr>
                <w:rFonts w:ascii="Arial" w:eastAsia="Times New Roman" w:hAnsi="Arial" w:cs="Arial"/>
                <w:color w:val="3C7D22"/>
                <w:kern w:val="0"/>
                <w:sz w:val="16"/>
                <w:szCs w:val="16"/>
                <w14:ligatures w14:val="none"/>
              </w:rPr>
            </w:pPr>
            <w:r>
              <w:rPr>
                <w:rFonts w:ascii="Arial" w:eastAsia="Times New Roman" w:hAnsi="Arial" w:cs="Arial"/>
                <w:color w:val="3C7D22"/>
                <w:kern w:val="0"/>
                <w:sz w:val="16"/>
                <w:szCs w:val="16"/>
                <w14:ligatures w14:val="none"/>
              </w:rPr>
              <w:t>+55.4%</w:t>
            </w:r>
          </w:p>
        </w:tc>
        <w:tc>
          <w:tcPr>
            <w:tcW w:w="1240" w:type="dxa"/>
            <w:tcBorders>
              <w:top w:val="single" w:sz="4" w:space="0" w:color="auto"/>
              <w:left w:val="single" w:sz="4" w:space="0" w:color="auto"/>
              <w:bottom w:val="single" w:sz="4" w:space="0" w:color="auto"/>
              <w:right w:val="single" w:sz="4" w:space="0" w:color="auto"/>
            </w:tcBorders>
            <w:noWrap/>
            <w:vAlign w:val="center"/>
          </w:tcPr>
          <w:p w14:paraId="4E7EB766" w14:textId="0A2D1656" w:rsidR="001364E6" w:rsidRPr="001C326C" w:rsidRDefault="00F72425"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-0.6%</w:t>
            </w:r>
          </w:p>
        </w:tc>
        <w:tc>
          <w:tcPr>
            <w:tcW w:w="1240" w:type="dxa"/>
            <w:tcBorders>
              <w:top w:val="single" w:sz="4" w:space="0" w:color="auto"/>
              <w:left w:val="single" w:sz="4" w:space="0" w:color="auto"/>
              <w:bottom w:val="single" w:sz="4" w:space="0" w:color="auto"/>
              <w:right w:val="single" w:sz="4" w:space="0" w:color="auto"/>
            </w:tcBorders>
            <w:noWrap/>
            <w:vAlign w:val="center"/>
          </w:tcPr>
          <w:p w14:paraId="6E4EAA8E" w14:textId="3FEF7A2D" w:rsidR="001364E6" w:rsidRPr="001C326C" w:rsidRDefault="00F72425"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-4.0%</w:t>
            </w:r>
          </w:p>
        </w:tc>
        <w:tc>
          <w:tcPr>
            <w:tcW w:w="1240" w:type="dxa"/>
            <w:tcBorders>
              <w:top w:val="single" w:sz="4" w:space="0" w:color="auto"/>
              <w:left w:val="single" w:sz="4" w:space="0" w:color="auto"/>
              <w:bottom w:val="single" w:sz="4" w:space="0" w:color="auto"/>
              <w:right w:val="single" w:sz="4" w:space="0" w:color="auto"/>
            </w:tcBorders>
            <w:noWrap/>
            <w:vAlign w:val="center"/>
          </w:tcPr>
          <w:p w14:paraId="5AF1F602" w14:textId="25C9399E" w:rsidR="001364E6" w:rsidRPr="001C326C" w:rsidRDefault="00CF58DD"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-16.7%</w:t>
            </w:r>
          </w:p>
        </w:tc>
      </w:tr>
    </w:tbl>
    <w:p w14:paraId="33B7826A" w14:textId="77777777" w:rsidR="00DE43C2" w:rsidRPr="009D6136" w:rsidRDefault="00DE43C2" w:rsidP="00DE43C2">
      <w:pPr>
        <w:ind w:right="605"/>
        <w:rPr>
          <w:highlight w:val="yellow"/>
        </w:rPr>
      </w:pPr>
    </w:p>
    <w:tbl>
      <w:tblPr>
        <w:tblW w:w="14880" w:type="dxa"/>
        <w:tblLook w:val="04A0" w:firstRow="1" w:lastRow="0" w:firstColumn="1" w:lastColumn="0" w:noHBand="0" w:noVBand="1"/>
      </w:tblPr>
      <w:tblGrid>
        <w:gridCol w:w="1240"/>
        <w:gridCol w:w="1293"/>
        <w:gridCol w:w="1240"/>
        <w:gridCol w:w="1240"/>
        <w:gridCol w:w="1240"/>
        <w:gridCol w:w="1240"/>
        <w:gridCol w:w="1240"/>
        <w:gridCol w:w="1240"/>
        <w:gridCol w:w="1248"/>
        <w:gridCol w:w="1240"/>
        <w:gridCol w:w="1240"/>
        <w:gridCol w:w="1240"/>
      </w:tblGrid>
      <w:tr w:rsidR="001364E6" w:rsidRPr="001C326C" w14:paraId="6479B5C6" w14:textId="77777777" w:rsidTr="001364E6">
        <w:trPr>
          <w:trHeight w:val="300"/>
        </w:trPr>
        <w:tc>
          <w:tcPr>
            <w:tcW w:w="14880" w:type="dxa"/>
            <w:gridSpan w:val="12"/>
            <w:tcBorders>
              <w:top w:val="single" w:sz="4" w:space="0" w:color="auto"/>
              <w:left w:val="single" w:sz="4" w:space="0" w:color="auto"/>
              <w:bottom w:val="single" w:sz="4" w:space="0" w:color="auto"/>
              <w:right w:val="single" w:sz="4" w:space="0" w:color="auto"/>
            </w:tcBorders>
            <w:noWrap/>
            <w:vAlign w:val="bottom"/>
            <w:hideMark/>
          </w:tcPr>
          <w:p w14:paraId="62976139"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Table 1b: Standard Industrial Classification (SIC) - BGU vs. Sector Average (Continued)</w:t>
            </w:r>
          </w:p>
        </w:tc>
      </w:tr>
      <w:tr w:rsidR="001364E6" w:rsidRPr="001C326C" w14:paraId="46DBC6B5" w14:textId="77777777" w:rsidTr="001364E6">
        <w:trPr>
          <w:trHeight w:val="2490"/>
        </w:trPr>
        <w:tc>
          <w:tcPr>
            <w:tcW w:w="1240" w:type="dxa"/>
            <w:tcBorders>
              <w:top w:val="nil"/>
              <w:left w:val="single" w:sz="4" w:space="0" w:color="auto"/>
              <w:bottom w:val="single" w:sz="4" w:space="0" w:color="auto"/>
              <w:right w:val="single" w:sz="4" w:space="0" w:color="auto"/>
            </w:tcBorders>
            <w:noWrap/>
            <w:vAlign w:val="bottom"/>
            <w:hideMark/>
          </w:tcPr>
          <w:p w14:paraId="2C3F669D" w14:textId="77777777" w:rsidR="001364E6" w:rsidRPr="001C326C" w:rsidRDefault="001364E6" w:rsidP="001364E6">
            <w:pPr>
              <w:spacing w:after="0" w:line="240" w:lineRule="auto"/>
              <w:ind w:left="0" w:right="0" w:firstLine="0"/>
              <w:rPr>
                <w:rFonts w:ascii="Aptos Narrow" w:eastAsia="Times New Roman" w:hAnsi="Aptos Narrow" w:cs="Times New Roman"/>
                <w:kern w:val="0"/>
                <w:szCs w:val="22"/>
                <w14:ligatures w14:val="none"/>
              </w:rPr>
            </w:pPr>
            <w:r w:rsidRPr="001C326C">
              <w:rPr>
                <w:rFonts w:ascii="Aptos Narrow" w:eastAsia="Times New Roman" w:hAnsi="Aptos Narrow" w:cs="Times New Roman"/>
                <w:kern w:val="0"/>
                <w:szCs w:val="22"/>
                <w14:ligatures w14:val="none"/>
              </w:rPr>
              <w:t> </w:t>
            </w:r>
          </w:p>
        </w:tc>
        <w:tc>
          <w:tcPr>
            <w:tcW w:w="1240" w:type="dxa"/>
            <w:tcBorders>
              <w:top w:val="nil"/>
              <w:left w:val="nil"/>
              <w:bottom w:val="single" w:sz="4" w:space="0" w:color="auto"/>
              <w:right w:val="single" w:sz="4" w:space="0" w:color="auto"/>
            </w:tcBorders>
            <w:vAlign w:val="bottom"/>
            <w:hideMark/>
          </w:tcPr>
          <w:p w14:paraId="17506E47"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Information and communication</w:t>
            </w:r>
          </w:p>
        </w:tc>
        <w:tc>
          <w:tcPr>
            <w:tcW w:w="1240" w:type="dxa"/>
            <w:tcBorders>
              <w:top w:val="nil"/>
              <w:left w:val="nil"/>
              <w:bottom w:val="single" w:sz="4" w:space="0" w:color="auto"/>
              <w:right w:val="single" w:sz="4" w:space="0" w:color="auto"/>
            </w:tcBorders>
            <w:vAlign w:val="bottom"/>
            <w:hideMark/>
          </w:tcPr>
          <w:p w14:paraId="03A35A16"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Manufacturing</w:t>
            </w:r>
          </w:p>
        </w:tc>
        <w:tc>
          <w:tcPr>
            <w:tcW w:w="1240" w:type="dxa"/>
            <w:tcBorders>
              <w:top w:val="nil"/>
              <w:left w:val="nil"/>
              <w:bottom w:val="single" w:sz="4" w:space="0" w:color="auto"/>
              <w:right w:val="single" w:sz="4" w:space="0" w:color="auto"/>
            </w:tcBorders>
            <w:vAlign w:val="bottom"/>
            <w:hideMark/>
          </w:tcPr>
          <w:p w14:paraId="2CC3ABA0"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Mining and quarrying</w:t>
            </w:r>
          </w:p>
        </w:tc>
        <w:tc>
          <w:tcPr>
            <w:tcW w:w="1240" w:type="dxa"/>
            <w:tcBorders>
              <w:top w:val="nil"/>
              <w:left w:val="nil"/>
              <w:bottom w:val="single" w:sz="4" w:space="0" w:color="auto"/>
              <w:right w:val="single" w:sz="4" w:space="0" w:color="auto"/>
            </w:tcBorders>
            <w:vAlign w:val="bottom"/>
            <w:hideMark/>
          </w:tcPr>
          <w:p w14:paraId="699BE45A"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Other service activities</w:t>
            </w:r>
          </w:p>
        </w:tc>
        <w:tc>
          <w:tcPr>
            <w:tcW w:w="1240" w:type="dxa"/>
            <w:tcBorders>
              <w:top w:val="nil"/>
              <w:left w:val="nil"/>
              <w:bottom w:val="single" w:sz="4" w:space="0" w:color="auto"/>
              <w:right w:val="single" w:sz="4" w:space="0" w:color="auto"/>
            </w:tcBorders>
            <w:vAlign w:val="bottom"/>
            <w:hideMark/>
          </w:tcPr>
          <w:p w14:paraId="1C9438A0"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Professional, scientific and technical activities</w:t>
            </w:r>
          </w:p>
        </w:tc>
        <w:tc>
          <w:tcPr>
            <w:tcW w:w="1240" w:type="dxa"/>
            <w:tcBorders>
              <w:top w:val="nil"/>
              <w:left w:val="nil"/>
              <w:bottom w:val="single" w:sz="4" w:space="0" w:color="auto"/>
              <w:right w:val="single" w:sz="4" w:space="0" w:color="auto"/>
            </w:tcBorders>
            <w:vAlign w:val="bottom"/>
            <w:hideMark/>
          </w:tcPr>
          <w:p w14:paraId="7D4D0320"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Public administration and defence; compulsory social security</w:t>
            </w:r>
          </w:p>
        </w:tc>
        <w:tc>
          <w:tcPr>
            <w:tcW w:w="1240" w:type="dxa"/>
            <w:tcBorders>
              <w:top w:val="nil"/>
              <w:left w:val="nil"/>
              <w:bottom w:val="single" w:sz="4" w:space="0" w:color="auto"/>
              <w:right w:val="single" w:sz="4" w:space="0" w:color="auto"/>
            </w:tcBorders>
            <w:vAlign w:val="bottom"/>
            <w:hideMark/>
          </w:tcPr>
          <w:p w14:paraId="0E7DDAE3"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Real estate activities</w:t>
            </w:r>
          </w:p>
        </w:tc>
        <w:tc>
          <w:tcPr>
            <w:tcW w:w="1240" w:type="dxa"/>
            <w:tcBorders>
              <w:top w:val="nil"/>
              <w:left w:val="nil"/>
              <w:bottom w:val="single" w:sz="4" w:space="0" w:color="auto"/>
              <w:right w:val="single" w:sz="4" w:space="0" w:color="auto"/>
            </w:tcBorders>
            <w:vAlign w:val="bottom"/>
            <w:hideMark/>
          </w:tcPr>
          <w:p w14:paraId="0D42FE79"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Transportation and storage</w:t>
            </w:r>
          </w:p>
        </w:tc>
        <w:tc>
          <w:tcPr>
            <w:tcW w:w="1240" w:type="dxa"/>
            <w:tcBorders>
              <w:top w:val="nil"/>
              <w:left w:val="nil"/>
              <w:bottom w:val="single" w:sz="4" w:space="0" w:color="auto"/>
              <w:right w:val="single" w:sz="4" w:space="0" w:color="auto"/>
            </w:tcBorders>
            <w:vAlign w:val="bottom"/>
            <w:hideMark/>
          </w:tcPr>
          <w:p w14:paraId="5E2930C9"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Unknown</w:t>
            </w:r>
          </w:p>
        </w:tc>
        <w:tc>
          <w:tcPr>
            <w:tcW w:w="1240" w:type="dxa"/>
            <w:tcBorders>
              <w:top w:val="nil"/>
              <w:left w:val="nil"/>
              <w:bottom w:val="single" w:sz="4" w:space="0" w:color="auto"/>
              <w:right w:val="single" w:sz="4" w:space="0" w:color="auto"/>
            </w:tcBorders>
            <w:vAlign w:val="bottom"/>
            <w:hideMark/>
          </w:tcPr>
          <w:p w14:paraId="6D417E23"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Water supply; sewerage, waste management and remediation activities</w:t>
            </w:r>
          </w:p>
        </w:tc>
        <w:tc>
          <w:tcPr>
            <w:tcW w:w="1240" w:type="dxa"/>
            <w:tcBorders>
              <w:top w:val="nil"/>
              <w:left w:val="nil"/>
              <w:bottom w:val="single" w:sz="4" w:space="0" w:color="auto"/>
              <w:right w:val="single" w:sz="4" w:space="0" w:color="auto"/>
            </w:tcBorders>
            <w:vAlign w:val="bottom"/>
            <w:hideMark/>
          </w:tcPr>
          <w:p w14:paraId="0490ECDE"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Wholesale and retail trade; repair of motor vehicles and motorcycles</w:t>
            </w:r>
          </w:p>
        </w:tc>
      </w:tr>
      <w:tr w:rsidR="001364E6" w:rsidRPr="001C326C" w14:paraId="6AF1775A" w14:textId="77777777" w:rsidTr="009E1121">
        <w:trPr>
          <w:trHeight w:val="300"/>
        </w:trPr>
        <w:tc>
          <w:tcPr>
            <w:tcW w:w="1240" w:type="dxa"/>
            <w:tcBorders>
              <w:top w:val="nil"/>
              <w:left w:val="single" w:sz="4" w:space="0" w:color="auto"/>
              <w:bottom w:val="single" w:sz="4" w:space="0" w:color="auto"/>
              <w:right w:val="single" w:sz="4" w:space="0" w:color="auto"/>
            </w:tcBorders>
            <w:vAlign w:val="bottom"/>
            <w:hideMark/>
          </w:tcPr>
          <w:p w14:paraId="7862E139"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BGU</w:t>
            </w:r>
          </w:p>
        </w:tc>
        <w:tc>
          <w:tcPr>
            <w:tcW w:w="1240" w:type="dxa"/>
            <w:tcBorders>
              <w:top w:val="nil"/>
              <w:left w:val="nil"/>
              <w:bottom w:val="single" w:sz="4" w:space="0" w:color="auto"/>
              <w:right w:val="single" w:sz="4" w:space="0" w:color="auto"/>
            </w:tcBorders>
            <w:noWrap/>
            <w:vAlign w:val="center"/>
          </w:tcPr>
          <w:p w14:paraId="04672EE3" w14:textId="4A63FAE9" w:rsidR="001364E6" w:rsidRPr="001C326C" w:rsidRDefault="00CF58DD"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057E7297" w14:textId="17BA9E24" w:rsidR="001364E6" w:rsidRPr="001C326C" w:rsidRDefault="009E72D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1.4%</w:t>
            </w:r>
          </w:p>
        </w:tc>
        <w:tc>
          <w:tcPr>
            <w:tcW w:w="1240" w:type="dxa"/>
            <w:tcBorders>
              <w:top w:val="nil"/>
              <w:left w:val="nil"/>
              <w:bottom w:val="single" w:sz="4" w:space="0" w:color="auto"/>
              <w:right w:val="single" w:sz="4" w:space="0" w:color="auto"/>
            </w:tcBorders>
            <w:noWrap/>
            <w:vAlign w:val="center"/>
          </w:tcPr>
          <w:p w14:paraId="5EFEC034" w14:textId="5920FDB7" w:rsidR="001364E6" w:rsidRPr="001C326C" w:rsidRDefault="009E72D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6E207151" w14:textId="15EBFBDC" w:rsidR="001364E6" w:rsidRPr="001C326C" w:rsidRDefault="009235EA"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6DA815E0" w14:textId="3563B78E" w:rsidR="001364E6" w:rsidRPr="001C326C" w:rsidRDefault="009235EA"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1.4%</w:t>
            </w:r>
          </w:p>
        </w:tc>
        <w:tc>
          <w:tcPr>
            <w:tcW w:w="1240" w:type="dxa"/>
            <w:tcBorders>
              <w:top w:val="nil"/>
              <w:left w:val="nil"/>
              <w:bottom w:val="single" w:sz="4" w:space="0" w:color="auto"/>
              <w:right w:val="single" w:sz="4" w:space="0" w:color="auto"/>
            </w:tcBorders>
            <w:noWrap/>
            <w:vAlign w:val="center"/>
          </w:tcPr>
          <w:p w14:paraId="645C307A" w14:textId="4B3762FE" w:rsidR="001364E6" w:rsidRPr="001C326C" w:rsidRDefault="00D37B1F"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2.8%</w:t>
            </w:r>
          </w:p>
        </w:tc>
        <w:tc>
          <w:tcPr>
            <w:tcW w:w="1240" w:type="dxa"/>
            <w:tcBorders>
              <w:top w:val="nil"/>
              <w:left w:val="nil"/>
              <w:bottom w:val="single" w:sz="4" w:space="0" w:color="auto"/>
              <w:right w:val="single" w:sz="4" w:space="0" w:color="auto"/>
            </w:tcBorders>
            <w:noWrap/>
            <w:vAlign w:val="center"/>
          </w:tcPr>
          <w:p w14:paraId="3FBCAD22" w14:textId="67EB160E" w:rsidR="001364E6" w:rsidRPr="001C326C" w:rsidRDefault="00D37B1F"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444AD202" w14:textId="6B2DB69B" w:rsidR="001364E6" w:rsidRPr="001C326C" w:rsidRDefault="00AA3E78"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05677CB5" w14:textId="4E388FA7" w:rsidR="001364E6" w:rsidRPr="001C326C" w:rsidRDefault="00AA3E78"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6E27E765" w14:textId="44FDBB41" w:rsidR="001364E6" w:rsidRPr="001C326C" w:rsidRDefault="00BC29CA"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0.0%</w:t>
            </w:r>
          </w:p>
        </w:tc>
        <w:tc>
          <w:tcPr>
            <w:tcW w:w="1240" w:type="dxa"/>
            <w:tcBorders>
              <w:top w:val="nil"/>
              <w:left w:val="nil"/>
              <w:bottom w:val="single" w:sz="4" w:space="0" w:color="auto"/>
              <w:right w:val="single" w:sz="4" w:space="0" w:color="auto"/>
            </w:tcBorders>
            <w:noWrap/>
            <w:vAlign w:val="center"/>
          </w:tcPr>
          <w:p w14:paraId="0BE4FE03" w14:textId="6CE4471D" w:rsidR="001364E6" w:rsidRPr="001C326C" w:rsidRDefault="00BC29CA"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4.2%</w:t>
            </w:r>
          </w:p>
        </w:tc>
      </w:tr>
      <w:tr w:rsidR="001364E6" w:rsidRPr="001C326C" w14:paraId="4ED58465" w14:textId="77777777" w:rsidTr="009E1121">
        <w:trPr>
          <w:trHeight w:val="300"/>
        </w:trPr>
        <w:tc>
          <w:tcPr>
            <w:tcW w:w="1240" w:type="dxa"/>
            <w:tcBorders>
              <w:top w:val="nil"/>
              <w:left w:val="single" w:sz="4" w:space="0" w:color="auto"/>
              <w:bottom w:val="single" w:sz="4" w:space="0" w:color="auto"/>
              <w:right w:val="single" w:sz="4" w:space="0" w:color="auto"/>
            </w:tcBorders>
            <w:vAlign w:val="bottom"/>
            <w:hideMark/>
          </w:tcPr>
          <w:p w14:paraId="4C7CB5B9"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Sector</w:t>
            </w:r>
          </w:p>
        </w:tc>
        <w:tc>
          <w:tcPr>
            <w:tcW w:w="1240" w:type="dxa"/>
            <w:tcBorders>
              <w:top w:val="nil"/>
              <w:left w:val="nil"/>
              <w:bottom w:val="single" w:sz="4" w:space="0" w:color="auto"/>
              <w:right w:val="single" w:sz="4" w:space="0" w:color="auto"/>
            </w:tcBorders>
            <w:noWrap/>
            <w:vAlign w:val="center"/>
          </w:tcPr>
          <w:p w14:paraId="67546820" w14:textId="190C3A83" w:rsidR="001364E6" w:rsidRPr="001C326C" w:rsidRDefault="00CF58DD"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5.4%</w:t>
            </w:r>
          </w:p>
        </w:tc>
        <w:tc>
          <w:tcPr>
            <w:tcW w:w="1240" w:type="dxa"/>
            <w:tcBorders>
              <w:top w:val="nil"/>
              <w:left w:val="nil"/>
              <w:bottom w:val="single" w:sz="4" w:space="0" w:color="auto"/>
              <w:right w:val="single" w:sz="4" w:space="0" w:color="auto"/>
            </w:tcBorders>
            <w:noWrap/>
            <w:vAlign w:val="center"/>
          </w:tcPr>
          <w:p w14:paraId="2C2B7F60" w14:textId="36C87501" w:rsidR="001364E6" w:rsidRPr="001C326C" w:rsidRDefault="009E72D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5.2%</w:t>
            </w:r>
          </w:p>
        </w:tc>
        <w:tc>
          <w:tcPr>
            <w:tcW w:w="1240" w:type="dxa"/>
            <w:tcBorders>
              <w:top w:val="nil"/>
              <w:left w:val="nil"/>
              <w:bottom w:val="single" w:sz="4" w:space="0" w:color="auto"/>
              <w:right w:val="single" w:sz="4" w:space="0" w:color="auto"/>
            </w:tcBorders>
            <w:noWrap/>
            <w:vAlign w:val="center"/>
          </w:tcPr>
          <w:p w14:paraId="1BC240FF" w14:textId="1FEA7D17" w:rsidR="001364E6" w:rsidRPr="001C326C" w:rsidRDefault="009E72D5"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0.3%</w:t>
            </w:r>
          </w:p>
        </w:tc>
        <w:tc>
          <w:tcPr>
            <w:tcW w:w="1240" w:type="dxa"/>
            <w:tcBorders>
              <w:top w:val="nil"/>
              <w:left w:val="nil"/>
              <w:bottom w:val="single" w:sz="4" w:space="0" w:color="auto"/>
              <w:right w:val="single" w:sz="4" w:space="0" w:color="auto"/>
            </w:tcBorders>
            <w:noWrap/>
            <w:vAlign w:val="center"/>
          </w:tcPr>
          <w:p w14:paraId="0644362E" w14:textId="29745437" w:rsidR="001364E6" w:rsidRPr="001C326C" w:rsidRDefault="009235EA"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1.5%</w:t>
            </w:r>
          </w:p>
        </w:tc>
        <w:tc>
          <w:tcPr>
            <w:tcW w:w="1240" w:type="dxa"/>
            <w:tcBorders>
              <w:top w:val="nil"/>
              <w:left w:val="nil"/>
              <w:bottom w:val="single" w:sz="4" w:space="0" w:color="auto"/>
              <w:right w:val="single" w:sz="4" w:space="0" w:color="auto"/>
            </w:tcBorders>
            <w:noWrap/>
            <w:vAlign w:val="center"/>
          </w:tcPr>
          <w:p w14:paraId="01DF3764" w14:textId="3F4CFF96" w:rsidR="001364E6" w:rsidRPr="001C326C" w:rsidRDefault="009235EA"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12.1%</w:t>
            </w:r>
          </w:p>
        </w:tc>
        <w:tc>
          <w:tcPr>
            <w:tcW w:w="1240" w:type="dxa"/>
            <w:tcBorders>
              <w:top w:val="nil"/>
              <w:left w:val="nil"/>
              <w:bottom w:val="single" w:sz="4" w:space="0" w:color="auto"/>
              <w:right w:val="single" w:sz="4" w:space="0" w:color="auto"/>
            </w:tcBorders>
            <w:noWrap/>
            <w:vAlign w:val="center"/>
          </w:tcPr>
          <w:p w14:paraId="6B5C9F0A" w14:textId="1393C1F5" w:rsidR="001364E6" w:rsidRPr="001C326C" w:rsidRDefault="00D37B1F"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7.6%</w:t>
            </w:r>
          </w:p>
        </w:tc>
        <w:tc>
          <w:tcPr>
            <w:tcW w:w="1240" w:type="dxa"/>
            <w:tcBorders>
              <w:top w:val="nil"/>
              <w:left w:val="nil"/>
              <w:bottom w:val="single" w:sz="4" w:space="0" w:color="auto"/>
              <w:right w:val="single" w:sz="4" w:space="0" w:color="auto"/>
            </w:tcBorders>
            <w:noWrap/>
            <w:vAlign w:val="center"/>
          </w:tcPr>
          <w:p w14:paraId="5B4E26D0" w14:textId="48F8C3B4" w:rsidR="001364E6" w:rsidRPr="001C326C" w:rsidRDefault="00D37B1F"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1.2%</w:t>
            </w:r>
          </w:p>
        </w:tc>
        <w:tc>
          <w:tcPr>
            <w:tcW w:w="1240" w:type="dxa"/>
            <w:tcBorders>
              <w:top w:val="nil"/>
              <w:left w:val="nil"/>
              <w:bottom w:val="single" w:sz="4" w:space="0" w:color="auto"/>
              <w:right w:val="single" w:sz="4" w:space="0" w:color="auto"/>
            </w:tcBorders>
            <w:noWrap/>
            <w:vAlign w:val="center"/>
          </w:tcPr>
          <w:p w14:paraId="6033E4C9" w14:textId="0A5A7AB9" w:rsidR="001364E6" w:rsidRPr="001C326C" w:rsidRDefault="00AA3E78"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1.5%</w:t>
            </w:r>
          </w:p>
        </w:tc>
        <w:tc>
          <w:tcPr>
            <w:tcW w:w="1240" w:type="dxa"/>
            <w:tcBorders>
              <w:top w:val="nil"/>
              <w:left w:val="nil"/>
              <w:bottom w:val="single" w:sz="4" w:space="0" w:color="auto"/>
              <w:right w:val="single" w:sz="4" w:space="0" w:color="auto"/>
            </w:tcBorders>
            <w:noWrap/>
            <w:vAlign w:val="center"/>
          </w:tcPr>
          <w:p w14:paraId="41DCCA16" w14:textId="16C1463D" w:rsidR="001364E6" w:rsidRPr="001C326C" w:rsidRDefault="00AA3E78"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0.7%</w:t>
            </w:r>
          </w:p>
        </w:tc>
        <w:tc>
          <w:tcPr>
            <w:tcW w:w="1240" w:type="dxa"/>
            <w:tcBorders>
              <w:top w:val="nil"/>
              <w:left w:val="nil"/>
              <w:bottom w:val="single" w:sz="4" w:space="0" w:color="auto"/>
              <w:right w:val="single" w:sz="4" w:space="0" w:color="auto"/>
            </w:tcBorders>
            <w:noWrap/>
            <w:vAlign w:val="center"/>
          </w:tcPr>
          <w:p w14:paraId="4E418A61" w14:textId="5ADE5D96" w:rsidR="001364E6" w:rsidRPr="001C326C" w:rsidRDefault="00BC29CA"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0.4%</w:t>
            </w:r>
          </w:p>
        </w:tc>
        <w:tc>
          <w:tcPr>
            <w:tcW w:w="1240" w:type="dxa"/>
            <w:tcBorders>
              <w:top w:val="nil"/>
              <w:left w:val="nil"/>
              <w:bottom w:val="single" w:sz="4" w:space="0" w:color="auto"/>
              <w:right w:val="single" w:sz="4" w:space="0" w:color="auto"/>
            </w:tcBorders>
            <w:noWrap/>
            <w:vAlign w:val="center"/>
          </w:tcPr>
          <w:p w14:paraId="436683A7" w14:textId="1A0B274F" w:rsidR="001364E6" w:rsidRPr="001C326C" w:rsidRDefault="00BC29CA" w:rsidP="001364E6">
            <w:pPr>
              <w:spacing w:after="0" w:line="240" w:lineRule="auto"/>
              <w:ind w:left="0" w:right="0" w:firstLine="0"/>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7.2%</w:t>
            </w:r>
          </w:p>
        </w:tc>
      </w:tr>
      <w:tr w:rsidR="001364E6" w:rsidRPr="001364E6" w14:paraId="1D09BF95" w14:textId="77777777" w:rsidTr="009E1121">
        <w:trPr>
          <w:trHeight w:val="300"/>
        </w:trPr>
        <w:tc>
          <w:tcPr>
            <w:tcW w:w="1240" w:type="dxa"/>
            <w:tcBorders>
              <w:top w:val="nil"/>
              <w:left w:val="single" w:sz="4" w:space="0" w:color="auto"/>
              <w:bottom w:val="single" w:sz="4" w:space="0" w:color="auto"/>
              <w:right w:val="single" w:sz="4" w:space="0" w:color="auto"/>
            </w:tcBorders>
            <w:vAlign w:val="bottom"/>
            <w:hideMark/>
          </w:tcPr>
          <w:p w14:paraId="7044F1A7" w14:textId="77777777" w:rsidR="001364E6" w:rsidRPr="001C326C" w:rsidRDefault="001364E6" w:rsidP="001364E6">
            <w:pPr>
              <w:spacing w:after="0" w:line="240" w:lineRule="auto"/>
              <w:ind w:left="0" w:right="0" w:firstLine="0"/>
              <w:jc w:val="center"/>
              <w:rPr>
                <w:rFonts w:ascii="Arial" w:eastAsia="Times New Roman" w:hAnsi="Arial" w:cs="Arial"/>
                <w:kern w:val="0"/>
                <w:sz w:val="16"/>
                <w:szCs w:val="16"/>
                <w14:ligatures w14:val="none"/>
              </w:rPr>
            </w:pPr>
            <w:r w:rsidRPr="001C326C">
              <w:rPr>
                <w:rFonts w:ascii="Arial" w:eastAsia="Times New Roman" w:hAnsi="Arial" w:cs="Arial"/>
                <w:kern w:val="0"/>
                <w:sz w:val="16"/>
                <w:szCs w:val="16"/>
                <w14:ligatures w14:val="none"/>
              </w:rPr>
              <w:t>Difference</w:t>
            </w:r>
          </w:p>
        </w:tc>
        <w:tc>
          <w:tcPr>
            <w:tcW w:w="1240" w:type="dxa"/>
            <w:tcBorders>
              <w:top w:val="single" w:sz="4" w:space="0" w:color="auto"/>
              <w:left w:val="single" w:sz="4" w:space="0" w:color="auto"/>
              <w:bottom w:val="single" w:sz="4" w:space="0" w:color="auto"/>
              <w:right w:val="single" w:sz="4" w:space="0" w:color="auto"/>
            </w:tcBorders>
            <w:noWrap/>
            <w:vAlign w:val="center"/>
          </w:tcPr>
          <w:p w14:paraId="1FF78124" w14:textId="6F1B5408" w:rsidR="001364E6" w:rsidRPr="001C326C" w:rsidRDefault="00CF58DD"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-5.4%</w:t>
            </w:r>
          </w:p>
        </w:tc>
        <w:tc>
          <w:tcPr>
            <w:tcW w:w="1240" w:type="dxa"/>
            <w:tcBorders>
              <w:top w:val="single" w:sz="4" w:space="0" w:color="auto"/>
              <w:left w:val="single" w:sz="4" w:space="0" w:color="auto"/>
              <w:bottom w:val="single" w:sz="4" w:space="0" w:color="auto"/>
              <w:right w:val="single" w:sz="4" w:space="0" w:color="auto"/>
            </w:tcBorders>
            <w:noWrap/>
            <w:vAlign w:val="center"/>
          </w:tcPr>
          <w:p w14:paraId="75220416" w14:textId="484F5FAB" w:rsidR="001364E6" w:rsidRPr="001C326C" w:rsidRDefault="009E72D5"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-3.8%</w:t>
            </w:r>
          </w:p>
        </w:tc>
        <w:tc>
          <w:tcPr>
            <w:tcW w:w="1240" w:type="dxa"/>
            <w:tcBorders>
              <w:top w:val="single" w:sz="4" w:space="0" w:color="auto"/>
              <w:left w:val="single" w:sz="4" w:space="0" w:color="auto"/>
              <w:bottom w:val="single" w:sz="4" w:space="0" w:color="auto"/>
              <w:right w:val="single" w:sz="4" w:space="0" w:color="auto"/>
            </w:tcBorders>
            <w:noWrap/>
            <w:vAlign w:val="center"/>
          </w:tcPr>
          <w:p w14:paraId="3503C12B" w14:textId="695CA49E" w:rsidR="001364E6" w:rsidRPr="001C326C" w:rsidRDefault="009E72D5"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-0.3%</w:t>
            </w:r>
          </w:p>
        </w:tc>
        <w:tc>
          <w:tcPr>
            <w:tcW w:w="1240" w:type="dxa"/>
            <w:tcBorders>
              <w:top w:val="single" w:sz="4" w:space="0" w:color="auto"/>
              <w:left w:val="single" w:sz="4" w:space="0" w:color="auto"/>
              <w:bottom w:val="single" w:sz="4" w:space="0" w:color="auto"/>
              <w:right w:val="single" w:sz="4" w:space="0" w:color="auto"/>
            </w:tcBorders>
            <w:noWrap/>
            <w:vAlign w:val="center"/>
          </w:tcPr>
          <w:p w14:paraId="6C166E27" w14:textId="5C4133F4" w:rsidR="001364E6" w:rsidRPr="001C326C" w:rsidRDefault="009235EA"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-1.5%</w:t>
            </w:r>
          </w:p>
        </w:tc>
        <w:tc>
          <w:tcPr>
            <w:tcW w:w="1240" w:type="dxa"/>
            <w:tcBorders>
              <w:top w:val="single" w:sz="4" w:space="0" w:color="auto"/>
              <w:left w:val="single" w:sz="4" w:space="0" w:color="auto"/>
              <w:bottom w:val="single" w:sz="4" w:space="0" w:color="auto"/>
              <w:right w:val="single" w:sz="4" w:space="0" w:color="auto"/>
            </w:tcBorders>
            <w:noWrap/>
            <w:vAlign w:val="center"/>
          </w:tcPr>
          <w:p w14:paraId="338CBEB6" w14:textId="1B252775" w:rsidR="001364E6" w:rsidRPr="001C326C" w:rsidRDefault="009235EA"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-10.7%</w:t>
            </w:r>
          </w:p>
        </w:tc>
        <w:tc>
          <w:tcPr>
            <w:tcW w:w="1240" w:type="dxa"/>
            <w:tcBorders>
              <w:top w:val="single" w:sz="4" w:space="0" w:color="auto"/>
              <w:left w:val="single" w:sz="4" w:space="0" w:color="auto"/>
              <w:bottom w:val="single" w:sz="4" w:space="0" w:color="auto"/>
              <w:right w:val="single" w:sz="4" w:space="0" w:color="auto"/>
            </w:tcBorders>
            <w:noWrap/>
            <w:vAlign w:val="center"/>
          </w:tcPr>
          <w:p w14:paraId="397D1F5D" w14:textId="5754270B" w:rsidR="001364E6" w:rsidRPr="001C326C" w:rsidRDefault="00D37B1F"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-4.8%</w:t>
            </w:r>
          </w:p>
        </w:tc>
        <w:tc>
          <w:tcPr>
            <w:tcW w:w="1240" w:type="dxa"/>
            <w:tcBorders>
              <w:top w:val="single" w:sz="4" w:space="0" w:color="auto"/>
              <w:left w:val="single" w:sz="4" w:space="0" w:color="auto"/>
              <w:bottom w:val="single" w:sz="4" w:space="0" w:color="auto"/>
              <w:right w:val="single" w:sz="4" w:space="0" w:color="auto"/>
            </w:tcBorders>
            <w:noWrap/>
            <w:vAlign w:val="center"/>
          </w:tcPr>
          <w:p w14:paraId="1029050F" w14:textId="73C0F253" w:rsidR="001364E6" w:rsidRPr="001C326C" w:rsidRDefault="00D37B1F" w:rsidP="001364E6">
            <w:pPr>
              <w:spacing w:after="0" w:line="240" w:lineRule="auto"/>
              <w:ind w:left="0" w:right="0" w:firstLine="0"/>
              <w:jc w:val="right"/>
              <w:rPr>
                <w:rFonts w:ascii="Arial" w:eastAsia="Times New Roman" w:hAnsi="Arial" w:cs="Arial"/>
                <w:color w:val="3C7D22"/>
                <w:kern w:val="0"/>
                <w:sz w:val="16"/>
                <w:szCs w:val="16"/>
                <w14:ligatures w14:val="none"/>
              </w:rPr>
            </w:pPr>
            <w:r>
              <w:rPr>
                <w:rFonts w:ascii="Arial" w:eastAsia="Times New Roman" w:hAnsi="Arial" w:cs="Arial"/>
                <w:color w:val="3C7D22"/>
                <w:kern w:val="0"/>
                <w:sz w:val="16"/>
                <w:szCs w:val="16"/>
                <w14:ligatures w14:val="none"/>
              </w:rPr>
              <w:t>-1.2%</w:t>
            </w:r>
          </w:p>
        </w:tc>
        <w:tc>
          <w:tcPr>
            <w:tcW w:w="1240" w:type="dxa"/>
            <w:tcBorders>
              <w:top w:val="single" w:sz="4" w:space="0" w:color="auto"/>
              <w:left w:val="single" w:sz="4" w:space="0" w:color="auto"/>
              <w:bottom w:val="single" w:sz="4" w:space="0" w:color="auto"/>
              <w:right w:val="single" w:sz="4" w:space="0" w:color="auto"/>
            </w:tcBorders>
            <w:noWrap/>
            <w:vAlign w:val="center"/>
          </w:tcPr>
          <w:p w14:paraId="10B3D4DD" w14:textId="619F34F2" w:rsidR="001364E6" w:rsidRPr="001C326C" w:rsidRDefault="00AA3E78"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-1.5%</w:t>
            </w:r>
          </w:p>
        </w:tc>
        <w:tc>
          <w:tcPr>
            <w:tcW w:w="1240" w:type="dxa"/>
            <w:tcBorders>
              <w:top w:val="single" w:sz="4" w:space="0" w:color="auto"/>
              <w:left w:val="single" w:sz="4" w:space="0" w:color="auto"/>
              <w:bottom w:val="single" w:sz="4" w:space="0" w:color="auto"/>
              <w:right w:val="single" w:sz="4" w:space="0" w:color="auto"/>
            </w:tcBorders>
            <w:noWrap/>
            <w:vAlign w:val="center"/>
          </w:tcPr>
          <w:p w14:paraId="5DF9CF8A" w14:textId="536DBAC2" w:rsidR="001364E6" w:rsidRPr="001C326C" w:rsidRDefault="00AA3E78"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-0.7%</w:t>
            </w:r>
          </w:p>
        </w:tc>
        <w:tc>
          <w:tcPr>
            <w:tcW w:w="1240" w:type="dxa"/>
            <w:tcBorders>
              <w:top w:val="single" w:sz="4" w:space="0" w:color="auto"/>
              <w:left w:val="single" w:sz="4" w:space="0" w:color="auto"/>
              <w:bottom w:val="single" w:sz="4" w:space="0" w:color="auto"/>
              <w:right w:val="single" w:sz="4" w:space="0" w:color="auto"/>
            </w:tcBorders>
            <w:noWrap/>
            <w:vAlign w:val="center"/>
          </w:tcPr>
          <w:p w14:paraId="539BD63F" w14:textId="59941ED7" w:rsidR="001364E6" w:rsidRPr="001C326C" w:rsidRDefault="00BC29CA"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-0.4%</w:t>
            </w:r>
          </w:p>
        </w:tc>
        <w:tc>
          <w:tcPr>
            <w:tcW w:w="1240" w:type="dxa"/>
            <w:tcBorders>
              <w:top w:val="single" w:sz="4" w:space="0" w:color="auto"/>
              <w:left w:val="single" w:sz="4" w:space="0" w:color="auto"/>
              <w:bottom w:val="single" w:sz="4" w:space="0" w:color="auto"/>
              <w:right w:val="single" w:sz="4" w:space="0" w:color="auto"/>
            </w:tcBorders>
            <w:noWrap/>
            <w:vAlign w:val="center"/>
          </w:tcPr>
          <w:p w14:paraId="1C77050F" w14:textId="56980AA5" w:rsidR="001364E6" w:rsidRPr="001364E6" w:rsidRDefault="00BC29CA" w:rsidP="001364E6">
            <w:pPr>
              <w:spacing w:after="0" w:line="240" w:lineRule="auto"/>
              <w:ind w:left="0" w:right="0" w:firstLine="0"/>
              <w:jc w:val="right"/>
              <w:rPr>
                <w:rFonts w:ascii="Arial" w:eastAsia="Times New Roman" w:hAnsi="Arial" w:cs="Arial"/>
                <w:color w:val="FF0000"/>
                <w:kern w:val="0"/>
                <w:sz w:val="16"/>
                <w:szCs w:val="16"/>
                <w14:ligatures w14:val="none"/>
              </w:rPr>
            </w:pPr>
            <w:r>
              <w:rPr>
                <w:rFonts w:ascii="Arial" w:eastAsia="Times New Roman" w:hAnsi="Arial" w:cs="Arial"/>
                <w:color w:val="FF0000"/>
                <w:kern w:val="0"/>
                <w:sz w:val="16"/>
                <w:szCs w:val="16"/>
                <w14:ligatures w14:val="none"/>
              </w:rPr>
              <w:t>-2.9%</w:t>
            </w:r>
          </w:p>
        </w:tc>
      </w:tr>
    </w:tbl>
    <w:p w14:paraId="105D3F93" w14:textId="77777777" w:rsidR="001364E6" w:rsidRDefault="001364E6" w:rsidP="00DE43C2">
      <w:pPr>
        <w:ind w:right="605"/>
      </w:pPr>
    </w:p>
    <w:sectPr w:rsidR="001364E6" w:rsidSect="00DE43C2">
      <w:pgSz w:w="16838" w:h="11906" w:orient="landscape"/>
      <w:pgMar w:top="720" w:right="720" w:bottom="720" w:left="720" w:header="720"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C11C" w14:textId="77777777" w:rsidR="00E302B8" w:rsidRDefault="00E302B8">
      <w:pPr>
        <w:spacing w:after="0" w:line="240" w:lineRule="auto"/>
      </w:pPr>
      <w:r>
        <w:separator/>
      </w:r>
    </w:p>
  </w:endnote>
  <w:endnote w:type="continuationSeparator" w:id="0">
    <w:p w14:paraId="584509C3" w14:textId="77777777" w:rsidR="00E302B8" w:rsidRDefault="00E3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A314" w14:textId="77777777" w:rsidR="00344D4B" w:rsidRDefault="00D001DE">
    <w:pPr>
      <w:spacing w:after="0" w:line="259" w:lineRule="auto"/>
      <w:ind w:left="0" w:right="204" w:firstLine="0"/>
      <w:jc w:val="center"/>
    </w:pPr>
    <w:r>
      <w:fldChar w:fldCharType="begin"/>
    </w:r>
    <w:r>
      <w:instrText xml:space="preserve"> PAGE   \* MERGEFORMAT </w:instrText>
    </w:r>
    <w:r>
      <w:fldChar w:fldCharType="separate"/>
    </w:r>
    <w:r>
      <w:t>15</w:t>
    </w:r>
    <w:r>
      <w:fldChar w:fldCharType="end"/>
    </w:r>
    <w:r>
      <w:t xml:space="preserve"> </w:t>
    </w:r>
  </w:p>
  <w:p w14:paraId="206BED6A" w14:textId="77777777" w:rsidR="00344D4B" w:rsidRDefault="00D001DE">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9DB3" w14:textId="77777777" w:rsidR="00344D4B" w:rsidRDefault="00D001DE">
    <w:pPr>
      <w:spacing w:after="0" w:line="259" w:lineRule="auto"/>
      <w:ind w:left="0" w:right="204" w:firstLine="0"/>
      <w:jc w:val="center"/>
    </w:pPr>
    <w:r>
      <w:fldChar w:fldCharType="begin"/>
    </w:r>
    <w:r>
      <w:instrText xml:space="preserve"> PAGE   \* MERGEFORMAT </w:instrText>
    </w:r>
    <w:r>
      <w:fldChar w:fldCharType="separate"/>
    </w:r>
    <w:r>
      <w:t>15</w:t>
    </w:r>
    <w:r>
      <w:fldChar w:fldCharType="end"/>
    </w:r>
    <w:r>
      <w:t xml:space="preserve"> </w:t>
    </w:r>
  </w:p>
  <w:p w14:paraId="781A963E" w14:textId="77777777" w:rsidR="00344D4B" w:rsidRDefault="00D001DE">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B052" w14:textId="77777777" w:rsidR="00344D4B" w:rsidRDefault="00D001DE">
    <w:pPr>
      <w:spacing w:after="0" w:line="259" w:lineRule="auto"/>
      <w:ind w:left="0" w:right="204" w:firstLine="0"/>
      <w:jc w:val="center"/>
    </w:pPr>
    <w:r>
      <w:fldChar w:fldCharType="begin"/>
    </w:r>
    <w:r>
      <w:instrText xml:space="preserve"> PAGE   \* MERGEFORMAT </w:instrText>
    </w:r>
    <w:r>
      <w:fldChar w:fldCharType="separate"/>
    </w:r>
    <w:r>
      <w:t>15</w:t>
    </w:r>
    <w:r>
      <w:fldChar w:fldCharType="end"/>
    </w:r>
    <w:r>
      <w:t xml:space="preserve"> </w:t>
    </w:r>
  </w:p>
  <w:p w14:paraId="6AF6035E" w14:textId="77777777" w:rsidR="00344D4B" w:rsidRDefault="00D001DE">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889F" w14:textId="77777777" w:rsidR="00E302B8" w:rsidRDefault="00E302B8">
      <w:pPr>
        <w:spacing w:after="0" w:line="240" w:lineRule="auto"/>
      </w:pPr>
      <w:r>
        <w:separator/>
      </w:r>
    </w:p>
  </w:footnote>
  <w:footnote w:type="continuationSeparator" w:id="0">
    <w:p w14:paraId="03D75D4D" w14:textId="77777777" w:rsidR="00E302B8" w:rsidRDefault="00E30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98B7" w14:textId="77777777" w:rsidR="00327B14" w:rsidRDefault="00327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428232"/>
      <w:docPartObj>
        <w:docPartGallery w:val="Watermarks"/>
        <w:docPartUnique/>
      </w:docPartObj>
    </w:sdtPr>
    <w:sdtContent>
      <w:p w14:paraId="2D4CECBB" w14:textId="1D94C12F" w:rsidR="00327B14" w:rsidRDefault="00000000">
        <w:pPr>
          <w:pStyle w:val="Header"/>
        </w:pPr>
        <w:r>
          <w:rPr>
            <w:noProof/>
          </w:rPr>
          <w:pict w14:anchorId="1A6BC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6D30" w14:textId="77777777" w:rsidR="00327B14" w:rsidRDefault="00327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1C5"/>
    <w:multiLevelType w:val="hybridMultilevel"/>
    <w:tmpl w:val="C21AFBCA"/>
    <w:lvl w:ilvl="0" w:tplc="2E70CB52">
      <w:start w:val="57"/>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D45E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6083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964A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34F1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3662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4A0DA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0853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2294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06B9D"/>
    <w:multiLevelType w:val="hybridMultilevel"/>
    <w:tmpl w:val="8EDAEA96"/>
    <w:lvl w:ilvl="0" w:tplc="1B0CE4A6">
      <w:start w:val="15"/>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9C70E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C8DAD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4BEFC6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BF24F78">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5628732">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184367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EDEEC0E">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7A263B8">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E45B64"/>
    <w:multiLevelType w:val="hybridMultilevel"/>
    <w:tmpl w:val="C50E50CA"/>
    <w:lvl w:ilvl="0" w:tplc="E7D69D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AC8664">
      <w:start w:val="1"/>
      <w:numFmt w:val="bullet"/>
      <w:lvlText w:val="o"/>
      <w:lvlJc w:val="left"/>
      <w:pPr>
        <w:ind w:left="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1481C8">
      <w:start w:val="1"/>
      <w:numFmt w:val="bullet"/>
      <w:lvlRestart w:val="0"/>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AA1164">
      <w:start w:val="1"/>
      <w:numFmt w:val="bullet"/>
      <w:lvlText w:val="•"/>
      <w:lvlJc w:val="left"/>
      <w:pPr>
        <w:ind w:left="1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E064F8">
      <w:start w:val="1"/>
      <w:numFmt w:val="bullet"/>
      <w:lvlText w:val="o"/>
      <w:lvlJc w:val="left"/>
      <w:pPr>
        <w:ind w:left="2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407AAA">
      <w:start w:val="1"/>
      <w:numFmt w:val="bullet"/>
      <w:lvlText w:val="▪"/>
      <w:lvlJc w:val="left"/>
      <w:pPr>
        <w:ind w:left="3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6AB570">
      <w:start w:val="1"/>
      <w:numFmt w:val="bullet"/>
      <w:lvlText w:val="•"/>
      <w:lvlJc w:val="left"/>
      <w:pPr>
        <w:ind w:left="3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AAA67E">
      <w:start w:val="1"/>
      <w:numFmt w:val="bullet"/>
      <w:lvlText w:val="o"/>
      <w:lvlJc w:val="left"/>
      <w:pPr>
        <w:ind w:left="4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6C9CB4">
      <w:start w:val="1"/>
      <w:numFmt w:val="bullet"/>
      <w:lvlText w:val="▪"/>
      <w:lvlJc w:val="left"/>
      <w:pPr>
        <w:ind w:left="5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5C2D0D"/>
    <w:multiLevelType w:val="hybridMultilevel"/>
    <w:tmpl w:val="03984256"/>
    <w:lvl w:ilvl="0" w:tplc="C7467940">
      <w:start w:val="8"/>
      <w:numFmt w:val="decimal"/>
      <w:lvlText w:val="%1."/>
      <w:lvlJc w:val="left"/>
      <w:pPr>
        <w:ind w:left="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4" w15:restartNumberingAfterBreak="0">
    <w:nsid w:val="08EB4BC3"/>
    <w:multiLevelType w:val="hybridMultilevel"/>
    <w:tmpl w:val="703C3036"/>
    <w:lvl w:ilvl="0" w:tplc="E6D06F7A">
      <w:start w:val="13"/>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E6095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F0B8F2">
      <w:start w:val="1"/>
      <w:numFmt w:val="bullet"/>
      <w:lvlText w:val="▪"/>
      <w:lvlJc w:val="left"/>
      <w:pPr>
        <w:ind w:left="1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56CF8E">
      <w:start w:val="1"/>
      <w:numFmt w:val="bullet"/>
      <w:lvlText w:val="•"/>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4FB8A">
      <w:start w:val="1"/>
      <w:numFmt w:val="bullet"/>
      <w:lvlText w:val="o"/>
      <w:lvlJc w:val="left"/>
      <w:pPr>
        <w:ind w:left="3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689FF6">
      <w:start w:val="1"/>
      <w:numFmt w:val="bullet"/>
      <w:lvlText w:val="▪"/>
      <w:lvlJc w:val="left"/>
      <w:pPr>
        <w:ind w:left="3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EADEA2">
      <w:start w:val="1"/>
      <w:numFmt w:val="bullet"/>
      <w:lvlText w:val="•"/>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E21C8E">
      <w:start w:val="1"/>
      <w:numFmt w:val="bullet"/>
      <w:lvlText w:val="o"/>
      <w:lvlJc w:val="left"/>
      <w:pPr>
        <w:ind w:left="5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E2670A">
      <w:start w:val="1"/>
      <w:numFmt w:val="bullet"/>
      <w:lvlText w:val="▪"/>
      <w:lvlJc w:val="left"/>
      <w:pPr>
        <w:ind w:left="5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055ED1"/>
    <w:multiLevelType w:val="hybridMultilevel"/>
    <w:tmpl w:val="6742E14C"/>
    <w:lvl w:ilvl="0" w:tplc="0809000F">
      <w:start w:val="1"/>
      <w:numFmt w:val="decimal"/>
      <w:lvlText w:val="%1."/>
      <w:lvlJc w:val="left"/>
      <w:pPr>
        <w:ind w:left="772" w:hanging="360"/>
      </w:p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6" w15:restartNumberingAfterBreak="0">
    <w:nsid w:val="187F74CE"/>
    <w:multiLevelType w:val="hybridMultilevel"/>
    <w:tmpl w:val="E784411C"/>
    <w:lvl w:ilvl="0" w:tplc="C94E5838">
      <w:start w:val="3"/>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2467CC">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4EB5FC">
      <w:start w:val="1"/>
      <w:numFmt w:val="bullet"/>
      <w:lvlText w:val="▪"/>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96851A">
      <w:start w:val="1"/>
      <w:numFmt w:val="bullet"/>
      <w:lvlText w:val="•"/>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C68B54">
      <w:start w:val="1"/>
      <w:numFmt w:val="bullet"/>
      <w:lvlText w:val="o"/>
      <w:lvlJc w:val="left"/>
      <w:pPr>
        <w:ind w:left="3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F42C42">
      <w:start w:val="1"/>
      <w:numFmt w:val="bullet"/>
      <w:lvlText w:val="▪"/>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AEE040">
      <w:start w:val="1"/>
      <w:numFmt w:val="bullet"/>
      <w:lvlText w:val="•"/>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20034">
      <w:start w:val="1"/>
      <w:numFmt w:val="bullet"/>
      <w:lvlText w:val="o"/>
      <w:lvlJc w:val="left"/>
      <w:pPr>
        <w:ind w:left="5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866680">
      <w:start w:val="1"/>
      <w:numFmt w:val="bullet"/>
      <w:lvlText w:val="▪"/>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794C74"/>
    <w:multiLevelType w:val="hybridMultilevel"/>
    <w:tmpl w:val="683AD5A8"/>
    <w:lvl w:ilvl="0" w:tplc="15A24658">
      <w:start w:val="62"/>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5A8CAA">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A237F6">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6052A6">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687288">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82D0B0">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B6555A">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4CC36">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DCACB2">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1628FE"/>
    <w:multiLevelType w:val="hybridMultilevel"/>
    <w:tmpl w:val="852ECB8E"/>
    <w:lvl w:ilvl="0" w:tplc="FFFFFFFF">
      <w:start w:val="26"/>
      <w:numFmt w:val="decimal"/>
      <w:lvlText w:val="%1."/>
      <w:lvlJc w:val="left"/>
      <w:pPr>
        <w:ind w:left="41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EB29C6"/>
    <w:multiLevelType w:val="hybridMultilevel"/>
    <w:tmpl w:val="75DAC32E"/>
    <w:lvl w:ilvl="0" w:tplc="08090001">
      <w:start w:val="1"/>
      <w:numFmt w:val="bullet"/>
      <w:lvlText w:val=""/>
      <w:lvlJc w:val="left"/>
      <w:pPr>
        <w:ind w:left="7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A632D7"/>
    <w:multiLevelType w:val="hybridMultilevel"/>
    <w:tmpl w:val="61206EF6"/>
    <w:lvl w:ilvl="0" w:tplc="3D9627DE">
      <w:start w:val="62"/>
      <w:numFmt w:val="decimal"/>
      <w:lvlText w:val="%1."/>
      <w:lvlJc w:val="left"/>
      <w:pPr>
        <w:ind w:left="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4EE9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F0AD4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8E16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36FA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848DC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A2B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824E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BA4E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04500EE"/>
    <w:multiLevelType w:val="hybridMultilevel"/>
    <w:tmpl w:val="CDE45356"/>
    <w:lvl w:ilvl="0" w:tplc="5A421772">
      <w:start w:val="31"/>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985B68">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A861A8">
      <w:start w:val="1"/>
      <w:numFmt w:val="bullet"/>
      <w:lvlText w:val="▪"/>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A2AA28">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9A2298">
      <w:start w:val="1"/>
      <w:numFmt w:val="bullet"/>
      <w:lvlText w:val="o"/>
      <w:lvlJc w:val="left"/>
      <w:pPr>
        <w:ind w:left="2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BED78A">
      <w:start w:val="1"/>
      <w:numFmt w:val="bullet"/>
      <w:lvlText w:val="▪"/>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06A22E">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0CCB6A">
      <w:start w:val="1"/>
      <w:numFmt w:val="bullet"/>
      <w:lvlText w:val="o"/>
      <w:lvlJc w:val="left"/>
      <w:pPr>
        <w:ind w:left="5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FAC742">
      <w:start w:val="1"/>
      <w:numFmt w:val="bullet"/>
      <w:lvlText w:val="▪"/>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C5334E"/>
    <w:multiLevelType w:val="hybridMultilevel"/>
    <w:tmpl w:val="D2D6F0D4"/>
    <w:lvl w:ilvl="0" w:tplc="82021D44">
      <w:start w:val="34"/>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101F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A40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86C3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30AC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FAD46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908D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EE62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FCC07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FB1C57"/>
    <w:multiLevelType w:val="hybridMultilevel"/>
    <w:tmpl w:val="182C98A4"/>
    <w:lvl w:ilvl="0" w:tplc="FFFFFFFF">
      <w:start w:val="1"/>
      <w:numFmt w:val="decimal"/>
      <w:lvlText w:val="%1."/>
      <w:lvlJc w:val="left"/>
      <w:pPr>
        <w:ind w:left="787" w:hanging="360"/>
      </w:p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4" w15:restartNumberingAfterBreak="0">
    <w:nsid w:val="391766F7"/>
    <w:multiLevelType w:val="hybridMultilevel"/>
    <w:tmpl w:val="77628C50"/>
    <w:lvl w:ilvl="0" w:tplc="C7467940">
      <w:start w:val="8"/>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C267C8">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5EFDFE">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16734A">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EEFDDE">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DE5BF8">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AE8B7A">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601956">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8418EA">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8A3045"/>
    <w:multiLevelType w:val="hybridMultilevel"/>
    <w:tmpl w:val="182C98A4"/>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6" w15:restartNumberingAfterBreak="0">
    <w:nsid w:val="3A307226"/>
    <w:multiLevelType w:val="hybridMultilevel"/>
    <w:tmpl w:val="852ECB8E"/>
    <w:lvl w:ilvl="0" w:tplc="3F482606">
      <w:start w:val="26"/>
      <w:numFmt w:val="decimal"/>
      <w:lvlText w:val="%1."/>
      <w:lvlJc w:val="left"/>
      <w:pPr>
        <w:ind w:left="41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FC482A"/>
    <w:multiLevelType w:val="hybridMultilevel"/>
    <w:tmpl w:val="8A52EB0E"/>
    <w:lvl w:ilvl="0" w:tplc="3790E80A">
      <w:start w:val="1"/>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4608FC">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8C7E3A">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80B3E6">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B8B566">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9EA0CA">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C878EE">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B0B8B2">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E2DBE2">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E82BB1"/>
    <w:multiLevelType w:val="hybridMultilevel"/>
    <w:tmpl w:val="A18046BA"/>
    <w:lvl w:ilvl="0" w:tplc="CF348AB4">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CEF2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7861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16CC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8411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2254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3A48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948D8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F0839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DA5FAE"/>
    <w:multiLevelType w:val="hybridMultilevel"/>
    <w:tmpl w:val="D7A2157E"/>
    <w:lvl w:ilvl="0" w:tplc="F1F25860">
      <w:start w:val="22"/>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D45B2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037B8">
      <w:start w:val="1"/>
      <w:numFmt w:val="bullet"/>
      <w:lvlText w:val="▪"/>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48241C">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8E47AA">
      <w:start w:val="1"/>
      <w:numFmt w:val="bullet"/>
      <w:lvlText w:val="o"/>
      <w:lvlJc w:val="left"/>
      <w:pPr>
        <w:ind w:left="2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809B32">
      <w:start w:val="1"/>
      <w:numFmt w:val="bullet"/>
      <w:lvlText w:val="▪"/>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BEA796">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F0E08E">
      <w:start w:val="1"/>
      <w:numFmt w:val="bullet"/>
      <w:lvlText w:val="o"/>
      <w:lvlJc w:val="left"/>
      <w:pPr>
        <w:ind w:left="5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F68BA0">
      <w:start w:val="1"/>
      <w:numFmt w:val="bullet"/>
      <w:lvlText w:val="▪"/>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A8B0087"/>
    <w:multiLevelType w:val="hybridMultilevel"/>
    <w:tmpl w:val="F5A42DA0"/>
    <w:lvl w:ilvl="0" w:tplc="B5A401D4">
      <w:start w:val="43"/>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8EDA6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ECB7F0">
      <w:start w:val="1"/>
      <w:numFmt w:val="bullet"/>
      <w:lvlText w:val="▪"/>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3E8DF6">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8CFDEA">
      <w:start w:val="1"/>
      <w:numFmt w:val="bullet"/>
      <w:lvlText w:val="o"/>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181EA8">
      <w:start w:val="1"/>
      <w:numFmt w:val="bullet"/>
      <w:lvlText w:val="▪"/>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C29918">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12FCA6">
      <w:start w:val="1"/>
      <w:numFmt w:val="bullet"/>
      <w:lvlText w:val="o"/>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46AD82">
      <w:start w:val="1"/>
      <w:numFmt w:val="bullet"/>
      <w:lvlText w:val="▪"/>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0C0224"/>
    <w:multiLevelType w:val="hybridMultilevel"/>
    <w:tmpl w:val="58809034"/>
    <w:lvl w:ilvl="0" w:tplc="B12EB47A">
      <w:start w:val="46"/>
      <w:numFmt w:val="decimal"/>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2" w15:restartNumberingAfterBreak="0">
    <w:nsid w:val="669361F3"/>
    <w:multiLevelType w:val="hybridMultilevel"/>
    <w:tmpl w:val="56706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524F78"/>
    <w:multiLevelType w:val="hybridMultilevel"/>
    <w:tmpl w:val="D29E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C2CEC"/>
    <w:multiLevelType w:val="hybridMultilevel"/>
    <w:tmpl w:val="1F7C5E14"/>
    <w:lvl w:ilvl="0" w:tplc="B90A3558">
      <w:start w:val="28"/>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7813B2">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3E2E20">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34AE24">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E82246">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7C681E">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42C458">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360C70">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C4CB56">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C7D2C71"/>
    <w:multiLevelType w:val="hybridMultilevel"/>
    <w:tmpl w:val="3446EADE"/>
    <w:lvl w:ilvl="0" w:tplc="F81C081E">
      <w:start w:val="48"/>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2CA2A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24D62A">
      <w:start w:val="1"/>
      <w:numFmt w:val="bullet"/>
      <w:lvlText w:val="▪"/>
      <w:lvlJc w:val="left"/>
      <w:pPr>
        <w:ind w:left="1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422F28">
      <w:start w:val="1"/>
      <w:numFmt w:val="bullet"/>
      <w:lvlText w:val="•"/>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2C5D10">
      <w:start w:val="1"/>
      <w:numFmt w:val="bullet"/>
      <w:lvlText w:val="o"/>
      <w:lvlJc w:val="left"/>
      <w:pPr>
        <w:ind w:left="3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50C258">
      <w:start w:val="1"/>
      <w:numFmt w:val="bullet"/>
      <w:lvlText w:val="▪"/>
      <w:lvlJc w:val="left"/>
      <w:pPr>
        <w:ind w:left="3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66C4DE">
      <w:start w:val="1"/>
      <w:numFmt w:val="bullet"/>
      <w:lvlText w:val="•"/>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E8402">
      <w:start w:val="1"/>
      <w:numFmt w:val="bullet"/>
      <w:lvlText w:val="o"/>
      <w:lvlJc w:val="left"/>
      <w:pPr>
        <w:ind w:left="5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E21D76">
      <w:start w:val="1"/>
      <w:numFmt w:val="bullet"/>
      <w:lvlText w:val="▪"/>
      <w:lvlJc w:val="left"/>
      <w:pPr>
        <w:ind w:left="5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E7D67B1"/>
    <w:multiLevelType w:val="hybridMultilevel"/>
    <w:tmpl w:val="6BE47D24"/>
    <w:lvl w:ilvl="0" w:tplc="6ACCAA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C2AA4">
      <w:start w:val="1"/>
      <w:numFmt w:val="bullet"/>
      <w:lvlText w:val="o"/>
      <w:lvlJc w:val="left"/>
      <w:pPr>
        <w:ind w:left="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3EB508">
      <w:start w:val="1"/>
      <w:numFmt w:val="bullet"/>
      <w:lvlRestart w:val="0"/>
      <w:lvlText w:val="•"/>
      <w:lvlJc w:val="left"/>
      <w:pPr>
        <w:ind w:left="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0EF89C">
      <w:start w:val="1"/>
      <w:numFmt w:val="bullet"/>
      <w:lvlText w:val="•"/>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6C9A8C">
      <w:start w:val="1"/>
      <w:numFmt w:val="bullet"/>
      <w:lvlText w:val="o"/>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015A">
      <w:start w:val="1"/>
      <w:numFmt w:val="bullet"/>
      <w:lvlText w:val="▪"/>
      <w:lvlJc w:val="left"/>
      <w:pPr>
        <w:ind w:left="3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B0AB78">
      <w:start w:val="1"/>
      <w:numFmt w:val="bullet"/>
      <w:lvlText w:val="•"/>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E2710E">
      <w:start w:val="1"/>
      <w:numFmt w:val="bullet"/>
      <w:lvlText w:val="o"/>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B2199A">
      <w:start w:val="1"/>
      <w:numFmt w:val="bullet"/>
      <w:lvlText w:val="▪"/>
      <w:lvlJc w:val="left"/>
      <w:pPr>
        <w:ind w:left="5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22031021">
    <w:abstractNumId w:val="17"/>
  </w:num>
  <w:num w:numId="2" w16cid:durableId="1408459386">
    <w:abstractNumId w:val="6"/>
  </w:num>
  <w:num w:numId="3" w16cid:durableId="1799301732">
    <w:abstractNumId w:val="14"/>
  </w:num>
  <w:num w:numId="4" w16cid:durableId="1578131116">
    <w:abstractNumId w:val="4"/>
  </w:num>
  <w:num w:numId="5" w16cid:durableId="1073816936">
    <w:abstractNumId w:val="1"/>
  </w:num>
  <w:num w:numId="6" w16cid:durableId="550072706">
    <w:abstractNumId w:val="19"/>
  </w:num>
  <w:num w:numId="7" w16cid:durableId="775519809">
    <w:abstractNumId w:val="26"/>
  </w:num>
  <w:num w:numId="8" w16cid:durableId="1533152481">
    <w:abstractNumId w:val="2"/>
  </w:num>
  <w:num w:numId="9" w16cid:durableId="1129204391">
    <w:abstractNumId w:val="24"/>
  </w:num>
  <w:num w:numId="10" w16cid:durableId="1141120915">
    <w:abstractNumId w:val="11"/>
  </w:num>
  <w:num w:numId="11" w16cid:durableId="1572882205">
    <w:abstractNumId w:val="12"/>
  </w:num>
  <w:num w:numId="12" w16cid:durableId="1172182312">
    <w:abstractNumId w:val="20"/>
  </w:num>
  <w:num w:numId="13" w16cid:durableId="1293705407">
    <w:abstractNumId w:val="25"/>
  </w:num>
  <w:num w:numId="14" w16cid:durableId="620376485">
    <w:abstractNumId w:val="0"/>
  </w:num>
  <w:num w:numId="15" w16cid:durableId="1717729538">
    <w:abstractNumId w:val="7"/>
  </w:num>
  <w:num w:numId="16" w16cid:durableId="1565021826">
    <w:abstractNumId w:val="10"/>
  </w:num>
  <w:num w:numId="17" w16cid:durableId="1245921485">
    <w:abstractNumId w:val="18"/>
  </w:num>
  <w:num w:numId="18" w16cid:durableId="1541747223">
    <w:abstractNumId w:val="22"/>
  </w:num>
  <w:num w:numId="19" w16cid:durableId="26222537">
    <w:abstractNumId w:val="5"/>
  </w:num>
  <w:num w:numId="20" w16cid:durableId="318845716">
    <w:abstractNumId w:val="15"/>
  </w:num>
  <w:num w:numId="21" w16cid:durableId="2103450615">
    <w:abstractNumId w:val="3"/>
  </w:num>
  <w:num w:numId="22" w16cid:durableId="1875382184">
    <w:abstractNumId w:val="13"/>
  </w:num>
  <w:num w:numId="23" w16cid:durableId="1591115416">
    <w:abstractNumId w:val="23"/>
  </w:num>
  <w:num w:numId="24" w16cid:durableId="1422948788">
    <w:abstractNumId w:val="9"/>
  </w:num>
  <w:num w:numId="25" w16cid:durableId="1682244822">
    <w:abstractNumId w:val="16"/>
  </w:num>
  <w:num w:numId="26" w16cid:durableId="1196501332">
    <w:abstractNumId w:val="8"/>
  </w:num>
  <w:num w:numId="27" w16cid:durableId="12033278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4B"/>
    <w:rsid w:val="00017A1D"/>
    <w:rsid w:val="00040A0D"/>
    <w:rsid w:val="00051DBE"/>
    <w:rsid w:val="00057F79"/>
    <w:rsid w:val="0006054E"/>
    <w:rsid w:val="0007283D"/>
    <w:rsid w:val="00084128"/>
    <w:rsid w:val="000A46D2"/>
    <w:rsid w:val="000B6A64"/>
    <w:rsid w:val="000B73E2"/>
    <w:rsid w:val="000C41DD"/>
    <w:rsid w:val="000C665E"/>
    <w:rsid w:val="000D0FAF"/>
    <w:rsid w:val="00113697"/>
    <w:rsid w:val="001169C4"/>
    <w:rsid w:val="001364E6"/>
    <w:rsid w:val="00143C16"/>
    <w:rsid w:val="00144070"/>
    <w:rsid w:val="0019784E"/>
    <w:rsid w:val="001B3971"/>
    <w:rsid w:val="001B7AC6"/>
    <w:rsid w:val="001C326C"/>
    <w:rsid w:val="001E1B37"/>
    <w:rsid w:val="00254C88"/>
    <w:rsid w:val="00262A88"/>
    <w:rsid w:val="002634AA"/>
    <w:rsid w:val="00267E1C"/>
    <w:rsid w:val="00276E17"/>
    <w:rsid w:val="00282D0B"/>
    <w:rsid w:val="00294028"/>
    <w:rsid w:val="00296170"/>
    <w:rsid w:val="002B51CC"/>
    <w:rsid w:val="002C4CC5"/>
    <w:rsid w:val="002C7413"/>
    <w:rsid w:val="002D1B0A"/>
    <w:rsid w:val="002D6267"/>
    <w:rsid w:val="002F2057"/>
    <w:rsid w:val="002F52EB"/>
    <w:rsid w:val="003008D5"/>
    <w:rsid w:val="00311FA2"/>
    <w:rsid w:val="00327B14"/>
    <w:rsid w:val="00344D4B"/>
    <w:rsid w:val="003533DB"/>
    <w:rsid w:val="003704D5"/>
    <w:rsid w:val="00387263"/>
    <w:rsid w:val="003A25D0"/>
    <w:rsid w:val="003A7512"/>
    <w:rsid w:val="003B33A3"/>
    <w:rsid w:val="003B49BC"/>
    <w:rsid w:val="003B4FD6"/>
    <w:rsid w:val="003D38AB"/>
    <w:rsid w:val="003F1B54"/>
    <w:rsid w:val="004031B0"/>
    <w:rsid w:val="00454DAC"/>
    <w:rsid w:val="00464045"/>
    <w:rsid w:val="004816F3"/>
    <w:rsid w:val="004906F7"/>
    <w:rsid w:val="004964D5"/>
    <w:rsid w:val="004A3651"/>
    <w:rsid w:val="004A553A"/>
    <w:rsid w:val="004D3E32"/>
    <w:rsid w:val="004E1C3C"/>
    <w:rsid w:val="004E33DD"/>
    <w:rsid w:val="00500408"/>
    <w:rsid w:val="005202FF"/>
    <w:rsid w:val="005218F2"/>
    <w:rsid w:val="005426EF"/>
    <w:rsid w:val="005541C3"/>
    <w:rsid w:val="0055459F"/>
    <w:rsid w:val="00562F5F"/>
    <w:rsid w:val="00563C28"/>
    <w:rsid w:val="00564EF0"/>
    <w:rsid w:val="00573BE4"/>
    <w:rsid w:val="005932E1"/>
    <w:rsid w:val="005A00C6"/>
    <w:rsid w:val="005A15A8"/>
    <w:rsid w:val="005D7C55"/>
    <w:rsid w:val="005E2068"/>
    <w:rsid w:val="005E28AA"/>
    <w:rsid w:val="0060478A"/>
    <w:rsid w:val="006064F4"/>
    <w:rsid w:val="00620A44"/>
    <w:rsid w:val="00622143"/>
    <w:rsid w:val="006315F2"/>
    <w:rsid w:val="0063598A"/>
    <w:rsid w:val="00653630"/>
    <w:rsid w:val="00695AC3"/>
    <w:rsid w:val="006B2683"/>
    <w:rsid w:val="006E2D0C"/>
    <w:rsid w:val="00711EA1"/>
    <w:rsid w:val="00730622"/>
    <w:rsid w:val="0074076F"/>
    <w:rsid w:val="0074367E"/>
    <w:rsid w:val="00753D11"/>
    <w:rsid w:val="007609C3"/>
    <w:rsid w:val="007660FD"/>
    <w:rsid w:val="0078466D"/>
    <w:rsid w:val="007A225E"/>
    <w:rsid w:val="007A4550"/>
    <w:rsid w:val="007C276F"/>
    <w:rsid w:val="007E60AD"/>
    <w:rsid w:val="007F077F"/>
    <w:rsid w:val="00803AC7"/>
    <w:rsid w:val="0080575A"/>
    <w:rsid w:val="0082408A"/>
    <w:rsid w:val="008412F5"/>
    <w:rsid w:val="00853C2D"/>
    <w:rsid w:val="00855FE3"/>
    <w:rsid w:val="008658D5"/>
    <w:rsid w:val="008820CA"/>
    <w:rsid w:val="00891FBC"/>
    <w:rsid w:val="008955FB"/>
    <w:rsid w:val="008B4F30"/>
    <w:rsid w:val="008B7984"/>
    <w:rsid w:val="008C1D05"/>
    <w:rsid w:val="008E5520"/>
    <w:rsid w:val="008F1510"/>
    <w:rsid w:val="0091275D"/>
    <w:rsid w:val="009235EA"/>
    <w:rsid w:val="009A1C33"/>
    <w:rsid w:val="009B108F"/>
    <w:rsid w:val="009B7E47"/>
    <w:rsid w:val="009D6136"/>
    <w:rsid w:val="009E1121"/>
    <w:rsid w:val="009E72D5"/>
    <w:rsid w:val="00A05248"/>
    <w:rsid w:val="00A06525"/>
    <w:rsid w:val="00A2566E"/>
    <w:rsid w:val="00A3256B"/>
    <w:rsid w:val="00A3517E"/>
    <w:rsid w:val="00A44D2A"/>
    <w:rsid w:val="00A5108D"/>
    <w:rsid w:val="00AA3E78"/>
    <w:rsid w:val="00AB2D93"/>
    <w:rsid w:val="00AC17DF"/>
    <w:rsid w:val="00AC3F08"/>
    <w:rsid w:val="00AD02E4"/>
    <w:rsid w:val="00AF390D"/>
    <w:rsid w:val="00B0150F"/>
    <w:rsid w:val="00B1763A"/>
    <w:rsid w:val="00B20453"/>
    <w:rsid w:val="00B2167E"/>
    <w:rsid w:val="00B26893"/>
    <w:rsid w:val="00B50407"/>
    <w:rsid w:val="00B64E16"/>
    <w:rsid w:val="00B7722D"/>
    <w:rsid w:val="00B8247B"/>
    <w:rsid w:val="00BC29CA"/>
    <w:rsid w:val="00BE04F8"/>
    <w:rsid w:val="00BE1DB2"/>
    <w:rsid w:val="00BF5C21"/>
    <w:rsid w:val="00C00FD8"/>
    <w:rsid w:val="00C01FB0"/>
    <w:rsid w:val="00C22F30"/>
    <w:rsid w:val="00C33E55"/>
    <w:rsid w:val="00C56979"/>
    <w:rsid w:val="00C56EB2"/>
    <w:rsid w:val="00C71865"/>
    <w:rsid w:val="00C8361A"/>
    <w:rsid w:val="00CA4F22"/>
    <w:rsid w:val="00CA7D49"/>
    <w:rsid w:val="00CB724D"/>
    <w:rsid w:val="00CF21DC"/>
    <w:rsid w:val="00CF58DD"/>
    <w:rsid w:val="00CF6265"/>
    <w:rsid w:val="00CF72EA"/>
    <w:rsid w:val="00D001DE"/>
    <w:rsid w:val="00D07617"/>
    <w:rsid w:val="00D224E1"/>
    <w:rsid w:val="00D23FA5"/>
    <w:rsid w:val="00D31E7B"/>
    <w:rsid w:val="00D37B1F"/>
    <w:rsid w:val="00D7154E"/>
    <w:rsid w:val="00D81B1B"/>
    <w:rsid w:val="00DA4575"/>
    <w:rsid w:val="00DB1148"/>
    <w:rsid w:val="00DC4BC5"/>
    <w:rsid w:val="00DC587F"/>
    <w:rsid w:val="00DE43C2"/>
    <w:rsid w:val="00E0650E"/>
    <w:rsid w:val="00E302B8"/>
    <w:rsid w:val="00E415AE"/>
    <w:rsid w:val="00E558FD"/>
    <w:rsid w:val="00E62B16"/>
    <w:rsid w:val="00E86BA3"/>
    <w:rsid w:val="00EA1793"/>
    <w:rsid w:val="00EB1AA9"/>
    <w:rsid w:val="00ED3416"/>
    <w:rsid w:val="00ED70C5"/>
    <w:rsid w:val="00F0508B"/>
    <w:rsid w:val="00F36948"/>
    <w:rsid w:val="00F37F0A"/>
    <w:rsid w:val="00F63C8B"/>
    <w:rsid w:val="00F676F5"/>
    <w:rsid w:val="00F72425"/>
    <w:rsid w:val="00F72B7B"/>
    <w:rsid w:val="00F92E4D"/>
    <w:rsid w:val="00F94C8E"/>
    <w:rsid w:val="00FA1D8D"/>
    <w:rsid w:val="00FA4824"/>
    <w:rsid w:val="00FD6AB3"/>
    <w:rsid w:val="00FF534D"/>
    <w:rsid w:val="61FC2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DA68"/>
  <w15:docId w15:val="{A1A0B5E6-C6EA-45F8-8F29-98ED69BC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65" w:lineRule="auto"/>
      <w:ind w:left="435" w:right="531" w:hanging="368"/>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2"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52" w:line="259" w:lineRule="auto"/>
      <w:ind w:left="10" w:hanging="10"/>
      <w:outlineLvl w:val="1"/>
    </w:pPr>
    <w:rPr>
      <w:rFonts w:ascii="Calibri" w:eastAsia="Calibri" w:hAnsi="Calibri" w:cs="Calibri"/>
      <w:b/>
      <w:i/>
      <w:color w:val="000000"/>
      <w:sz w:val="22"/>
    </w:rPr>
  </w:style>
  <w:style w:type="paragraph" w:styleId="Heading3">
    <w:name w:val="heading 3"/>
    <w:next w:val="Normal"/>
    <w:link w:val="Heading3Char"/>
    <w:uiPriority w:val="9"/>
    <w:unhideWhenUsed/>
    <w:qFormat/>
    <w:pPr>
      <w:keepNext/>
      <w:keepLines/>
      <w:spacing w:after="152" w:line="259" w:lineRule="auto"/>
      <w:ind w:left="10" w:hanging="10"/>
      <w:outlineLvl w:val="2"/>
    </w:pPr>
    <w:rPr>
      <w:rFonts w:ascii="Calibri" w:eastAsia="Calibri" w:hAnsi="Calibri" w:cs="Calibri"/>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22"/>
    </w:rPr>
  </w:style>
  <w:style w:type="character" w:customStyle="1" w:styleId="Heading3Char">
    <w:name w:val="Heading 3 Char"/>
    <w:link w:val="Heading3"/>
    <w:rPr>
      <w:rFonts w:ascii="Calibri" w:eastAsia="Calibri" w:hAnsi="Calibri" w:cs="Calibri"/>
      <w:i/>
      <w:color w:val="000000"/>
      <w:sz w:val="22"/>
    </w:rPr>
  </w:style>
  <w:style w:type="character" w:customStyle="1" w:styleId="Heading1Char">
    <w:name w:val="Heading 1 Char"/>
    <w:link w:val="Heading1"/>
    <w:rPr>
      <w:rFonts w:ascii="Calibri" w:eastAsia="Calibri" w:hAnsi="Calibri" w:cs="Calibri"/>
      <w:b/>
      <w:color w:val="000000"/>
      <w:sz w:val="28"/>
    </w:rPr>
  </w:style>
  <w:style w:type="table" w:styleId="TableGrid">
    <w:name w:val="Table Grid"/>
    <w:basedOn w:val="TableNormal"/>
    <w:uiPriority w:val="39"/>
    <w:rsid w:val="003F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76F"/>
    <w:pPr>
      <w:ind w:left="720"/>
      <w:contextualSpacing/>
    </w:pPr>
  </w:style>
  <w:style w:type="paragraph" w:styleId="Header">
    <w:name w:val="header"/>
    <w:basedOn w:val="Normal"/>
    <w:link w:val="HeaderChar"/>
    <w:uiPriority w:val="99"/>
    <w:unhideWhenUsed/>
    <w:rsid w:val="00327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B14"/>
    <w:rPr>
      <w:rFonts w:ascii="Calibri" w:eastAsia="Calibri" w:hAnsi="Calibri" w:cs="Calibri"/>
      <w:color w:val="000000"/>
      <w:sz w:val="22"/>
    </w:rPr>
  </w:style>
  <w:style w:type="character" w:styleId="Hyperlink">
    <w:name w:val="Hyperlink"/>
    <w:basedOn w:val="DefaultParagraphFont"/>
    <w:uiPriority w:val="99"/>
    <w:unhideWhenUsed/>
    <w:rsid w:val="00D001DE"/>
    <w:rPr>
      <w:color w:val="467886" w:themeColor="hyperlink"/>
      <w:u w:val="single"/>
    </w:rPr>
  </w:style>
  <w:style w:type="character" w:styleId="UnresolvedMention">
    <w:name w:val="Unresolved Mention"/>
    <w:basedOn w:val="DefaultParagraphFont"/>
    <w:uiPriority w:val="99"/>
    <w:semiHidden/>
    <w:unhideWhenUsed/>
    <w:rsid w:val="00D001DE"/>
    <w:rPr>
      <w:color w:val="605E5C"/>
      <w:shd w:val="clear" w:color="auto" w:fill="E1DFDD"/>
    </w:rPr>
  </w:style>
  <w:style w:type="table" w:styleId="GridTable1Light">
    <w:name w:val="Grid Table 1 Light"/>
    <w:basedOn w:val="TableNormal"/>
    <w:uiPriority w:val="46"/>
    <w:rsid w:val="004031B0"/>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11EA1"/>
    <w:rPr>
      <w:sz w:val="16"/>
      <w:szCs w:val="16"/>
    </w:rPr>
  </w:style>
  <w:style w:type="paragraph" w:styleId="CommentText">
    <w:name w:val="annotation text"/>
    <w:basedOn w:val="Normal"/>
    <w:link w:val="CommentTextChar"/>
    <w:uiPriority w:val="99"/>
    <w:unhideWhenUsed/>
    <w:rsid w:val="00711EA1"/>
    <w:pPr>
      <w:spacing w:line="240" w:lineRule="auto"/>
    </w:pPr>
    <w:rPr>
      <w:sz w:val="20"/>
      <w:szCs w:val="20"/>
    </w:rPr>
  </w:style>
  <w:style w:type="character" w:customStyle="1" w:styleId="CommentTextChar">
    <w:name w:val="Comment Text Char"/>
    <w:basedOn w:val="DefaultParagraphFont"/>
    <w:link w:val="CommentText"/>
    <w:uiPriority w:val="99"/>
    <w:rsid w:val="00711EA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11EA1"/>
    <w:rPr>
      <w:b/>
      <w:bCs/>
    </w:rPr>
  </w:style>
  <w:style w:type="character" w:customStyle="1" w:styleId="CommentSubjectChar">
    <w:name w:val="Comment Subject Char"/>
    <w:basedOn w:val="CommentTextChar"/>
    <w:link w:val="CommentSubject"/>
    <w:uiPriority w:val="99"/>
    <w:semiHidden/>
    <w:rsid w:val="00711EA1"/>
    <w:rPr>
      <w:rFonts w:ascii="Calibri" w:eastAsia="Calibri" w:hAnsi="Calibri" w:cs="Calibri"/>
      <w:b/>
      <w:bCs/>
      <w:color w:val="000000"/>
      <w:sz w:val="20"/>
      <w:szCs w:val="20"/>
    </w:rPr>
  </w:style>
  <w:style w:type="character" w:styleId="Mention">
    <w:name w:val="Mention"/>
    <w:basedOn w:val="DefaultParagraphFont"/>
    <w:uiPriority w:val="99"/>
    <w:unhideWhenUsed/>
    <w:rsid w:val="00711EA1"/>
    <w:rPr>
      <w:color w:val="2B579A"/>
      <w:shd w:val="clear" w:color="auto" w:fill="E1DFDD"/>
    </w:rPr>
  </w:style>
  <w:style w:type="paragraph" w:styleId="Footer">
    <w:name w:val="footer"/>
    <w:basedOn w:val="Normal"/>
    <w:link w:val="FooterChar"/>
    <w:uiPriority w:val="99"/>
    <w:semiHidden/>
    <w:unhideWhenUsed/>
    <w:rsid w:val="00620A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0A4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3286">
      <w:bodyDiv w:val="1"/>
      <w:marLeft w:val="0"/>
      <w:marRight w:val="0"/>
      <w:marTop w:val="0"/>
      <w:marBottom w:val="0"/>
      <w:divBdr>
        <w:top w:val="none" w:sz="0" w:space="0" w:color="auto"/>
        <w:left w:val="none" w:sz="0" w:space="0" w:color="auto"/>
        <w:bottom w:val="none" w:sz="0" w:space="0" w:color="auto"/>
        <w:right w:val="none" w:sz="0" w:space="0" w:color="auto"/>
      </w:divBdr>
    </w:div>
    <w:div w:id="645817481">
      <w:bodyDiv w:val="1"/>
      <w:marLeft w:val="0"/>
      <w:marRight w:val="0"/>
      <w:marTop w:val="0"/>
      <w:marBottom w:val="0"/>
      <w:divBdr>
        <w:top w:val="none" w:sz="0" w:space="0" w:color="auto"/>
        <w:left w:val="none" w:sz="0" w:space="0" w:color="auto"/>
        <w:bottom w:val="none" w:sz="0" w:space="0" w:color="auto"/>
        <w:right w:val="none" w:sz="0" w:space="0" w:color="auto"/>
      </w:divBdr>
    </w:div>
    <w:div w:id="718165838">
      <w:bodyDiv w:val="1"/>
      <w:marLeft w:val="0"/>
      <w:marRight w:val="0"/>
      <w:marTop w:val="0"/>
      <w:marBottom w:val="0"/>
      <w:divBdr>
        <w:top w:val="none" w:sz="0" w:space="0" w:color="auto"/>
        <w:left w:val="none" w:sz="0" w:space="0" w:color="auto"/>
        <w:bottom w:val="none" w:sz="0" w:space="0" w:color="auto"/>
        <w:right w:val="none" w:sz="0" w:space="0" w:color="auto"/>
      </w:divBdr>
    </w:div>
    <w:div w:id="775517865">
      <w:bodyDiv w:val="1"/>
      <w:marLeft w:val="0"/>
      <w:marRight w:val="0"/>
      <w:marTop w:val="0"/>
      <w:marBottom w:val="0"/>
      <w:divBdr>
        <w:top w:val="none" w:sz="0" w:space="0" w:color="auto"/>
        <w:left w:val="none" w:sz="0" w:space="0" w:color="auto"/>
        <w:bottom w:val="none" w:sz="0" w:space="0" w:color="auto"/>
        <w:right w:val="none" w:sz="0" w:space="0" w:color="auto"/>
      </w:divBdr>
    </w:div>
    <w:div w:id="1061564510">
      <w:bodyDiv w:val="1"/>
      <w:marLeft w:val="0"/>
      <w:marRight w:val="0"/>
      <w:marTop w:val="0"/>
      <w:marBottom w:val="0"/>
      <w:divBdr>
        <w:top w:val="none" w:sz="0" w:space="0" w:color="auto"/>
        <w:left w:val="none" w:sz="0" w:space="0" w:color="auto"/>
        <w:bottom w:val="none" w:sz="0" w:space="0" w:color="auto"/>
        <w:right w:val="none" w:sz="0" w:space="0" w:color="auto"/>
      </w:divBdr>
    </w:div>
    <w:div w:id="1290043217">
      <w:bodyDiv w:val="1"/>
      <w:marLeft w:val="0"/>
      <w:marRight w:val="0"/>
      <w:marTop w:val="0"/>
      <w:marBottom w:val="0"/>
      <w:divBdr>
        <w:top w:val="none" w:sz="0" w:space="0" w:color="auto"/>
        <w:left w:val="none" w:sz="0" w:space="0" w:color="auto"/>
        <w:bottom w:val="none" w:sz="0" w:space="0" w:color="auto"/>
        <w:right w:val="none" w:sz="0" w:space="0" w:color="auto"/>
      </w:divBdr>
    </w:div>
    <w:div w:id="1729110813">
      <w:bodyDiv w:val="1"/>
      <w:marLeft w:val="0"/>
      <w:marRight w:val="0"/>
      <w:marTop w:val="0"/>
      <w:marBottom w:val="0"/>
      <w:divBdr>
        <w:top w:val="none" w:sz="0" w:space="0" w:color="auto"/>
        <w:left w:val="none" w:sz="0" w:space="0" w:color="auto"/>
        <w:bottom w:val="none" w:sz="0" w:space="0" w:color="auto"/>
        <w:right w:val="none" w:sz="0" w:space="0" w:color="auto"/>
      </w:divBdr>
    </w:div>
    <w:div w:id="178056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d-uk-a.online.tableau.com/"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60C94CF50AB448834584C75C914C45" ma:contentTypeVersion="8" ma:contentTypeDescription="Create a new document." ma:contentTypeScope="" ma:versionID="0874c24313423fb114026da953a6a589">
  <xsd:schema xmlns:xsd="http://www.w3.org/2001/XMLSchema" xmlns:xs="http://www.w3.org/2001/XMLSchema" xmlns:p="http://schemas.microsoft.com/office/2006/metadata/properties" xmlns:ns2="0a61ab8b-621f-4bb3-9649-3223760fb0a3" targetNamespace="http://schemas.microsoft.com/office/2006/metadata/properties" ma:root="true" ma:fieldsID="44b0b635c83757417f10f4e708ace1ca" ns2:_="">
    <xsd:import namespace="0a61ab8b-621f-4bb3-9649-3223760fb0a3"/>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1ab8b-621f-4bb3-9649-3223760fb0a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a61ab8b-621f-4bb3-9649-3223760fb0a3">
      <UserInfo>
        <DisplayName/>
        <AccountId xsi:nil="true"/>
        <AccountType/>
      </UserInfo>
    </SharedWithUsers>
  </documentManagement>
</p:properties>
</file>

<file path=customXml/itemProps1.xml><?xml version="1.0" encoding="utf-8"?>
<ds:datastoreItem xmlns:ds="http://schemas.openxmlformats.org/officeDocument/2006/customXml" ds:itemID="{FF3B9667-A5FB-4278-8FE3-0F77939725BD}">
  <ds:schemaRefs>
    <ds:schemaRef ds:uri="http://schemas.microsoft.com/sharepoint/v3/contenttype/forms"/>
  </ds:schemaRefs>
</ds:datastoreItem>
</file>

<file path=customXml/itemProps2.xml><?xml version="1.0" encoding="utf-8"?>
<ds:datastoreItem xmlns:ds="http://schemas.openxmlformats.org/officeDocument/2006/customXml" ds:itemID="{5DB41CDA-5680-47B5-B9A7-479EC435A1DA}">
  <ds:schemaRefs>
    <ds:schemaRef ds:uri="http://schemas.openxmlformats.org/officeDocument/2006/bibliography"/>
  </ds:schemaRefs>
</ds:datastoreItem>
</file>

<file path=customXml/itemProps3.xml><?xml version="1.0" encoding="utf-8"?>
<ds:datastoreItem xmlns:ds="http://schemas.openxmlformats.org/officeDocument/2006/customXml" ds:itemID="{CB40FBD0-15F9-4A12-ABDB-2B2EA4CAF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1ab8b-621f-4bb3-9649-3223760fb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01BD9-EE8C-48D8-A32A-C2B3013DAE53}">
  <ds:schemaRefs>
    <ds:schemaRef ds:uri="http://schemas.microsoft.com/office/2006/metadata/properties"/>
    <ds:schemaRef ds:uri="http://schemas.microsoft.com/office/infopath/2007/PartnerControls"/>
    <ds:schemaRef ds:uri="0a61ab8b-621f-4bb3-9649-3223760fb0a3"/>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14</Pages>
  <Words>2267</Words>
  <Characters>12994</Characters>
  <Application>Microsoft Office Word</Application>
  <DocSecurity>0</DocSecurity>
  <Lines>394</Lines>
  <Paragraphs>208</Paragraphs>
  <ScaleCrop>false</ScaleCrop>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Boast</dc:creator>
  <cp:keywords/>
  <cp:lastModifiedBy>Andrew Wright</cp:lastModifiedBy>
  <cp:revision>142</cp:revision>
  <cp:lastPrinted>2024-10-14T11:54:00Z</cp:lastPrinted>
  <dcterms:created xsi:type="dcterms:W3CDTF">2025-09-29T09:05:00Z</dcterms:created>
  <dcterms:modified xsi:type="dcterms:W3CDTF">2025-10-09T14:01:00Z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5833684a-068d-4886-9b39-79c4034ed91b</vt:lpwstr>
  </property>
  <property fmtid="{D5CDD505-2E9C-101B-9397-08002B2CF9AE}" pid="3" name="ContentTypeId">
    <vt:lpwstr>0x010100B260C94CF50AB448834584C75C914C45</vt:lpwstr>
  </property>
</Properties>
</file>