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ejdfi0yal4aq" w:id="0"/>
      <w:bookmarkEnd w:id="0"/>
      <w:r w:rsidDel="00000000" w:rsidR="00000000" w:rsidRPr="00000000">
        <w:rPr>
          <w:rtl w:val="0"/>
        </w:rPr>
        <w:t xml:space="preserve">Template de bilan de campagne de tests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==============================================================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Bilan Campagne [Produit] [type de campagne] [date]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[GO – NO GO]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Objectifs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vérifier la conformité du site aux spécifications : s'assurer que le site Web respecte les spécifications définies dans les exigences 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valider le fonctionnement du site Web : s'assurer que le site fonctionne correctement et réponde aux attentes des utilisateurs ;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déceler les anomalies et les corriger : identifier les problèmes et les anomalies du site Web pour qu’ils soient corrigés avant la mise en production ;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tester le moins pour couvrir le plus d’exigences en utilisant le regroupement des exigences 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aucune anomalie critique.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Principaux résultats – Résumé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4283563" cy="263889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3563" cy="2638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4375209" cy="26812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5209" cy="2681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Fonctionnalités en échec : [liste des fonctionnalités avec au moins 1 bug]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Principaux bugs : [Liste bug critiques et majeurs : ID et titre]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Résultats complets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[Résultats par fonctionnalité]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[Ensemble des bugs]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==============================================================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