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A4" w:rsidRDefault="009051A4">
      <w:pPr>
        <w:rPr>
          <w:b/>
        </w:rPr>
      </w:pPr>
      <w:bookmarkStart w:id="0" w:name="_GoBack"/>
      <w:bookmarkEnd w:id="0"/>
    </w:p>
    <w:p w:rsidR="0093701D" w:rsidRDefault="00122D3D">
      <w:pPr>
        <w:rPr>
          <w:b/>
          <w:sz w:val="28"/>
          <w:szCs w:val="28"/>
        </w:rPr>
      </w:pPr>
      <w:r w:rsidRPr="009051A4">
        <w:rPr>
          <w:b/>
          <w:sz w:val="28"/>
          <w:szCs w:val="28"/>
        </w:rPr>
        <w:t>NordREG</w:t>
      </w:r>
    </w:p>
    <w:p w:rsidR="00C96C0E" w:rsidRDefault="00C96C0E">
      <w:pPr>
        <w:rPr>
          <w:b/>
          <w:sz w:val="28"/>
          <w:szCs w:val="28"/>
        </w:rPr>
      </w:pPr>
      <w:r>
        <w:rPr>
          <w:b/>
          <w:sz w:val="28"/>
          <w:szCs w:val="28"/>
        </w:rPr>
        <w:t xml:space="preserve">v/ </w:t>
      </w:r>
      <w:hyperlink r:id="rId8" w:history="1">
        <w:r w:rsidRPr="00CB3C45">
          <w:rPr>
            <w:rStyle w:val="Hyperkobling"/>
            <w:b/>
            <w:sz w:val="28"/>
            <w:szCs w:val="28"/>
          </w:rPr>
          <w:t>nve@nve.no</w:t>
        </w:r>
      </w:hyperlink>
    </w:p>
    <w:p w:rsidR="00122D3D" w:rsidRDefault="00C96C0E">
      <w:pPr>
        <w:rPr>
          <w:b/>
        </w:rPr>
      </w:pPr>
      <w:r>
        <w:rPr>
          <w:b/>
          <w:sz w:val="28"/>
          <w:szCs w:val="28"/>
        </w:rPr>
        <w:t xml:space="preserve">Kopi: </w:t>
      </w:r>
      <w:hyperlink r:id="rId9" w:history="1">
        <w:r w:rsidRPr="00CB3C45">
          <w:rPr>
            <w:rStyle w:val="Hyperkobling"/>
            <w:b/>
            <w:sz w:val="28"/>
            <w:szCs w:val="28"/>
          </w:rPr>
          <w:t>kmel@nve.no</w:t>
        </w:r>
      </w:hyperlink>
      <w:r>
        <w:rPr>
          <w:b/>
          <w:sz w:val="28"/>
          <w:szCs w:val="28"/>
        </w:rPr>
        <w:t xml:space="preserve"> </w:t>
      </w:r>
    </w:p>
    <w:p w:rsidR="0093701D" w:rsidRPr="00D2023B" w:rsidRDefault="0093701D" w:rsidP="00D2023B">
      <w:pPr>
        <w:pStyle w:val="Overskrift1"/>
        <w:rPr>
          <w:color w:val="auto"/>
        </w:rPr>
      </w:pPr>
      <w:r w:rsidRPr="00D2023B">
        <w:rPr>
          <w:color w:val="auto"/>
        </w:rPr>
        <w:t xml:space="preserve">KS Bedrift Energi og Distriktenes energiforening (Defo) viser til </w:t>
      </w:r>
      <w:proofErr w:type="spellStart"/>
      <w:r w:rsidRPr="00D2023B">
        <w:rPr>
          <w:color w:val="auto"/>
        </w:rPr>
        <w:t>NordREGs</w:t>
      </w:r>
      <w:proofErr w:type="spellEnd"/>
      <w:r w:rsidRPr="00D2023B">
        <w:rPr>
          <w:color w:val="auto"/>
        </w:rPr>
        <w:t xml:space="preserve"> høring om</w:t>
      </w:r>
      <w:r w:rsidR="00D2023B" w:rsidRPr="00D2023B">
        <w:rPr>
          <w:color w:val="auto"/>
        </w:rPr>
        <w:t xml:space="preserve"> betalingsbetingelser ved fellesfakturering</w:t>
      </w:r>
    </w:p>
    <w:p w:rsidR="00D2023B" w:rsidRPr="00D2023B" w:rsidRDefault="00D2023B" w:rsidP="00D0315E">
      <w:pPr>
        <w:rPr>
          <w:b/>
        </w:rPr>
      </w:pPr>
    </w:p>
    <w:p w:rsidR="00D0315E" w:rsidRPr="00D2023B" w:rsidRDefault="00D2023B" w:rsidP="00D2023B">
      <w:pPr>
        <w:pStyle w:val="Undertittel"/>
        <w:rPr>
          <w:color w:val="auto"/>
        </w:rPr>
      </w:pPr>
      <w:r>
        <w:rPr>
          <w:color w:val="auto"/>
        </w:rPr>
        <w:t>Ved etablering av obligatorisk fellesfakturering gjennom kraftleverandører er det en v</w:t>
      </w:r>
      <w:r w:rsidR="00E7065F" w:rsidRPr="00D2023B">
        <w:rPr>
          <w:color w:val="auto"/>
        </w:rPr>
        <w:t>iktig b</w:t>
      </w:r>
      <w:r w:rsidR="00D0315E" w:rsidRPr="00D2023B">
        <w:rPr>
          <w:color w:val="auto"/>
        </w:rPr>
        <w:t xml:space="preserve">alansegang </w:t>
      </w:r>
      <w:r w:rsidR="00E7065F" w:rsidRPr="00D2023B">
        <w:rPr>
          <w:color w:val="auto"/>
        </w:rPr>
        <w:t xml:space="preserve">å </w:t>
      </w:r>
      <w:r w:rsidRPr="00D2023B">
        <w:rPr>
          <w:color w:val="auto"/>
        </w:rPr>
        <w:t>sikre nettselskapene mot økt økonomisk risiko</w:t>
      </w:r>
      <w:r>
        <w:rPr>
          <w:color w:val="auto"/>
        </w:rPr>
        <w:t xml:space="preserve">, og </w:t>
      </w:r>
      <w:r w:rsidRPr="00C96C0E">
        <w:rPr>
          <w:color w:val="auto"/>
        </w:rPr>
        <w:t xml:space="preserve">samtidig </w:t>
      </w:r>
      <w:r w:rsidR="00E7065F" w:rsidRPr="00C96C0E">
        <w:rPr>
          <w:color w:val="auto"/>
        </w:rPr>
        <w:t>i</w:t>
      </w:r>
      <w:r w:rsidR="00D0315E" w:rsidRPr="00C96C0E">
        <w:rPr>
          <w:color w:val="auto"/>
        </w:rPr>
        <w:t>vareta</w:t>
      </w:r>
      <w:r w:rsidRPr="00C96C0E">
        <w:rPr>
          <w:color w:val="auto"/>
        </w:rPr>
        <w:t xml:space="preserve"> </w:t>
      </w:r>
      <w:r w:rsidR="007504D0" w:rsidRPr="00C96C0E">
        <w:rPr>
          <w:color w:val="auto"/>
        </w:rPr>
        <w:t xml:space="preserve">eksistensen av </w:t>
      </w:r>
      <w:r w:rsidRPr="00C96C0E">
        <w:rPr>
          <w:color w:val="auto"/>
        </w:rPr>
        <w:t>både</w:t>
      </w:r>
      <w:r w:rsidR="00D0315E" w:rsidRPr="00C96C0E">
        <w:rPr>
          <w:color w:val="auto"/>
        </w:rPr>
        <w:t xml:space="preserve"> små og store kraft</w:t>
      </w:r>
      <w:r w:rsidRPr="00C96C0E">
        <w:rPr>
          <w:color w:val="auto"/>
        </w:rPr>
        <w:t>leverandør</w:t>
      </w:r>
      <w:r w:rsidR="00E7065F" w:rsidRPr="00C96C0E">
        <w:rPr>
          <w:color w:val="auto"/>
        </w:rPr>
        <w:t>e</w:t>
      </w:r>
      <w:r w:rsidRPr="00C96C0E">
        <w:rPr>
          <w:color w:val="auto"/>
        </w:rPr>
        <w:t xml:space="preserve">r slik at </w:t>
      </w:r>
      <w:r>
        <w:rPr>
          <w:color w:val="auto"/>
        </w:rPr>
        <w:t>mangfoldet blant kraftleverandører opprettholdes</w:t>
      </w:r>
      <w:r w:rsidR="005B557E" w:rsidRPr="00D2023B">
        <w:rPr>
          <w:color w:val="auto"/>
        </w:rPr>
        <w:t xml:space="preserve">. </w:t>
      </w:r>
      <w:r w:rsidR="00E4089B">
        <w:rPr>
          <w:color w:val="auto"/>
        </w:rPr>
        <w:t>Dette for å unngå høyere priser til kundene</w:t>
      </w:r>
      <w:r w:rsidR="005B557E" w:rsidRPr="00D2023B">
        <w:rPr>
          <w:color w:val="auto"/>
        </w:rPr>
        <w:t xml:space="preserve">. </w:t>
      </w:r>
    </w:p>
    <w:p w:rsidR="00D0315E" w:rsidRDefault="00E7065F" w:rsidP="00D0315E">
      <w:r w:rsidRPr="00E7065F">
        <w:t xml:space="preserve">Det er </w:t>
      </w:r>
      <w:r>
        <w:t xml:space="preserve">viktig at nettselskapenes risiko ikke </w:t>
      </w:r>
      <w:r w:rsidR="005B557E">
        <w:t>blir større enn i dag. Samtidig k</w:t>
      </w:r>
      <w:r w:rsidR="00D0315E" w:rsidRPr="00E7065F">
        <w:t>an ikke</w:t>
      </w:r>
      <w:r w:rsidR="005B557E">
        <w:t xml:space="preserve"> kravene til kraftleverandørene</w:t>
      </w:r>
      <w:r w:rsidR="00E4089B">
        <w:t xml:space="preserve"> og nettselskapene bli</w:t>
      </w:r>
      <w:r w:rsidR="005B557E">
        <w:t xml:space="preserve"> </w:t>
      </w:r>
      <w:r w:rsidR="00AE31CF">
        <w:t>så</w:t>
      </w:r>
      <w:r w:rsidR="00D0315E" w:rsidRPr="00E7065F">
        <w:t xml:space="preserve"> komplisert</w:t>
      </w:r>
      <w:r w:rsidR="005B557E">
        <w:t xml:space="preserve"> og/eller fordyrende</w:t>
      </w:r>
      <w:r w:rsidR="00AE31CF">
        <w:t xml:space="preserve"> a</w:t>
      </w:r>
      <w:r w:rsidR="005B557E">
        <w:t xml:space="preserve">t man </w:t>
      </w:r>
      <w:r w:rsidR="00D0315E" w:rsidRPr="00E7065F">
        <w:t>stå</w:t>
      </w:r>
      <w:r w:rsidR="00AE31CF">
        <w:t>r</w:t>
      </w:r>
      <w:r w:rsidR="00D0315E" w:rsidRPr="00E7065F">
        <w:t xml:space="preserve"> igjen med kun noen få store kraftlev</w:t>
      </w:r>
      <w:r w:rsidR="006E4C47">
        <w:t>er</w:t>
      </w:r>
      <w:r w:rsidR="00D0315E" w:rsidRPr="00E7065F">
        <w:t>and</w:t>
      </w:r>
      <w:r w:rsidR="006E4C47">
        <w:t>ør</w:t>
      </w:r>
      <w:r w:rsidR="00D0315E" w:rsidRPr="00E7065F">
        <w:t>er</w:t>
      </w:r>
      <w:r w:rsidR="00E4089B">
        <w:t xml:space="preserve"> og økte kostnader hos nettselskapene</w:t>
      </w:r>
      <w:r w:rsidR="00D0315E" w:rsidRPr="00E7065F">
        <w:t xml:space="preserve">. </w:t>
      </w:r>
      <w:r w:rsidR="0077081E">
        <w:t xml:space="preserve">Dette må unngås da det </w:t>
      </w:r>
      <w:r w:rsidR="00AE31CF">
        <w:t xml:space="preserve">vil gi virkninger som </w:t>
      </w:r>
      <w:r w:rsidR="0077081E">
        <w:t>ikke er i tråd med intensjonene med å innføre fellesfaktura</w:t>
      </w:r>
      <w:r w:rsidR="00AE31CF">
        <w:t xml:space="preserve"> via kraftleverandøren</w:t>
      </w:r>
      <w:r w:rsidR="00E4089B">
        <w:t>. Et for komplekst og dyrt system vil blant annet gi</w:t>
      </w:r>
      <w:r w:rsidR="0077081E">
        <w:t xml:space="preserve"> </w:t>
      </w:r>
      <w:r w:rsidR="00AE31CF">
        <w:t>dårligere konkurranse</w:t>
      </w:r>
      <w:r w:rsidR="00401F6A">
        <w:t xml:space="preserve"> og høyere pris</w:t>
      </w:r>
      <w:r w:rsidR="00E4089B">
        <w:t xml:space="preserve"> for kundene, både </w:t>
      </w:r>
      <w:r w:rsidR="00076C38">
        <w:t>for</w:t>
      </w:r>
      <w:r w:rsidR="00E4089B">
        <w:t xml:space="preserve"> nett</w:t>
      </w:r>
      <w:r w:rsidR="00076C38">
        <w:t>jenester</w:t>
      </w:r>
      <w:r w:rsidR="00E4089B">
        <w:t xml:space="preserve"> og kraft</w:t>
      </w:r>
      <w:r w:rsidR="0077081E">
        <w:t xml:space="preserve">. </w:t>
      </w:r>
      <w:r w:rsidR="00E4089B">
        <w:t xml:space="preserve"> </w:t>
      </w:r>
    </w:p>
    <w:p w:rsidR="00871278" w:rsidRPr="00871278" w:rsidRDefault="00871278" w:rsidP="00871278">
      <w:r w:rsidRPr="00871278">
        <w:t xml:space="preserve">KS Bedrift Energi og Defo ønsker å bemerke at vi så langt ikke er overbevist om at en overgang til en obligatorisk fellesfakturering gjennom kraftleverandører, er til det beste for kunden. Vi ser imidlertid at denne utviklingen må nettselskapene og omsettingsselskapene med stor sannsynlighet forholde seg til, og med dette som utgangspunktet har vi en rekke kommentarer til denne høringen. </w:t>
      </w:r>
    </w:p>
    <w:p w:rsidR="00871278" w:rsidRPr="00871278" w:rsidRDefault="00871278" w:rsidP="00871278">
      <w:r w:rsidRPr="00871278">
        <w:t xml:space="preserve">Innledningsvis vil vi bemerke at vår skepsis i retning av at en obligatorisk fellesfakturering </w:t>
      </w:r>
      <w:r w:rsidR="002554BD">
        <w:t>kan</w:t>
      </w:r>
      <w:r w:rsidRPr="00871278">
        <w:t xml:space="preserve"> radere ut en rekke små og mellomstore </w:t>
      </w:r>
      <w:proofErr w:type="spellStart"/>
      <w:r w:rsidRPr="00871278">
        <w:t>kraftomsettere</w:t>
      </w:r>
      <w:proofErr w:type="spellEnd"/>
      <w:r w:rsidRPr="00871278">
        <w:t xml:space="preserve"> synes bekreftet gjennom rapporten.  Vi ønsker ikke en utvikling der vi sitter igjen med noen få store tilbydere. Mangfoldet blant kraftleverandørene må opprettholdes. Noe annet vil undergrave konkurransen i markedet, til ulempe for kundene. For å motvirke en slik utvikling er det viktig at man i hele denne prosessen tar inn over seg at regelverket ikke må være fordyrende og for komplisert. Innholdet i denne utredingen ser ut til å medføre nettopp dette. </w:t>
      </w:r>
    </w:p>
    <w:p w:rsidR="00871278" w:rsidRPr="00871278" w:rsidRDefault="00871278" w:rsidP="00871278">
      <w:r w:rsidRPr="00871278">
        <w:t xml:space="preserve">Et annet poeng vi er svært opptatt av er å sikre nettselskapenes fordringer. Ved gjennomføringen av en leverandørsentrisk modell, mister nettselskapet kontrollen på sine inntekter ved å måtte overlate innkrevingen av egne fordringer til andre.  Dette er ikke noe nettselskapet selv bestemmer, og «motytelsen» i regelverket må da være at nettselskapene ikke får økt kredittrisiko.  Dersom regelverket ikke </w:t>
      </w:r>
      <w:proofErr w:type="spellStart"/>
      <w:r w:rsidRPr="00871278">
        <w:t>hensyntar</w:t>
      </w:r>
      <w:proofErr w:type="spellEnd"/>
      <w:r w:rsidRPr="00871278">
        <w:t xml:space="preserve"> dette, vil vi hevde at kravet til nettleverandøren om at han må la andre </w:t>
      </w:r>
      <w:r w:rsidRPr="00871278">
        <w:lastRenderedPageBreak/>
        <w:t xml:space="preserve">kreve inn sine egne fordringer, er å likestilles med ekspropriasjon, hvilket må ha hjemmel i lov og kompenseres for.  </w:t>
      </w:r>
    </w:p>
    <w:p w:rsidR="00871278" w:rsidRPr="00E7065F" w:rsidRDefault="00871278" w:rsidP="00D0315E">
      <w:r w:rsidRPr="00871278">
        <w:t>Nedenfor vil vi gi konkrete tilbakemeldinger på den forelagte rapporten.</w:t>
      </w:r>
    </w:p>
    <w:p w:rsidR="00737577" w:rsidRDefault="0093701D" w:rsidP="00737577">
      <w:pPr>
        <w:spacing w:after="0"/>
        <w:rPr>
          <w:b/>
          <w:i/>
        </w:rPr>
      </w:pPr>
      <w:r>
        <w:rPr>
          <w:b/>
          <w:i/>
        </w:rPr>
        <w:t xml:space="preserve">Support Model 1 </w:t>
      </w:r>
      <w:r w:rsidR="00011D9C">
        <w:rPr>
          <w:b/>
          <w:i/>
        </w:rPr>
        <w:t>(</w:t>
      </w:r>
      <w:proofErr w:type="spellStart"/>
      <w:r>
        <w:rPr>
          <w:b/>
          <w:i/>
        </w:rPr>
        <w:t>subcontractor</w:t>
      </w:r>
      <w:proofErr w:type="spellEnd"/>
      <w:r w:rsidR="00011D9C">
        <w:rPr>
          <w:b/>
          <w:i/>
        </w:rPr>
        <w:t>)</w:t>
      </w:r>
      <w:r>
        <w:rPr>
          <w:b/>
          <w:i/>
        </w:rPr>
        <w:t xml:space="preserve"> </w:t>
      </w:r>
    </w:p>
    <w:p w:rsidR="00AE31CF" w:rsidRPr="00737577" w:rsidRDefault="002D3080" w:rsidP="00737577">
      <w:pPr>
        <w:rPr>
          <w:b/>
          <w:i/>
        </w:rPr>
      </w:pPr>
      <w:r>
        <w:t>Det er n</w:t>
      </w:r>
      <w:r w:rsidR="00E7065F">
        <w:t xml:space="preserve">oe uklart hvordan kontraktsforholdet skal være mellom aktørene. </w:t>
      </w:r>
      <w:r w:rsidR="00EB08B4">
        <w:t>Det må</w:t>
      </w:r>
      <w:r w:rsidR="00E7065F">
        <w:t xml:space="preserve"> beskrives mer nøye hvordan kontraktsforholdet mellom kraftleverandør, nettselskap og sluttbruker skal være</w:t>
      </w:r>
      <w:r w:rsidR="00EB08B4">
        <w:t xml:space="preserve">. </w:t>
      </w:r>
      <w:r>
        <w:t>S</w:t>
      </w:r>
      <w:r w:rsidR="00E7065F">
        <w:t>lik vi har forstått det så er lovkravene enklere ved modell 1</w:t>
      </w:r>
      <w:r w:rsidR="00AE31CF">
        <w:t>,</w:t>
      </w:r>
      <w:r w:rsidR="00E7065F">
        <w:t xml:space="preserve"> hvor nettselskapet er en underleverandør </w:t>
      </w:r>
      <w:r w:rsidR="00076C38">
        <w:t>til</w:t>
      </w:r>
      <w:r w:rsidR="00E7065F">
        <w:t xml:space="preserve"> kraftleverandøren, og nettkunden har </w:t>
      </w:r>
      <w:r>
        <w:t xml:space="preserve">avtale om </w:t>
      </w:r>
      <w:r w:rsidR="00E7065F">
        <w:t>både nett</w:t>
      </w:r>
      <w:r>
        <w:t xml:space="preserve">jenester og </w:t>
      </w:r>
      <w:r w:rsidR="00E7065F">
        <w:t xml:space="preserve">kraft med kraftleverandør. </w:t>
      </w:r>
      <w:r w:rsidR="00401F6A">
        <w:t>Avtalen bør være standardavtaler og definert i Omsetningskonsesjonen til kraftleverandøren.</w:t>
      </w:r>
    </w:p>
    <w:p w:rsidR="00BA4EF1" w:rsidRPr="002554BD" w:rsidRDefault="00E7065F">
      <w:r>
        <w:t xml:space="preserve">Vi forstår det også slik at </w:t>
      </w:r>
      <w:r w:rsidR="00BA4EF1">
        <w:t xml:space="preserve">nettkunden </w:t>
      </w:r>
      <w:r>
        <w:t xml:space="preserve">fremdeles </w:t>
      </w:r>
      <w:r w:rsidR="00AE31CF">
        <w:t>har tilknytningskontrakt</w:t>
      </w:r>
      <w:r w:rsidR="00BA4EF1">
        <w:t xml:space="preserve"> </w:t>
      </w:r>
      <w:r>
        <w:t xml:space="preserve">med nettselskapet, og at alle tekniske krav og forhold reguleres her. </w:t>
      </w:r>
      <w:r w:rsidR="002D3080">
        <w:t xml:space="preserve"> Vi støtter derfor Model 1 med nettselskapet som </w:t>
      </w:r>
      <w:r w:rsidR="002D3080" w:rsidRPr="002554BD">
        <w:t>underleverandør for kraftleverandøren.</w:t>
      </w:r>
      <w:r w:rsidR="00D139D6" w:rsidRPr="002554BD">
        <w:t xml:space="preserve"> </w:t>
      </w:r>
    </w:p>
    <w:p w:rsidR="00D139D6" w:rsidRPr="002554BD" w:rsidRDefault="00D139D6">
      <w:r w:rsidRPr="002554BD">
        <w:t xml:space="preserve">Det må videre utredes hvordan informasjonsflyten skal foregå mellom kunde, nettselskap og kraftleverandør, med tanke på </w:t>
      </w:r>
      <w:proofErr w:type="spellStart"/>
      <w:r w:rsidRPr="002554BD">
        <w:t>nettekniske</w:t>
      </w:r>
      <w:proofErr w:type="spellEnd"/>
      <w:r w:rsidRPr="002554BD">
        <w:t xml:space="preserve"> utfordringer og krav, hvem og hvordan skal kunden få hjelp i tekniske spørsmål. Dette må håndteres på en måte som ikke forvirrer kundene, og som kan oppleves som byråkratisering. Det må være minst mulig administrasjon mellom aktørene. </w:t>
      </w:r>
    </w:p>
    <w:p w:rsidR="002D3080" w:rsidRPr="002D3080" w:rsidRDefault="002D3080" w:rsidP="00737577">
      <w:pPr>
        <w:spacing w:after="0"/>
        <w:rPr>
          <w:b/>
          <w:i/>
        </w:rPr>
      </w:pPr>
      <w:r w:rsidRPr="002D3080">
        <w:rPr>
          <w:b/>
          <w:i/>
        </w:rPr>
        <w:t>Dataflyt mellom aktørene</w:t>
      </w:r>
    </w:p>
    <w:p w:rsidR="00011D9C" w:rsidRDefault="002D3080" w:rsidP="00011D9C">
      <w:r>
        <w:t>Det er viktig for alle parter å ha</w:t>
      </w:r>
      <w:r w:rsidR="00BA4EF1">
        <w:t xml:space="preserve"> kontroll</w:t>
      </w:r>
      <w:r>
        <w:t xml:space="preserve"> av at dataene som utveksles er korrekt. </w:t>
      </w:r>
      <w:r w:rsidR="00BA4EF1">
        <w:t xml:space="preserve"> </w:t>
      </w:r>
      <w:r w:rsidR="00011D9C">
        <w:t xml:space="preserve">Rapporten bør drøfte videre hvilke data som skal sendes. Etter vårt syn er det ikke nødvendig for nettselskapet eller </w:t>
      </w:r>
      <w:proofErr w:type="spellStart"/>
      <w:r w:rsidR="00011D9C">
        <w:t>HUBen</w:t>
      </w:r>
      <w:proofErr w:type="spellEnd"/>
      <w:r w:rsidR="00011D9C">
        <w:t xml:space="preserve"> å produsere fakturalinjer. Det er tilstrekkelig at nettselskapene sender måledata og oppdaterte nettleiepriser</w:t>
      </w:r>
      <w:r w:rsidR="00EB08B4">
        <w:t xml:space="preserve"> (tariffer, klassifisering i forhold til skatter og avgifter)</w:t>
      </w:r>
      <w:r w:rsidR="00011D9C">
        <w:t xml:space="preserve">. </w:t>
      </w:r>
      <w:r w:rsidR="0053461C">
        <w:t>Det må være mulig å kontrollere f</w:t>
      </w:r>
      <w:r w:rsidR="00011D9C">
        <w:t xml:space="preserve">aktura fra nettselskapet mot fakturaene </w:t>
      </w:r>
      <w:r w:rsidR="0053461C">
        <w:t xml:space="preserve">som sendes kundene </w:t>
      </w:r>
      <w:r w:rsidR="00011D9C">
        <w:t>fra kraftleverandøren</w:t>
      </w:r>
      <w:r w:rsidR="00EB08B4">
        <w:t xml:space="preserve">, og avstemme </w:t>
      </w:r>
      <w:proofErr w:type="spellStart"/>
      <w:r w:rsidR="00EB08B4">
        <w:t>kWhene</w:t>
      </w:r>
      <w:proofErr w:type="spellEnd"/>
      <w:r w:rsidR="00011D9C">
        <w:t xml:space="preserve">. Dette må man se videre på. </w:t>
      </w:r>
    </w:p>
    <w:p w:rsidR="00EB08B4" w:rsidRDefault="00EB08B4" w:rsidP="00011D9C">
      <w:r>
        <w:t xml:space="preserve">Det må utredes hvorvidt </w:t>
      </w:r>
      <w:proofErr w:type="spellStart"/>
      <w:r>
        <w:t>nettariffstrukturen</w:t>
      </w:r>
      <w:proofErr w:type="spellEnd"/>
      <w:r>
        <w:t xml:space="preserve"> bør harmoniseres, både internt i landene og mellom landene.</w:t>
      </w:r>
    </w:p>
    <w:p w:rsidR="00BA4EF1" w:rsidRPr="00737577" w:rsidRDefault="00BA4EF1" w:rsidP="00737577">
      <w:pPr>
        <w:spacing w:after="0"/>
        <w:rPr>
          <w:b/>
          <w:i/>
        </w:rPr>
      </w:pPr>
      <w:r w:rsidRPr="00737577">
        <w:rPr>
          <w:b/>
          <w:i/>
        </w:rPr>
        <w:t xml:space="preserve">Gjennomgang av datoene for når data skal utveksles er viktig. </w:t>
      </w:r>
    </w:p>
    <w:p w:rsidR="00BA4EF1" w:rsidRDefault="00BA4EF1" w:rsidP="00BA4EF1">
      <w:r>
        <w:t xml:space="preserve">Fakturalinje </w:t>
      </w:r>
      <w:r w:rsidR="00664125">
        <w:t xml:space="preserve">må </w:t>
      </w:r>
      <w:r>
        <w:t>produseres av kraftleverandør</w:t>
      </w:r>
      <w:r w:rsidR="00664125">
        <w:t xml:space="preserve">en, </w:t>
      </w:r>
      <w:r>
        <w:t>ikke</w:t>
      </w:r>
      <w:r w:rsidR="00664125">
        <w:t xml:space="preserve"> av</w:t>
      </w:r>
      <w:r>
        <w:t xml:space="preserve"> </w:t>
      </w:r>
      <w:proofErr w:type="spellStart"/>
      <w:r>
        <w:t>HUB</w:t>
      </w:r>
      <w:r w:rsidR="00664125">
        <w:t>en</w:t>
      </w:r>
      <w:proofErr w:type="spellEnd"/>
      <w:r w:rsidR="00664125">
        <w:t xml:space="preserve"> eller nettselskapet. Dette vil være effektiv dataflyt som f</w:t>
      </w:r>
      <w:r>
        <w:t xml:space="preserve">jerner </w:t>
      </w:r>
      <w:r w:rsidR="00664125">
        <w:t>behovet</w:t>
      </w:r>
      <w:r>
        <w:t xml:space="preserve"> for</w:t>
      </w:r>
      <w:r w:rsidR="00664125">
        <w:t xml:space="preserve"> en</w:t>
      </w:r>
      <w:r>
        <w:t xml:space="preserve"> stor og kompleks HUB</w:t>
      </w:r>
      <w:r w:rsidR="00664125">
        <w:t xml:space="preserve">, og fjerner risikoen for at kraftleverandøren må vente på at alle nettselskapene lager ferdig fakturalinjene. </w:t>
      </w:r>
      <w:r w:rsidR="00C96C0E">
        <w:t>En HUB vil effektivt kunne hente ut stordriftsfordeler. Dette må balanseres opp mot utfordringen ved at d</w:t>
      </w:r>
      <w:r w:rsidR="00664125">
        <w:t xml:space="preserve">ess flere oppgaver som legges på </w:t>
      </w:r>
      <w:proofErr w:type="spellStart"/>
      <w:r w:rsidR="00664125">
        <w:t>HBen</w:t>
      </w:r>
      <w:proofErr w:type="spellEnd"/>
      <w:r w:rsidR="00664125">
        <w:t xml:space="preserve"> jo større blir implementeringsrisiko. Vi støtter rapporten på at </w:t>
      </w:r>
      <w:proofErr w:type="spellStart"/>
      <w:r w:rsidR="00664125">
        <w:t>HUBen</w:t>
      </w:r>
      <w:proofErr w:type="spellEnd"/>
      <w:r w:rsidR="00664125">
        <w:t xml:space="preserve"> ikke skal sende fakturaer, dette vil blant annet bli</w:t>
      </w:r>
      <w:r w:rsidR="00AB49DE">
        <w:t xml:space="preserve"> uhåndterlig for </w:t>
      </w:r>
      <w:proofErr w:type="spellStart"/>
      <w:r w:rsidR="00AB49DE">
        <w:t>HUBen</w:t>
      </w:r>
      <w:proofErr w:type="spellEnd"/>
      <w:r w:rsidR="00664125">
        <w:t xml:space="preserve"> med </w:t>
      </w:r>
      <w:r w:rsidR="00AB49DE">
        <w:t>månedlige faktura</w:t>
      </w:r>
      <w:r w:rsidR="00664125">
        <w:t xml:space="preserve">topper. </w:t>
      </w:r>
      <w:r w:rsidR="00AB49DE">
        <w:t xml:space="preserve"> </w:t>
      </w:r>
      <w:r w:rsidR="00EB08B4">
        <w:t xml:space="preserve">Det må være opp til kraftleverandøren selv hvor ofte han vil fakturere kundene. </w:t>
      </w:r>
    </w:p>
    <w:p w:rsidR="00664125" w:rsidRPr="00737577" w:rsidRDefault="00BA4EF1" w:rsidP="00737577">
      <w:pPr>
        <w:spacing w:after="0"/>
        <w:rPr>
          <w:b/>
          <w:i/>
        </w:rPr>
      </w:pPr>
      <w:r w:rsidRPr="00737577">
        <w:rPr>
          <w:b/>
          <w:i/>
        </w:rPr>
        <w:t>Skatter og avgifter</w:t>
      </w:r>
    </w:p>
    <w:p w:rsidR="00BA4EF1" w:rsidRDefault="00664125" w:rsidP="00BA4EF1">
      <w:r>
        <w:t>Kraftleverandørene</w:t>
      </w:r>
      <w:r w:rsidR="00BA4EF1">
        <w:t xml:space="preserve"> må håndtere skatter og avgifter. </w:t>
      </w:r>
      <w:r w:rsidR="00095ECD">
        <w:t xml:space="preserve">Det er viktig at </w:t>
      </w:r>
      <w:r w:rsidR="00BA4EF1">
        <w:t xml:space="preserve">kraftleverandøren </w:t>
      </w:r>
      <w:r w:rsidR="00095ECD">
        <w:t xml:space="preserve">som </w:t>
      </w:r>
      <w:r w:rsidR="00BA4EF1">
        <w:t>skal fakturere kunden og svare på fakturaspørsmål overfor kunden</w:t>
      </w:r>
      <w:r w:rsidR="00095ECD">
        <w:t xml:space="preserve">, også kan grunnlaget for fakturering av </w:t>
      </w:r>
      <w:r w:rsidR="00BA4EF1">
        <w:t xml:space="preserve">skatter og avgifter i de ulike landene. </w:t>
      </w:r>
      <w:r w:rsidR="00095ECD">
        <w:t xml:space="preserve">Da kan kraftleverandøren like gjerne innbetale til </w:t>
      </w:r>
      <w:r w:rsidR="00095ECD">
        <w:lastRenderedPageBreak/>
        <w:t xml:space="preserve">myndighetene i stedet for at pengeflyten skal gå veien om nettselskapet som ikke har mulighet for å overvåke innbetaling og inkasso fra kundene på området. </w:t>
      </w:r>
    </w:p>
    <w:p w:rsidR="00D139D6" w:rsidRPr="002F3553" w:rsidRDefault="00D139D6" w:rsidP="00BA4EF1">
      <w:r w:rsidRPr="002F3553">
        <w:t>En detalj som kanskje bare gjelder i Norge, men man har kunder med «frikraft-avtaler»</w:t>
      </w:r>
      <w:r w:rsidR="002F3553">
        <w:t>. H</w:t>
      </w:r>
      <w:r w:rsidRPr="002F3553">
        <w:t>vem og hvordan skal dette håndteres i en leverandørsentrisk modell?</w:t>
      </w:r>
    </w:p>
    <w:p w:rsidR="00BA4EF1" w:rsidRPr="00737577" w:rsidRDefault="00693EE6" w:rsidP="00737577">
      <w:pPr>
        <w:spacing w:after="0"/>
        <w:rPr>
          <w:b/>
          <w:i/>
        </w:rPr>
      </w:pPr>
      <w:r w:rsidRPr="00737577">
        <w:rPr>
          <w:b/>
          <w:i/>
        </w:rPr>
        <w:t xml:space="preserve">Risikostyring: </w:t>
      </w:r>
    </w:p>
    <w:p w:rsidR="00693EE6" w:rsidRDefault="003F3F15" w:rsidP="00BA4EF1">
      <w:r>
        <w:t>Konsulenten anbefaler at k</w:t>
      </w:r>
      <w:r w:rsidR="00693EE6">
        <w:t xml:space="preserve">raftleverandøren tar risikoen </w:t>
      </w:r>
      <w:r>
        <w:t xml:space="preserve">for både nettleie og kraft, </w:t>
      </w:r>
      <w:r w:rsidR="00693EE6">
        <w:t xml:space="preserve">og får kompensasjon ved </w:t>
      </w:r>
      <w:r>
        <w:t xml:space="preserve">å gis </w:t>
      </w:r>
      <w:r w:rsidR="00693EE6">
        <w:t xml:space="preserve">2-3 dager ekstra før betaling </w:t>
      </w:r>
      <w:r>
        <w:t xml:space="preserve">fra sluttbruker sendes </w:t>
      </w:r>
      <w:r w:rsidR="00693EE6">
        <w:t xml:space="preserve">videre til nettselskapet. </w:t>
      </w:r>
      <w:r>
        <w:t>Vi mener at det er større utfordringer rundt dette</w:t>
      </w:r>
      <w:r w:rsidR="00783345">
        <w:t>, hvor stor er risikoen, hva er mulig å tape og hva er mulig å tjene for aktørene? R</w:t>
      </w:r>
      <w:r>
        <w:t>apporten peker også på</w:t>
      </w:r>
      <w:r w:rsidR="00783345">
        <w:t xml:space="preserve"> muligheten av å gi</w:t>
      </w:r>
      <w:r>
        <w:t xml:space="preserve"> en avkortning i innbetaling fra kraftleverandøren til nettselskapet som følge av at kraftleverandøren får økt risiko for manglende betaling fra sluttbruker. </w:t>
      </w:r>
    </w:p>
    <w:p w:rsidR="00693EE6" w:rsidRDefault="008433A7" w:rsidP="00D314FD">
      <w:r>
        <w:t xml:space="preserve">KS Bedrift og Defo mener at økonomisk risiko for aktørene </w:t>
      </w:r>
      <w:r w:rsidR="00F15A1C">
        <w:t xml:space="preserve">ikke kan endres i forhold til </w:t>
      </w:r>
      <w:r w:rsidR="0051538D">
        <w:t>dagens situasjon. A</w:t>
      </w:r>
      <w:r>
        <w:t xml:space="preserve">vvik fra dette må nødvendigvis </w:t>
      </w:r>
      <w:r w:rsidR="0051538D">
        <w:t xml:space="preserve">søkes </w:t>
      </w:r>
      <w:r w:rsidR="00076C38">
        <w:t>justert</w:t>
      </w:r>
      <w:r w:rsidR="0051538D">
        <w:t xml:space="preserve"> gjennom</w:t>
      </w:r>
      <w:r w:rsidR="0051538D" w:rsidRPr="0051538D">
        <w:t xml:space="preserve"> </w:t>
      </w:r>
      <w:r w:rsidR="0051538D">
        <w:t>nytt regelverk</w:t>
      </w:r>
      <w:r>
        <w:t>. Vi er enig med konsulenten i at dette må det gjøres videre analyser på</w:t>
      </w:r>
      <w:r w:rsidR="00D314FD">
        <w:t xml:space="preserve">. </w:t>
      </w:r>
      <w:r>
        <w:t>Kan man</w:t>
      </w:r>
      <w:r w:rsidR="00D314FD">
        <w:t xml:space="preserve"> for eksempel</w:t>
      </w:r>
      <w:r>
        <w:t xml:space="preserve"> se for seg at nettselskap og kraftleverandør </w:t>
      </w:r>
      <w:r w:rsidR="0051538D">
        <w:t xml:space="preserve">deler </w:t>
      </w:r>
      <w:r w:rsidR="00F15A1C">
        <w:t xml:space="preserve">eventuelle tap hos sluttbruker? </w:t>
      </w:r>
      <w:r w:rsidR="00B73923">
        <w:t xml:space="preserve">Hvilken </w:t>
      </w:r>
      <w:r w:rsidR="00F15A1C">
        <w:t xml:space="preserve">økonomisk </w:t>
      </w:r>
      <w:r w:rsidR="00B73923">
        <w:t>fordel har eventuelt kontantstrømmen og verdien som denne innebærer for kraftleverandøren? Dette</w:t>
      </w:r>
      <w:r w:rsidR="00F15A1C">
        <w:t xml:space="preserve"> kan være en stor økonomisk fordel for kraftleverandørene og må</w:t>
      </w:r>
      <w:r w:rsidR="00B73923">
        <w:t xml:space="preserve"> også inn i analysen.</w:t>
      </w:r>
      <w:r w:rsidR="00F15A1C">
        <w:t xml:space="preserve"> </w:t>
      </w:r>
      <w:r w:rsidR="00B73923" w:rsidRPr="00D314FD">
        <w:t xml:space="preserve"> </w:t>
      </w:r>
      <w:r w:rsidR="00783345">
        <w:t>Disse forholdene må utredes og det må for eksempel avtalefestes hvordan betalingsoppfølging skal utføres.</w:t>
      </w:r>
    </w:p>
    <w:p w:rsidR="00AB49DE" w:rsidRPr="00737577" w:rsidRDefault="00AB49DE" w:rsidP="00737577">
      <w:pPr>
        <w:spacing w:after="0"/>
        <w:rPr>
          <w:b/>
          <w:i/>
        </w:rPr>
      </w:pPr>
      <w:r w:rsidRPr="00737577">
        <w:rPr>
          <w:b/>
          <w:i/>
        </w:rPr>
        <w:t>Sikkerhetsstillelse:</w:t>
      </w:r>
    </w:p>
    <w:p w:rsidR="00AB49DE" w:rsidRDefault="00185415" w:rsidP="00BA4EF1">
      <w:r>
        <w:t xml:space="preserve">En annen risiko er at kraftleverandøren går konkurs, og nettselskapet </w:t>
      </w:r>
      <w:r w:rsidR="005C0EAA">
        <w:t xml:space="preserve">må </w:t>
      </w:r>
      <w:r>
        <w:t>sikres mot</w:t>
      </w:r>
      <w:r w:rsidR="005C0EAA">
        <w:t xml:space="preserve"> økonomisk tap i slike tilfeller</w:t>
      </w:r>
      <w:r>
        <w:t xml:space="preserve">. Rapporten </w:t>
      </w:r>
      <w:r w:rsidR="00245D99">
        <w:t>drøfter flere forhold rundt</w:t>
      </w:r>
      <w:r>
        <w:t xml:space="preserve"> sikkerhetsstillelse, kredittvurdering, gjeldsforsikring og garantier. Vi er e</w:t>
      </w:r>
      <w:r w:rsidR="00AB49DE">
        <w:t>nig i at nettselskapet må beskyttes mot kraftleverandøre</w:t>
      </w:r>
      <w:r>
        <w:t>r</w:t>
      </w:r>
      <w:r w:rsidR="00AB49DE">
        <w:t xml:space="preserve">s konkursrisiko.  </w:t>
      </w:r>
      <w:r>
        <w:t>Denne s</w:t>
      </w:r>
      <w:r w:rsidR="00AB49DE">
        <w:t>ikkerhetsstillelse</w:t>
      </w:r>
      <w:r>
        <w:t>n</w:t>
      </w:r>
      <w:r w:rsidR="00AB49DE">
        <w:t xml:space="preserve"> og</w:t>
      </w:r>
      <w:r>
        <w:t>/eller</w:t>
      </w:r>
      <w:r w:rsidR="00AB49DE">
        <w:t xml:space="preserve"> garantier </w:t>
      </w:r>
      <w:r w:rsidR="00245D99">
        <w:t>har en kostnad, og dette må</w:t>
      </w:r>
      <w:r w:rsidR="00AB49DE">
        <w:t xml:space="preserve"> analyseres</w:t>
      </w:r>
      <w:r w:rsidR="00245D99">
        <w:t xml:space="preserve"> videre</w:t>
      </w:r>
      <w:r w:rsidR="00D96E82">
        <w:t xml:space="preserve"> med tanke på kostnader og nytte</w:t>
      </w:r>
      <w:r w:rsidR="00AB49DE">
        <w:t>.</w:t>
      </w:r>
    </w:p>
    <w:p w:rsidR="00AB49DE" w:rsidRPr="00FB3314" w:rsidRDefault="005C0EAA" w:rsidP="00BA4EF1">
      <w:r>
        <w:t>Det m</w:t>
      </w:r>
      <w:r w:rsidR="00AB49DE">
        <w:t>å</w:t>
      </w:r>
      <w:r>
        <w:t xml:space="preserve"> etableres en</w:t>
      </w:r>
      <w:r w:rsidR="00AB49DE">
        <w:t xml:space="preserve"> sentral</w:t>
      </w:r>
      <w:r>
        <w:t xml:space="preserve"> enhet som kan</w:t>
      </w:r>
      <w:r w:rsidR="00AB49DE">
        <w:t xml:space="preserve"> håndter</w:t>
      </w:r>
      <w:r>
        <w:t>e</w:t>
      </w:r>
      <w:r w:rsidR="00AB49DE">
        <w:t xml:space="preserve"> sikkerhetsstillelse</w:t>
      </w:r>
      <w:r>
        <w:t xml:space="preserve"> fra kraftleverandørene. Det er ineffektivt at alle nettselskapene skal håndtere sikkerhetsstillelse / garantiordninger. Krav til sikkerhetsstillelse kan for eksempel </w:t>
      </w:r>
      <w:r w:rsidR="001D06D3">
        <w:t>stå</w:t>
      </w:r>
      <w:r>
        <w:t xml:space="preserve"> i forhold til omsetning. Det bør utredes også den d</w:t>
      </w:r>
      <w:r w:rsidR="00AB49DE">
        <w:t xml:space="preserve">anske modellen med at kostnadene for </w:t>
      </w:r>
      <w:proofErr w:type="spellStart"/>
      <w:r w:rsidR="00AB49DE">
        <w:t>kraftomsetters</w:t>
      </w:r>
      <w:proofErr w:type="spellEnd"/>
      <w:r w:rsidR="00AB49DE">
        <w:t xml:space="preserve"> konkurs fordeles på alle nettselskap </w:t>
      </w:r>
      <w:r>
        <w:t xml:space="preserve">relativt til antall </w:t>
      </w:r>
      <w:r w:rsidRPr="00FB3314">
        <w:t>målepunkt.</w:t>
      </w:r>
    </w:p>
    <w:p w:rsidR="00A15825" w:rsidRPr="00FB3314" w:rsidRDefault="00FB3314" w:rsidP="00A15825">
      <w:r>
        <w:t xml:space="preserve">Det må også vurderes virkningen av </w:t>
      </w:r>
      <w:r w:rsidR="00A15825" w:rsidRPr="00FB3314">
        <w:t>kredittvurdering fra ratingbyrå.  De største selskapene får lettere god kredittvurdering og billigere lån. Dette kan fort bli en dyr ordning</w:t>
      </w:r>
      <w:r>
        <w:t xml:space="preserve"> og virkningen for aktørene må analyseres</w:t>
      </w:r>
      <w:r w:rsidR="00A15825" w:rsidRPr="00FB3314">
        <w:t xml:space="preserve">. </w:t>
      </w:r>
    </w:p>
    <w:p w:rsidR="00AB49DE" w:rsidRPr="00737577" w:rsidRDefault="00AB49DE" w:rsidP="00737577">
      <w:pPr>
        <w:spacing w:after="0"/>
        <w:rPr>
          <w:b/>
          <w:i/>
        </w:rPr>
      </w:pPr>
      <w:r w:rsidRPr="00737577">
        <w:rPr>
          <w:b/>
          <w:i/>
        </w:rPr>
        <w:t>Inkasso:</w:t>
      </w:r>
    </w:p>
    <w:p w:rsidR="00185415" w:rsidRDefault="00F15A1C" w:rsidP="00BA4EF1">
      <w:r>
        <w:t xml:space="preserve">Det må utredes om </w:t>
      </w:r>
      <w:r w:rsidR="00AB49DE">
        <w:t>kraftleverandøren</w:t>
      </w:r>
      <w:r>
        <w:t xml:space="preserve"> skal gis</w:t>
      </w:r>
      <w:r w:rsidR="00AB49DE">
        <w:t xml:space="preserve"> mulighet for å stenge anlegg. </w:t>
      </w:r>
      <w:r w:rsidR="00871278">
        <w:t xml:space="preserve">Det er ulikt regelverk i de nordiske land i dag, og i Norge er ikke dette tillatt. </w:t>
      </w:r>
    </w:p>
    <w:p w:rsidR="00C73336" w:rsidRPr="00737577" w:rsidRDefault="00C73336" w:rsidP="00737577">
      <w:pPr>
        <w:spacing w:after="0"/>
        <w:rPr>
          <w:b/>
          <w:i/>
        </w:rPr>
      </w:pPr>
      <w:r w:rsidRPr="00737577">
        <w:rPr>
          <w:b/>
          <w:i/>
        </w:rPr>
        <w:t>Leveringsplikt:</w:t>
      </w:r>
    </w:p>
    <w:p w:rsidR="00AB49DE" w:rsidRDefault="00AB49DE" w:rsidP="00BA4EF1">
      <w:r>
        <w:t>Leveringsplikt overføres</w:t>
      </w:r>
      <w:r w:rsidR="00360C65">
        <w:t xml:space="preserve"> trolig</w:t>
      </w:r>
      <w:r>
        <w:t xml:space="preserve"> til kraftleverandør. </w:t>
      </w:r>
      <w:r w:rsidR="00F15A1C">
        <w:t>Det m</w:t>
      </w:r>
      <w:r>
        <w:t xml:space="preserve">å utredes </w:t>
      </w:r>
      <w:r w:rsidR="00C73336">
        <w:t>på</w:t>
      </w:r>
      <w:r>
        <w:t xml:space="preserve"> hvilken form </w:t>
      </w:r>
      <w:r w:rsidR="00C73336">
        <w:t xml:space="preserve">dette </w:t>
      </w:r>
      <w:r>
        <w:t>skal</w:t>
      </w:r>
      <w:r w:rsidR="00C73336">
        <w:t xml:space="preserve"> gjøres i </w:t>
      </w:r>
      <w:r>
        <w:t xml:space="preserve">Norge. </w:t>
      </w:r>
      <w:r w:rsidR="00360C65">
        <w:t xml:space="preserve">Her må det også vurderes hvordan kunder som går konkurs skal håndteres. </w:t>
      </w:r>
    </w:p>
    <w:p w:rsidR="00AB49DE" w:rsidRPr="00737577" w:rsidRDefault="00AB49DE" w:rsidP="00737577">
      <w:pPr>
        <w:spacing w:after="0"/>
        <w:rPr>
          <w:b/>
          <w:i/>
        </w:rPr>
      </w:pPr>
      <w:r w:rsidRPr="00737577">
        <w:rPr>
          <w:b/>
          <w:i/>
        </w:rPr>
        <w:lastRenderedPageBreak/>
        <w:t xml:space="preserve">Innkreving av avgifter: </w:t>
      </w:r>
    </w:p>
    <w:p w:rsidR="00AB49DE" w:rsidRDefault="000141EA" w:rsidP="00BA4EF1">
      <w:r>
        <w:t>Rapporten foreslår at n</w:t>
      </w:r>
      <w:r w:rsidR="00AB49DE">
        <w:t>ettselskapet</w:t>
      </w:r>
      <w:r>
        <w:t xml:space="preserve"> skal</w:t>
      </w:r>
      <w:r w:rsidR="00AB49DE">
        <w:t xml:space="preserve"> klassifisere kundene</w:t>
      </w:r>
      <w:r>
        <w:t>. KS Bedrift og Defo foreslår at dette ansvaret pål</w:t>
      </w:r>
      <w:r w:rsidR="00AB49DE">
        <w:t>igge</w:t>
      </w:r>
      <w:r>
        <w:t>r</w:t>
      </w:r>
      <w:r w:rsidR="00AB49DE">
        <w:t xml:space="preserve"> kraftleverandøren når kraftleverandøren skal være ansvarlig for innsamling av skatter</w:t>
      </w:r>
      <w:r w:rsidR="00CB7F83">
        <w:t xml:space="preserve"> og avgifter fra kundene</w:t>
      </w:r>
      <w:r w:rsidR="00AB49DE">
        <w:t xml:space="preserve">. </w:t>
      </w:r>
      <w:r w:rsidR="00076C38">
        <w:t xml:space="preserve">Aktøren med størst insentiv til å få korrekt klassifisering, og dermed unngå kundeklager, bør ha ansvaret. </w:t>
      </w:r>
      <w:r w:rsidR="00CB7F83">
        <w:t>Videre bør k</w:t>
      </w:r>
      <w:r w:rsidR="00AB49DE">
        <w:t xml:space="preserve">undene </w:t>
      </w:r>
      <w:r w:rsidR="00CB7F83">
        <w:t>selv</w:t>
      </w:r>
      <w:r w:rsidR="00AB49DE">
        <w:t xml:space="preserve"> </w:t>
      </w:r>
      <w:r w:rsidR="00076C38">
        <w:t xml:space="preserve">kunne </w:t>
      </w:r>
      <w:r w:rsidR="00CB7F83">
        <w:t>kontrollere</w:t>
      </w:r>
      <w:r w:rsidR="00AB49DE">
        <w:t xml:space="preserve"> at de ligger i riktig avgiftsklasse. Utenom husholdning er det næringskunder som kan være en utfordring, og det må disse profesjonelle kundene klare å håndtere. </w:t>
      </w:r>
    </w:p>
    <w:p w:rsidR="00AB49DE" w:rsidRPr="00737577" w:rsidRDefault="00AB49DE" w:rsidP="00737577">
      <w:pPr>
        <w:spacing w:after="0"/>
        <w:rPr>
          <w:b/>
          <w:i/>
        </w:rPr>
      </w:pPr>
      <w:r w:rsidRPr="00737577">
        <w:rPr>
          <w:b/>
          <w:i/>
        </w:rPr>
        <w:t xml:space="preserve">Videre </w:t>
      </w:r>
      <w:r w:rsidR="000141EA" w:rsidRPr="00737577">
        <w:rPr>
          <w:b/>
          <w:i/>
        </w:rPr>
        <w:t>arbeid</w:t>
      </w:r>
      <w:r w:rsidRPr="00737577">
        <w:rPr>
          <w:b/>
          <w:i/>
        </w:rPr>
        <w:t xml:space="preserve">: </w:t>
      </w:r>
    </w:p>
    <w:p w:rsidR="00AB49DE" w:rsidRDefault="000141EA" w:rsidP="00BA4EF1">
      <w:r>
        <w:t>Oppsummert</w:t>
      </w:r>
      <w:r w:rsidR="00B02195">
        <w:t>: D</w:t>
      </w:r>
      <w:r>
        <w:t>et</w:t>
      </w:r>
      <w:r w:rsidR="00B02195">
        <w:t xml:space="preserve"> må</w:t>
      </w:r>
      <w:r>
        <w:t xml:space="preserve"> gjøres </w:t>
      </w:r>
      <w:r w:rsidR="00D96178">
        <w:t>flere</w:t>
      </w:r>
      <w:r>
        <w:t xml:space="preserve"> kost-nytte analyse</w:t>
      </w:r>
      <w:r w:rsidR="00D96178">
        <w:t>r</w:t>
      </w:r>
      <w:r>
        <w:t xml:space="preserve"> hvor </w:t>
      </w:r>
      <w:r w:rsidR="00D96178">
        <w:t xml:space="preserve">betydning av </w:t>
      </w:r>
      <w:r>
        <w:t xml:space="preserve">endringer og utfordringer rundt </w:t>
      </w:r>
      <w:r w:rsidR="00AB49DE">
        <w:t>risiko</w:t>
      </w:r>
      <w:r>
        <w:t xml:space="preserve">, </w:t>
      </w:r>
      <w:r w:rsidR="00AB49DE">
        <w:t>sikkerhetsstillelse og</w:t>
      </w:r>
      <w:r w:rsidR="005073EF">
        <w:t xml:space="preserve"> innkreving av skatter og avgift</w:t>
      </w:r>
      <w:r>
        <w:t>er</w:t>
      </w:r>
      <w:r w:rsidR="00D96178">
        <w:t xml:space="preserve"> for aktørene</w:t>
      </w:r>
      <w:r w:rsidR="00AB49DE">
        <w:t xml:space="preserve"> </w:t>
      </w:r>
      <w:r w:rsidR="00D96178">
        <w:t>utredes</w:t>
      </w:r>
      <w:r w:rsidR="00AB49DE">
        <w:t xml:space="preserve">. </w:t>
      </w:r>
    </w:p>
    <w:p w:rsidR="00BA4EF1" w:rsidRDefault="00BA4EF1"/>
    <w:p w:rsidR="00F4669E" w:rsidRDefault="00F4669E"/>
    <w:p w:rsidR="00BA4EF1" w:rsidRDefault="00D64566" w:rsidP="00D64566">
      <w:pPr>
        <w:spacing w:after="0"/>
        <w:jc w:val="center"/>
      </w:pPr>
      <w:r>
        <w:t>Med hilsen</w:t>
      </w:r>
    </w:p>
    <w:p w:rsidR="00C34214" w:rsidRDefault="00C34214" w:rsidP="00D64566">
      <w:pPr>
        <w:spacing w:after="0"/>
        <w:jc w:val="center"/>
      </w:pPr>
    </w:p>
    <w:p w:rsidR="00D64566" w:rsidRDefault="00D64566" w:rsidP="00D64566">
      <w:pPr>
        <w:spacing w:after="0"/>
        <w:jc w:val="center"/>
      </w:pPr>
    </w:p>
    <w:p w:rsidR="00D64566" w:rsidRDefault="00D64566" w:rsidP="00D64566">
      <w:pPr>
        <w:spacing w:after="0"/>
      </w:pPr>
      <w:r>
        <w:t>KS Bedrift Energi</w:t>
      </w:r>
      <w:r>
        <w:tab/>
      </w:r>
      <w:r>
        <w:tab/>
      </w:r>
      <w:r>
        <w:tab/>
      </w:r>
      <w:r>
        <w:tab/>
      </w:r>
      <w:r>
        <w:tab/>
      </w:r>
      <w:r>
        <w:tab/>
      </w:r>
      <w:r>
        <w:tab/>
        <w:t>Distriktenes energiforening</w:t>
      </w:r>
    </w:p>
    <w:p w:rsidR="00D64566" w:rsidRDefault="00D64566" w:rsidP="00D64566">
      <w:pPr>
        <w:spacing w:after="0"/>
      </w:pPr>
    </w:p>
    <w:p w:rsidR="00D96178" w:rsidRDefault="00D96178" w:rsidP="00D64566">
      <w:pPr>
        <w:spacing w:after="0"/>
      </w:pPr>
    </w:p>
    <w:p w:rsidR="00D64566" w:rsidRDefault="00D64566" w:rsidP="00D64566">
      <w:pPr>
        <w:spacing w:after="0"/>
      </w:pPr>
    </w:p>
    <w:p w:rsidR="00D64566" w:rsidRDefault="00D64566" w:rsidP="00D64566">
      <w:pPr>
        <w:spacing w:after="0"/>
      </w:pPr>
      <w:r>
        <w:t>Kristin H. Lind</w:t>
      </w:r>
      <w:r>
        <w:tab/>
      </w:r>
      <w:r>
        <w:tab/>
      </w:r>
      <w:r>
        <w:tab/>
      </w:r>
      <w:r>
        <w:tab/>
      </w:r>
      <w:r>
        <w:tab/>
      </w:r>
      <w:r>
        <w:tab/>
      </w:r>
      <w:r>
        <w:tab/>
      </w:r>
      <w:r>
        <w:tab/>
        <w:t>Knut Lockert</w:t>
      </w:r>
    </w:p>
    <w:p w:rsidR="00D64566" w:rsidRDefault="00D64566" w:rsidP="00D64566">
      <w:pPr>
        <w:spacing w:after="0"/>
      </w:pPr>
      <w:r>
        <w:t>fagleder</w:t>
      </w:r>
      <w:r>
        <w:tab/>
      </w:r>
      <w:r>
        <w:tab/>
      </w:r>
      <w:r>
        <w:tab/>
      </w:r>
      <w:r>
        <w:tab/>
      </w:r>
      <w:r>
        <w:tab/>
      </w:r>
      <w:r>
        <w:tab/>
      </w:r>
      <w:r>
        <w:tab/>
      </w:r>
      <w:r>
        <w:tab/>
        <w:t>daglig leder</w:t>
      </w:r>
    </w:p>
    <w:sectPr w:rsidR="00D6456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AE" w:rsidRDefault="008034AE" w:rsidP="00122D3D">
      <w:pPr>
        <w:spacing w:after="0" w:line="240" w:lineRule="auto"/>
      </w:pPr>
      <w:r>
        <w:separator/>
      </w:r>
    </w:p>
  </w:endnote>
  <w:endnote w:type="continuationSeparator" w:id="0">
    <w:p w:rsidR="008034AE" w:rsidRDefault="008034AE" w:rsidP="0012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AE" w:rsidRDefault="008034AE" w:rsidP="00122D3D">
      <w:pPr>
        <w:spacing w:after="0" w:line="240" w:lineRule="auto"/>
      </w:pPr>
      <w:r>
        <w:separator/>
      </w:r>
    </w:p>
  </w:footnote>
  <w:footnote w:type="continuationSeparator" w:id="0">
    <w:p w:rsidR="008034AE" w:rsidRDefault="008034AE" w:rsidP="00122D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D" w:rsidRDefault="00A44523">
    <w:pPr>
      <w:pStyle w:val="Topptekst"/>
    </w:pPr>
    <w:r>
      <w:rPr>
        <w:noProof/>
        <w:lang w:val="en-US" w:eastAsia="nb-NO"/>
      </w:rPr>
      <w:drawing>
        <wp:inline distT="0" distB="0" distL="0" distR="0" wp14:anchorId="13D12333" wp14:editId="594018F8">
          <wp:extent cx="2228850" cy="713105"/>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srcRect l="30781" t="42500" r="37734" b="41375"/>
                  <a:stretch/>
                </pic:blipFill>
                <pic:spPr bwMode="auto">
                  <a:xfrm>
                    <a:off x="0" y="0"/>
                    <a:ext cx="2228850" cy="713105"/>
                  </a:xfrm>
                  <a:prstGeom prst="rect">
                    <a:avLst/>
                  </a:prstGeom>
                  <a:ln>
                    <a:noFill/>
                  </a:ln>
                  <a:extLst>
                    <a:ext uri="{53640926-AAD7-44d8-BBD7-CCE9431645EC}">
                      <a14:shadowObscured xmlns:a14="http://schemas.microsoft.com/office/drawing/2010/main"/>
                    </a:ext>
                  </a:extLst>
                </pic:spPr>
              </pic:pic>
            </a:graphicData>
          </a:graphic>
        </wp:inline>
      </w:drawing>
    </w:r>
    <w:r w:rsidR="00122D3D">
      <w:tab/>
    </w:r>
    <w:r>
      <w:tab/>
    </w:r>
    <w:r>
      <w:rPr>
        <w:noProof/>
        <w:color w:val="0000FF"/>
        <w:lang w:val="en-US" w:eastAsia="nb-NO"/>
      </w:rPr>
      <w:drawing>
        <wp:inline distT="0" distB="0" distL="0" distR="0" wp14:anchorId="7B39A4C8" wp14:editId="6D738031">
          <wp:extent cx="1732208" cy="650635"/>
          <wp:effectExtent l="0" t="0" r="1905" b="0"/>
          <wp:docPr id="5" name="Bilde 5" descr="Distriktenes energiforening, Def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ktenes energiforening, Def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625" cy="650040"/>
                  </a:xfrm>
                  <a:prstGeom prst="rect">
                    <a:avLst/>
                  </a:prstGeom>
                  <a:noFill/>
                  <a:ln>
                    <a:noFill/>
                  </a:ln>
                </pic:spPr>
              </pic:pic>
            </a:graphicData>
          </a:graphic>
        </wp:inline>
      </w:drawing>
    </w:r>
    <w:r w:rsidR="00122D3D">
      <w:tab/>
    </w:r>
    <w:r w:rsidR="00122D3D">
      <w:tab/>
    </w:r>
    <w:r w:rsidR="00122D3D">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852"/>
    <w:multiLevelType w:val="hybridMultilevel"/>
    <w:tmpl w:val="A8D801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75F2C28"/>
    <w:multiLevelType w:val="hybridMultilevel"/>
    <w:tmpl w:val="4E7C6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F1"/>
    <w:rsid w:val="00011D9C"/>
    <w:rsid w:val="000141EA"/>
    <w:rsid w:val="00057BF4"/>
    <w:rsid w:val="00076C38"/>
    <w:rsid w:val="00092C34"/>
    <w:rsid w:val="00095ECD"/>
    <w:rsid w:val="00122D3D"/>
    <w:rsid w:val="00185415"/>
    <w:rsid w:val="001D06D3"/>
    <w:rsid w:val="00245D99"/>
    <w:rsid w:val="002554BD"/>
    <w:rsid w:val="00255B68"/>
    <w:rsid w:val="002D3080"/>
    <w:rsid w:val="002F3553"/>
    <w:rsid w:val="00360C65"/>
    <w:rsid w:val="003D06CC"/>
    <w:rsid w:val="003F3F15"/>
    <w:rsid w:val="00401F6A"/>
    <w:rsid w:val="00462EC0"/>
    <w:rsid w:val="004975CC"/>
    <w:rsid w:val="005073EF"/>
    <w:rsid w:val="0051538D"/>
    <w:rsid w:val="0053461C"/>
    <w:rsid w:val="005A0308"/>
    <w:rsid w:val="005A3BF4"/>
    <w:rsid w:val="005B557E"/>
    <w:rsid w:val="005C0EAA"/>
    <w:rsid w:val="005E18EB"/>
    <w:rsid w:val="00664125"/>
    <w:rsid w:val="00693EE6"/>
    <w:rsid w:val="006B3941"/>
    <w:rsid w:val="006E4C47"/>
    <w:rsid w:val="00737577"/>
    <w:rsid w:val="00745CFB"/>
    <w:rsid w:val="007504D0"/>
    <w:rsid w:val="0077081E"/>
    <w:rsid w:val="00783345"/>
    <w:rsid w:val="007B37CC"/>
    <w:rsid w:val="007E52C8"/>
    <w:rsid w:val="008034AE"/>
    <w:rsid w:val="008433A7"/>
    <w:rsid w:val="0084578F"/>
    <w:rsid w:val="00871278"/>
    <w:rsid w:val="008C4C15"/>
    <w:rsid w:val="009051A4"/>
    <w:rsid w:val="0093701D"/>
    <w:rsid w:val="009C6EBD"/>
    <w:rsid w:val="00A15825"/>
    <w:rsid w:val="00A44523"/>
    <w:rsid w:val="00AB49DE"/>
    <w:rsid w:val="00AE31CF"/>
    <w:rsid w:val="00B02195"/>
    <w:rsid w:val="00B643A9"/>
    <w:rsid w:val="00B73923"/>
    <w:rsid w:val="00BA4EF1"/>
    <w:rsid w:val="00C34214"/>
    <w:rsid w:val="00C73336"/>
    <w:rsid w:val="00C96C0E"/>
    <w:rsid w:val="00CB7F83"/>
    <w:rsid w:val="00D0315E"/>
    <w:rsid w:val="00D139D6"/>
    <w:rsid w:val="00D2023B"/>
    <w:rsid w:val="00D314FD"/>
    <w:rsid w:val="00D64566"/>
    <w:rsid w:val="00D87AE7"/>
    <w:rsid w:val="00D96178"/>
    <w:rsid w:val="00D96E82"/>
    <w:rsid w:val="00DF38E9"/>
    <w:rsid w:val="00E4089B"/>
    <w:rsid w:val="00E7065F"/>
    <w:rsid w:val="00EB08B4"/>
    <w:rsid w:val="00EC4539"/>
    <w:rsid w:val="00F15A1C"/>
    <w:rsid w:val="00F4669E"/>
    <w:rsid w:val="00FB33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0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0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4EF1"/>
    <w:pPr>
      <w:ind w:left="720"/>
      <w:contextualSpacing/>
    </w:pPr>
  </w:style>
  <w:style w:type="paragraph" w:styleId="Topptekst">
    <w:name w:val="header"/>
    <w:basedOn w:val="Normal"/>
    <w:link w:val="TopptekstTegn"/>
    <w:uiPriority w:val="99"/>
    <w:unhideWhenUsed/>
    <w:rsid w:val="00122D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2D3D"/>
  </w:style>
  <w:style w:type="paragraph" w:styleId="Bunntekst">
    <w:name w:val="footer"/>
    <w:basedOn w:val="Normal"/>
    <w:link w:val="BunntekstTegn"/>
    <w:uiPriority w:val="99"/>
    <w:unhideWhenUsed/>
    <w:rsid w:val="00122D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2D3D"/>
  </w:style>
  <w:style w:type="paragraph" w:styleId="Bobletekst">
    <w:name w:val="Balloon Text"/>
    <w:basedOn w:val="Normal"/>
    <w:link w:val="BobletekstTegn"/>
    <w:uiPriority w:val="99"/>
    <w:semiHidden/>
    <w:unhideWhenUsed/>
    <w:rsid w:val="00A44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523"/>
    <w:rPr>
      <w:rFonts w:ascii="Tahoma" w:hAnsi="Tahoma" w:cs="Tahoma"/>
      <w:sz w:val="16"/>
      <w:szCs w:val="16"/>
    </w:rPr>
  </w:style>
  <w:style w:type="character" w:customStyle="1" w:styleId="Overskrift1Tegn">
    <w:name w:val="Overskrift 1 Tegn"/>
    <w:basedOn w:val="Standardskriftforavsnitt"/>
    <w:link w:val="Overskrift1"/>
    <w:uiPriority w:val="9"/>
    <w:rsid w:val="00D202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2023B"/>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2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2023B"/>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2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2023B"/>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uiPriority w:val="99"/>
    <w:unhideWhenUsed/>
    <w:rsid w:val="00C96C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0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0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4EF1"/>
    <w:pPr>
      <w:ind w:left="720"/>
      <w:contextualSpacing/>
    </w:pPr>
  </w:style>
  <w:style w:type="paragraph" w:styleId="Topptekst">
    <w:name w:val="header"/>
    <w:basedOn w:val="Normal"/>
    <w:link w:val="TopptekstTegn"/>
    <w:uiPriority w:val="99"/>
    <w:unhideWhenUsed/>
    <w:rsid w:val="00122D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2D3D"/>
  </w:style>
  <w:style w:type="paragraph" w:styleId="Bunntekst">
    <w:name w:val="footer"/>
    <w:basedOn w:val="Normal"/>
    <w:link w:val="BunntekstTegn"/>
    <w:uiPriority w:val="99"/>
    <w:unhideWhenUsed/>
    <w:rsid w:val="00122D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2D3D"/>
  </w:style>
  <w:style w:type="paragraph" w:styleId="Bobletekst">
    <w:name w:val="Balloon Text"/>
    <w:basedOn w:val="Normal"/>
    <w:link w:val="BobletekstTegn"/>
    <w:uiPriority w:val="99"/>
    <w:semiHidden/>
    <w:unhideWhenUsed/>
    <w:rsid w:val="00A44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523"/>
    <w:rPr>
      <w:rFonts w:ascii="Tahoma" w:hAnsi="Tahoma" w:cs="Tahoma"/>
      <w:sz w:val="16"/>
      <w:szCs w:val="16"/>
    </w:rPr>
  </w:style>
  <w:style w:type="character" w:customStyle="1" w:styleId="Overskrift1Tegn">
    <w:name w:val="Overskrift 1 Tegn"/>
    <w:basedOn w:val="Standardskriftforavsnitt"/>
    <w:link w:val="Overskrift1"/>
    <w:uiPriority w:val="9"/>
    <w:rsid w:val="00D202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2023B"/>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2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2023B"/>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2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2023B"/>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uiPriority w:val="99"/>
    <w:unhideWhenUsed/>
    <w:rsid w:val="00C96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009">
      <w:bodyDiv w:val="1"/>
      <w:marLeft w:val="0"/>
      <w:marRight w:val="0"/>
      <w:marTop w:val="0"/>
      <w:marBottom w:val="0"/>
      <w:divBdr>
        <w:top w:val="none" w:sz="0" w:space="0" w:color="auto"/>
        <w:left w:val="none" w:sz="0" w:space="0" w:color="auto"/>
        <w:bottom w:val="none" w:sz="0" w:space="0" w:color="auto"/>
        <w:right w:val="none" w:sz="0" w:space="0" w:color="auto"/>
      </w:divBdr>
    </w:div>
    <w:div w:id="271712610">
      <w:bodyDiv w:val="1"/>
      <w:marLeft w:val="0"/>
      <w:marRight w:val="0"/>
      <w:marTop w:val="0"/>
      <w:marBottom w:val="0"/>
      <w:divBdr>
        <w:top w:val="none" w:sz="0" w:space="0" w:color="auto"/>
        <w:left w:val="none" w:sz="0" w:space="0" w:color="auto"/>
        <w:bottom w:val="none" w:sz="0" w:space="0" w:color="auto"/>
        <w:right w:val="none" w:sz="0" w:space="0" w:color="auto"/>
      </w:divBdr>
    </w:div>
    <w:div w:id="1626035146">
      <w:bodyDiv w:val="1"/>
      <w:marLeft w:val="0"/>
      <w:marRight w:val="0"/>
      <w:marTop w:val="0"/>
      <w:marBottom w:val="0"/>
      <w:divBdr>
        <w:top w:val="none" w:sz="0" w:space="0" w:color="auto"/>
        <w:left w:val="none" w:sz="0" w:space="0" w:color="auto"/>
        <w:bottom w:val="none" w:sz="0" w:space="0" w:color="auto"/>
        <w:right w:val="none" w:sz="0" w:space="0" w:color="auto"/>
      </w:divBdr>
    </w:div>
    <w:div w:id="1791390428">
      <w:bodyDiv w:val="1"/>
      <w:marLeft w:val="0"/>
      <w:marRight w:val="0"/>
      <w:marTop w:val="0"/>
      <w:marBottom w:val="0"/>
      <w:divBdr>
        <w:top w:val="none" w:sz="0" w:space="0" w:color="auto"/>
        <w:left w:val="none" w:sz="0" w:space="0" w:color="auto"/>
        <w:bottom w:val="none" w:sz="0" w:space="0" w:color="auto"/>
        <w:right w:val="none" w:sz="0" w:space="0" w:color="auto"/>
      </w:divBdr>
    </w:div>
    <w:div w:id="21113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ve@nve.no" TargetMode="External"/><Relationship Id="rId9" Type="http://schemas.openxmlformats.org/officeDocument/2006/relationships/hyperlink" Target="mailto:kmel@nve.n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defo.no/" TargetMode="External"/><Relationship Id="rId3"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7985</Characters>
  <Application>Microsoft Macintosh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3288khl</dc:creator>
  <cp:lastModifiedBy>Bjarne Langseth</cp:lastModifiedBy>
  <cp:revision>2</cp:revision>
  <cp:lastPrinted>2013-04-25T08:56:00Z</cp:lastPrinted>
  <dcterms:created xsi:type="dcterms:W3CDTF">2013-05-06T07:26:00Z</dcterms:created>
  <dcterms:modified xsi:type="dcterms:W3CDTF">2013-05-06T07:26:00Z</dcterms:modified>
</cp:coreProperties>
</file>