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64639" w14:textId="3C202CA4" w:rsidR="00002430" w:rsidRDefault="00002430" w:rsidP="00E67016">
      <w:pPr>
        <w:jc w:val="center"/>
        <w:rPr>
          <w:rFonts w:ascii="Avenir Next Regular" w:hAnsi="Avenir Next Regular"/>
          <w:b/>
          <w:color w:val="000000" w:themeColor="text1"/>
          <w:sz w:val="28"/>
          <w:szCs w:val="28"/>
        </w:rPr>
      </w:pPr>
      <w:bookmarkStart w:id="0" w:name="_GoBack"/>
      <w:bookmarkEnd w:id="0"/>
      <w:r>
        <w:rPr>
          <w:noProof/>
          <w:lang w:val="en-US"/>
        </w:rPr>
        <w:drawing>
          <wp:inline distT="0" distB="0" distL="0" distR="0" wp14:anchorId="1320D852" wp14:editId="77D4A457">
            <wp:extent cx="1195070" cy="950595"/>
            <wp:effectExtent l="0" t="0" r="0" b="0"/>
            <wp:docPr id="1" name="Picture 1" descr="NEP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L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070" cy="950595"/>
                    </a:xfrm>
                    <a:prstGeom prst="rect">
                      <a:avLst/>
                    </a:prstGeom>
                    <a:noFill/>
                    <a:ln>
                      <a:noFill/>
                    </a:ln>
                  </pic:spPr>
                </pic:pic>
              </a:graphicData>
            </a:graphic>
          </wp:inline>
        </w:drawing>
      </w:r>
    </w:p>
    <w:p w14:paraId="6FD880A2" w14:textId="07BB3022" w:rsidR="00E67016" w:rsidRPr="00D82549" w:rsidRDefault="00D82549" w:rsidP="00E67016">
      <w:pPr>
        <w:jc w:val="center"/>
        <w:rPr>
          <w:rFonts w:ascii="Avenir Next Regular" w:hAnsi="Avenir Next Regular"/>
          <w:b/>
          <w:color w:val="000000" w:themeColor="text1"/>
          <w:sz w:val="28"/>
          <w:szCs w:val="28"/>
        </w:rPr>
      </w:pPr>
      <w:r w:rsidRPr="00D82549">
        <w:rPr>
          <w:rFonts w:ascii="Avenir Next Regular" w:hAnsi="Avenir Next Regular"/>
          <w:b/>
          <w:color w:val="000000" w:themeColor="text1"/>
          <w:sz w:val="28"/>
          <w:szCs w:val="28"/>
        </w:rPr>
        <w:t>NORTH EAST PREMIER LEAGUE</w:t>
      </w:r>
    </w:p>
    <w:p w14:paraId="5FCBB6A5" w14:textId="6506ED80" w:rsidR="00E67016" w:rsidRPr="00FE6EA2" w:rsidRDefault="00002430" w:rsidP="00E67016">
      <w:pPr>
        <w:jc w:val="center"/>
        <w:rPr>
          <w:rFonts w:ascii="Avenir Next Regular" w:hAnsi="Avenir Next Regular"/>
          <w:b/>
          <w:color w:val="000000" w:themeColor="text1"/>
          <w:sz w:val="28"/>
          <w:szCs w:val="28"/>
        </w:rPr>
      </w:pPr>
      <w:r>
        <w:rPr>
          <w:rFonts w:ascii="Avenir Next Regular" w:hAnsi="Avenir Next Regular"/>
          <w:b/>
          <w:color w:val="000000" w:themeColor="text1"/>
          <w:sz w:val="28"/>
          <w:szCs w:val="28"/>
        </w:rPr>
        <w:t xml:space="preserve">Draft </w:t>
      </w:r>
      <w:r w:rsidR="00E67016" w:rsidRPr="00FE6EA2">
        <w:rPr>
          <w:rFonts w:ascii="Avenir Next Regular" w:hAnsi="Avenir Next Regular"/>
          <w:b/>
          <w:color w:val="000000" w:themeColor="text1"/>
          <w:sz w:val="28"/>
          <w:szCs w:val="28"/>
        </w:rPr>
        <w:t>Privacy Notice</w:t>
      </w:r>
    </w:p>
    <w:p w14:paraId="252AB215" w14:textId="77777777" w:rsidR="00E67016" w:rsidRPr="00FE6EA2" w:rsidRDefault="00E67016" w:rsidP="00E67016">
      <w:pPr>
        <w:jc w:val="center"/>
        <w:rPr>
          <w:rFonts w:ascii="Avenir Next Regular" w:hAnsi="Avenir Next Regular"/>
          <w:color w:val="000000" w:themeColor="text1"/>
          <w:sz w:val="28"/>
          <w:szCs w:val="28"/>
        </w:rPr>
      </w:pPr>
      <w:r w:rsidRPr="00FE6EA2">
        <w:rPr>
          <w:rFonts w:ascii="Avenir Next Regular" w:hAnsi="Avenir Next Regular"/>
          <w:color w:val="000000" w:themeColor="text1"/>
          <w:sz w:val="28"/>
          <w:szCs w:val="28"/>
        </w:rPr>
        <w:t>___________________________________________________________</w:t>
      </w:r>
    </w:p>
    <w:p w14:paraId="5BE365E3" w14:textId="4E15251E" w:rsidR="005E23A3" w:rsidRPr="005E23A3" w:rsidRDefault="00D82549" w:rsidP="005E23A3">
      <w:pPr>
        <w:jc w:val="both"/>
        <w:rPr>
          <w:rFonts w:ascii="Avenir Next Regular" w:hAnsi="Avenir Next Regular"/>
          <w:sz w:val="20"/>
          <w:szCs w:val="20"/>
        </w:rPr>
      </w:pPr>
      <w:r>
        <w:rPr>
          <w:rFonts w:ascii="Avenir Next Regular" w:hAnsi="Avenir Next Regular"/>
          <w:sz w:val="20"/>
          <w:szCs w:val="20"/>
        </w:rPr>
        <w:t xml:space="preserve">The </w:t>
      </w:r>
      <w:r w:rsidRPr="00D82549">
        <w:rPr>
          <w:rFonts w:ascii="Avenir Next Regular" w:hAnsi="Avenir Next Regular"/>
          <w:sz w:val="20"/>
          <w:szCs w:val="20"/>
        </w:rPr>
        <w:t>North</w:t>
      </w:r>
      <w:r>
        <w:rPr>
          <w:rFonts w:ascii="Avenir Next Regular" w:hAnsi="Avenir Next Regular"/>
          <w:sz w:val="20"/>
          <w:szCs w:val="20"/>
        </w:rPr>
        <w:t xml:space="preserve"> East Premier League (NEPL) is one of 29 ECB accredited Premier Leagues in England. </w:t>
      </w:r>
      <w:r w:rsidR="005E23A3" w:rsidRPr="005E23A3">
        <w:rPr>
          <w:rFonts w:ascii="Avenir Next Regular" w:hAnsi="Avenir Next Regular"/>
          <w:sz w:val="20"/>
          <w:szCs w:val="20"/>
        </w:rPr>
        <w:t xml:space="preserve">Under new laws effective from 25 May 2018, we are required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9072"/>
      </w:tblGrid>
      <w:tr w:rsidR="005E23A3" w:rsidRPr="005E23A3" w14:paraId="515F7E52" w14:textId="77777777" w:rsidTr="005E23A3">
        <w:tc>
          <w:tcPr>
            <w:tcW w:w="9072" w:type="dxa"/>
            <w:shd w:val="clear" w:color="auto" w:fill="E0E0E0"/>
            <w:hideMark/>
          </w:tcPr>
          <w:p w14:paraId="17EE59B8" w14:textId="006C22A5" w:rsidR="00D82549" w:rsidRDefault="00D82549" w:rsidP="00D82549">
            <w:pPr>
              <w:rPr>
                <w:rFonts w:ascii="Avenir Next Regular" w:hAnsi="Avenir Next Regular"/>
                <w:sz w:val="20"/>
                <w:szCs w:val="20"/>
              </w:rPr>
            </w:pPr>
            <w:r w:rsidRPr="00D82549">
              <w:rPr>
                <w:rFonts w:ascii="Avenir Next Regular" w:hAnsi="Avenir Next Regular"/>
                <w:sz w:val="20"/>
                <w:szCs w:val="20"/>
              </w:rPr>
              <w:t xml:space="preserve">The NEPL is fully committed to protecting the rights and privacy of its member clubs, their members, the Umpires Panel and members of its own Management Board and Committees, as well as any other </w:t>
            </w:r>
            <w:r>
              <w:rPr>
                <w:rFonts w:ascii="Avenir Next Regular" w:hAnsi="Avenir Next Regular"/>
                <w:sz w:val="20"/>
                <w:szCs w:val="20"/>
              </w:rPr>
              <w:t>stakeholder involved in the day-to-</w:t>
            </w:r>
            <w:r w:rsidRPr="00D82549">
              <w:rPr>
                <w:rFonts w:ascii="Avenir Next Regular" w:hAnsi="Avenir Next Regular"/>
                <w:sz w:val="20"/>
                <w:szCs w:val="20"/>
              </w:rPr>
              <w:t>day business of the League.</w:t>
            </w:r>
          </w:p>
          <w:p w14:paraId="4F79C88A" w14:textId="77777777" w:rsidR="00D82549" w:rsidRPr="00D82549" w:rsidRDefault="00D82549" w:rsidP="00D82549">
            <w:pPr>
              <w:rPr>
                <w:rFonts w:ascii="Avenir Next Regular" w:hAnsi="Avenir Next Regular"/>
                <w:sz w:val="20"/>
                <w:szCs w:val="20"/>
              </w:rPr>
            </w:pPr>
          </w:p>
          <w:p w14:paraId="2DF4B52C" w14:textId="458917A7" w:rsidR="00D82549" w:rsidRDefault="00D82549" w:rsidP="00D82549">
            <w:pPr>
              <w:rPr>
                <w:rFonts w:ascii="Avenir Next Regular" w:hAnsi="Avenir Next Regular"/>
                <w:sz w:val="20"/>
                <w:szCs w:val="20"/>
              </w:rPr>
            </w:pPr>
            <w:r w:rsidRPr="00D82549">
              <w:rPr>
                <w:rFonts w:ascii="Avenir Next Regular" w:hAnsi="Avenir Next Regular"/>
                <w:sz w:val="20"/>
                <w:szCs w:val="20"/>
              </w:rPr>
              <w:t>This Privacy Policy sets out the basis on wh</w:t>
            </w:r>
            <w:r>
              <w:rPr>
                <w:rFonts w:ascii="Avenir Next Regular" w:hAnsi="Avenir Next Regular"/>
                <w:sz w:val="20"/>
                <w:szCs w:val="20"/>
              </w:rPr>
              <w:t>ich any personal data that the NEPL</w:t>
            </w:r>
            <w:r w:rsidRPr="00D82549">
              <w:rPr>
                <w:rFonts w:ascii="Avenir Next Regular" w:hAnsi="Avenir Next Regular"/>
                <w:sz w:val="20"/>
                <w:szCs w:val="20"/>
              </w:rPr>
              <w:t xml:space="preserve"> collects from y</w:t>
            </w:r>
            <w:r>
              <w:rPr>
                <w:rFonts w:ascii="Avenir Next Regular" w:hAnsi="Avenir Next Regular"/>
                <w:sz w:val="20"/>
                <w:szCs w:val="20"/>
              </w:rPr>
              <w:t>ou, or that you provide to NEPL</w:t>
            </w:r>
            <w:r w:rsidRPr="00D82549">
              <w:rPr>
                <w:rFonts w:ascii="Avenir Next Regular" w:hAnsi="Avenir Next Regular"/>
                <w:sz w:val="20"/>
                <w:szCs w:val="20"/>
              </w:rPr>
              <w:t>, will be processed. It also sets out your privacy rights and how the law protects you. Please read the followi</w:t>
            </w:r>
            <w:r>
              <w:rPr>
                <w:rFonts w:ascii="Avenir Next Regular" w:hAnsi="Avenir Next Regular"/>
                <w:sz w:val="20"/>
                <w:szCs w:val="20"/>
              </w:rPr>
              <w:t>ng carefully to understand the NEPL</w:t>
            </w:r>
            <w:r w:rsidRPr="00D82549">
              <w:rPr>
                <w:rFonts w:ascii="Avenir Next Regular" w:hAnsi="Avenir Next Regular"/>
                <w:sz w:val="20"/>
                <w:szCs w:val="20"/>
              </w:rPr>
              <w:t>’s views and practices regarding your personal data and</w:t>
            </w:r>
            <w:r>
              <w:rPr>
                <w:rFonts w:ascii="Avenir Next Regular" w:hAnsi="Avenir Next Regular"/>
                <w:sz w:val="20"/>
                <w:szCs w:val="20"/>
              </w:rPr>
              <w:t xml:space="preserve"> how it will be treated by the NEPL</w:t>
            </w:r>
            <w:r w:rsidRPr="00D82549">
              <w:rPr>
                <w:rFonts w:ascii="Avenir Next Regular" w:hAnsi="Avenir Next Regular"/>
                <w:sz w:val="20"/>
                <w:szCs w:val="20"/>
              </w:rPr>
              <w:t>. By visiting the League website</w:t>
            </w:r>
            <w:r>
              <w:rPr>
                <w:rFonts w:ascii="Avenir Next Regular" w:hAnsi="Avenir Next Regular"/>
                <w:sz w:val="20"/>
                <w:szCs w:val="20"/>
              </w:rPr>
              <w:t xml:space="preserve">s </w:t>
            </w:r>
            <w:r w:rsidRPr="00D82549">
              <w:rPr>
                <w:rFonts w:ascii="Avenir Next Regular" w:hAnsi="Avenir Next Regular"/>
                <w:sz w:val="20"/>
                <w:szCs w:val="20"/>
              </w:rPr>
              <w:t>you are accepting and consenting to the practices described in this Privacy Policy.</w:t>
            </w:r>
          </w:p>
          <w:p w14:paraId="375D3E35" w14:textId="77777777" w:rsidR="00D82549" w:rsidRPr="00D82549" w:rsidRDefault="00D82549" w:rsidP="00D82549">
            <w:pPr>
              <w:rPr>
                <w:rFonts w:ascii="Avenir Next Regular" w:hAnsi="Avenir Next Regular"/>
                <w:sz w:val="20"/>
                <w:szCs w:val="20"/>
              </w:rPr>
            </w:pPr>
          </w:p>
          <w:p w14:paraId="1FD71DD9" w14:textId="77777777" w:rsidR="00D82549" w:rsidRPr="00D82549" w:rsidRDefault="00D82549" w:rsidP="00D82549">
            <w:pPr>
              <w:rPr>
                <w:rFonts w:ascii="Avenir Next Regular" w:hAnsi="Avenir Next Regular"/>
                <w:sz w:val="20"/>
                <w:szCs w:val="20"/>
              </w:rPr>
            </w:pPr>
            <w:r w:rsidRPr="00D82549">
              <w:rPr>
                <w:rFonts w:ascii="Avenir Next Regular" w:hAnsi="Avenir Next Regular"/>
                <w:sz w:val="20"/>
                <w:szCs w:val="20"/>
              </w:rPr>
              <w:t>When you provide information by which you can be identified, it will, only, be used in accordance with this privacy statement.</w:t>
            </w:r>
          </w:p>
          <w:p w14:paraId="3DC889E9" w14:textId="14DC2403" w:rsidR="005E23A3" w:rsidRPr="005E23A3" w:rsidRDefault="005E23A3" w:rsidP="00D82549">
            <w:pPr>
              <w:spacing w:after="160"/>
              <w:jc w:val="both"/>
              <w:rPr>
                <w:rFonts w:ascii="Avenir Next Regular" w:hAnsi="Avenir Next Regular"/>
                <w:sz w:val="20"/>
                <w:szCs w:val="20"/>
              </w:rPr>
            </w:pPr>
          </w:p>
        </w:tc>
      </w:tr>
    </w:tbl>
    <w:p w14:paraId="2E161FD0" w14:textId="77777777" w:rsidR="002B0617" w:rsidRDefault="002B0617" w:rsidP="002B0617">
      <w:pPr>
        <w:rPr>
          <w:rFonts w:ascii="Avenir Next Regular" w:hAnsi="Avenir Next Regular"/>
          <w:color w:val="000000" w:themeColor="text1"/>
          <w:sz w:val="20"/>
          <w:szCs w:val="20"/>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21"/>
        <w:gridCol w:w="6239"/>
      </w:tblGrid>
      <w:tr w:rsidR="002B0617" w14:paraId="138CD602"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hideMark/>
          </w:tcPr>
          <w:p w14:paraId="21CF40B0" w14:textId="77777777"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Names of data controller</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26F1566A" w14:textId="5244B979" w:rsidR="002B0617" w:rsidRDefault="00D82549">
            <w:p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North East Premier League</w:t>
            </w:r>
          </w:p>
        </w:tc>
      </w:tr>
      <w:tr w:rsidR="002B0617" w14:paraId="15340E8B"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tcPr>
          <w:p w14:paraId="1CFAD8BB" w14:textId="77777777"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Contact details</w:t>
            </w:r>
          </w:p>
          <w:p w14:paraId="5E5934C8" w14:textId="77777777" w:rsidR="002B0617" w:rsidRDefault="002B0617">
            <w:pPr>
              <w:spacing w:before="40" w:after="40" w:line="240" w:lineRule="auto"/>
              <w:rPr>
                <w:rFonts w:ascii="Avenir Next Regular" w:hAnsi="Avenir Next Regular"/>
                <w:b/>
                <w:color w:val="000000" w:themeColor="text1"/>
                <w:sz w:val="18"/>
                <w:szCs w:val="18"/>
              </w:rPr>
            </w:pP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2E8F9201" w14:textId="74D837CB" w:rsidR="002B0617" w:rsidRDefault="00D82549">
            <w:pPr>
              <w:spacing w:before="40" w:after="40" w:line="240" w:lineRule="auto"/>
              <w:jc w:val="both"/>
              <w:rPr>
                <w:rFonts w:ascii="Avenir Next Regular" w:hAnsi="Avenir Next Regular"/>
                <w:color w:val="000000" w:themeColor="text1"/>
                <w:sz w:val="18"/>
                <w:szCs w:val="18"/>
              </w:rPr>
            </w:pPr>
            <w:r>
              <w:rPr>
                <w:rFonts w:ascii="Avenir Next Regular" w:hAnsi="Avenir Next Regular"/>
                <w:b/>
                <w:color w:val="000000" w:themeColor="text1"/>
                <w:sz w:val="18"/>
                <w:szCs w:val="18"/>
              </w:rPr>
              <w:t>Gordon Halliday: League Secretary</w:t>
            </w:r>
          </w:p>
          <w:p w14:paraId="54E0F286" w14:textId="5025DF4D" w:rsidR="002B0617" w:rsidRDefault="002B0617">
            <w:pPr>
              <w:spacing w:before="40" w:after="40" w:line="240" w:lineRule="auto"/>
              <w:jc w:val="both"/>
              <w:rPr>
                <w:rFonts w:ascii="Avenir Next Regular" w:hAnsi="Avenir Next Regular"/>
                <w:color w:val="000000" w:themeColor="text1"/>
                <w:sz w:val="18"/>
                <w:szCs w:val="18"/>
              </w:rPr>
            </w:pPr>
            <w:r>
              <w:rPr>
                <w:rFonts w:ascii="Avenir Next Regular" w:hAnsi="Avenir Next Regular"/>
                <w:b/>
                <w:color w:val="000000" w:themeColor="text1"/>
                <w:sz w:val="18"/>
                <w:szCs w:val="18"/>
              </w:rPr>
              <w:t>Email:</w:t>
            </w:r>
            <w:r>
              <w:rPr>
                <w:rFonts w:ascii="Avenir Next Regular" w:hAnsi="Avenir Next Regular"/>
                <w:sz w:val="18"/>
                <w:szCs w:val="18"/>
              </w:rPr>
              <w:t xml:space="preserve">  </w:t>
            </w:r>
            <w:r w:rsidR="00D82549">
              <w:rPr>
                <w:rFonts w:ascii="Avenir Next Regular" w:hAnsi="Avenir Next Regular"/>
                <w:sz w:val="18"/>
                <w:szCs w:val="18"/>
              </w:rPr>
              <w:t>hallidays@blueyonder.co.uk</w:t>
            </w:r>
            <w:r w:rsidR="00D82549">
              <w:rPr>
                <w:rFonts w:ascii="Avenir Next Regular" w:hAnsi="Avenir Next Regular"/>
                <w:color w:val="000000" w:themeColor="text1"/>
                <w:sz w:val="18"/>
                <w:szCs w:val="18"/>
              </w:rPr>
              <w:t xml:space="preserve"> </w:t>
            </w:r>
          </w:p>
          <w:p w14:paraId="54C4E76E" w14:textId="56808694" w:rsidR="002B0617" w:rsidRDefault="002B0617">
            <w:pPr>
              <w:spacing w:before="40" w:after="40" w:line="240" w:lineRule="auto"/>
              <w:jc w:val="both"/>
              <w:rPr>
                <w:rFonts w:ascii="Avenir Next Regular" w:hAnsi="Avenir Next Regular"/>
                <w:color w:val="000000" w:themeColor="text1"/>
                <w:sz w:val="18"/>
                <w:szCs w:val="18"/>
              </w:rPr>
            </w:pPr>
            <w:r>
              <w:rPr>
                <w:rFonts w:ascii="Avenir Next Regular" w:hAnsi="Avenir Next Regular"/>
                <w:b/>
                <w:color w:val="000000" w:themeColor="text1"/>
                <w:sz w:val="18"/>
                <w:szCs w:val="18"/>
              </w:rPr>
              <w:t xml:space="preserve">Phone:  </w:t>
            </w:r>
            <w:r w:rsidR="00D82549">
              <w:rPr>
                <w:rFonts w:ascii="Avenir Next Regular" w:hAnsi="Avenir Next Regular"/>
                <w:sz w:val="18"/>
                <w:szCs w:val="18"/>
              </w:rPr>
              <w:t>07785 727053</w:t>
            </w:r>
            <w:r>
              <w:rPr>
                <w:rFonts w:ascii="Avenir Next Regular" w:hAnsi="Avenir Next Regular"/>
                <w:sz w:val="18"/>
                <w:szCs w:val="18"/>
              </w:rPr>
              <w:t xml:space="preserve"> </w:t>
            </w:r>
          </w:p>
          <w:p w14:paraId="0C24FDE5" w14:textId="170607B6" w:rsidR="002B0617" w:rsidRDefault="002B0617" w:rsidP="00D82549">
            <w:pPr>
              <w:spacing w:before="40" w:after="40" w:line="240" w:lineRule="auto"/>
              <w:jc w:val="both"/>
              <w:rPr>
                <w:rStyle w:val="Hyperlink"/>
                <w:rFonts w:ascii="Avenir Next Regular" w:hAnsi="Avenir Next Regular"/>
                <w:sz w:val="18"/>
                <w:szCs w:val="18"/>
              </w:rPr>
            </w:pPr>
            <w:r>
              <w:rPr>
                <w:rFonts w:ascii="Avenir Next Regular" w:hAnsi="Avenir Next Regular"/>
                <w:b/>
                <w:color w:val="000000" w:themeColor="text1"/>
                <w:sz w:val="18"/>
                <w:szCs w:val="18"/>
              </w:rPr>
              <w:t>Website</w:t>
            </w:r>
            <w:r w:rsidR="00D82549">
              <w:rPr>
                <w:rFonts w:ascii="Avenir Next Regular" w:hAnsi="Avenir Next Regular"/>
                <w:b/>
                <w:color w:val="000000" w:themeColor="text1"/>
                <w:sz w:val="18"/>
                <w:szCs w:val="18"/>
              </w:rPr>
              <w:t>s</w:t>
            </w:r>
            <w:r>
              <w:rPr>
                <w:rFonts w:ascii="Avenir Next Regular" w:hAnsi="Avenir Next Regular"/>
                <w:b/>
                <w:color w:val="000000" w:themeColor="text1"/>
                <w:sz w:val="18"/>
                <w:szCs w:val="18"/>
              </w:rPr>
              <w:t xml:space="preserve">: </w:t>
            </w:r>
            <w:hyperlink r:id="rId7" w:history="1">
              <w:r w:rsidR="00D82549" w:rsidRPr="002C0FFC">
                <w:rPr>
                  <w:rStyle w:val="Hyperlink"/>
                  <w:rFonts w:ascii="Avenir Next Regular" w:hAnsi="Avenir Next Regular"/>
                  <w:sz w:val="18"/>
                  <w:szCs w:val="18"/>
                </w:rPr>
                <w:t>www.nepremierleague.play-cricket.com</w:t>
              </w:r>
            </w:hyperlink>
          </w:p>
          <w:p w14:paraId="20EF3E41" w14:textId="5D628CD5" w:rsidR="00D82549" w:rsidRDefault="00D82549" w:rsidP="00D82549">
            <w:p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                       www.nepremierleague.pitchero.com</w:t>
            </w:r>
          </w:p>
        </w:tc>
      </w:tr>
      <w:tr w:rsidR="002B0617" w14:paraId="246A4881" w14:textId="77777777" w:rsidTr="00AD1D1C">
        <w:trPr>
          <w:trHeight w:val="1095"/>
        </w:trPr>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tcPr>
          <w:p w14:paraId="091EB68D" w14:textId="70BC0986"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Categories of personal data</w:t>
            </w:r>
            <w:r w:rsidR="002B21DB">
              <w:rPr>
                <w:rFonts w:ascii="Avenir Next Regular" w:hAnsi="Avenir Next Regular"/>
                <w:b/>
                <w:color w:val="000000" w:themeColor="text1"/>
                <w:sz w:val="18"/>
                <w:szCs w:val="18"/>
              </w:rPr>
              <w:t xml:space="preserve"> we collect</w:t>
            </w:r>
          </w:p>
          <w:p w14:paraId="7A4E00B5" w14:textId="77777777" w:rsidR="002B0617" w:rsidRDefault="002B0617">
            <w:pPr>
              <w:spacing w:before="40" w:after="40" w:line="240" w:lineRule="auto"/>
              <w:rPr>
                <w:rFonts w:ascii="Avenir Next Regular" w:hAnsi="Avenir Next Regular"/>
                <w:b/>
                <w:color w:val="000000" w:themeColor="text1"/>
                <w:sz w:val="18"/>
                <w:szCs w:val="18"/>
              </w:rPr>
            </w:pP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35009CC5" w14:textId="7558FD5C" w:rsidR="00A25E86" w:rsidRDefault="005D2641">
            <w:pPr>
              <w:tabs>
                <w:tab w:val="center" w:pos="3007"/>
              </w:tabs>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Name, title, d</w:t>
            </w:r>
            <w:r w:rsidR="00A25E86">
              <w:rPr>
                <w:rFonts w:ascii="Avenir Next Regular" w:hAnsi="Avenir Next Regular"/>
                <w:color w:val="000000" w:themeColor="text1"/>
                <w:sz w:val="18"/>
                <w:szCs w:val="18"/>
              </w:rPr>
              <w:t>ate of birth</w:t>
            </w:r>
            <w:r>
              <w:rPr>
                <w:rFonts w:ascii="Avenir Next Regular" w:hAnsi="Avenir Next Regular"/>
                <w:color w:val="000000" w:themeColor="text1"/>
                <w:sz w:val="18"/>
                <w:szCs w:val="18"/>
              </w:rPr>
              <w:t xml:space="preserve"> and gender</w:t>
            </w:r>
          </w:p>
          <w:p w14:paraId="09329C0D" w14:textId="7E15E8D2" w:rsidR="0092615B" w:rsidRDefault="001352E0">
            <w:pPr>
              <w:tabs>
                <w:tab w:val="center" w:pos="3007"/>
              </w:tabs>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Contact details including p</w:t>
            </w:r>
            <w:r w:rsidR="00BA686A">
              <w:rPr>
                <w:rFonts w:ascii="Avenir Next Regular" w:hAnsi="Avenir Next Regular"/>
                <w:color w:val="000000" w:themeColor="text1"/>
                <w:sz w:val="18"/>
                <w:szCs w:val="18"/>
              </w:rPr>
              <w:t>ostal,</w:t>
            </w:r>
            <w:r w:rsidR="00A25E86">
              <w:rPr>
                <w:rFonts w:ascii="Avenir Next Regular" w:hAnsi="Avenir Next Regular"/>
                <w:color w:val="000000" w:themeColor="text1"/>
                <w:sz w:val="18"/>
                <w:szCs w:val="18"/>
              </w:rPr>
              <w:t xml:space="preserve"> </w:t>
            </w:r>
            <w:r>
              <w:rPr>
                <w:rFonts w:ascii="Avenir Next Regular" w:hAnsi="Avenir Next Regular"/>
                <w:color w:val="000000" w:themeColor="text1"/>
                <w:sz w:val="18"/>
                <w:szCs w:val="18"/>
              </w:rPr>
              <w:t>e</w:t>
            </w:r>
            <w:r w:rsidR="0092615B">
              <w:rPr>
                <w:rFonts w:ascii="Avenir Next Regular" w:hAnsi="Avenir Next Regular"/>
                <w:color w:val="000000" w:themeColor="text1"/>
                <w:sz w:val="18"/>
                <w:szCs w:val="18"/>
              </w:rPr>
              <w:t>mail address</w:t>
            </w:r>
            <w:r w:rsidR="00BA686A">
              <w:rPr>
                <w:rFonts w:ascii="Avenir Next Regular" w:hAnsi="Avenir Next Regular"/>
                <w:color w:val="000000" w:themeColor="text1"/>
                <w:sz w:val="18"/>
                <w:szCs w:val="18"/>
              </w:rPr>
              <w:t xml:space="preserve"> and telephone </w:t>
            </w:r>
            <w:r w:rsidR="002B21DB">
              <w:rPr>
                <w:rFonts w:ascii="Avenir Next Regular" w:hAnsi="Avenir Next Regular"/>
                <w:color w:val="000000" w:themeColor="text1"/>
                <w:sz w:val="18"/>
                <w:szCs w:val="18"/>
              </w:rPr>
              <w:t>/ mobile number</w:t>
            </w:r>
          </w:p>
          <w:p w14:paraId="144133BB" w14:textId="53336290" w:rsidR="002E207B" w:rsidRDefault="005D2641" w:rsidP="005E23A3">
            <w:pPr>
              <w:tabs>
                <w:tab w:val="center" w:pos="3007"/>
              </w:tabs>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Other information relevant to participation in NEPL competitions</w:t>
            </w:r>
          </w:p>
        </w:tc>
      </w:tr>
      <w:tr w:rsidR="002B0617" w14:paraId="0077FF47"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tcPr>
          <w:p w14:paraId="1C6C3FDA" w14:textId="77777777"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 xml:space="preserve">Sources of personal data </w:t>
            </w:r>
          </w:p>
          <w:p w14:paraId="7FDA5081" w14:textId="77777777" w:rsidR="002B0617" w:rsidRDefault="002B0617">
            <w:pPr>
              <w:spacing w:before="40" w:after="40" w:line="240" w:lineRule="auto"/>
              <w:rPr>
                <w:rFonts w:ascii="Avenir Next Regular" w:hAnsi="Avenir Next Regular"/>
                <w:b/>
                <w:color w:val="000000" w:themeColor="text1"/>
                <w:sz w:val="18"/>
                <w:szCs w:val="18"/>
              </w:rPr>
            </w:pP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0F23E6E4" w14:textId="77777777" w:rsidR="005F6351" w:rsidRPr="00C20D52" w:rsidRDefault="005F6351" w:rsidP="005E23A3">
            <w:pPr>
              <w:spacing w:before="40" w:after="40" w:line="240" w:lineRule="auto"/>
              <w:jc w:val="both"/>
              <w:rPr>
                <w:rFonts w:ascii="Avenir Next Regular" w:hAnsi="Avenir Next Regular"/>
                <w:sz w:val="18"/>
                <w:szCs w:val="18"/>
              </w:rPr>
            </w:pPr>
            <w:r w:rsidRPr="00C20D52">
              <w:rPr>
                <w:rFonts w:ascii="Avenir Next Regular" w:hAnsi="Avenir Next Regular"/>
                <w:sz w:val="18"/>
                <w:szCs w:val="18"/>
              </w:rPr>
              <w:t>We obtain personal data from:</w:t>
            </w:r>
          </w:p>
          <w:p w14:paraId="24FE9712" w14:textId="77777777" w:rsidR="00C20D52" w:rsidRDefault="005F6351" w:rsidP="00C20D52">
            <w:pPr>
              <w:pStyle w:val="ListParagraph"/>
              <w:numPr>
                <w:ilvl w:val="0"/>
                <w:numId w:val="5"/>
              </w:numPr>
              <w:spacing w:before="40" w:after="40" w:line="240" w:lineRule="auto"/>
              <w:jc w:val="both"/>
              <w:rPr>
                <w:rFonts w:ascii="Avenir Next Regular" w:hAnsi="Avenir Next Regular"/>
                <w:sz w:val="18"/>
                <w:szCs w:val="18"/>
              </w:rPr>
            </w:pPr>
            <w:r w:rsidRPr="00C20D52">
              <w:rPr>
                <w:rFonts w:ascii="Avenir Next Regular" w:hAnsi="Avenir Next Regular"/>
                <w:sz w:val="18"/>
                <w:szCs w:val="18"/>
              </w:rPr>
              <w:t>The individual and / or parent / le</w:t>
            </w:r>
            <w:r w:rsidR="00AD1D1C" w:rsidRPr="00C20D52">
              <w:rPr>
                <w:rFonts w:ascii="Avenir Next Regular" w:hAnsi="Avenir Next Regular"/>
                <w:sz w:val="18"/>
                <w:szCs w:val="18"/>
              </w:rPr>
              <w:t>gal guardian registering</w:t>
            </w:r>
          </w:p>
          <w:p w14:paraId="411E3452" w14:textId="2BB09739" w:rsidR="002E207B" w:rsidRDefault="005D2641" w:rsidP="005E23A3">
            <w:pPr>
              <w:pStyle w:val="ListParagraph"/>
              <w:numPr>
                <w:ilvl w:val="0"/>
                <w:numId w:val="5"/>
              </w:numPr>
              <w:spacing w:before="40" w:after="40" w:line="240" w:lineRule="auto"/>
              <w:jc w:val="both"/>
              <w:rPr>
                <w:rFonts w:ascii="Avenir Next Regular" w:hAnsi="Avenir Next Regular"/>
                <w:sz w:val="18"/>
                <w:szCs w:val="18"/>
              </w:rPr>
            </w:pPr>
            <w:r w:rsidRPr="00C20D52">
              <w:rPr>
                <w:rFonts w:ascii="Avenir Next Regular" w:hAnsi="Avenir Next Regular"/>
                <w:sz w:val="18"/>
                <w:szCs w:val="18"/>
              </w:rPr>
              <w:t>Clubs</w:t>
            </w:r>
          </w:p>
          <w:p w14:paraId="754F5B8C" w14:textId="0FA08CE2" w:rsidR="00E855EE" w:rsidRPr="00C20D52" w:rsidRDefault="00780D77" w:rsidP="005E23A3">
            <w:pPr>
              <w:pStyle w:val="ListParagraph"/>
              <w:numPr>
                <w:ilvl w:val="0"/>
                <w:numId w:val="5"/>
              </w:numPr>
              <w:spacing w:before="40" w:after="40" w:line="240" w:lineRule="auto"/>
              <w:jc w:val="both"/>
              <w:rPr>
                <w:rFonts w:ascii="Avenir Next Regular" w:hAnsi="Avenir Next Regular"/>
                <w:sz w:val="18"/>
                <w:szCs w:val="18"/>
              </w:rPr>
            </w:pPr>
            <w:r w:rsidRPr="00C20D52">
              <w:rPr>
                <w:rFonts w:ascii="Avenir Next Regular" w:hAnsi="Avenir Next Regular"/>
                <w:sz w:val="18"/>
                <w:szCs w:val="18"/>
              </w:rPr>
              <w:t>Play-Cricket database</w:t>
            </w:r>
          </w:p>
        </w:tc>
      </w:tr>
      <w:tr w:rsidR="002B0617" w14:paraId="62ED5CF9"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tcPr>
          <w:p w14:paraId="1688EC2F" w14:textId="6AF882E0" w:rsidR="002B0617" w:rsidRDefault="00C20D52">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Data Security</w:t>
            </w:r>
          </w:p>
          <w:p w14:paraId="1DD9930E" w14:textId="77777777" w:rsidR="002B0617" w:rsidRDefault="002B0617">
            <w:pPr>
              <w:spacing w:before="40" w:after="40" w:line="240" w:lineRule="auto"/>
              <w:rPr>
                <w:rFonts w:ascii="Avenir Next Regular" w:hAnsi="Avenir Next Regular"/>
                <w:b/>
                <w:color w:val="000000" w:themeColor="text1"/>
                <w:sz w:val="18"/>
                <w:szCs w:val="18"/>
              </w:rPr>
            </w:pP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3EEB461B" w14:textId="4A09BAF0" w:rsidR="002B0617" w:rsidRPr="00C20D52" w:rsidRDefault="00C20D52" w:rsidP="00C20D52">
            <w:pPr>
              <w:rPr>
                <w:rFonts w:ascii="Avenir Next Regular" w:hAnsi="Avenir Next Regular"/>
                <w:sz w:val="18"/>
                <w:szCs w:val="18"/>
              </w:rPr>
            </w:pPr>
            <w:r>
              <w:rPr>
                <w:rFonts w:ascii="Avenir Next Regular" w:hAnsi="Avenir Next Regular"/>
                <w:sz w:val="18"/>
                <w:szCs w:val="18"/>
              </w:rPr>
              <w:t>The NEPL</w:t>
            </w:r>
            <w:r w:rsidRPr="00C20D52">
              <w:rPr>
                <w:rFonts w:ascii="Avenir Next Regular" w:hAnsi="Avenir Next Regular"/>
                <w:sz w:val="18"/>
                <w:szCs w:val="18"/>
              </w:rPr>
              <w:t xml:space="preserve"> is committed to ensuring that your information is secure. To prevent unauthor</w:t>
            </w:r>
            <w:r>
              <w:rPr>
                <w:rFonts w:ascii="Avenir Next Regular" w:hAnsi="Avenir Next Regular"/>
                <w:sz w:val="18"/>
                <w:szCs w:val="18"/>
              </w:rPr>
              <w:t>ised access or disclosure, the NEPL</w:t>
            </w:r>
            <w:r w:rsidRPr="00C20D52">
              <w:rPr>
                <w:rFonts w:ascii="Avenir Next Regular" w:hAnsi="Avenir Next Regular"/>
                <w:sz w:val="18"/>
                <w:szCs w:val="18"/>
              </w:rPr>
              <w:t xml:space="preserve"> has suitable procedures in place to safeguard and secure the information collected.</w:t>
            </w:r>
            <w:r>
              <w:rPr>
                <w:rFonts w:ascii="Avenir Next Regular" w:hAnsi="Avenir Next Regular"/>
                <w:sz w:val="18"/>
                <w:szCs w:val="18"/>
              </w:rPr>
              <w:t xml:space="preserve"> In addition, the NEPL</w:t>
            </w:r>
            <w:r w:rsidRPr="00C20D52">
              <w:rPr>
                <w:rFonts w:ascii="Avenir Next Regular" w:hAnsi="Avenir Next Regular"/>
                <w:sz w:val="18"/>
                <w:szCs w:val="18"/>
              </w:rPr>
              <w:t xml:space="preserve"> limits access to your personal data to t</w:t>
            </w:r>
            <w:r>
              <w:rPr>
                <w:rFonts w:ascii="Avenir Next Regular" w:hAnsi="Avenir Next Regular"/>
                <w:sz w:val="18"/>
                <w:szCs w:val="18"/>
              </w:rPr>
              <w:t>hose parties who have an organisational</w:t>
            </w:r>
            <w:r w:rsidRPr="00C20D52">
              <w:rPr>
                <w:rFonts w:ascii="Avenir Next Regular" w:hAnsi="Avenir Next Regular"/>
                <w:sz w:val="18"/>
                <w:szCs w:val="18"/>
              </w:rPr>
              <w:t xml:space="preserve"> need to know. They will only process your personal data on the instructions of the Data Controller and they are subject to a duty</w:t>
            </w:r>
            <w:r>
              <w:rPr>
                <w:rFonts w:ascii="Avenir Next Regular" w:hAnsi="Avenir Next Regular"/>
                <w:sz w:val="18"/>
                <w:szCs w:val="18"/>
              </w:rPr>
              <w:t xml:space="preserve"> of confidentiality. Once the NEPL</w:t>
            </w:r>
            <w:r w:rsidRPr="00C20D52">
              <w:rPr>
                <w:rFonts w:ascii="Avenir Next Regular" w:hAnsi="Avenir Next Regular"/>
                <w:sz w:val="18"/>
                <w:szCs w:val="18"/>
              </w:rPr>
              <w:t xml:space="preserve"> has received your information, strict procedures and security features will be used to </w:t>
            </w:r>
            <w:r w:rsidRPr="00C20D52">
              <w:rPr>
                <w:rFonts w:ascii="Avenir Next Regular" w:hAnsi="Avenir Next Regular"/>
                <w:sz w:val="18"/>
                <w:szCs w:val="18"/>
              </w:rPr>
              <w:lastRenderedPageBreak/>
              <w:t xml:space="preserve">prevent unauthorised access. </w:t>
            </w:r>
          </w:p>
        </w:tc>
      </w:tr>
      <w:tr w:rsidR="002B0617" w14:paraId="6FBF775A" w14:textId="77777777" w:rsidTr="00AD1D1C">
        <w:trPr>
          <w:trHeight w:val="832"/>
        </w:trPr>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hideMark/>
          </w:tcPr>
          <w:p w14:paraId="4714B8D6" w14:textId="77777777"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lastRenderedPageBreak/>
              <w:t>Purposes of processing</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0103D7AB" w14:textId="560165A7" w:rsidR="002B0617" w:rsidRDefault="002B0617">
            <w:p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The </w:t>
            </w:r>
            <w:r w:rsidR="00FE634B">
              <w:rPr>
                <w:rFonts w:ascii="Avenir Next Regular" w:hAnsi="Avenir Next Regular"/>
                <w:color w:val="000000" w:themeColor="text1"/>
                <w:sz w:val="18"/>
                <w:szCs w:val="18"/>
              </w:rPr>
              <w:t>board</w:t>
            </w:r>
            <w:r>
              <w:rPr>
                <w:rFonts w:ascii="Avenir Next Regular" w:hAnsi="Avenir Next Regular"/>
                <w:color w:val="000000" w:themeColor="text1"/>
                <w:sz w:val="18"/>
                <w:szCs w:val="18"/>
              </w:rPr>
              <w:t xml:space="preserve"> will process your personal data for the purposes of:</w:t>
            </w:r>
          </w:p>
          <w:p w14:paraId="4CC48618" w14:textId="77777777" w:rsidR="005D2641" w:rsidRDefault="005D2641" w:rsidP="00E67016">
            <w:pPr>
              <w:pStyle w:val="ListParagraph"/>
              <w:numPr>
                <w:ilvl w:val="0"/>
                <w:numId w:val="1"/>
              </w:num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Record keeping</w:t>
            </w:r>
          </w:p>
          <w:p w14:paraId="3A84A5A1" w14:textId="77777777" w:rsidR="005D2641" w:rsidRDefault="005D2641" w:rsidP="00E67016">
            <w:pPr>
              <w:pStyle w:val="ListParagraph"/>
              <w:numPr>
                <w:ilvl w:val="0"/>
                <w:numId w:val="1"/>
              </w:num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Player registration and general administration (including verification, vetting and security checking)</w:t>
            </w:r>
          </w:p>
          <w:p w14:paraId="04DC8B16" w14:textId="4E44A596" w:rsidR="00FE634B" w:rsidRDefault="005D2641" w:rsidP="00E67016">
            <w:pPr>
              <w:pStyle w:val="ListParagraph"/>
              <w:numPr>
                <w:ilvl w:val="0"/>
                <w:numId w:val="1"/>
              </w:num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Ensuring appropriate communications are distributed/received between the NEPL, its member clubs and other stakeholders </w:t>
            </w:r>
          </w:p>
          <w:p w14:paraId="3EB0C5A8" w14:textId="23173116" w:rsidR="00E67016" w:rsidRDefault="00E67016" w:rsidP="005A1742">
            <w:pPr>
              <w:pStyle w:val="ListParagraph"/>
              <w:numPr>
                <w:ilvl w:val="0"/>
                <w:numId w:val="1"/>
              </w:numPr>
              <w:spacing w:before="40" w:after="40" w:line="240" w:lineRule="auto"/>
              <w:jc w:val="both"/>
              <w:rPr>
                <w:rFonts w:ascii="Avenir Next Regular" w:hAnsi="Avenir Next Regular"/>
                <w:color w:val="000000" w:themeColor="text1"/>
                <w:sz w:val="18"/>
                <w:szCs w:val="18"/>
              </w:rPr>
            </w:pPr>
            <w:r w:rsidRPr="005A1742">
              <w:rPr>
                <w:rFonts w:ascii="Avenir Next Regular" w:hAnsi="Avenir Next Regular"/>
                <w:color w:val="000000" w:themeColor="text1"/>
                <w:sz w:val="18"/>
                <w:szCs w:val="18"/>
              </w:rPr>
              <w:t xml:space="preserve">Supporting </w:t>
            </w:r>
            <w:r w:rsidR="005A1742">
              <w:rPr>
                <w:rFonts w:ascii="Avenir Next Regular" w:hAnsi="Avenir Next Regular"/>
                <w:color w:val="000000" w:themeColor="text1"/>
                <w:sz w:val="18"/>
                <w:szCs w:val="18"/>
              </w:rPr>
              <w:t xml:space="preserve">the </w:t>
            </w:r>
            <w:r w:rsidR="005D2641">
              <w:rPr>
                <w:rFonts w:ascii="Avenir Next Regular" w:hAnsi="Avenir Next Regular"/>
                <w:color w:val="000000" w:themeColor="text1"/>
                <w:sz w:val="18"/>
                <w:szCs w:val="18"/>
              </w:rPr>
              <w:t xml:space="preserve">organisation and </w:t>
            </w:r>
            <w:r w:rsidR="005A1742">
              <w:rPr>
                <w:rFonts w:ascii="Avenir Next Regular" w:hAnsi="Avenir Next Regular"/>
                <w:color w:val="000000" w:themeColor="text1"/>
                <w:sz w:val="18"/>
                <w:szCs w:val="18"/>
              </w:rPr>
              <w:t xml:space="preserve">delivery of cricket </w:t>
            </w:r>
            <w:r w:rsidR="005D2641">
              <w:rPr>
                <w:rFonts w:ascii="Avenir Next Regular" w:hAnsi="Avenir Next Regular"/>
                <w:color w:val="000000" w:themeColor="text1"/>
                <w:sz w:val="18"/>
                <w:szCs w:val="18"/>
              </w:rPr>
              <w:t>competitions</w:t>
            </w:r>
          </w:p>
          <w:p w14:paraId="300FF890" w14:textId="33150EFE" w:rsidR="005A1742" w:rsidRPr="005A1742" w:rsidRDefault="005A1742" w:rsidP="005A1742">
            <w:pPr>
              <w:pStyle w:val="ListParagraph"/>
              <w:numPr>
                <w:ilvl w:val="0"/>
                <w:numId w:val="1"/>
              </w:num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For quality and improvement monitoring</w:t>
            </w:r>
          </w:p>
        </w:tc>
      </w:tr>
      <w:tr w:rsidR="002B0617" w14:paraId="4082C21F"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hideMark/>
          </w:tcPr>
          <w:p w14:paraId="1F52A162" w14:textId="0DD2D42E"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Who we will disclose your personal data to</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73DF6837" w14:textId="63B65074" w:rsidR="002B0617" w:rsidRDefault="005D2641" w:rsidP="0092615B">
            <w:p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Some limited information may be shared with oth</w:t>
            </w:r>
            <w:r w:rsidR="00C20D52">
              <w:rPr>
                <w:rFonts w:ascii="Avenir Next Regular" w:hAnsi="Avenir Next Regular"/>
                <w:color w:val="000000" w:themeColor="text1"/>
                <w:sz w:val="18"/>
                <w:szCs w:val="18"/>
              </w:rPr>
              <w:t>er cricket stakeholders including:</w:t>
            </w:r>
          </w:p>
          <w:p w14:paraId="0D39CEB8" w14:textId="77777777" w:rsidR="00C03698" w:rsidRDefault="00C03698" w:rsidP="00C03698">
            <w:pPr>
              <w:pStyle w:val="ListParagraph"/>
              <w:numPr>
                <w:ilvl w:val="0"/>
                <w:numId w:val="4"/>
              </w:num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The ECB</w:t>
            </w:r>
          </w:p>
          <w:p w14:paraId="5B0738DB" w14:textId="77777777" w:rsidR="00C03698" w:rsidRDefault="00C20D52" w:rsidP="00C03698">
            <w:pPr>
              <w:pStyle w:val="ListParagraph"/>
              <w:numPr>
                <w:ilvl w:val="0"/>
                <w:numId w:val="4"/>
              </w:num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County Cricket Boards and other competition organisers so that they can maintain appropriate records and assist the NEPL in administering and organising cricket competitions and matches</w:t>
            </w:r>
          </w:p>
          <w:p w14:paraId="4005FB34" w14:textId="61BC875E" w:rsidR="00A5748F" w:rsidRPr="00A5748F" w:rsidRDefault="00A5748F" w:rsidP="00A5748F">
            <w:p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The NEPL does not sell, distribute or lease your personal information to commercial organisations.</w:t>
            </w:r>
          </w:p>
        </w:tc>
      </w:tr>
      <w:tr w:rsidR="002B0617" w14:paraId="419B4B82" w14:textId="77777777" w:rsidTr="00AD1D1C">
        <w:trPr>
          <w:trHeight w:val="507"/>
        </w:trPr>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hideMark/>
          </w:tcPr>
          <w:p w14:paraId="735DFCFF" w14:textId="77777777"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Legal basis for processing your personal data</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77BFA564" w14:textId="77777777" w:rsidR="002B0617" w:rsidRDefault="002B0617">
            <w:pPr>
              <w:spacing w:before="40" w:after="40" w:line="240" w:lineRule="auto"/>
              <w:jc w:val="both"/>
              <w:rPr>
                <w:rFonts w:ascii="Avenir Next Regular" w:hAnsi="Avenir Next Regular"/>
                <w:sz w:val="18"/>
                <w:szCs w:val="18"/>
              </w:rPr>
            </w:pPr>
            <w:r>
              <w:rPr>
                <w:rFonts w:ascii="Avenir Next Regular" w:hAnsi="Avenir Next Regular"/>
                <w:sz w:val="18"/>
                <w:szCs w:val="18"/>
              </w:rPr>
              <w:t>The legal basis for the collection and processing of your personal data is:</w:t>
            </w:r>
          </w:p>
          <w:p w14:paraId="0E38D6C1" w14:textId="77777777" w:rsidR="0092615B" w:rsidRPr="0092615B" w:rsidRDefault="002B0617" w:rsidP="0092615B">
            <w:pPr>
              <w:pStyle w:val="ListParagraph"/>
              <w:numPr>
                <w:ilvl w:val="0"/>
                <w:numId w:val="2"/>
              </w:numPr>
              <w:spacing w:before="40" w:after="40" w:line="254" w:lineRule="auto"/>
              <w:jc w:val="both"/>
              <w:rPr>
                <w:rFonts w:ascii="Avenir Next Regular" w:hAnsi="Avenir Next Regular"/>
                <w:sz w:val="18"/>
                <w:szCs w:val="18"/>
              </w:rPr>
            </w:pPr>
            <w:r>
              <w:rPr>
                <w:rFonts w:ascii="Avenir Next Regular" w:hAnsi="Avenir Next Regular"/>
                <w:color w:val="000000" w:themeColor="text1"/>
                <w:sz w:val="18"/>
                <w:szCs w:val="18"/>
              </w:rPr>
              <w:t>administration: that it is necessary to fulfil the contract that you are going to enter into or have entered into with us.</w:t>
            </w:r>
          </w:p>
          <w:p w14:paraId="2DB830DD" w14:textId="77777777" w:rsidR="002B0617" w:rsidRDefault="002B0617">
            <w:pPr>
              <w:pStyle w:val="ListParagraph"/>
              <w:numPr>
                <w:ilvl w:val="0"/>
                <w:numId w:val="2"/>
              </w:numPr>
              <w:spacing w:before="40" w:after="40" w:line="254" w:lineRule="auto"/>
              <w:jc w:val="both"/>
              <w:rPr>
                <w:rFonts w:ascii="Avenir Next Regular" w:hAnsi="Avenir Next Regular"/>
                <w:sz w:val="18"/>
                <w:szCs w:val="18"/>
              </w:rPr>
            </w:pPr>
            <w:r>
              <w:rPr>
                <w:rFonts w:ascii="Avenir Next Regular" w:hAnsi="Avenir Next Regular"/>
                <w:sz w:val="18"/>
                <w:szCs w:val="18"/>
              </w:rPr>
              <w:t xml:space="preserve">in all other cases: that it is necessary for our legitimate interests which are to </w:t>
            </w:r>
            <w:r w:rsidR="00D76E3E">
              <w:rPr>
                <w:rFonts w:ascii="Avenir Next Regular" w:hAnsi="Avenir Next Regular"/>
                <w:sz w:val="18"/>
                <w:szCs w:val="18"/>
              </w:rPr>
              <w:t>regulate</w:t>
            </w:r>
            <w:r w:rsidR="000457A1">
              <w:rPr>
                <w:rFonts w:ascii="Avenir Next Regular" w:hAnsi="Avenir Next Regular"/>
                <w:sz w:val="18"/>
                <w:szCs w:val="18"/>
              </w:rPr>
              <w:t xml:space="preserve"> and to encourage participation in</w:t>
            </w:r>
            <w:r w:rsidR="00D76E3E">
              <w:rPr>
                <w:rFonts w:ascii="Avenir Next Regular" w:hAnsi="Avenir Next Regular"/>
                <w:sz w:val="18"/>
                <w:szCs w:val="18"/>
              </w:rPr>
              <w:t xml:space="preserve"> the sport of cricket and </w:t>
            </w:r>
            <w:r>
              <w:rPr>
                <w:rFonts w:ascii="Avenir Next Regular" w:hAnsi="Avenir Next Regular"/>
                <w:sz w:val="18"/>
                <w:szCs w:val="18"/>
              </w:rPr>
              <w:t>ensure, that the reputation of cricket is preserved and</w:t>
            </w:r>
            <w:r w:rsidR="00FE634B">
              <w:rPr>
                <w:rFonts w:ascii="Avenir Next Regular" w:hAnsi="Avenir Next Regular"/>
                <w:sz w:val="18"/>
                <w:szCs w:val="18"/>
              </w:rPr>
              <w:t xml:space="preserve"> </w:t>
            </w:r>
            <w:r>
              <w:rPr>
                <w:rFonts w:ascii="Avenir Next Regular" w:hAnsi="Avenir Next Regular"/>
                <w:sz w:val="18"/>
                <w:szCs w:val="18"/>
              </w:rPr>
              <w:t>this does not prejudice or harm your</w:t>
            </w:r>
            <w:r w:rsidR="00A05118">
              <w:rPr>
                <w:rFonts w:ascii="Avenir Next Regular" w:hAnsi="Avenir Next Regular"/>
                <w:sz w:val="18"/>
                <w:szCs w:val="18"/>
              </w:rPr>
              <w:t xml:space="preserve"> (or parents / guardians of children’s)</w:t>
            </w:r>
            <w:r>
              <w:rPr>
                <w:rFonts w:ascii="Avenir Next Regular" w:hAnsi="Avenir Next Regular"/>
                <w:sz w:val="18"/>
                <w:szCs w:val="18"/>
              </w:rPr>
              <w:t xml:space="preserve"> rights and freedom.</w:t>
            </w:r>
          </w:p>
          <w:p w14:paraId="74C195C3" w14:textId="34C6A1C3" w:rsidR="00C20D52" w:rsidRDefault="00C20D52">
            <w:pPr>
              <w:pStyle w:val="ListParagraph"/>
              <w:numPr>
                <w:ilvl w:val="0"/>
                <w:numId w:val="2"/>
              </w:numPr>
              <w:spacing w:before="40" w:after="40" w:line="254" w:lineRule="auto"/>
              <w:jc w:val="both"/>
              <w:rPr>
                <w:rFonts w:ascii="Avenir Next Regular" w:hAnsi="Avenir Next Regular"/>
                <w:sz w:val="18"/>
                <w:szCs w:val="18"/>
              </w:rPr>
            </w:pPr>
            <w:r>
              <w:rPr>
                <w:rFonts w:ascii="Avenir Next Regular" w:hAnsi="Avenir Next Regular"/>
                <w:sz w:val="18"/>
                <w:szCs w:val="18"/>
              </w:rPr>
              <w:t>the NEPL does not knowingly collect data relating to children without the knowledge of their parent or guardian.</w:t>
            </w:r>
          </w:p>
        </w:tc>
      </w:tr>
      <w:tr w:rsidR="002B0617" w14:paraId="2611385F"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hideMark/>
          </w:tcPr>
          <w:p w14:paraId="7DAC82D4" w14:textId="77777777"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Your right to withdraw consent</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5E23FF97" w14:textId="77777777" w:rsidR="002B0617" w:rsidRDefault="002B0617">
            <w:pPr>
              <w:spacing w:before="40" w:after="40" w:line="240" w:lineRule="auto"/>
              <w:jc w:val="both"/>
              <w:rPr>
                <w:rFonts w:ascii="Avenir Next Regular" w:hAnsi="Avenir Next Regular"/>
                <w:color w:val="000000" w:themeColor="text1"/>
                <w:sz w:val="18"/>
                <w:szCs w:val="18"/>
              </w:rPr>
            </w:pPr>
            <w:r>
              <w:rPr>
                <w:rFonts w:ascii="Avenir Next Regular" w:hAnsi="Avenir Next Regular"/>
                <w:sz w:val="18"/>
                <w:szCs w:val="18"/>
              </w:rPr>
              <w:t>Where you have given your consent to any processing of personal data</w:t>
            </w:r>
            <w:r>
              <w:rPr>
                <w:rFonts w:ascii="Avenir Next Regular" w:hAnsi="Avenir Next Regular"/>
                <w:color w:val="000000" w:themeColor="text1"/>
                <w:sz w:val="18"/>
                <w:szCs w:val="18"/>
              </w:rPr>
              <w:t xml:space="preserve"> you have the right to withdraw that consent at any time.  If you do, it will not affect the lawfulness of any processing for which we had consent prior to your withdrawing it.</w:t>
            </w:r>
          </w:p>
        </w:tc>
      </w:tr>
      <w:tr w:rsidR="002B0617" w14:paraId="5B8B6856"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hideMark/>
          </w:tcPr>
          <w:p w14:paraId="7DAC594B" w14:textId="77777777"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Location of your personal data</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57EA88B5" w14:textId="77777777" w:rsidR="002B0617" w:rsidRDefault="002B0617">
            <w:p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We will keep your personal data within the European Economic Area.</w:t>
            </w:r>
          </w:p>
        </w:tc>
      </w:tr>
      <w:tr w:rsidR="002B0617" w14:paraId="3D4115D1"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hideMark/>
          </w:tcPr>
          <w:p w14:paraId="0E2E8A41" w14:textId="77777777"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How long we will keep your personal data for</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1E0C7992" w14:textId="46D9A764" w:rsidR="002B0617" w:rsidRDefault="0092615B">
            <w:pPr>
              <w:spacing w:before="40" w:after="40" w:line="240" w:lineRule="auto"/>
              <w:jc w:val="both"/>
              <w:rPr>
                <w:rFonts w:ascii="Avenir Next Regular" w:hAnsi="Avenir Next Regular"/>
                <w:sz w:val="18"/>
                <w:szCs w:val="18"/>
              </w:rPr>
            </w:pPr>
            <w:r w:rsidRPr="0092615B">
              <w:rPr>
                <w:rFonts w:ascii="Avenir Next Regular" w:hAnsi="Avenir Next Regular"/>
                <w:sz w:val="18"/>
                <w:szCs w:val="18"/>
              </w:rPr>
              <w:t xml:space="preserve">We will </w:t>
            </w:r>
            <w:r w:rsidR="00A05118">
              <w:rPr>
                <w:rFonts w:ascii="Avenir Next Regular" w:hAnsi="Avenir Next Regular"/>
                <w:sz w:val="18"/>
                <w:szCs w:val="18"/>
              </w:rPr>
              <w:t xml:space="preserve">not retain your personal data for longer than is reasonable and necessary for the purposes for which it was collected.  We shall retain your personal data for such time as you are involved with </w:t>
            </w:r>
            <w:r w:rsidR="00C20D52">
              <w:rPr>
                <w:rFonts w:ascii="Avenir Next Regular" w:hAnsi="Avenir Next Regular"/>
                <w:sz w:val="18"/>
                <w:szCs w:val="18"/>
              </w:rPr>
              <w:t>NEPL activities.</w:t>
            </w:r>
          </w:p>
          <w:p w14:paraId="2A7A9F61" w14:textId="26F7734F" w:rsidR="00A05118" w:rsidRDefault="00A05118">
            <w:pPr>
              <w:spacing w:before="40" w:after="40" w:line="240" w:lineRule="auto"/>
              <w:jc w:val="both"/>
              <w:rPr>
                <w:rFonts w:ascii="Avenir Next Regular" w:hAnsi="Avenir Next Regular"/>
                <w:sz w:val="18"/>
                <w:szCs w:val="18"/>
              </w:rPr>
            </w:pPr>
          </w:p>
        </w:tc>
      </w:tr>
      <w:tr w:rsidR="002B0617" w14:paraId="74FE9DFD"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hideMark/>
          </w:tcPr>
          <w:p w14:paraId="04EEDB01" w14:textId="77777777" w:rsidR="002B0617" w:rsidRDefault="002B0617">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Your rights in respect of your personal data</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5A54744D" w14:textId="77777777" w:rsidR="002B0617" w:rsidRDefault="002B0617">
            <w:p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You have the right of access to your personal data and, in some cases, to require us to restrict, erase or rectify it or to object to our processing it, and the right of data portability.    </w:t>
            </w:r>
          </w:p>
        </w:tc>
      </w:tr>
      <w:tr w:rsidR="00A5748F" w14:paraId="2A8D90A5"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tcPr>
          <w:p w14:paraId="6F532434" w14:textId="6271BCF2" w:rsidR="00A5748F" w:rsidRDefault="00A5748F">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Changes to policy</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63A0CAB6" w14:textId="406A6AF4" w:rsidR="00A5748F" w:rsidRDefault="00A5748F">
            <w:p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Any material changes that the NEPL makes to this policy will e posted on the League websites.</w:t>
            </w:r>
          </w:p>
        </w:tc>
      </w:tr>
      <w:tr w:rsidR="00A5748F" w14:paraId="754BB883"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tcPr>
          <w:p w14:paraId="66FFE1F4" w14:textId="77777777" w:rsidR="00A5748F" w:rsidRDefault="00A5748F">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Complaints</w:t>
            </w:r>
          </w:p>
          <w:p w14:paraId="018C2EFA" w14:textId="77777777" w:rsidR="00A5748F" w:rsidRDefault="00A5748F">
            <w:pPr>
              <w:spacing w:before="40" w:after="40" w:line="240" w:lineRule="auto"/>
              <w:rPr>
                <w:rFonts w:ascii="Avenir Next Regular" w:hAnsi="Avenir Next Regular"/>
                <w:b/>
                <w:color w:val="000000" w:themeColor="text1"/>
                <w:sz w:val="18"/>
                <w:szCs w:val="18"/>
              </w:rPr>
            </w:pP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79F2DE6B" w14:textId="4DBAD9FE" w:rsidR="00A5748F" w:rsidRPr="00A5748F" w:rsidRDefault="00A5748F" w:rsidP="00C20D52">
            <w:pPr>
              <w:spacing w:before="40" w:after="40" w:line="240" w:lineRule="auto"/>
              <w:jc w:val="both"/>
              <w:rPr>
                <w:rFonts w:ascii="Avenir Next Regular" w:hAnsi="Avenir Next Regular"/>
                <w:color w:val="000000" w:themeColor="text1"/>
                <w:sz w:val="18"/>
                <w:szCs w:val="18"/>
              </w:rPr>
            </w:pPr>
            <w:r w:rsidRPr="00A5748F">
              <w:rPr>
                <w:rFonts w:ascii="Avenir Next Regular" w:hAnsi="Avenir Next Regular"/>
                <w:color w:val="000000" w:themeColor="text1"/>
                <w:sz w:val="18"/>
                <w:szCs w:val="18"/>
              </w:rPr>
              <w:t xml:space="preserve">If you have any concerns or complaints about how we are handling your data please do not hesitate to get in touch by emailing us at </w:t>
            </w:r>
            <w:hyperlink r:id="rId8" w:history="1">
              <w:r w:rsidRPr="00A5748F">
                <w:rPr>
                  <w:rStyle w:val="Hyperlink"/>
                  <w:rFonts w:ascii="Avenir Next Regular" w:hAnsi="Avenir Next Regular"/>
                  <w:sz w:val="18"/>
                  <w:szCs w:val="18"/>
                </w:rPr>
                <w:t>hallidays@blueyonder.co.uk</w:t>
              </w:r>
            </w:hyperlink>
            <w:r w:rsidRPr="00A5748F">
              <w:rPr>
                <w:rFonts w:ascii="Avenir Next Regular" w:hAnsi="Avenir Next Regular"/>
                <w:sz w:val="18"/>
                <w:szCs w:val="18"/>
              </w:rPr>
              <w:t xml:space="preserve"> </w:t>
            </w:r>
          </w:p>
        </w:tc>
      </w:tr>
      <w:tr w:rsidR="00A5748F" w14:paraId="3AEA54FE" w14:textId="77777777" w:rsidTr="00AD1D1C">
        <w:tc>
          <w:tcPr>
            <w:tcW w:w="27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2D050"/>
          </w:tcPr>
          <w:p w14:paraId="6E7DED68" w14:textId="25B8179E" w:rsidR="00A5748F" w:rsidRDefault="00A5748F">
            <w:pPr>
              <w:spacing w:before="40" w:after="40" w:line="240" w:lineRule="auto"/>
              <w:rPr>
                <w:rFonts w:ascii="Avenir Next Regular" w:hAnsi="Avenir Next Regular"/>
                <w:b/>
                <w:color w:val="000000" w:themeColor="text1"/>
                <w:sz w:val="18"/>
                <w:szCs w:val="18"/>
              </w:rPr>
            </w:pPr>
            <w:r>
              <w:rPr>
                <w:rFonts w:ascii="Avenir Next Regular" w:hAnsi="Avenir Next Regular"/>
                <w:b/>
                <w:color w:val="000000" w:themeColor="text1"/>
                <w:sz w:val="18"/>
                <w:szCs w:val="18"/>
              </w:rPr>
              <w:t>Approval</w:t>
            </w:r>
          </w:p>
        </w:tc>
        <w:tc>
          <w:tcPr>
            <w:tcW w:w="62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700996C7" w14:textId="5AB52E90" w:rsidR="00A5748F" w:rsidRDefault="00A5748F" w:rsidP="00C20D52">
            <w:pPr>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This policy has been approved by the League Management Committee</w:t>
            </w:r>
          </w:p>
        </w:tc>
      </w:tr>
    </w:tbl>
    <w:p w14:paraId="74F278E4" w14:textId="77777777" w:rsidR="002B0617" w:rsidRDefault="002B0617" w:rsidP="002B0617">
      <w:pPr>
        <w:jc w:val="both"/>
        <w:rPr>
          <w:rFonts w:ascii="Avenir Next Regular" w:hAnsi="Avenir Next Regular"/>
          <w:color w:val="000000" w:themeColor="text1"/>
        </w:rPr>
      </w:pPr>
    </w:p>
    <w:p w14:paraId="1514B40C" w14:textId="77777777" w:rsidR="002B0617" w:rsidRDefault="002B0617" w:rsidP="002B0617"/>
    <w:p w14:paraId="564BF584" w14:textId="77777777" w:rsidR="002B0617" w:rsidRDefault="002B0617" w:rsidP="002B0617"/>
    <w:p w14:paraId="3B16BBE5" w14:textId="77777777" w:rsidR="003013E9" w:rsidRDefault="003013E9"/>
    <w:sectPr w:rsidR="00301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Next Regular">
    <w:altName w:val="Corbel"/>
    <w:charset w:val="00"/>
    <w:family w:val="swiss"/>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nsid w:val="5CAD1924"/>
    <w:multiLevelType w:val="hybridMultilevel"/>
    <w:tmpl w:val="6E18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C1DE4"/>
    <w:multiLevelType w:val="hybridMultilevel"/>
    <w:tmpl w:val="F1CCE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2545117"/>
    <w:multiLevelType w:val="hybridMultilevel"/>
    <w:tmpl w:val="505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17"/>
    <w:rsid w:val="00002430"/>
    <w:rsid w:val="000457A1"/>
    <w:rsid w:val="00086709"/>
    <w:rsid w:val="001352E0"/>
    <w:rsid w:val="00185C96"/>
    <w:rsid w:val="00195F38"/>
    <w:rsid w:val="0021084E"/>
    <w:rsid w:val="00277DCC"/>
    <w:rsid w:val="002B0617"/>
    <w:rsid w:val="002B21DB"/>
    <w:rsid w:val="002E207B"/>
    <w:rsid w:val="002F16F5"/>
    <w:rsid w:val="003013E9"/>
    <w:rsid w:val="0031705D"/>
    <w:rsid w:val="004C4DA7"/>
    <w:rsid w:val="005366A6"/>
    <w:rsid w:val="0054480F"/>
    <w:rsid w:val="005A1742"/>
    <w:rsid w:val="005D2641"/>
    <w:rsid w:val="005E23A3"/>
    <w:rsid w:val="005F6351"/>
    <w:rsid w:val="00695786"/>
    <w:rsid w:val="00780D77"/>
    <w:rsid w:val="008E2291"/>
    <w:rsid w:val="0092615B"/>
    <w:rsid w:val="00A05118"/>
    <w:rsid w:val="00A119B9"/>
    <w:rsid w:val="00A210D3"/>
    <w:rsid w:val="00A25E86"/>
    <w:rsid w:val="00A5748F"/>
    <w:rsid w:val="00A95C1D"/>
    <w:rsid w:val="00AA5867"/>
    <w:rsid w:val="00AD1D1C"/>
    <w:rsid w:val="00B10021"/>
    <w:rsid w:val="00BA686A"/>
    <w:rsid w:val="00C03698"/>
    <w:rsid w:val="00C20D52"/>
    <w:rsid w:val="00CE0F2A"/>
    <w:rsid w:val="00D21EBD"/>
    <w:rsid w:val="00D33C66"/>
    <w:rsid w:val="00D7685B"/>
    <w:rsid w:val="00D76E3E"/>
    <w:rsid w:val="00D82549"/>
    <w:rsid w:val="00E67016"/>
    <w:rsid w:val="00E855EE"/>
    <w:rsid w:val="00FE6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8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617"/>
    <w:rPr>
      <w:color w:val="0563C1" w:themeColor="hyperlink"/>
      <w:u w:val="single"/>
    </w:rPr>
  </w:style>
  <w:style w:type="paragraph" w:styleId="ListParagraph">
    <w:name w:val="List Paragraph"/>
    <w:basedOn w:val="Normal"/>
    <w:uiPriority w:val="34"/>
    <w:qFormat/>
    <w:rsid w:val="002B0617"/>
    <w:pPr>
      <w:ind w:left="720"/>
      <w:contextualSpacing/>
    </w:pPr>
  </w:style>
  <w:style w:type="table" w:styleId="TableGrid">
    <w:name w:val="Table Grid"/>
    <w:basedOn w:val="TableNormal"/>
    <w:uiPriority w:val="39"/>
    <w:rsid w:val="002B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2B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119B9"/>
    <w:rPr>
      <w:color w:val="808080"/>
      <w:shd w:val="clear" w:color="auto" w:fill="E6E6E6"/>
    </w:rPr>
  </w:style>
  <w:style w:type="character" w:customStyle="1" w:styleId="UnresolvedMention2">
    <w:name w:val="Unresolved Mention2"/>
    <w:basedOn w:val="DefaultParagraphFont"/>
    <w:uiPriority w:val="99"/>
    <w:semiHidden/>
    <w:unhideWhenUsed/>
    <w:rsid w:val="005E23A3"/>
    <w:rPr>
      <w:color w:val="808080"/>
      <w:shd w:val="clear" w:color="auto" w:fill="E6E6E6"/>
    </w:rPr>
  </w:style>
  <w:style w:type="paragraph" w:styleId="BalloonText">
    <w:name w:val="Balloon Text"/>
    <w:basedOn w:val="Normal"/>
    <w:link w:val="BalloonTextChar"/>
    <w:uiPriority w:val="99"/>
    <w:semiHidden/>
    <w:unhideWhenUsed/>
    <w:rsid w:val="00A95C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C1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31705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617"/>
    <w:rPr>
      <w:color w:val="0563C1" w:themeColor="hyperlink"/>
      <w:u w:val="single"/>
    </w:rPr>
  </w:style>
  <w:style w:type="paragraph" w:styleId="ListParagraph">
    <w:name w:val="List Paragraph"/>
    <w:basedOn w:val="Normal"/>
    <w:uiPriority w:val="34"/>
    <w:qFormat/>
    <w:rsid w:val="002B0617"/>
    <w:pPr>
      <w:ind w:left="720"/>
      <w:contextualSpacing/>
    </w:pPr>
  </w:style>
  <w:style w:type="table" w:styleId="TableGrid">
    <w:name w:val="Table Grid"/>
    <w:basedOn w:val="TableNormal"/>
    <w:uiPriority w:val="39"/>
    <w:rsid w:val="002B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2B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119B9"/>
    <w:rPr>
      <w:color w:val="808080"/>
      <w:shd w:val="clear" w:color="auto" w:fill="E6E6E6"/>
    </w:rPr>
  </w:style>
  <w:style w:type="character" w:customStyle="1" w:styleId="UnresolvedMention2">
    <w:name w:val="Unresolved Mention2"/>
    <w:basedOn w:val="DefaultParagraphFont"/>
    <w:uiPriority w:val="99"/>
    <w:semiHidden/>
    <w:unhideWhenUsed/>
    <w:rsid w:val="005E23A3"/>
    <w:rPr>
      <w:color w:val="808080"/>
      <w:shd w:val="clear" w:color="auto" w:fill="E6E6E6"/>
    </w:rPr>
  </w:style>
  <w:style w:type="paragraph" w:styleId="BalloonText">
    <w:name w:val="Balloon Text"/>
    <w:basedOn w:val="Normal"/>
    <w:link w:val="BalloonTextChar"/>
    <w:uiPriority w:val="99"/>
    <w:semiHidden/>
    <w:unhideWhenUsed/>
    <w:rsid w:val="00A95C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C1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31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07573">
      <w:bodyDiv w:val="1"/>
      <w:marLeft w:val="0"/>
      <w:marRight w:val="0"/>
      <w:marTop w:val="0"/>
      <w:marBottom w:val="0"/>
      <w:divBdr>
        <w:top w:val="none" w:sz="0" w:space="0" w:color="auto"/>
        <w:left w:val="none" w:sz="0" w:space="0" w:color="auto"/>
        <w:bottom w:val="none" w:sz="0" w:space="0" w:color="auto"/>
        <w:right w:val="none" w:sz="0" w:space="0" w:color="auto"/>
      </w:divBdr>
    </w:div>
    <w:div w:id="20019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epremierleague.play-cricket.com" TargetMode="External"/><Relationship Id="rId8" Type="http://schemas.openxmlformats.org/officeDocument/2006/relationships/hyperlink" Target="mailto:hallidays@blueyonder.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796</Words>
  <Characters>4540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Gordon Halliday</cp:lastModifiedBy>
  <cp:revision>4</cp:revision>
  <cp:lastPrinted>2018-05-25T07:25:00Z</cp:lastPrinted>
  <dcterms:created xsi:type="dcterms:W3CDTF">2018-05-31T08:18:00Z</dcterms:created>
  <dcterms:modified xsi:type="dcterms:W3CDTF">2018-06-23T06:31:00Z</dcterms:modified>
</cp:coreProperties>
</file>