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648C1" w14:textId="6ECE686C" w:rsidR="00700D67" w:rsidRPr="00700D67" w:rsidRDefault="007127B8" w:rsidP="00700D67">
      <w:pPr>
        <w:pStyle w:val="Title"/>
      </w:pPr>
      <w:r>
        <w:t xml:space="preserve">EXAMPLE </w:t>
      </w:r>
      <w:r w:rsidR="00700D67" w:rsidRPr="00700D67">
        <w:t>Technical Working G</w:t>
      </w:r>
      <w:r w:rsidR="001F018E" w:rsidRPr="00700D67">
        <w:t>roup</w:t>
      </w:r>
      <w:r w:rsidR="0063259E">
        <w:t xml:space="preserve"> (TWG)</w:t>
      </w:r>
      <w:r w:rsidR="001F018E" w:rsidRPr="00700D67">
        <w:t xml:space="preserve"> </w:t>
      </w:r>
      <w:r w:rsidR="00A74E06">
        <w:t>Terms of Reference (</w:t>
      </w:r>
      <w:r w:rsidR="00700D67" w:rsidRPr="00700D67">
        <w:t>TOR</w:t>
      </w:r>
      <w:r w:rsidR="00A74E06">
        <w:t>)</w:t>
      </w:r>
    </w:p>
    <w:p w14:paraId="76F1EAF4" w14:textId="77777777" w:rsidR="001F018E" w:rsidRPr="00700D67" w:rsidRDefault="00700D67" w:rsidP="00700D67">
      <w:pPr>
        <w:pStyle w:val="Title"/>
      </w:pPr>
      <w:r w:rsidRPr="00700D67">
        <w:t>for</w:t>
      </w:r>
    </w:p>
    <w:p w14:paraId="39CF807C" w14:textId="49BECA6F" w:rsidR="00187004" w:rsidRDefault="00A937DD" w:rsidP="00700D67">
      <w:pPr>
        <w:pStyle w:val="Title"/>
      </w:pPr>
      <w:r>
        <w:t>Better</w:t>
      </w:r>
      <w:r w:rsidR="007127B8">
        <w:t xml:space="preserve"> Building</w:t>
      </w:r>
      <w:r w:rsidR="00950135">
        <w:t xml:space="preserve"> </w:t>
      </w:r>
      <w:r w:rsidR="00A74E06">
        <w:t>Information Education Communication Material (</w:t>
      </w:r>
      <w:r w:rsidR="00950135">
        <w:t>IEC</w:t>
      </w:r>
      <w:r w:rsidR="00A74E06">
        <w:t>)</w:t>
      </w:r>
    </w:p>
    <w:p w14:paraId="6880F9F9" w14:textId="77777777" w:rsidR="007A53AE" w:rsidRPr="00700D67" w:rsidRDefault="009F06F0" w:rsidP="00700D67">
      <w:pPr>
        <w:pStyle w:val="Heading1"/>
      </w:pPr>
      <w:r>
        <w:t>Scope of work</w:t>
      </w:r>
      <w:r w:rsidR="001F018E" w:rsidRPr="00700D67">
        <w:t>:</w:t>
      </w:r>
    </w:p>
    <w:p w14:paraId="089D87AE" w14:textId="13DE1F1B" w:rsidR="00AE3907" w:rsidRDefault="00AE3907" w:rsidP="00AE3907">
      <w:pPr>
        <w:pStyle w:val="Heading2"/>
      </w:pPr>
      <w:r>
        <w:t>Introduction</w:t>
      </w:r>
    </w:p>
    <w:p w14:paraId="35F96B6A" w14:textId="7D68D50B" w:rsidR="007127B8" w:rsidRDefault="00700D67" w:rsidP="00700D67">
      <w:r>
        <w:t xml:space="preserve">The primary aim of the technical working group is to </w:t>
      </w:r>
      <w:r w:rsidR="007127B8">
        <w:t xml:space="preserve">identify and </w:t>
      </w:r>
      <w:r>
        <w:t xml:space="preserve">develop clear and concise </w:t>
      </w:r>
      <w:r w:rsidR="00950135">
        <w:t>Information, Education, and Communication (IEC)</w:t>
      </w:r>
      <w:r w:rsidR="007127B8">
        <w:t xml:space="preserve"> resources for promoting </w:t>
      </w:r>
      <w:r w:rsidR="00A937DD">
        <w:t>better</w:t>
      </w:r>
      <w:r w:rsidR="007127B8">
        <w:t xml:space="preserve"> building.</w:t>
      </w:r>
    </w:p>
    <w:p w14:paraId="5C061719" w14:textId="2E04EE10" w:rsidR="007127B8" w:rsidRDefault="007127B8" w:rsidP="007127B8">
      <w:r>
        <w:t xml:space="preserve">Significant effort will be placed upon understanding the information gap in relation to promoting </w:t>
      </w:r>
      <w:r w:rsidR="00A937DD">
        <w:t>better</w:t>
      </w:r>
      <w:r>
        <w:t xml:space="preserve"> building </w:t>
      </w:r>
      <w:proofErr w:type="gramStart"/>
      <w:r>
        <w:t>and also</w:t>
      </w:r>
      <w:proofErr w:type="gramEnd"/>
      <w:r>
        <w:t xml:space="preserve"> the most appropriate </w:t>
      </w:r>
      <w:r w:rsidR="00A937DD">
        <w:t>communication</w:t>
      </w:r>
      <w:r w:rsidR="0019521A">
        <w:t xml:space="preserve"> pathway</w:t>
      </w:r>
      <w:r w:rsidR="00A937DD">
        <w:t>s</w:t>
      </w:r>
      <w:r w:rsidR="0019521A">
        <w:t xml:space="preserve"> (</w:t>
      </w:r>
      <w:r w:rsidR="00A937DD">
        <w:t>i</w:t>
      </w:r>
      <w:r w:rsidR="0019521A">
        <w:t>.</w:t>
      </w:r>
      <w:r w:rsidR="00A937DD">
        <w:t>e</w:t>
      </w:r>
      <w:r w:rsidR="0019521A">
        <w:t xml:space="preserve">. </w:t>
      </w:r>
      <w:r w:rsidR="00A937DD">
        <w:t xml:space="preserve">consider </w:t>
      </w:r>
      <w:r w:rsidR="0019521A">
        <w:t xml:space="preserve">different medium of communication). Stress is also placed upon identifying the evidence for the appropriateness and quality of sub-messages in relation to </w:t>
      </w:r>
      <w:r w:rsidR="00950135">
        <w:t>IEC</w:t>
      </w:r>
      <w:r w:rsidR="0019521A">
        <w:t>.</w:t>
      </w:r>
    </w:p>
    <w:p w14:paraId="53E26B3B" w14:textId="35FDFEF1" w:rsidR="007127B8" w:rsidRDefault="00A937DD" w:rsidP="007127B8">
      <w:r>
        <w:t>Better</w:t>
      </w:r>
      <w:r w:rsidR="007127B8">
        <w:t xml:space="preserve"> building will </w:t>
      </w:r>
      <w:r>
        <w:t xml:space="preserve">safer but </w:t>
      </w:r>
      <w:r w:rsidR="007127B8">
        <w:t xml:space="preserve">also include, healthier, more durable, lower maintenance needs, and promoting greater level of dignity [define to local context]. </w:t>
      </w:r>
    </w:p>
    <w:p w14:paraId="3CB7E53F" w14:textId="627EB6DB" w:rsidR="007127B8" w:rsidRDefault="007127B8" w:rsidP="00700D67">
      <w:r>
        <w:t xml:space="preserve">The Informing Choice for </w:t>
      </w:r>
      <w:r w:rsidR="00A937DD">
        <w:t>Better</w:t>
      </w:r>
      <w:r>
        <w:t xml:space="preserve"> Building</w:t>
      </w:r>
      <w:r w:rsidR="00950135">
        <w:t>: A Protocol for Developing Shelter and Settlement IEC</w:t>
      </w:r>
      <w:r>
        <w:t xml:space="preserve"> will be applied where appropriate.</w:t>
      </w:r>
    </w:p>
    <w:p w14:paraId="13C15A8D" w14:textId="7BBBA185" w:rsidR="0019521A" w:rsidRPr="00700D67" w:rsidRDefault="0019521A" w:rsidP="00700D67">
      <w:r>
        <w:t xml:space="preserve">[Define to local context]. </w:t>
      </w:r>
      <w:r w:rsidR="0042667D">
        <w:t>The guidance</w:t>
      </w:r>
      <w:r w:rsidR="00700D67">
        <w:t xml:space="preserve"> will focus on </w:t>
      </w:r>
      <w:r w:rsidR="0042667D">
        <w:t xml:space="preserve">construction and improvement of non-architect designed, non-engineered, occupier constructed lightweight </w:t>
      </w:r>
      <w:r>
        <w:t>housing</w:t>
      </w:r>
      <w:r w:rsidR="0042667D">
        <w:t xml:space="preserve">. </w:t>
      </w:r>
    </w:p>
    <w:p w14:paraId="7E7FEBEB" w14:textId="1613BC5D" w:rsidR="00B8530B" w:rsidRPr="006D22BB" w:rsidRDefault="006D22BB" w:rsidP="009F06F0">
      <w:pPr>
        <w:pStyle w:val="Heading2"/>
      </w:pPr>
      <w:r w:rsidRPr="006D22BB">
        <w:t>The s</w:t>
      </w:r>
      <w:r w:rsidR="00B8530B" w:rsidRPr="006D22BB">
        <w:t xml:space="preserve">cope </w:t>
      </w:r>
      <w:r w:rsidR="009F06F0">
        <w:t>of work</w:t>
      </w:r>
      <w:r w:rsidRPr="006D22BB">
        <w:t xml:space="preserve"> include</w:t>
      </w:r>
      <w:r w:rsidR="009F06F0">
        <w:t>s</w:t>
      </w:r>
      <w:r w:rsidR="00AE3907">
        <w:t>:</w:t>
      </w:r>
    </w:p>
    <w:p w14:paraId="546C79EF" w14:textId="6E185DEA" w:rsidR="0019521A" w:rsidRDefault="0019521A" w:rsidP="006D22BB">
      <w:pPr>
        <w:pStyle w:val="NoSpacing"/>
        <w:numPr>
          <w:ilvl w:val="0"/>
          <w:numId w:val="2"/>
        </w:numPr>
      </w:pPr>
      <w:r>
        <w:t xml:space="preserve">Refer to Informing Choice for </w:t>
      </w:r>
      <w:r w:rsidR="00A937DD">
        <w:t>Better</w:t>
      </w:r>
      <w:r>
        <w:t xml:space="preserve"> Building: Protocol</w:t>
      </w:r>
    </w:p>
    <w:p w14:paraId="0C8A9C0C" w14:textId="42F70C05" w:rsidR="00B8530B" w:rsidRDefault="006D22BB" w:rsidP="006D22BB">
      <w:pPr>
        <w:pStyle w:val="NoSpacing"/>
        <w:numPr>
          <w:ilvl w:val="0"/>
          <w:numId w:val="2"/>
        </w:numPr>
      </w:pPr>
      <w:r>
        <w:t xml:space="preserve">English </w:t>
      </w:r>
      <w:r w:rsidR="00B8530B">
        <w:t xml:space="preserve">and </w:t>
      </w:r>
      <w:r w:rsidR="00AE3907">
        <w:t>[Local Languages]</w:t>
      </w:r>
      <w:r w:rsidR="00B8530B">
        <w:t xml:space="preserve"> version</w:t>
      </w:r>
      <w:r w:rsidR="0019521A">
        <w:t>s</w:t>
      </w:r>
      <w:r w:rsidR="00CD59C7">
        <w:t xml:space="preserve"> of </w:t>
      </w:r>
      <w:r w:rsidR="0042667D">
        <w:t>guidance</w:t>
      </w:r>
      <w:r>
        <w:t xml:space="preserve"> with minimal text </w:t>
      </w:r>
      <w:r w:rsidR="00B8530B">
        <w:t>written in “plain layperson language”</w:t>
      </w:r>
      <w:r w:rsidR="00CD59C7">
        <w:t xml:space="preserve"> (see plain English guidelines)</w:t>
      </w:r>
    </w:p>
    <w:p w14:paraId="3C912DA2" w14:textId="16E59A1B" w:rsidR="006D22BB" w:rsidRDefault="00AE3907" w:rsidP="006D22BB">
      <w:pPr>
        <w:pStyle w:val="NoSpacing"/>
        <w:numPr>
          <w:ilvl w:val="0"/>
          <w:numId w:val="2"/>
        </w:numPr>
      </w:pPr>
      <w:r>
        <w:t>For any visuals u</w:t>
      </w:r>
      <w:r w:rsidR="006D22BB">
        <w:t xml:space="preserve">se </w:t>
      </w:r>
      <w:r w:rsidR="0042667D">
        <w:t>of simple</w:t>
      </w:r>
      <w:r w:rsidR="006D22BB">
        <w:t xml:space="preserve"> clear and </w:t>
      </w:r>
      <w:r w:rsidR="0042667D">
        <w:t xml:space="preserve">technically </w:t>
      </w:r>
      <w:r w:rsidR="006D22BB">
        <w:t xml:space="preserve">correct graphics </w:t>
      </w:r>
      <w:r w:rsidR="0042667D">
        <w:t xml:space="preserve">presented </w:t>
      </w:r>
      <w:r w:rsidR="006D22BB">
        <w:t>in a consistent style</w:t>
      </w:r>
    </w:p>
    <w:p w14:paraId="28907F50" w14:textId="34E7D1DB" w:rsidR="0042667D" w:rsidRDefault="00AE3907" w:rsidP="0042667D">
      <w:pPr>
        <w:pStyle w:val="NoSpacing"/>
        <w:numPr>
          <w:ilvl w:val="0"/>
          <w:numId w:val="2"/>
        </w:numPr>
      </w:pPr>
      <w:r>
        <w:t>The output of the work is to be further defined once the information gap and the most effective engagement pathways are further developed.</w:t>
      </w:r>
    </w:p>
    <w:p w14:paraId="67CBCBA5" w14:textId="244FB23B" w:rsidR="0042667D" w:rsidRDefault="00AE3907" w:rsidP="00AE3907">
      <w:pPr>
        <w:pStyle w:val="NoSpacing"/>
        <w:numPr>
          <w:ilvl w:val="0"/>
          <w:numId w:val="2"/>
        </w:numPr>
      </w:pPr>
      <w:r>
        <w:t xml:space="preserve">Any advice provide </w:t>
      </w:r>
      <w:r w:rsidR="00B8530B">
        <w:t xml:space="preserve">must be both affordable and </w:t>
      </w:r>
      <w:r>
        <w:t xml:space="preserve">realistically achievable. It </w:t>
      </w:r>
      <w:r w:rsidR="0042667D">
        <w:t>should be field</w:t>
      </w:r>
      <w:r>
        <w:t>-</w:t>
      </w:r>
      <w:r w:rsidR="0042667D">
        <w:t>reality based, referring to documented examples of best and worst practice.</w:t>
      </w:r>
    </w:p>
    <w:p w14:paraId="20754FA9" w14:textId="3E4518F3" w:rsidR="00AE3907" w:rsidRDefault="00AE3907" w:rsidP="00AE3907">
      <w:pPr>
        <w:pStyle w:val="NoSpacing"/>
        <w:numPr>
          <w:ilvl w:val="0"/>
          <w:numId w:val="2"/>
        </w:numPr>
      </w:pPr>
      <w:r>
        <w:t>Focus should be on good construction principles, rather than specific designs.</w:t>
      </w:r>
    </w:p>
    <w:p w14:paraId="1A09E7F4" w14:textId="77777777" w:rsidR="00AE3907" w:rsidRDefault="00AE3907" w:rsidP="009F06F0">
      <w:pPr>
        <w:pStyle w:val="Heading2"/>
      </w:pPr>
    </w:p>
    <w:p w14:paraId="10506345" w14:textId="7BDAF585" w:rsidR="0008450F" w:rsidRDefault="006D22BB" w:rsidP="009F06F0">
      <w:pPr>
        <w:pStyle w:val="Heading2"/>
      </w:pPr>
      <w:r>
        <w:t>Scope should</w:t>
      </w:r>
      <w:r w:rsidR="0008450F">
        <w:t xml:space="preserve"> NOT include</w:t>
      </w:r>
      <w:r w:rsidR="0042667D">
        <w:t>:</w:t>
      </w:r>
      <w:r w:rsidR="0008450F">
        <w:t xml:space="preserve"> </w:t>
      </w:r>
    </w:p>
    <w:p w14:paraId="61BE33D9" w14:textId="77777777" w:rsidR="0042667D" w:rsidRDefault="0042667D" w:rsidP="006D22BB">
      <w:pPr>
        <w:pStyle w:val="NoSpacing"/>
        <w:numPr>
          <w:ilvl w:val="0"/>
          <w:numId w:val="2"/>
        </w:numPr>
      </w:pPr>
      <w:r>
        <w:t xml:space="preserve">Preference for any </w:t>
      </w:r>
      <w:proofErr w:type="gramStart"/>
      <w:r>
        <w:t>particular design</w:t>
      </w:r>
      <w:proofErr w:type="gramEnd"/>
      <w:r>
        <w:t xml:space="preserve"> of shelter </w:t>
      </w:r>
    </w:p>
    <w:p w14:paraId="58D80630" w14:textId="77777777" w:rsidR="00B8530B" w:rsidRDefault="006D22BB" w:rsidP="006D22BB">
      <w:pPr>
        <w:pStyle w:val="NoSpacing"/>
        <w:numPr>
          <w:ilvl w:val="0"/>
          <w:numId w:val="2"/>
        </w:numPr>
      </w:pPr>
      <w:r>
        <w:t>Overly c</w:t>
      </w:r>
      <w:r w:rsidR="00B8530B">
        <w:t>omplex technical drawings, language or specifications</w:t>
      </w:r>
    </w:p>
    <w:p w14:paraId="72725107" w14:textId="5FF6F815" w:rsidR="009F06F0" w:rsidRDefault="009F06F0" w:rsidP="009F06F0">
      <w:pPr>
        <w:pStyle w:val="Heading1"/>
      </w:pPr>
      <w:r>
        <w:t>T</w:t>
      </w:r>
      <w:r w:rsidR="00AE3907">
        <w:t>arget Group</w:t>
      </w:r>
    </w:p>
    <w:p w14:paraId="3EFE4B6F" w14:textId="77777777" w:rsidR="00AE3907" w:rsidRDefault="00AE3907" w:rsidP="00AE3907">
      <w:r>
        <w:t>These resources will have the following audiences:</w:t>
      </w:r>
    </w:p>
    <w:p w14:paraId="3CA0C488" w14:textId="4D8B45EF" w:rsidR="00AE3907" w:rsidRDefault="00AE3907" w:rsidP="00AE3907">
      <w:pPr>
        <w:pStyle w:val="ListParagraph"/>
        <w:numPr>
          <w:ilvl w:val="0"/>
          <w:numId w:val="12"/>
        </w:numPr>
      </w:pPr>
      <w:r>
        <w:t>Shelter cluster member staff and volunteers</w:t>
      </w:r>
    </w:p>
    <w:p w14:paraId="7EA05BC3" w14:textId="18BD56A4" w:rsidR="00AE3907" w:rsidRDefault="00AE3907" w:rsidP="00AE3907">
      <w:pPr>
        <w:pStyle w:val="ListParagraph"/>
        <w:numPr>
          <w:ilvl w:val="0"/>
          <w:numId w:val="12"/>
        </w:numPr>
      </w:pPr>
      <w:r>
        <w:lastRenderedPageBreak/>
        <w:t xml:space="preserve">Households and communities that are rebuilding their homes (this can include repairs, retrofit and reconstruction) through owner/occupier driven </w:t>
      </w:r>
      <w:r w:rsidR="009044C8">
        <w:t>construction</w:t>
      </w:r>
      <w:r>
        <w:t xml:space="preserve"> and improvement.</w:t>
      </w:r>
    </w:p>
    <w:p w14:paraId="68ED372E" w14:textId="6BE43D81" w:rsidR="00AE3907" w:rsidRDefault="00AE3907" w:rsidP="00AE3907">
      <w:pPr>
        <w:pStyle w:val="ListParagraph"/>
        <w:numPr>
          <w:ilvl w:val="0"/>
          <w:numId w:val="12"/>
        </w:numPr>
      </w:pPr>
      <w:r>
        <w:t xml:space="preserve">Significant stakeholders in promoting </w:t>
      </w:r>
      <w:r w:rsidR="00A937DD">
        <w:t>better</w:t>
      </w:r>
      <w:r>
        <w:t xml:space="preserve"> building (such as hardware stores, local authority technical staff, local masons and carpenters)</w:t>
      </w:r>
    </w:p>
    <w:p w14:paraId="31F71009" w14:textId="79F46329" w:rsidR="006D22BB" w:rsidRDefault="009044C8" w:rsidP="00AE3907">
      <w:pPr>
        <w:pStyle w:val="NoSpacing"/>
      </w:pPr>
      <w:r>
        <w:t xml:space="preserve">The target groups may change on investigation of the key stakeholders for </w:t>
      </w:r>
      <w:r w:rsidR="00A937DD">
        <w:t>better</w:t>
      </w:r>
      <w:r>
        <w:t xml:space="preserve"> building as part of this TWG.</w:t>
      </w:r>
    </w:p>
    <w:p w14:paraId="271A6076" w14:textId="77777777" w:rsidR="009044C8" w:rsidRPr="009F06F0" w:rsidRDefault="009044C8" w:rsidP="00AE3907">
      <w:pPr>
        <w:pStyle w:val="NoSpacing"/>
      </w:pPr>
    </w:p>
    <w:p w14:paraId="6E2F0222" w14:textId="2D576173" w:rsidR="006D22BB" w:rsidRDefault="006D22BB" w:rsidP="006D22BB">
      <w:pPr>
        <w:pStyle w:val="Heading1"/>
      </w:pPr>
      <w:r>
        <w:t xml:space="preserve">TWG Membership </w:t>
      </w:r>
    </w:p>
    <w:p w14:paraId="1C71BC87" w14:textId="0C4240DD" w:rsidR="006D22BB" w:rsidRDefault="006D22BB" w:rsidP="006D22BB">
      <w:pPr>
        <w:pStyle w:val="NoSpacing"/>
      </w:pPr>
      <w:r>
        <w:t xml:space="preserve">The technical working group is intended as a small group of technical experts from </w:t>
      </w:r>
      <w:r w:rsidR="0042667D">
        <w:t>cluster member organisations and</w:t>
      </w:r>
      <w:r>
        <w:t xml:space="preserve"> specifically invited technical specialists tasked with a time</w:t>
      </w:r>
      <w:r w:rsidR="0042667D">
        <w:t>-</w:t>
      </w:r>
      <w:r>
        <w:t>bound technical task. The TWG will be facilitated by the Shelter Cluster’s technical coordinator</w:t>
      </w:r>
      <w:r w:rsidR="009044C8">
        <w:t>s</w:t>
      </w:r>
      <w:r>
        <w:t xml:space="preserve"> as it’s secretariat. </w:t>
      </w:r>
    </w:p>
    <w:p w14:paraId="525A495B" w14:textId="0B3787D4" w:rsidR="006D22BB" w:rsidRDefault="006D22BB" w:rsidP="006D22BB">
      <w:pPr>
        <w:pStyle w:val="NoSpacing"/>
        <w:numPr>
          <w:ilvl w:val="0"/>
          <w:numId w:val="5"/>
        </w:numPr>
      </w:pPr>
      <w:r>
        <w:t>The TWG is not an open forum for public debate and discussion</w:t>
      </w:r>
    </w:p>
    <w:p w14:paraId="6CBCF861" w14:textId="78721A1C" w:rsidR="006D22BB" w:rsidRDefault="009044C8" w:rsidP="006D22BB">
      <w:pPr>
        <w:pStyle w:val="NoSpacing"/>
        <w:numPr>
          <w:ilvl w:val="0"/>
          <w:numId w:val="5"/>
        </w:numPr>
      </w:pPr>
      <w:r>
        <w:t>The main group s</w:t>
      </w:r>
      <w:r w:rsidR="006D22BB">
        <w:t>hould contain approximately 8-</w:t>
      </w:r>
      <w:r w:rsidR="006D22BB" w:rsidRPr="00F068E2">
        <w:t xml:space="preserve">12 </w:t>
      </w:r>
      <w:r w:rsidR="006D22BB">
        <w:t>people</w:t>
      </w:r>
      <w:r>
        <w:t xml:space="preserve"> a working group. However, smaller sub-groups can be added also to undertake specific components of the task.</w:t>
      </w:r>
    </w:p>
    <w:p w14:paraId="29FBFFA2" w14:textId="2A15F654" w:rsidR="009044C8" w:rsidRDefault="009044C8" w:rsidP="006D22BB">
      <w:pPr>
        <w:pStyle w:val="NoSpacing"/>
        <w:numPr>
          <w:ilvl w:val="0"/>
          <w:numId w:val="5"/>
        </w:numPr>
      </w:pPr>
      <w:r>
        <w:t xml:space="preserve">At least 30% of members of the main group and any smaller sub-groups must contain members who know the context </w:t>
      </w:r>
      <w:r w:rsidR="00950135">
        <w:t>significantly.</w:t>
      </w:r>
    </w:p>
    <w:p w14:paraId="2797AD3D" w14:textId="121D8EE3" w:rsidR="00A937DD" w:rsidRDefault="00A937DD" w:rsidP="00A937DD">
      <w:pPr>
        <w:pStyle w:val="NoSpacing"/>
        <w:numPr>
          <w:ilvl w:val="0"/>
          <w:numId w:val="5"/>
        </w:numPr>
      </w:pPr>
      <w:r>
        <w:t>Include representative of relevant National Agencies who can help to represent government lead where possible.</w:t>
      </w:r>
      <w:bookmarkStart w:id="0" w:name="_GoBack"/>
      <w:bookmarkEnd w:id="0"/>
    </w:p>
    <w:p w14:paraId="298DCD81" w14:textId="5E6A5C13" w:rsidR="00A937DD" w:rsidRDefault="0016364B" w:rsidP="00A937DD">
      <w:pPr>
        <w:pStyle w:val="NoSpacing"/>
        <w:numPr>
          <w:ilvl w:val="0"/>
          <w:numId w:val="5"/>
        </w:numPr>
      </w:pPr>
      <w:r>
        <w:t>In addition to cluster members undertaking activities directly related to this activity, t</w:t>
      </w:r>
      <w:r w:rsidR="009044C8">
        <w:t>here needs to be representation or consultation with the following competences:</w:t>
      </w:r>
    </w:p>
    <w:p w14:paraId="3C61A86E" w14:textId="6C2A305A" w:rsidR="009044C8" w:rsidRDefault="009044C8" w:rsidP="009044C8">
      <w:pPr>
        <w:pStyle w:val="NoSpacing"/>
        <w:numPr>
          <w:ilvl w:val="1"/>
          <w:numId w:val="5"/>
        </w:numPr>
      </w:pPr>
      <w:r>
        <w:t>Communication with Communities (CWC)/Communication Engagement and Accountability (CEA)</w:t>
      </w:r>
      <w:r w:rsidR="00950135">
        <w:t>/Communication</w:t>
      </w:r>
      <w:r>
        <w:t xml:space="preserve"> experts</w:t>
      </w:r>
    </w:p>
    <w:p w14:paraId="3CACC1C4" w14:textId="699F20F1" w:rsidR="009044C8" w:rsidRDefault="009044C8" w:rsidP="009044C8">
      <w:pPr>
        <w:pStyle w:val="NoSpacing"/>
        <w:numPr>
          <w:ilvl w:val="1"/>
          <w:numId w:val="5"/>
        </w:numPr>
      </w:pPr>
      <w:r>
        <w:t>Local context communication experts (e.g. advertising or marketing)</w:t>
      </w:r>
    </w:p>
    <w:p w14:paraId="753A5CC0" w14:textId="3FCA848F" w:rsidR="009044C8" w:rsidRDefault="00B55938" w:rsidP="009044C8">
      <w:pPr>
        <w:pStyle w:val="NoSpacing"/>
        <w:numPr>
          <w:ilvl w:val="1"/>
          <w:numId w:val="5"/>
        </w:numPr>
      </w:pPr>
      <w:r>
        <w:t>Sociologists or Anthropologist</w:t>
      </w:r>
      <w:r w:rsidR="00950135">
        <w:t>s</w:t>
      </w:r>
    </w:p>
    <w:p w14:paraId="574C3126" w14:textId="6693F152" w:rsidR="00950135" w:rsidRDefault="00950135" w:rsidP="009044C8">
      <w:pPr>
        <w:pStyle w:val="NoSpacing"/>
        <w:numPr>
          <w:ilvl w:val="1"/>
          <w:numId w:val="5"/>
        </w:numPr>
      </w:pPr>
      <w:r>
        <w:t>Those working in Technical Education</w:t>
      </w:r>
    </w:p>
    <w:p w14:paraId="271E112F" w14:textId="29E1DAA4" w:rsidR="0016364B" w:rsidRDefault="0016364B" w:rsidP="009044C8">
      <w:pPr>
        <w:pStyle w:val="NoSpacing"/>
        <w:numPr>
          <w:ilvl w:val="1"/>
          <w:numId w:val="5"/>
        </w:numPr>
      </w:pPr>
      <w:r>
        <w:t xml:space="preserve">Local Technical Institutes or Colleges which focus on the built environment. </w:t>
      </w:r>
    </w:p>
    <w:p w14:paraId="67808327" w14:textId="20226D89" w:rsidR="0016364B" w:rsidRDefault="0016364B" w:rsidP="009044C8">
      <w:pPr>
        <w:pStyle w:val="NoSpacing"/>
        <w:numPr>
          <w:ilvl w:val="1"/>
          <w:numId w:val="5"/>
        </w:numPr>
      </w:pPr>
      <w:r>
        <w:t>Builders, Carpenters, Masons (skilled construction workers not just architects and engineers).</w:t>
      </w:r>
    </w:p>
    <w:p w14:paraId="55130B36" w14:textId="4F39182F" w:rsidR="0008450F" w:rsidRDefault="0008450F" w:rsidP="00700D67">
      <w:pPr>
        <w:pStyle w:val="Heading1"/>
      </w:pPr>
      <w:r>
        <w:t>Re</w:t>
      </w:r>
      <w:r w:rsidR="009F06F0">
        <w:t>commended re</w:t>
      </w:r>
      <w:r>
        <w:t>porting stages</w:t>
      </w:r>
      <w:r w:rsidR="00A203D1">
        <w:t xml:space="preserve"> to</w:t>
      </w:r>
      <w:r w:rsidR="0016364B">
        <w:t xml:space="preserve"> SAG</w:t>
      </w:r>
    </w:p>
    <w:p w14:paraId="56A1F7A6" w14:textId="2513D404" w:rsidR="006D22BB" w:rsidRDefault="006D22BB" w:rsidP="009F06F0">
      <w:pPr>
        <w:pStyle w:val="NoSpacing"/>
      </w:pPr>
      <w:r>
        <w:t xml:space="preserve">The work of the TWG is to be broken into a series of stages </w:t>
      </w:r>
      <w:r w:rsidR="009F06F0">
        <w:t xml:space="preserve">for reporting back to the </w:t>
      </w:r>
      <w:r w:rsidR="0063259E">
        <w:t>TWG</w:t>
      </w:r>
      <w:r w:rsidR="009F06F0">
        <w:t xml:space="preserve">. This aims to </w:t>
      </w:r>
      <w:r>
        <w:t>ensure</w:t>
      </w:r>
      <w:r w:rsidR="009F06F0">
        <w:t>s</w:t>
      </w:r>
      <w:r>
        <w:t xml:space="preserve"> that the </w:t>
      </w:r>
      <w:r w:rsidR="009F06F0">
        <w:t>technical advice being</w:t>
      </w:r>
      <w:r>
        <w:t xml:space="preserve"> develop</w:t>
      </w:r>
      <w:r w:rsidR="009F06F0">
        <w:t xml:space="preserve">ed </w:t>
      </w:r>
      <w:r>
        <w:t>accurately reflect the needs of the Sh</w:t>
      </w:r>
      <w:r w:rsidR="009F06F0">
        <w:t xml:space="preserve">elter Cluster and </w:t>
      </w:r>
      <w:proofErr w:type="spellStart"/>
      <w:proofErr w:type="gramStart"/>
      <w:r w:rsidR="009F06F0">
        <w:t>it’s</w:t>
      </w:r>
      <w:proofErr w:type="spellEnd"/>
      <w:proofErr w:type="gramEnd"/>
      <w:r w:rsidR="009F06F0">
        <w:t xml:space="preserve"> members, while ensuring </w:t>
      </w:r>
      <w:r w:rsidR="0063259E">
        <w:t>information</w:t>
      </w:r>
      <w:r w:rsidR="009F06F0">
        <w:t xml:space="preserve"> can be </w:t>
      </w:r>
      <w:r w:rsidR="0063259E">
        <w:t xml:space="preserve">communicated </w:t>
      </w:r>
      <w:r w:rsidR="009F06F0">
        <w:t xml:space="preserve">in stages to ensure timeliness of the </w:t>
      </w:r>
      <w:r w:rsidR="00950135">
        <w:t>IEC</w:t>
      </w:r>
      <w:r w:rsidR="0063259E">
        <w:t xml:space="preserve"> resources</w:t>
      </w:r>
      <w:r w:rsidR="009F06F0">
        <w:t xml:space="preserve"> being developed.</w:t>
      </w:r>
    </w:p>
    <w:p w14:paraId="1EA67DC3" w14:textId="77777777" w:rsidR="009F06F0" w:rsidRDefault="009F06F0" w:rsidP="009F06F0">
      <w:pPr>
        <w:pStyle w:val="NoSpacing"/>
      </w:pPr>
    </w:p>
    <w:p w14:paraId="74336F3D" w14:textId="6FE30E63" w:rsidR="009F06F0" w:rsidRDefault="009F06F0" w:rsidP="009F06F0">
      <w:pPr>
        <w:pStyle w:val="NoSpacing"/>
      </w:pPr>
      <w:r>
        <w:t>Recommendations made at each</w:t>
      </w:r>
      <w:r w:rsidR="0063259E">
        <w:t xml:space="preserve"> Protocol </w:t>
      </w:r>
      <w:r>
        <w:t xml:space="preserve">stage will be overviewed by </w:t>
      </w:r>
      <w:r w:rsidR="0063259E">
        <w:t>SAG</w:t>
      </w:r>
      <w:r>
        <w:t xml:space="preserve">, edited then shared at the next SC </w:t>
      </w:r>
      <w:r w:rsidR="0063259E">
        <w:t>m</w:t>
      </w:r>
      <w:r>
        <w:t>eeting to keep members informed of progress.</w:t>
      </w:r>
    </w:p>
    <w:p w14:paraId="219C946A" w14:textId="0F1311D0" w:rsidR="006D22BB" w:rsidRDefault="002120B2" w:rsidP="0063259E">
      <w:pPr>
        <w:pStyle w:val="Heading1"/>
      </w:pPr>
      <w:r>
        <w:t>T</w:t>
      </w:r>
      <w:r w:rsidR="0063259E">
        <w:t>WG Formation and Frequency of Meetings</w:t>
      </w:r>
    </w:p>
    <w:p w14:paraId="0E9FE560" w14:textId="77777777" w:rsidR="0063259E" w:rsidRDefault="0063259E" w:rsidP="0063259E">
      <w:pPr>
        <w:pStyle w:val="Heading2"/>
      </w:pPr>
      <w:proofErr w:type="gramStart"/>
      <w:r>
        <w:t>Pre formation</w:t>
      </w:r>
      <w:proofErr w:type="gramEnd"/>
      <w:r>
        <w:t xml:space="preserve"> </w:t>
      </w:r>
    </w:p>
    <w:p w14:paraId="272F4375" w14:textId="77777777" w:rsidR="0063259E" w:rsidRDefault="0063259E" w:rsidP="0063259E">
      <w:pPr>
        <w:pStyle w:val="NoSpacing"/>
        <w:numPr>
          <w:ilvl w:val="0"/>
          <w:numId w:val="3"/>
        </w:numPr>
      </w:pPr>
      <w:r>
        <w:t xml:space="preserve">Cluster team to identify and invite proposed </w:t>
      </w:r>
      <w:proofErr w:type="spellStart"/>
      <w:r>
        <w:t>TWiG</w:t>
      </w:r>
      <w:proofErr w:type="spellEnd"/>
      <w:r>
        <w:t xml:space="preserve"> members </w:t>
      </w:r>
    </w:p>
    <w:p w14:paraId="5B3BA017" w14:textId="77777777" w:rsidR="0063259E" w:rsidRDefault="0063259E" w:rsidP="0063259E">
      <w:pPr>
        <w:pStyle w:val="NoSpacing"/>
        <w:numPr>
          <w:ilvl w:val="0"/>
          <w:numId w:val="3"/>
        </w:numPr>
      </w:pPr>
      <w:r>
        <w:t>Proposed members to be announced at next SC meeting</w:t>
      </w:r>
    </w:p>
    <w:p w14:paraId="1D15525D" w14:textId="74EE6344" w:rsidR="0063259E" w:rsidRDefault="0063259E" w:rsidP="0063259E"/>
    <w:p w14:paraId="6585A5D0" w14:textId="4C2541C7" w:rsidR="0063259E" w:rsidRDefault="0063259E" w:rsidP="0063259E">
      <w:pPr>
        <w:pStyle w:val="Heading2"/>
      </w:pPr>
      <w:r>
        <w:lastRenderedPageBreak/>
        <w:t>Frequency of meetings and duration of TWG</w:t>
      </w:r>
    </w:p>
    <w:p w14:paraId="53C617FF" w14:textId="6B2AB3C7" w:rsidR="0063259E" w:rsidRPr="0063259E" w:rsidRDefault="0063259E" w:rsidP="0063259E">
      <w:r>
        <w:t xml:space="preserve">The TWG is to run for an initial period of 12 weeks with key </w:t>
      </w:r>
      <w:r w:rsidR="00950135">
        <w:t>IEC</w:t>
      </w:r>
      <w:r>
        <w:t xml:space="preserve"> resources to be developed and defined within the first 2 weeks of TWG. The SAG will determine if after 12 weeks the TWG will continue. The SAG can terminate or suspend the TWG at </w:t>
      </w:r>
      <w:proofErr w:type="spellStart"/>
      <w:r>
        <w:t>anytime</w:t>
      </w:r>
      <w:proofErr w:type="spellEnd"/>
      <w:r>
        <w:t>. Meeting frequency will be weekly in the first weeks reducing to fortnightly as members determine.</w:t>
      </w:r>
    </w:p>
    <w:sectPr w:rsidR="0063259E" w:rsidRPr="0063259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90FAF" w14:textId="77777777" w:rsidR="002238E6" w:rsidRDefault="002238E6" w:rsidP="00700D67">
      <w:r>
        <w:separator/>
      </w:r>
    </w:p>
  </w:endnote>
  <w:endnote w:type="continuationSeparator" w:id="0">
    <w:p w14:paraId="422AEF0E" w14:textId="77777777" w:rsidR="002238E6" w:rsidRDefault="002238E6" w:rsidP="0070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12492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A19998" w14:textId="3F4F1D04" w:rsidR="002120B2" w:rsidRDefault="002120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4F74ED" w14:textId="54DD4CFF" w:rsidR="00A74E06" w:rsidRPr="00A74E06" w:rsidRDefault="00A74E06" w:rsidP="00A74E06">
    <w:pPr>
      <w:pStyle w:val="Title"/>
      <w:jc w:val="left"/>
      <w:rPr>
        <w:b w:val="0"/>
        <w:sz w:val="24"/>
        <w:szCs w:val="24"/>
      </w:rPr>
    </w:pPr>
    <w:r w:rsidRPr="00A74E06">
      <w:rPr>
        <w:b w:val="0"/>
        <w:sz w:val="24"/>
        <w:szCs w:val="24"/>
      </w:rPr>
      <w:t xml:space="preserve">Technical Working Group (TWG) </w:t>
    </w:r>
    <w:proofErr w:type="spellStart"/>
    <w:r w:rsidRPr="00A74E06">
      <w:rPr>
        <w:b w:val="0"/>
        <w:sz w:val="24"/>
        <w:szCs w:val="24"/>
      </w:rPr>
      <w:t>T</w:t>
    </w:r>
    <w:r>
      <w:rPr>
        <w:b w:val="0"/>
        <w:sz w:val="24"/>
        <w:szCs w:val="24"/>
      </w:rPr>
      <w:t>o</w:t>
    </w:r>
    <w:r w:rsidRPr="00A74E06">
      <w:rPr>
        <w:b w:val="0"/>
        <w:sz w:val="24"/>
        <w:szCs w:val="24"/>
      </w:rPr>
      <w:t>R</w:t>
    </w:r>
    <w:proofErr w:type="spellEnd"/>
    <w:r w:rsidRPr="00A74E06">
      <w:rPr>
        <w:b w:val="0"/>
        <w:sz w:val="24"/>
        <w:szCs w:val="24"/>
      </w:rPr>
      <w:t xml:space="preserve"> for </w:t>
    </w:r>
    <w:r w:rsidR="00A937DD">
      <w:rPr>
        <w:b w:val="0"/>
        <w:sz w:val="24"/>
        <w:szCs w:val="24"/>
      </w:rPr>
      <w:t>Better</w:t>
    </w:r>
    <w:r w:rsidRPr="00A74E06">
      <w:rPr>
        <w:b w:val="0"/>
        <w:sz w:val="24"/>
        <w:szCs w:val="24"/>
      </w:rPr>
      <w:t xml:space="preserve"> Building IEC</w:t>
    </w:r>
  </w:p>
  <w:p w14:paraId="0E4D33B3" w14:textId="77777777" w:rsidR="002120B2" w:rsidRDefault="00212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A9F8C" w14:textId="77777777" w:rsidR="002238E6" w:rsidRDefault="002238E6" w:rsidP="00700D67">
      <w:r>
        <w:separator/>
      </w:r>
    </w:p>
  </w:footnote>
  <w:footnote w:type="continuationSeparator" w:id="0">
    <w:p w14:paraId="3F848F2A" w14:textId="77777777" w:rsidR="002238E6" w:rsidRDefault="002238E6" w:rsidP="0070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F0F62" w14:textId="330099C5" w:rsidR="006D22BB" w:rsidRDefault="00B30888" w:rsidP="00B30888">
    <w:pPr>
      <w:pStyle w:val="Header"/>
      <w:jc w:val="right"/>
    </w:pPr>
    <w:r>
      <w:t>Response/Country Level Shelter Cluster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B32"/>
    <w:multiLevelType w:val="hybridMultilevel"/>
    <w:tmpl w:val="A5006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6D18"/>
    <w:multiLevelType w:val="hybridMultilevel"/>
    <w:tmpl w:val="13FAC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20AB"/>
    <w:multiLevelType w:val="hybridMultilevel"/>
    <w:tmpl w:val="10003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072E"/>
    <w:multiLevelType w:val="hybridMultilevel"/>
    <w:tmpl w:val="64404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71E59"/>
    <w:multiLevelType w:val="hybridMultilevel"/>
    <w:tmpl w:val="EB828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25AB"/>
    <w:multiLevelType w:val="hybridMultilevel"/>
    <w:tmpl w:val="A2648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20A2B"/>
    <w:multiLevelType w:val="hybridMultilevel"/>
    <w:tmpl w:val="CED2C830"/>
    <w:lvl w:ilvl="0" w:tplc="3F6809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A77A6"/>
    <w:multiLevelType w:val="hybridMultilevel"/>
    <w:tmpl w:val="F28EC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841E4"/>
    <w:multiLevelType w:val="hybridMultilevel"/>
    <w:tmpl w:val="014AF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16688"/>
    <w:multiLevelType w:val="hybridMultilevel"/>
    <w:tmpl w:val="5BE4A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F2C33"/>
    <w:multiLevelType w:val="hybridMultilevel"/>
    <w:tmpl w:val="D37A8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64028"/>
    <w:multiLevelType w:val="hybridMultilevel"/>
    <w:tmpl w:val="1A2A1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0484"/>
    <w:multiLevelType w:val="hybridMultilevel"/>
    <w:tmpl w:val="B880B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A2C64"/>
    <w:multiLevelType w:val="hybridMultilevel"/>
    <w:tmpl w:val="68FE5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04"/>
    <w:rsid w:val="0008450F"/>
    <w:rsid w:val="0012566C"/>
    <w:rsid w:val="0016364B"/>
    <w:rsid w:val="00187004"/>
    <w:rsid w:val="0019521A"/>
    <w:rsid w:val="001A1E32"/>
    <w:rsid w:val="001F018E"/>
    <w:rsid w:val="002120B2"/>
    <w:rsid w:val="002238E6"/>
    <w:rsid w:val="002E69DB"/>
    <w:rsid w:val="003E0D84"/>
    <w:rsid w:val="0042667D"/>
    <w:rsid w:val="00462EE8"/>
    <w:rsid w:val="00503DBB"/>
    <w:rsid w:val="0063259E"/>
    <w:rsid w:val="00685AAD"/>
    <w:rsid w:val="006B6E34"/>
    <w:rsid w:val="006D22BB"/>
    <w:rsid w:val="00700D67"/>
    <w:rsid w:val="007127B8"/>
    <w:rsid w:val="007A53AE"/>
    <w:rsid w:val="00890184"/>
    <w:rsid w:val="009044C8"/>
    <w:rsid w:val="00950135"/>
    <w:rsid w:val="009F06F0"/>
    <w:rsid w:val="00A203D1"/>
    <w:rsid w:val="00A74E06"/>
    <w:rsid w:val="00A937DD"/>
    <w:rsid w:val="00AE3907"/>
    <w:rsid w:val="00AE3A60"/>
    <w:rsid w:val="00B30888"/>
    <w:rsid w:val="00B55938"/>
    <w:rsid w:val="00B8530B"/>
    <w:rsid w:val="00CD59C7"/>
    <w:rsid w:val="00F068E2"/>
    <w:rsid w:val="00F6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89AD4"/>
  <w15:chartTrackingRefBased/>
  <w15:docId w15:val="{09279F79-0736-4901-BF45-84705A38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D6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D67"/>
    <w:pPr>
      <w:widowControl w:val="0"/>
      <w:spacing w:before="240" w:after="0"/>
      <w:outlineLvl w:val="0"/>
    </w:pPr>
    <w:rPr>
      <w:rFonts w:eastAsiaTheme="majorEastAsia"/>
      <w:b/>
      <w:color w:val="833C0B" w:themeColor="accent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6F0"/>
    <w:pPr>
      <w:keepNext/>
      <w:keepLines/>
      <w:spacing w:before="40" w:after="0"/>
      <w:outlineLvl w:val="1"/>
    </w:pPr>
    <w:rPr>
      <w:rFonts w:eastAsiaTheme="majorEastAsia"/>
      <w:b/>
      <w:color w:val="833C0B" w:themeColor="accent2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3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5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59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59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0D67"/>
    <w:pPr>
      <w:widowControl w:val="0"/>
      <w:spacing w:after="0" w:line="240" w:lineRule="auto"/>
      <w:contextualSpacing/>
      <w:jc w:val="center"/>
    </w:pPr>
    <w:rPr>
      <w:rFonts w:eastAsiaTheme="majorEastAsia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D67"/>
    <w:rPr>
      <w:rFonts w:ascii="Arial" w:eastAsiaTheme="majorEastAsia" w:hAnsi="Arial" w:cs="Arial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1F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18E"/>
  </w:style>
  <w:style w:type="paragraph" w:styleId="Footer">
    <w:name w:val="footer"/>
    <w:basedOn w:val="Normal"/>
    <w:link w:val="FooterChar"/>
    <w:uiPriority w:val="99"/>
    <w:unhideWhenUsed/>
    <w:rsid w:val="001F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18E"/>
  </w:style>
  <w:style w:type="paragraph" w:styleId="NormalWeb">
    <w:name w:val="Normal (Web)"/>
    <w:basedOn w:val="Normal"/>
    <w:uiPriority w:val="99"/>
    <w:semiHidden/>
    <w:unhideWhenUsed/>
    <w:rsid w:val="001F01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00D67"/>
    <w:rPr>
      <w:rFonts w:ascii="Arial" w:eastAsiaTheme="majorEastAsia" w:hAnsi="Arial" w:cs="Arial"/>
      <w:b/>
      <w:color w:val="833C0B" w:themeColor="accent2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06F0"/>
    <w:rPr>
      <w:rFonts w:ascii="Arial" w:eastAsiaTheme="majorEastAsia" w:hAnsi="Arial" w:cs="Arial"/>
      <w:b/>
      <w:color w:val="833C0B" w:themeColor="accent2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53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845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D59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D59C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6D22BB"/>
    <w:pPr>
      <w:ind w:left="720"/>
      <w:contextualSpacing/>
    </w:pPr>
  </w:style>
  <w:style w:type="paragraph" w:styleId="NoSpacing">
    <w:name w:val="No Spacing"/>
    <w:uiPriority w:val="1"/>
    <w:qFormat/>
    <w:rsid w:val="009F06F0"/>
    <w:pPr>
      <w:spacing w:after="0" w:line="240" w:lineRule="auto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199EE-9902-4B5D-B613-BC9A1C94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Hodgkin</dc:creator>
  <cp:keywords/>
  <dc:description/>
  <cp:lastModifiedBy>David Dalgado</cp:lastModifiedBy>
  <cp:revision>8</cp:revision>
  <dcterms:created xsi:type="dcterms:W3CDTF">2018-06-25T15:14:00Z</dcterms:created>
  <dcterms:modified xsi:type="dcterms:W3CDTF">2019-04-13T22:09:00Z</dcterms:modified>
</cp:coreProperties>
</file>