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21CE6" w14:textId="1F608F71" w:rsidR="00BE2414" w:rsidRDefault="00FD330C" w:rsidP="00BE2414">
      <w:pPr>
        <w:pStyle w:val="Heading1"/>
        <w:spacing w:before="0" w:after="0" w:line="240" w:lineRule="auto"/>
      </w:pPr>
      <w:r>
        <w:rPr>
          <w:noProof/>
        </w:rPr>
        <w:drawing>
          <wp:inline distT="0" distB="0" distL="0" distR="0" wp14:anchorId="566BAB68" wp14:editId="2466A9C9">
            <wp:extent cx="1628775" cy="446884"/>
            <wp:effectExtent l="0" t="0" r="0" b="0"/>
            <wp:docPr id="1" name="Picture 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RC logo1.PNG"/>
                    <pic:cNvPicPr/>
                  </pic:nvPicPr>
                  <pic:blipFill>
                    <a:blip r:embed="rId11">
                      <a:extLst>
                        <a:ext uri="{28A0092B-C50C-407E-A947-70E740481C1C}">
                          <a14:useLocalDpi xmlns:a14="http://schemas.microsoft.com/office/drawing/2010/main" val="0"/>
                        </a:ext>
                      </a:extLst>
                    </a:blip>
                    <a:stretch>
                      <a:fillRect/>
                    </a:stretch>
                  </pic:blipFill>
                  <pic:spPr>
                    <a:xfrm>
                      <a:off x="0" y="0"/>
                      <a:ext cx="1671964" cy="458734"/>
                    </a:xfrm>
                    <a:prstGeom prst="rect">
                      <a:avLst/>
                    </a:prstGeom>
                  </pic:spPr>
                </pic:pic>
              </a:graphicData>
            </a:graphic>
          </wp:inline>
        </w:drawing>
      </w:r>
    </w:p>
    <w:p w14:paraId="4BFA67A7" w14:textId="77777777" w:rsidR="00BE2414" w:rsidRDefault="00BE2414" w:rsidP="00BE2414">
      <w:pPr>
        <w:pStyle w:val="Heading1"/>
        <w:spacing w:before="0" w:after="0" w:line="240" w:lineRule="auto"/>
      </w:pPr>
    </w:p>
    <w:p w14:paraId="20C9171E" w14:textId="282B96F7" w:rsidR="00D3269E" w:rsidRDefault="00D3269E" w:rsidP="00BE2414">
      <w:pPr>
        <w:pStyle w:val="Heading1"/>
        <w:spacing w:before="0" w:after="0" w:line="240" w:lineRule="auto"/>
      </w:pPr>
      <w:r>
        <w:t xml:space="preserve">Urban Considerations </w:t>
      </w:r>
      <w:r w:rsidR="007C0CB9">
        <w:t>for</w:t>
      </w:r>
    </w:p>
    <w:p w14:paraId="7EB9A4F3" w14:textId="32109EAD" w:rsidR="005E5EDF" w:rsidRDefault="007C0CB9" w:rsidP="00BE2414">
      <w:pPr>
        <w:pStyle w:val="Heading1"/>
        <w:spacing w:before="0" w:after="0" w:line="240" w:lineRule="auto"/>
      </w:pPr>
      <w:bookmarkStart w:id="0" w:name="_Hlk37318599"/>
      <w:r>
        <w:t xml:space="preserve">COVID 19 Revised </w:t>
      </w:r>
      <w:r w:rsidR="002D79EE">
        <w:t xml:space="preserve">Emergency </w:t>
      </w:r>
      <w:r>
        <w:t>A</w:t>
      </w:r>
      <w:r w:rsidR="002D79EE">
        <w:t xml:space="preserve">ppeal </w:t>
      </w:r>
    </w:p>
    <w:bookmarkEnd w:id="0"/>
    <w:p w14:paraId="01222E76" w14:textId="77777777" w:rsidR="00FD330C" w:rsidRDefault="00FD330C" w:rsidP="004C68EF">
      <w:pPr>
        <w:spacing w:before="120"/>
        <w:ind w:left="0" w:firstLine="0"/>
        <w:rPr>
          <w:lang w:val="en"/>
        </w:rPr>
      </w:pPr>
    </w:p>
    <w:p w14:paraId="3BF2A4C6" w14:textId="2B4B41A5" w:rsidR="004C68EF" w:rsidRPr="00B111C0" w:rsidRDefault="006D45BC" w:rsidP="004C68EF">
      <w:pPr>
        <w:spacing w:before="120"/>
        <w:ind w:left="0" w:firstLine="0"/>
        <w:rPr>
          <w:lang w:val="en"/>
        </w:rPr>
      </w:pPr>
      <w:r w:rsidRPr="00B111C0">
        <w:rPr>
          <w:lang w:val="en"/>
        </w:rPr>
        <w:t xml:space="preserve">This guidance note draws from </w:t>
      </w:r>
      <w:r w:rsidR="00C96E9F" w:rsidRPr="00B111C0">
        <w:rPr>
          <w:lang w:val="en"/>
        </w:rPr>
        <w:t xml:space="preserve">a </w:t>
      </w:r>
      <w:r w:rsidRPr="00B111C0">
        <w:rPr>
          <w:lang w:val="en"/>
        </w:rPr>
        <w:t xml:space="preserve">comprehensive </w:t>
      </w:r>
      <w:hyperlink r:id="rId12" w:history="1">
        <w:r w:rsidR="006A2B4A" w:rsidRPr="00B111C0">
          <w:rPr>
            <w:rStyle w:val="Hyperlink"/>
            <w:color w:val="0070C0"/>
            <w:lang w:val="en"/>
          </w:rPr>
          <w:t xml:space="preserve">technical </w:t>
        </w:r>
        <w:r w:rsidR="009C23C9" w:rsidRPr="00B111C0">
          <w:rPr>
            <w:rStyle w:val="Hyperlink"/>
            <w:color w:val="0070C0"/>
            <w:lang w:val="en"/>
          </w:rPr>
          <w:t>brief</w:t>
        </w:r>
      </w:hyperlink>
      <w:r w:rsidR="00B962DA" w:rsidRPr="00B111C0">
        <w:rPr>
          <w:color w:val="0070C0"/>
          <w:lang w:val="en"/>
        </w:rPr>
        <w:t xml:space="preserve"> </w:t>
      </w:r>
      <w:r w:rsidR="00B962DA" w:rsidRPr="00B111C0">
        <w:rPr>
          <w:lang w:val="en"/>
        </w:rPr>
        <w:t xml:space="preserve">developed in cooperation with other organizations. </w:t>
      </w:r>
      <w:r w:rsidR="004C68EF" w:rsidRPr="00B111C0">
        <w:rPr>
          <w:lang w:val="en"/>
        </w:rPr>
        <w:t xml:space="preserve">It is highly recommended to read </w:t>
      </w:r>
      <w:r w:rsidR="00B962DA" w:rsidRPr="00B111C0">
        <w:rPr>
          <w:lang w:val="en"/>
        </w:rPr>
        <w:t>it</w:t>
      </w:r>
      <w:r w:rsidR="004C68EF" w:rsidRPr="00B111C0">
        <w:rPr>
          <w:lang w:val="en"/>
        </w:rPr>
        <w:t xml:space="preserve"> as a primer. </w:t>
      </w:r>
      <w:r w:rsidR="0083519E" w:rsidRPr="00B111C0">
        <w:rPr>
          <w:lang w:val="en"/>
        </w:rPr>
        <w:t xml:space="preserve">It is </w:t>
      </w:r>
      <w:r w:rsidR="00892183" w:rsidRPr="00B111C0">
        <w:rPr>
          <w:lang w:val="en"/>
        </w:rPr>
        <w:t xml:space="preserve">also </w:t>
      </w:r>
      <w:r w:rsidR="0083519E" w:rsidRPr="00B111C0">
        <w:rPr>
          <w:lang w:val="en"/>
        </w:rPr>
        <w:t xml:space="preserve">a complementary resource to the existing IFRC </w:t>
      </w:r>
      <w:r w:rsidR="00F309C6" w:rsidRPr="00B111C0">
        <w:rPr>
          <w:lang w:val="en"/>
        </w:rPr>
        <w:t>guidance</w:t>
      </w:r>
      <w:r w:rsidR="0083519E" w:rsidRPr="00B111C0">
        <w:rPr>
          <w:lang w:val="en"/>
        </w:rPr>
        <w:t xml:space="preserve"> documents on </w:t>
      </w:r>
      <w:r w:rsidR="00C1505A" w:rsidRPr="00B111C0">
        <w:rPr>
          <w:lang w:val="en"/>
        </w:rPr>
        <w:t>Community Engagement and Accountability (</w:t>
      </w:r>
      <w:r w:rsidR="00075B65" w:rsidRPr="00B111C0">
        <w:rPr>
          <w:lang w:val="en"/>
        </w:rPr>
        <w:t>CEA</w:t>
      </w:r>
      <w:r w:rsidR="00C1505A" w:rsidRPr="00B111C0">
        <w:rPr>
          <w:lang w:val="en"/>
        </w:rPr>
        <w:t>)</w:t>
      </w:r>
      <w:r w:rsidR="00075B65" w:rsidRPr="00B111C0">
        <w:rPr>
          <w:lang w:val="en"/>
        </w:rPr>
        <w:t xml:space="preserve">, </w:t>
      </w:r>
      <w:r w:rsidR="00C1505A" w:rsidRPr="00B111C0">
        <w:rPr>
          <w:lang w:val="en"/>
        </w:rPr>
        <w:t xml:space="preserve">Health, </w:t>
      </w:r>
      <w:r w:rsidR="00075B65" w:rsidRPr="00B111C0">
        <w:rPr>
          <w:lang w:val="en"/>
        </w:rPr>
        <w:t>P</w:t>
      </w:r>
      <w:r w:rsidR="00C1505A" w:rsidRPr="00B111C0">
        <w:rPr>
          <w:lang w:val="en"/>
        </w:rPr>
        <w:t>rotection, Gender and Inclusion (P</w:t>
      </w:r>
      <w:r w:rsidR="00075B65" w:rsidRPr="00B111C0">
        <w:rPr>
          <w:lang w:val="en"/>
        </w:rPr>
        <w:t>GI</w:t>
      </w:r>
      <w:r w:rsidR="00C1505A" w:rsidRPr="00B111C0">
        <w:rPr>
          <w:lang w:val="en"/>
        </w:rPr>
        <w:t>)</w:t>
      </w:r>
      <w:r w:rsidR="00F309C6" w:rsidRPr="00B111C0">
        <w:rPr>
          <w:lang w:val="en"/>
        </w:rPr>
        <w:t xml:space="preserve"> and</w:t>
      </w:r>
      <w:r w:rsidR="005E0FAF" w:rsidRPr="00B111C0">
        <w:rPr>
          <w:lang w:val="en"/>
        </w:rPr>
        <w:t xml:space="preserve"> many</w:t>
      </w:r>
      <w:r w:rsidR="00F309C6" w:rsidRPr="00B111C0">
        <w:rPr>
          <w:lang w:val="en"/>
        </w:rPr>
        <w:t xml:space="preserve"> others </w:t>
      </w:r>
      <w:hyperlink r:id="rId13" w:anchor="additional-info" w:history="1">
        <w:r w:rsidR="0083519E" w:rsidRPr="00B111C0">
          <w:rPr>
            <w:rStyle w:val="Hyperlink"/>
            <w:lang w:val="en"/>
          </w:rPr>
          <w:t>here</w:t>
        </w:r>
      </w:hyperlink>
      <w:r w:rsidR="0083519E" w:rsidRPr="00B111C0">
        <w:rPr>
          <w:lang w:val="en"/>
        </w:rPr>
        <w:t>.</w:t>
      </w:r>
      <w:r w:rsidR="00185277" w:rsidRPr="00B111C0">
        <w:rPr>
          <w:lang w:val="en"/>
        </w:rPr>
        <w:t xml:space="preserve"> </w:t>
      </w:r>
    </w:p>
    <w:p w14:paraId="0CC71C59" w14:textId="0013315C" w:rsidR="002D79EE" w:rsidRPr="00B111C0" w:rsidRDefault="004C68EF" w:rsidP="00D167F6">
      <w:pPr>
        <w:spacing w:before="120"/>
        <w:ind w:left="0" w:firstLine="0"/>
        <w:rPr>
          <w:lang w:val="en"/>
        </w:rPr>
      </w:pPr>
      <w:r w:rsidRPr="00B111C0">
        <w:rPr>
          <w:lang w:val="en"/>
        </w:rPr>
        <w:t xml:space="preserve">This guidance note </w:t>
      </w:r>
      <w:r w:rsidR="009C23C9" w:rsidRPr="00B111C0">
        <w:rPr>
          <w:lang w:val="en"/>
        </w:rPr>
        <w:t xml:space="preserve">is </w:t>
      </w:r>
      <w:r w:rsidR="006D45BC" w:rsidRPr="00B111C0">
        <w:rPr>
          <w:lang w:val="en"/>
        </w:rPr>
        <w:t xml:space="preserve">adapted to the specific needs of IFRC regional offices and National </w:t>
      </w:r>
      <w:r w:rsidR="00EA532A" w:rsidRPr="00B111C0">
        <w:rPr>
          <w:lang w:val="en"/>
        </w:rPr>
        <w:t>Societies</w:t>
      </w:r>
      <w:r w:rsidR="006D45BC" w:rsidRPr="00B111C0">
        <w:rPr>
          <w:lang w:val="en"/>
        </w:rPr>
        <w:t xml:space="preserve"> in </w:t>
      </w:r>
      <w:r w:rsidR="00EA532A" w:rsidRPr="00B111C0">
        <w:rPr>
          <w:lang w:val="en"/>
        </w:rPr>
        <w:t xml:space="preserve">preparing for </w:t>
      </w:r>
      <w:r w:rsidR="00916235" w:rsidRPr="00B111C0">
        <w:rPr>
          <w:lang w:val="en"/>
        </w:rPr>
        <w:t>COVID 19 Revised Emergency Appeal (M</w:t>
      </w:r>
      <w:r w:rsidR="00655503" w:rsidRPr="00B111C0">
        <w:rPr>
          <w:lang w:val="en"/>
        </w:rPr>
        <w:t>DR00005).</w:t>
      </w:r>
      <w:r w:rsidR="00896317" w:rsidRPr="00B111C0">
        <w:rPr>
          <w:lang w:val="en"/>
        </w:rPr>
        <w:t xml:space="preserve"> </w:t>
      </w:r>
      <w:r w:rsidR="00882231" w:rsidRPr="00B111C0">
        <w:rPr>
          <w:lang w:val="en"/>
        </w:rPr>
        <w:t xml:space="preserve">It is designed along the </w:t>
      </w:r>
      <w:r w:rsidR="00D95872" w:rsidRPr="00B111C0">
        <w:rPr>
          <w:lang w:val="en"/>
        </w:rPr>
        <w:t xml:space="preserve">main activities </w:t>
      </w:r>
      <w:r w:rsidR="001B7C6E" w:rsidRPr="00B111C0">
        <w:rPr>
          <w:lang w:val="en"/>
        </w:rPr>
        <w:t>under the Operational S</w:t>
      </w:r>
      <w:r w:rsidR="00882231" w:rsidRPr="00B111C0">
        <w:rPr>
          <w:lang w:val="en"/>
        </w:rPr>
        <w:t>trateg</w:t>
      </w:r>
      <w:r w:rsidR="001B7C6E" w:rsidRPr="00B111C0">
        <w:rPr>
          <w:lang w:val="en"/>
        </w:rPr>
        <w:t xml:space="preserve">y of the REA, outlining suggested activities </w:t>
      </w:r>
      <w:r w:rsidR="0004167A" w:rsidRPr="00B111C0">
        <w:rPr>
          <w:lang w:val="en"/>
        </w:rPr>
        <w:t xml:space="preserve">to be considered. It is by no means an exhaustive list and there are many other activities that can be planned by National </w:t>
      </w:r>
      <w:r w:rsidR="00482A1A" w:rsidRPr="00B111C0">
        <w:rPr>
          <w:lang w:val="en"/>
        </w:rPr>
        <w:t>Societies</w:t>
      </w:r>
      <w:r w:rsidR="0004167A" w:rsidRPr="00B111C0">
        <w:rPr>
          <w:lang w:val="en"/>
        </w:rPr>
        <w:t xml:space="preserve"> </w:t>
      </w:r>
      <w:r w:rsidR="00896317" w:rsidRPr="00B111C0">
        <w:rPr>
          <w:lang w:val="en"/>
        </w:rPr>
        <w:t xml:space="preserve">that fits their context. </w:t>
      </w:r>
    </w:p>
    <w:p w14:paraId="13FC6675" w14:textId="0A625DA4" w:rsidR="004515E6" w:rsidRPr="00B111C0" w:rsidRDefault="004515E6" w:rsidP="00553F1D">
      <w:pPr>
        <w:spacing w:before="120"/>
        <w:ind w:left="0" w:firstLine="0"/>
        <w:rPr>
          <w:i/>
          <w:iCs/>
          <w:color w:val="2F5496" w:themeColor="accent1" w:themeShade="BF"/>
          <w:lang w:val="en"/>
        </w:rPr>
      </w:pPr>
    </w:p>
    <w:tbl>
      <w:tblPr>
        <w:tblStyle w:val="TableGrid"/>
        <w:tblW w:w="9895" w:type="dxa"/>
        <w:tblInd w:w="-90" w:type="dxa"/>
        <w:tblLook w:val="04A0" w:firstRow="1" w:lastRow="0" w:firstColumn="1" w:lastColumn="0" w:noHBand="0" w:noVBand="1"/>
      </w:tblPr>
      <w:tblGrid>
        <w:gridCol w:w="3415"/>
        <w:gridCol w:w="6480"/>
      </w:tblGrid>
      <w:tr w:rsidR="00EE7382" w:rsidRPr="00B111C0" w14:paraId="5F024688" w14:textId="77777777" w:rsidTr="00FC0F36">
        <w:tc>
          <w:tcPr>
            <w:tcW w:w="3415" w:type="dxa"/>
            <w:shd w:val="clear" w:color="auto" w:fill="E7E6E6" w:themeFill="background2"/>
          </w:tcPr>
          <w:p w14:paraId="0CA4CCD7" w14:textId="1EFCB2AE" w:rsidR="00EE7382" w:rsidRPr="00B111C0" w:rsidRDefault="00EE7382" w:rsidP="002D79EE">
            <w:pPr>
              <w:ind w:left="0" w:firstLine="0"/>
            </w:pPr>
            <w:r w:rsidRPr="00B111C0">
              <w:rPr>
                <w:rFonts w:asciiTheme="majorHAnsi" w:eastAsia="Times New Roman" w:hAnsiTheme="majorHAnsi" w:cstheme="majorHAnsi"/>
                <w:b/>
                <w:bCs/>
                <w:szCs w:val="22"/>
              </w:rPr>
              <w:t>Regional level</w:t>
            </w:r>
          </w:p>
        </w:tc>
        <w:tc>
          <w:tcPr>
            <w:tcW w:w="6480" w:type="dxa"/>
            <w:shd w:val="clear" w:color="auto" w:fill="E7E6E6" w:themeFill="background2"/>
          </w:tcPr>
          <w:p w14:paraId="70A758B0" w14:textId="677A4322" w:rsidR="00EE7382" w:rsidRPr="00B111C0" w:rsidRDefault="00EE7382" w:rsidP="002D79EE">
            <w:pPr>
              <w:ind w:left="0" w:firstLine="0"/>
            </w:pPr>
            <w:r w:rsidRPr="00B111C0">
              <w:rPr>
                <w:rFonts w:asciiTheme="majorHAnsi" w:eastAsia="Times New Roman" w:hAnsiTheme="majorHAnsi" w:cstheme="majorHAnsi"/>
                <w:b/>
                <w:bCs/>
                <w:szCs w:val="22"/>
              </w:rPr>
              <w:t>Country level</w:t>
            </w:r>
          </w:p>
        </w:tc>
      </w:tr>
      <w:tr w:rsidR="00FC0F36" w:rsidRPr="00B111C0" w14:paraId="490E5790" w14:textId="77777777" w:rsidTr="00E621E4">
        <w:tc>
          <w:tcPr>
            <w:tcW w:w="9895" w:type="dxa"/>
            <w:gridSpan w:val="2"/>
            <w:shd w:val="clear" w:color="auto" w:fill="FFF2CC" w:themeFill="accent4" w:themeFillTint="33"/>
          </w:tcPr>
          <w:p w14:paraId="6070EE7C" w14:textId="2C039AD4" w:rsidR="00FC0F36" w:rsidRPr="00B111C0" w:rsidRDefault="00FC0F36" w:rsidP="002D79EE">
            <w:pPr>
              <w:ind w:left="0" w:firstLine="0"/>
              <w:rPr>
                <w:rFonts w:asciiTheme="majorHAnsi" w:eastAsia="Times New Roman" w:hAnsiTheme="majorHAnsi" w:cstheme="majorHAnsi"/>
                <w:b/>
                <w:bCs/>
                <w:color w:val="auto"/>
                <w:szCs w:val="22"/>
              </w:rPr>
            </w:pPr>
            <w:r w:rsidRPr="00B111C0">
              <w:rPr>
                <w:rFonts w:asciiTheme="majorHAnsi" w:eastAsia="Times New Roman" w:hAnsiTheme="majorHAnsi" w:cstheme="majorHAnsi"/>
                <w:b/>
                <w:bCs/>
                <w:color w:val="auto"/>
                <w:szCs w:val="22"/>
              </w:rPr>
              <w:t>General</w:t>
            </w:r>
          </w:p>
          <w:p w14:paraId="0EE6D88D" w14:textId="77777777" w:rsidR="00FC0F36" w:rsidRPr="00B111C0" w:rsidRDefault="00FC0F36" w:rsidP="002D79EE">
            <w:pPr>
              <w:ind w:left="0" w:firstLine="0"/>
              <w:rPr>
                <w:rFonts w:asciiTheme="majorHAnsi" w:eastAsia="Times New Roman" w:hAnsiTheme="majorHAnsi" w:cstheme="majorHAnsi"/>
                <w:b/>
                <w:bCs/>
                <w:szCs w:val="22"/>
              </w:rPr>
            </w:pPr>
          </w:p>
        </w:tc>
      </w:tr>
      <w:tr w:rsidR="00E7012B" w:rsidRPr="00B111C0" w14:paraId="7E676719" w14:textId="77777777" w:rsidTr="00FC0F36">
        <w:trPr>
          <w:trHeight w:val="4715"/>
        </w:trPr>
        <w:tc>
          <w:tcPr>
            <w:tcW w:w="3415" w:type="dxa"/>
          </w:tcPr>
          <w:p w14:paraId="21F280B4" w14:textId="00912CBF" w:rsidR="00EE7382" w:rsidRPr="00B111C0" w:rsidRDefault="00FC0F36" w:rsidP="00E7012B">
            <w:pPr>
              <w:ind w:left="-21"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P</w:t>
            </w:r>
            <w:r w:rsidR="00EE7382" w:rsidRPr="00B111C0">
              <w:rPr>
                <w:rFonts w:asciiTheme="minorHAnsi" w:eastAsia="Times New Roman" w:hAnsiTheme="minorHAnsi" w:cstheme="minorHAnsi"/>
                <w:color w:val="0D0D0D" w:themeColor="text1" w:themeTint="F2"/>
                <w:sz w:val="21"/>
                <w:szCs w:val="21"/>
              </w:rPr>
              <w:t>rovide technical support to NSs to ensure that their proposed Plan</w:t>
            </w:r>
            <w:r w:rsidR="00534FC8" w:rsidRPr="00B111C0">
              <w:rPr>
                <w:rFonts w:asciiTheme="minorHAnsi" w:eastAsia="Times New Roman" w:hAnsiTheme="minorHAnsi" w:cstheme="minorHAnsi"/>
                <w:color w:val="0D0D0D" w:themeColor="text1" w:themeTint="F2"/>
                <w:sz w:val="21"/>
                <w:szCs w:val="21"/>
              </w:rPr>
              <w:t>s</w:t>
            </w:r>
            <w:r w:rsidR="00EE7382" w:rsidRPr="00B111C0">
              <w:rPr>
                <w:rFonts w:asciiTheme="minorHAnsi" w:eastAsia="Times New Roman" w:hAnsiTheme="minorHAnsi" w:cstheme="minorHAnsi"/>
                <w:color w:val="0D0D0D" w:themeColor="text1" w:themeTint="F2"/>
                <w:sz w:val="21"/>
                <w:szCs w:val="21"/>
              </w:rPr>
              <w:t xml:space="preserve"> of Action are 'fit for urban': integrating the suggested considerations in this document.</w:t>
            </w:r>
          </w:p>
          <w:p w14:paraId="55141740" w14:textId="721F1279" w:rsidR="00EE7382" w:rsidRPr="00B111C0" w:rsidRDefault="00EE7382" w:rsidP="00E7012B">
            <w:pPr>
              <w:ind w:left="0" w:firstLine="0"/>
              <w:rPr>
                <w:rFonts w:asciiTheme="minorHAnsi" w:eastAsia="Times New Roman" w:hAnsiTheme="minorHAnsi" w:cstheme="minorHAnsi"/>
                <w:color w:val="0D0D0D" w:themeColor="text1" w:themeTint="F2"/>
                <w:sz w:val="21"/>
                <w:szCs w:val="21"/>
              </w:rPr>
            </w:pPr>
          </w:p>
          <w:p w14:paraId="710A2627" w14:textId="4253F91A" w:rsidR="004815AF" w:rsidRPr="00B111C0" w:rsidRDefault="004815AF" w:rsidP="004815AF">
            <w:pPr>
              <w:ind w:left="-27"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Capture lessons and best practices of the ongoing operation in the region from the urban perspective and share it with the wider network</w:t>
            </w:r>
            <w:r w:rsidR="005344B9" w:rsidRPr="00B111C0">
              <w:rPr>
                <w:rFonts w:asciiTheme="minorHAnsi" w:eastAsia="Times New Roman" w:hAnsiTheme="minorHAnsi" w:cstheme="minorHAnsi"/>
                <w:color w:val="0D0D0D" w:themeColor="text1" w:themeTint="F2"/>
                <w:sz w:val="21"/>
                <w:szCs w:val="21"/>
              </w:rPr>
              <w:t>.</w:t>
            </w:r>
          </w:p>
          <w:p w14:paraId="5BE29527" w14:textId="1E80E657" w:rsidR="004815AF" w:rsidRPr="00B111C0" w:rsidRDefault="004815AF" w:rsidP="00E7012B">
            <w:pPr>
              <w:ind w:left="0" w:firstLine="0"/>
              <w:rPr>
                <w:rFonts w:asciiTheme="minorHAnsi" w:eastAsia="Times New Roman" w:hAnsiTheme="minorHAnsi" w:cstheme="minorHAnsi"/>
                <w:color w:val="0D0D0D" w:themeColor="text1" w:themeTint="F2"/>
                <w:sz w:val="21"/>
                <w:szCs w:val="21"/>
              </w:rPr>
            </w:pPr>
          </w:p>
          <w:p w14:paraId="52116408" w14:textId="77777777" w:rsidR="004815AF" w:rsidRPr="00B111C0" w:rsidRDefault="004815AF" w:rsidP="00E7012B">
            <w:pPr>
              <w:ind w:left="0" w:firstLine="0"/>
              <w:rPr>
                <w:rFonts w:asciiTheme="minorHAnsi" w:eastAsia="Times New Roman" w:hAnsiTheme="minorHAnsi" w:cstheme="minorHAnsi"/>
                <w:color w:val="0D0D0D" w:themeColor="text1" w:themeTint="F2"/>
                <w:sz w:val="21"/>
                <w:szCs w:val="21"/>
              </w:rPr>
            </w:pPr>
          </w:p>
          <w:p w14:paraId="7D8F966E" w14:textId="1E03A167" w:rsidR="00E7012B" w:rsidRPr="00B111C0" w:rsidRDefault="00E7012B" w:rsidP="00E7012B">
            <w:pPr>
              <w:ind w:left="0"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 xml:space="preserve">Advocate at regional level for </w:t>
            </w:r>
            <w:r w:rsidR="00D021CC" w:rsidRPr="00B111C0">
              <w:rPr>
                <w:rFonts w:asciiTheme="minorHAnsi" w:eastAsia="Times New Roman" w:hAnsiTheme="minorHAnsi" w:cstheme="minorHAnsi"/>
                <w:color w:val="0D0D0D" w:themeColor="text1" w:themeTint="F2"/>
                <w:sz w:val="21"/>
                <w:szCs w:val="21"/>
              </w:rPr>
              <w:t xml:space="preserve">increasing capacity and resources for anticipatory actions and taking necessary measure </w:t>
            </w:r>
            <w:r w:rsidRPr="00B111C0">
              <w:rPr>
                <w:rFonts w:asciiTheme="minorHAnsi" w:eastAsia="Times New Roman" w:hAnsiTheme="minorHAnsi" w:cstheme="minorHAnsi"/>
                <w:color w:val="0D0D0D" w:themeColor="text1" w:themeTint="F2"/>
                <w:sz w:val="21"/>
                <w:szCs w:val="21"/>
              </w:rPr>
              <w:t xml:space="preserve">to protect </w:t>
            </w:r>
            <w:r w:rsidR="00D021CC" w:rsidRPr="00B111C0">
              <w:rPr>
                <w:rFonts w:asciiTheme="minorHAnsi" w:eastAsia="Times New Roman" w:hAnsiTheme="minorHAnsi" w:cstheme="minorHAnsi"/>
                <w:color w:val="0D0D0D" w:themeColor="text1" w:themeTint="F2"/>
                <w:sz w:val="21"/>
                <w:szCs w:val="21"/>
              </w:rPr>
              <w:t xml:space="preserve">vulnerable </w:t>
            </w:r>
            <w:r w:rsidRPr="00B111C0">
              <w:rPr>
                <w:rFonts w:asciiTheme="minorHAnsi" w:eastAsia="Times New Roman" w:hAnsiTheme="minorHAnsi" w:cstheme="minorHAnsi"/>
                <w:color w:val="0D0D0D" w:themeColor="text1" w:themeTint="F2"/>
                <w:sz w:val="21"/>
                <w:szCs w:val="21"/>
              </w:rPr>
              <w:t xml:space="preserve">populations </w:t>
            </w:r>
            <w:r w:rsidR="00D021CC" w:rsidRPr="00B111C0">
              <w:rPr>
                <w:rFonts w:asciiTheme="minorHAnsi" w:eastAsia="Times New Roman" w:hAnsiTheme="minorHAnsi" w:cstheme="minorHAnsi"/>
                <w:color w:val="0D0D0D" w:themeColor="text1" w:themeTint="F2"/>
                <w:sz w:val="21"/>
                <w:szCs w:val="21"/>
              </w:rPr>
              <w:t>against the</w:t>
            </w:r>
            <w:r w:rsidRPr="00B111C0">
              <w:rPr>
                <w:rFonts w:asciiTheme="minorHAnsi" w:eastAsia="Times New Roman" w:hAnsiTheme="minorHAnsi" w:cstheme="minorHAnsi"/>
                <w:color w:val="0D0D0D" w:themeColor="text1" w:themeTint="F2"/>
                <w:sz w:val="21"/>
                <w:szCs w:val="21"/>
              </w:rPr>
              <w:t xml:space="preserve"> compounding impact</w:t>
            </w:r>
            <w:r w:rsidR="00D021CC" w:rsidRPr="00B111C0">
              <w:rPr>
                <w:rFonts w:asciiTheme="minorHAnsi" w:eastAsia="Times New Roman" w:hAnsiTheme="minorHAnsi" w:cstheme="minorHAnsi"/>
                <w:color w:val="0D0D0D" w:themeColor="text1" w:themeTint="F2"/>
                <w:sz w:val="21"/>
                <w:szCs w:val="21"/>
              </w:rPr>
              <w:t>s</w:t>
            </w:r>
            <w:r w:rsidRPr="00B111C0">
              <w:rPr>
                <w:rFonts w:asciiTheme="minorHAnsi" w:eastAsia="Times New Roman" w:hAnsiTheme="minorHAnsi" w:cstheme="minorHAnsi"/>
                <w:color w:val="0D0D0D" w:themeColor="text1" w:themeTint="F2"/>
                <w:sz w:val="21"/>
                <w:szCs w:val="21"/>
              </w:rPr>
              <w:t xml:space="preserve"> of extreme </w:t>
            </w:r>
            <w:r w:rsidR="00D021CC" w:rsidRPr="00B111C0">
              <w:rPr>
                <w:rFonts w:asciiTheme="minorHAnsi" w:eastAsia="Times New Roman" w:hAnsiTheme="minorHAnsi" w:cstheme="minorHAnsi"/>
                <w:color w:val="0D0D0D" w:themeColor="text1" w:themeTint="F2"/>
                <w:sz w:val="21"/>
                <w:szCs w:val="21"/>
              </w:rPr>
              <w:t xml:space="preserve">but predictable </w:t>
            </w:r>
            <w:r w:rsidRPr="00B111C0">
              <w:rPr>
                <w:rFonts w:asciiTheme="minorHAnsi" w:eastAsia="Times New Roman" w:hAnsiTheme="minorHAnsi" w:cstheme="minorHAnsi"/>
                <w:color w:val="0D0D0D" w:themeColor="text1" w:themeTint="F2"/>
                <w:sz w:val="21"/>
                <w:szCs w:val="21"/>
              </w:rPr>
              <w:t xml:space="preserve">events </w:t>
            </w:r>
            <w:r w:rsidR="00D021CC" w:rsidRPr="00B111C0">
              <w:rPr>
                <w:rFonts w:asciiTheme="minorHAnsi" w:eastAsia="Times New Roman" w:hAnsiTheme="minorHAnsi" w:cstheme="minorHAnsi"/>
                <w:color w:val="0D0D0D" w:themeColor="text1" w:themeTint="F2"/>
                <w:sz w:val="21"/>
                <w:szCs w:val="21"/>
              </w:rPr>
              <w:t xml:space="preserve">including </w:t>
            </w:r>
            <w:r w:rsidRPr="00B111C0">
              <w:rPr>
                <w:rFonts w:asciiTheme="minorHAnsi" w:eastAsia="Times New Roman" w:hAnsiTheme="minorHAnsi" w:cstheme="minorHAnsi"/>
                <w:color w:val="0D0D0D" w:themeColor="text1" w:themeTint="F2"/>
                <w:sz w:val="21"/>
                <w:szCs w:val="21"/>
              </w:rPr>
              <w:t>pandemic</w:t>
            </w:r>
            <w:r w:rsidR="00D021CC" w:rsidRPr="00B111C0">
              <w:rPr>
                <w:rFonts w:asciiTheme="minorHAnsi" w:eastAsia="Times New Roman" w:hAnsiTheme="minorHAnsi" w:cstheme="minorHAnsi"/>
                <w:color w:val="0D0D0D" w:themeColor="text1" w:themeTint="F2"/>
                <w:sz w:val="21"/>
                <w:szCs w:val="21"/>
              </w:rPr>
              <w:t xml:space="preserve"> and </w:t>
            </w:r>
            <w:r w:rsidR="00996438" w:rsidRPr="00B111C0">
              <w:rPr>
                <w:rFonts w:asciiTheme="minorHAnsi" w:eastAsia="Times New Roman" w:hAnsiTheme="minorHAnsi" w:cstheme="minorHAnsi"/>
                <w:color w:val="0D0D0D" w:themeColor="text1" w:themeTint="F2"/>
                <w:sz w:val="21"/>
                <w:szCs w:val="21"/>
              </w:rPr>
              <w:t>weather-related</w:t>
            </w:r>
            <w:r w:rsidR="00D021CC" w:rsidRPr="00B111C0">
              <w:rPr>
                <w:rFonts w:asciiTheme="minorHAnsi" w:eastAsia="Times New Roman" w:hAnsiTheme="minorHAnsi" w:cstheme="minorHAnsi"/>
                <w:color w:val="0D0D0D" w:themeColor="text1" w:themeTint="F2"/>
                <w:sz w:val="21"/>
                <w:szCs w:val="21"/>
              </w:rPr>
              <w:t xml:space="preserve"> disasters</w:t>
            </w:r>
            <w:r w:rsidRPr="00B111C0">
              <w:rPr>
                <w:rFonts w:asciiTheme="minorHAnsi" w:eastAsia="Times New Roman" w:hAnsiTheme="minorHAnsi" w:cstheme="minorHAnsi"/>
                <w:color w:val="0D0D0D" w:themeColor="text1" w:themeTint="F2"/>
                <w:sz w:val="21"/>
                <w:szCs w:val="21"/>
              </w:rPr>
              <w:t>.</w:t>
            </w:r>
          </w:p>
          <w:p w14:paraId="65F93CBF" w14:textId="77777777" w:rsidR="00E7012B" w:rsidRPr="00B111C0" w:rsidRDefault="00E7012B" w:rsidP="00E7012B">
            <w:pPr>
              <w:ind w:left="0" w:firstLine="0"/>
              <w:rPr>
                <w:rFonts w:asciiTheme="minorHAnsi" w:eastAsia="Times New Roman" w:hAnsiTheme="minorHAnsi" w:cstheme="minorHAnsi"/>
                <w:color w:val="0D0D0D" w:themeColor="text1" w:themeTint="F2"/>
                <w:sz w:val="21"/>
                <w:szCs w:val="21"/>
              </w:rPr>
            </w:pPr>
          </w:p>
          <w:p w14:paraId="3336D70E" w14:textId="77777777" w:rsidR="00D25065" w:rsidRPr="00B111C0" w:rsidRDefault="00D25065" w:rsidP="00D25065">
            <w:pPr>
              <w:pStyle w:val="ListParagraph"/>
              <w:rPr>
                <w:rFonts w:asciiTheme="minorHAnsi" w:eastAsia="Times New Roman" w:hAnsiTheme="minorHAnsi" w:cstheme="minorHAnsi"/>
                <w:color w:val="0D0D0D" w:themeColor="text1" w:themeTint="F2"/>
                <w:sz w:val="21"/>
                <w:szCs w:val="21"/>
              </w:rPr>
            </w:pPr>
          </w:p>
          <w:p w14:paraId="1D772796" w14:textId="77777777" w:rsidR="005F7881" w:rsidRPr="00B111C0" w:rsidRDefault="005F7881" w:rsidP="00E7012B">
            <w:pPr>
              <w:ind w:left="0" w:firstLine="0"/>
              <w:rPr>
                <w:rFonts w:asciiTheme="minorHAnsi" w:eastAsia="Times New Roman" w:hAnsiTheme="minorHAnsi" w:cstheme="minorHAnsi"/>
                <w:color w:val="0D0D0D" w:themeColor="text1" w:themeTint="F2"/>
                <w:sz w:val="21"/>
                <w:szCs w:val="21"/>
              </w:rPr>
            </w:pPr>
          </w:p>
          <w:p w14:paraId="65F720D5" w14:textId="2F5AAC3B" w:rsidR="005F7881" w:rsidRPr="00B111C0" w:rsidRDefault="005F7881" w:rsidP="00E7012B">
            <w:pPr>
              <w:rPr>
                <w:rFonts w:asciiTheme="minorHAnsi" w:eastAsia="Times New Roman" w:hAnsiTheme="minorHAnsi" w:cstheme="minorHAnsi"/>
                <w:color w:val="0D0D0D" w:themeColor="text1" w:themeTint="F2"/>
                <w:sz w:val="21"/>
                <w:szCs w:val="21"/>
              </w:rPr>
            </w:pPr>
          </w:p>
        </w:tc>
        <w:tc>
          <w:tcPr>
            <w:tcW w:w="6480" w:type="dxa"/>
          </w:tcPr>
          <w:p w14:paraId="7F2B6F09" w14:textId="33A97EBC" w:rsidR="00EE7382" w:rsidRPr="00B111C0" w:rsidRDefault="00EE7382" w:rsidP="00A97415">
            <w:pPr>
              <w:ind w:left="0"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Leveraging auxiliary role, partner with local governments and key city stakeholders to ensure that all the proposed activities are connected and complementary at city level.</w:t>
            </w:r>
            <w:r w:rsidR="00185277" w:rsidRPr="00B111C0">
              <w:rPr>
                <w:rFonts w:asciiTheme="minorHAnsi" w:eastAsia="Times New Roman" w:hAnsiTheme="minorHAnsi" w:cstheme="minorHAnsi"/>
                <w:color w:val="0D0D0D" w:themeColor="text1" w:themeTint="F2"/>
                <w:sz w:val="21"/>
                <w:szCs w:val="21"/>
              </w:rPr>
              <w:t xml:space="preserve"> </w:t>
            </w:r>
            <w:r w:rsidRPr="00B111C0">
              <w:rPr>
                <w:rFonts w:asciiTheme="minorHAnsi" w:eastAsia="Times New Roman" w:hAnsiTheme="minorHAnsi" w:cstheme="minorHAnsi"/>
                <w:color w:val="0D0D0D" w:themeColor="text1" w:themeTint="F2"/>
                <w:sz w:val="21"/>
                <w:szCs w:val="21"/>
              </w:rPr>
              <w:t xml:space="preserve">Plans should </w:t>
            </w:r>
            <w:r w:rsidR="00A97415" w:rsidRPr="00B111C0">
              <w:rPr>
                <w:rFonts w:asciiTheme="minorHAnsi" w:eastAsia="Times New Roman" w:hAnsiTheme="minorHAnsi" w:cstheme="minorHAnsi"/>
                <w:color w:val="0D0D0D" w:themeColor="text1" w:themeTint="F2"/>
                <w:sz w:val="21"/>
                <w:szCs w:val="21"/>
              </w:rPr>
              <w:t>take into consideration:</w:t>
            </w:r>
          </w:p>
          <w:p w14:paraId="4DC8F68F" w14:textId="052B1B57" w:rsidR="00A97415" w:rsidRPr="00B111C0" w:rsidRDefault="00A97415" w:rsidP="00F42EB9">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communities in informal settlements and slums are by far the most vulnerable not only COVID but all kind of hazards.</w:t>
            </w:r>
            <w:r w:rsidR="0025592B" w:rsidRPr="00B111C0">
              <w:rPr>
                <w:rFonts w:asciiTheme="minorHAnsi" w:eastAsia="Times New Roman" w:hAnsiTheme="minorHAnsi" w:cstheme="minorHAnsi"/>
                <w:color w:val="0D0D0D" w:themeColor="text1" w:themeTint="F2"/>
                <w:sz w:val="21"/>
                <w:szCs w:val="21"/>
              </w:rPr>
              <w:t xml:space="preserve">  The secondary social and economic impacts </w:t>
            </w:r>
            <w:r w:rsidR="00CF419E" w:rsidRPr="00B111C0">
              <w:rPr>
                <w:rFonts w:asciiTheme="minorHAnsi" w:eastAsia="Times New Roman" w:hAnsiTheme="minorHAnsi" w:cstheme="minorHAnsi"/>
                <w:color w:val="0D0D0D" w:themeColor="text1" w:themeTint="F2"/>
                <w:sz w:val="21"/>
                <w:szCs w:val="21"/>
              </w:rPr>
              <w:t xml:space="preserve">will also affect informal settlements and slums in </w:t>
            </w:r>
            <w:r w:rsidR="00FD6C7F" w:rsidRPr="00B111C0">
              <w:rPr>
                <w:rFonts w:asciiTheme="minorHAnsi" w:eastAsia="Times New Roman" w:hAnsiTheme="minorHAnsi" w:cstheme="minorHAnsi"/>
                <w:color w:val="0D0D0D" w:themeColor="text1" w:themeTint="F2"/>
                <w:sz w:val="21"/>
                <w:szCs w:val="21"/>
              </w:rPr>
              <w:t>greater magnitude</w:t>
            </w:r>
          </w:p>
          <w:p w14:paraId="09E30D4A" w14:textId="253ADECA" w:rsidR="00EE7382" w:rsidRPr="00B111C0" w:rsidRDefault="00A97415" w:rsidP="00F42EB9">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the diversity of urban communities and their specific vulnerabilities (e.g. displaced populations, diverse cultural norms and languages etc</w:t>
            </w:r>
            <w:r w:rsidR="00892183" w:rsidRPr="00B111C0">
              <w:rPr>
                <w:rFonts w:asciiTheme="minorHAnsi" w:eastAsia="Times New Roman" w:hAnsiTheme="minorHAnsi" w:cstheme="minorHAnsi"/>
                <w:color w:val="0D0D0D" w:themeColor="text1" w:themeTint="F2"/>
                <w:sz w:val="21"/>
                <w:szCs w:val="21"/>
              </w:rPr>
              <w:t>.</w:t>
            </w:r>
            <w:r w:rsidRPr="00B111C0">
              <w:rPr>
                <w:rFonts w:asciiTheme="minorHAnsi" w:eastAsia="Times New Roman" w:hAnsiTheme="minorHAnsi" w:cstheme="minorHAnsi"/>
                <w:color w:val="0D0D0D" w:themeColor="text1" w:themeTint="F2"/>
                <w:sz w:val="21"/>
                <w:szCs w:val="21"/>
              </w:rPr>
              <w:t>)</w:t>
            </w:r>
            <w:r w:rsidR="00EE7382" w:rsidRPr="00B111C0">
              <w:rPr>
                <w:rFonts w:asciiTheme="minorHAnsi" w:eastAsia="Times New Roman" w:hAnsiTheme="minorHAnsi" w:cstheme="minorHAnsi"/>
                <w:color w:val="0D0D0D" w:themeColor="text1" w:themeTint="F2"/>
                <w:sz w:val="21"/>
                <w:szCs w:val="21"/>
              </w:rPr>
              <w:t xml:space="preserve"> </w:t>
            </w:r>
            <w:r w:rsidRPr="00B111C0">
              <w:rPr>
                <w:rFonts w:asciiTheme="minorHAnsi" w:eastAsia="Times New Roman" w:hAnsiTheme="minorHAnsi" w:cstheme="minorHAnsi"/>
                <w:color w:val="0D0D0D" w:themeColor="text1" w:themeTint="F2"/>
                <w:sz w:val="21"/>
                <w:szCs w:val="21"/>
              </w:rPr>
              <w:t>in cities.</w:t>
            </w:r>
            <w:r w:rsidR="00EE7382" w:rsidRPr="00B111C0">
              <w:rPr>
                <w:rFonts w:asciiTheme="minorHAnsi" w:eastAsia="Times New Roman" w:hAnsiTheme="minorHAnsi" w:cstheme="minorHAnsi"/>
                <w:color w:val="0D0D0D" w:themeColor="text1" w:themeTint="F2"/>
                <w:sz w:val="21"/>
                <w:szCs w:val="21"/>
              </w:rPr>
              <w:t xml:space="preserve"> </w:t>
            </w:r>
          </w:p>
          <w:p w14:paraId="102C2285" w14:textId="77777777" w:rsidR="00EE7382" w:rsidRPr="00B111C0" w:rsidRDefault="00A97415" w:rsidP="00F42EB9">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the vital role of private sector both as a resource and target beneficiary, particularly the small businesses and informal self-employed households</w:t>
            </w:r>
          </w:p>
          <w:p w14:paraId="0B34CEA4" w14:textId="77777777" w:rsidR="00EE7382" w:rsidRPr="00B111C0" w:rsidRDefault="00A97415" w:rsidP="00F42EB9">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the necessity of partnering with local governments to ensure the scalability and sustainability of proposed interventions.</w:t>
            </w:r>
            <w:r w:rsidR="00EE7382" w:rsidRPr="00B111C0">
              <w:rPr>
                <w:rFonts w:asciiTheme="minorHAnsi" w:eastAsia="Times New Roman" w:hAnsiTheme="minorHAnsi" w:cstheme="minorHAnsi"/>
                <w:color w:val="0D0D0D" w:themeColor="text1" w:themeTint="F2"/>
                <w:sz w:val="21"/>
                <w:szCs w:val="21"/>
              </w:rPr>
              <w:t xml:space="preserve"> </w:t>
            </w:r>
          </w:p>
          <w:p w14:paraId="774CE2A5" w14:textId="13359F81" w:rsidR="00EE7382" w:rsidRPr="00B111C0" w:rsidRDefault="00A97415" w:rsidP="00F42EB9">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Full integration of NS contingency plans and EWEA systems into city emergency plans and systems.</w:t>
            </w:r>
          </w:p>
          <w:p w14:paraId="6380A24E" w14:textId="273F1E4C" w:rsidR="00EE7382" w:rsidRPr="00B111C0" w:rsidRDefault="00EE7382" w:rsidP="00585A54">
            <w:pPr>
              <w:ind w:left="720" w:firstLine="0"/>
              <w:rPr>
                <w:rFonts w:asciiTheme="minorHAnsi" w:eastAsia="Times New Roman" w:hAnsiTheme="minorHAnsi" w:cstheme="minorHAnsi"/>
                <w:color w:val="0D0D0D" w:themeColor="text1" w:themeTint="F2"/>
                <w:sz w:val="21"/>
                <w:szCs w:val="21"/>
              </w:rPr>
            </w:pPr>
          </w:p>
          <w:p w14:paraId="5D00EC9A" w14:textId="71BE8637" w:rsidR="0090686A" w:rsidRPr="00B111C0" w:rsidRDefault="00AB2792" w:rsidP="0090686A">
            <w:pPr>
              <w:ind w:left="-21"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 xml:space="preserve">Promote and integrate where possible activities to </w:t>
            </w:r>
            <w:r w:rsidR="0090686A" w:rsidRPr="00B111C0">
              <w:rPr>
                <w:rFonts w:asciiTheme="minorHAnsi" w:eastAsia="Times New Roman" w:hAnsiTheme="minorHAnsi" w:cstheme="minorHAnsi"/>
                <w:color w:val="0D0D0D" w:themeColor="text1" w:themeTint="F2"/>
                <w:sz w:val="21"/>
                <w:szCs w:val="21"/>
              </w:rPr>
              <w:t>increas</w:t>
            </w:r>
            <w:r w:rsidRPr="00B111C0">
              <w:rPr>
                <w:rFonts w:asciiTheme="minorHAnsi" w:eastAsia="Times New Roman" w:hAnsiTheme="minorHAnsi" w:cstheme="minorHAnsi"/>
                <w:color w:val="0D0D0D" w:themeColor="text1" w:themeTint="F2"/>
                <w:sz w:val="21"/>
                <w:szCs w:val="21"/>
              </w:rPr>
              <w:t xml:space="preserve">e </w:t>
            </w:r>
            <w:r w:rsidR="0090686A" w:rsidRPr="00B111C0">
              <w:rPr>
                <w:rFonts w:asciiTheme="minorHAnsi" w:eastAsia="Times New Roman" w:hAnsiTheme="minorHAnsi" w:cstheme="minorHAnsi"/>
                <w:color w:val="0D0D0D" w:themeColor="text1" w:themeTint="F2"/>
                <w:sz w:val="21"/>
                <w:szCs w:val="21"/>
              </w:rPr>
              <w:t>capacity and resources for anticipatory actions and taking necessary measure to protect vulnerable populations</w:t>
            </w:r>
            <w:r w:rsidR="00FB4F6D" w:rsidRPr="00B111C0">
              <w:rPr>
                <w:rFonts w:asciiTheme="minorHAnsi" w:eastAsia="Times New Roman" w:hAnsiTheme="minorHAnsi" w:cstheme="minorHAnsi"/>
                <w:color w:val="0D0D0D" w:themeColor="text1" w:themeTint="F2"/>
                <w:sz w:val="21"/>
                <w:szCs w:val="21"/>
              </w:rPr>
              <w:t xml:space="preserve"> and ensure </w:t>
            </w:r>
            <w:r w:rsidR="003273F0" w:rsidRPr="00B111C0">
              <w:rPr>
                <w:rFonts w:asciiTheme="minorHAnsi" w:eastAsia="Times New Roman" w:hAnsiTheme="minorHAnsi" w:cstheme="minorHAnsi"/>
                <w:color w:val="0D0D0D" w:themeColor="text1" w:themeTint="F2"/>
                <w:sz w:val="21"/>
                <w:szCs w:val="21"/>
              </w:rPr>
              <w:t>a Do No Harm approach</w:t>
            </w:r>
            <w:r w:rsidR="0090686A" w:rsidRPr="00B111C0">
              <w:rPr>
                <w:rFonts w:asciiTheme="minorHAnsi" w:eastAsia="Times New Roman" w:hAnsiTheme="minorHAnsi" w:cstheme="minorHAnsi"/>
                <w:color w:val="0D0D0D" w:themeColor="text1" w:themeTint="F2"/>
                <w:sz w:val="21"/>
                <w:szCs w:val="21"/>
              </w:rPr>
              <w:t xml:space="preserve"> against the compounding impacts of extreme but predictable events including pandemic and weather-related disasters.</w:t>
            </w:r>
          </w:p>
          <w:p w14:paraId="352FDCC0" w14:textId="08347377" w:rsidR="0070369A" w:rsidRPr="00B111C0" w:rsidRDefault="0070369A" w:rsidP="0090686A">
            <w:pPr>
              <w:ind w:left="-21" w:firstLine="0"/>
              <w:rPr>
                <w:rFonts w:asciiTheme="minorHAnsi" w:eastAsia="Times New Roman" w:hAnsiTheme="minorHAnsi" w:cstheme="minorHAnsi"/>
                <w:color w:val="0D0D0D" w:themeColor="text1" w:themeTint="F2"/>
                <w:sz w:val="21"/>
                <w:szCs w:val="21"/>
              </w:rPr>
            </w:pPr>
          </w:p>
          <w:p w14:paraId="5F3E5B2B" w14:textId="763C70A3" w:rsidR="0070369A" w:rsidRPr="00B111C0" w:rsidRDefault="0070369A" w:rsidP="0090686A">
            <w:pPr>
              <w:ind w:left="-21" w:firstLine="0"/>
              <w:rPr>
                <w:rFonts w:asciiTheme="minorHAnsi" w:eastAsia="Times New Roman" w:hAnsiTheme="minorHAnsi" w:cstheme="minorHAnsi"/>
                <w:color w:val="0D0D0D" w:themeColor="text1" w:themeTint="F2"/>
                <w:sz w:val="21"/>
                <w:szCs w:val="21"/>
              </w:rPr>
            </w:pPr>
          </w:p>
          <w:p w14:paraId="338BABAB" w14:textId="77777777" w:rsidR="0070369A" w:rsidRPr="00B111C0" w:rsidRDefault="0070369A" w:rsidP="0070369A">
            <w:pPr>
              <w:ind w:left="0" w:firstLine="0"/>
              <w:rPr>
                <w:rFonts w:asciiTheme="minorHAnsi" w:eastAsia="Times New Roman" w:hAnsiTheme="minorHAnsi" w:cstheme="minorHAnsi"/>
                <w:color w:val="0D0D0D" w:themeColor="text1" w:themeTint="F2"/>
                <w:sz w:val="21"/>
                <w:szCs w:val="21"/>
              </w:rPr>
            </w:pPr>
          </w:p>
          <w:p w14:paraId="0394CC1F" w14:textId="0781B002" w:rsidR="00EE7382" w:rsidRPr="00B111C0" w:rsidRDefault="00EE7382" w:rsidP="002D79EE">
            <w:pPr>
              <w:ind w:left="0" w:firstLine="0"/>
              <w:rPr>
                <w:rFonts w:asciiTheme="minorHAnsi" w:hAnsiTheme="minorHAnsi" w:cstheme="minorHAnsi"/>
                <w:color w:val="0D0D0D" w:themeColor="text1" w:themeTint="F2"/>
                <w:sz w:val="21"/>
                <w:szCs w:val="21"/>
              </w:rPr>
            </w:pPr>
          </w:p>
        </w:tc>
      </w:tr>
      <w:tr w:rsidR="00E7012B" w:rsidRPr="00B111C0" w14:paraId="730ECDF5" w14:textId="77777777" w:rsidTr="00FC0F36">
        <w:tc>
          <w:tcPr>
            <w:tcW w:w="9895" w:type="dxa"/>
            <w:gridSpan w:val="2"/>
            <w:shd w:val="clear" w:color="auto" w:fill="FFF2CC" w:themeFill="accent4" w:themeFillTint="33"/>
          </w:tcPr>
          <w:p w14:paraId="2B1AC17A" w14:textId="420C8B5C" w:rsidR="00EE7382" w:rsidRPr="00B111C0" w:rsidRDefault="00EE7382" w:rsidP="00EE7382">
            <w:pPr>
              <w:ind w:left="0" w:firstLine="0"/>
              <w:rPr>
                <w:rFonts w:asciiTheme="minorHAnsi" w:eastAsia="Times New Roman" w:hAnsiTheme="minorHAnsi" w:cstheme="minorHAnsi"/>
                <w:b/>
                <w:bCs/>
                <w:color w:val="0D0D0D" w:themeColor="text1" w:themeTint="F2"/>
                <w:szCs w:val="22"/>
              </w:rPr>
            </w:pPr>
            <w:r w:rsidRPr="00B111C0">
              <w:rPr>
                <w:rFonts w:asciiTheme="minorHAnsi" w:eastAsia="Times New Roman" w:hAnsiTheme="minorHAnsi" w:cstheme="minorHAnsi"/>
                <w:b/>
                <w:bCs/>
                <w:color w:val="0D0D0D" w:themeColor="text1" w:themeTint="F2"/>
                <w:szCs w:val="22"/>
              </w:rPr>
              <w:t>Support efforts to detect, isolate and treat COVID-19 cases in the most affected communities</w:t>
            </w:r>
            <w:r w:rsidR="0018136E" w:rsidRPr="00B111C0">
              <w:rPr>
                <w:rFonts w:asciiTheme="minorHAnsi" w:eastAsia="Times New Roman" w:hAnsiTheme="minorHAnsi" w:cstheme="minorHAnsi"/>
                <w:b/>
                <w:bCs/>
                <w:color w:val="0D0D0D" w:themeColor="text1" w:themeTint="F2"/>
                <w:szCs w:val="22"/>
              </w:rPr>
              <w:t xml:space="preserve"> (in cities focus on informal settlements and slums)</w:t>
            </w:r>
          </w:p>
          <w:p w14:paraId="5906C05E" w14:textId="69A647BB" w:rsidR="00EE7382" w:rsidRPr="00B111C0" w:rsidRDefault="00EE7382" w:rsidP="00EE7382">
            <w:pPr>
              <w:ind w:left="0" w:firstLine="0"/>
              <w:rPr>
                <w:rFonts w:asciiTheme="minorHAnsi" w:eastAsia="Times New Roman" w:hAnsiTheme="minorHAnsi" w:cstheme="minorHAnsi"/>
                <w:color w:val="0D0D0D" w:themeColor="text1" w:themeTint="F2"/>
                <w:szCs w:val="22"/>
              </w:rPr>
            </w:pPr>
          </w:p>
        </w:tc>
      </w:tr>
      <w:tr w:rsidR="00E7012B" w:rsidRPr="00B111C0" w14:paraId="39A04301" w14:textId="77777777" w:rsidTr="00FC0F36">
        <w:tc>
          <w:tcPr>
            <w:tcW w:w="3415" w:type="dxa"/>
          </w:tcPr>
          <w:p w14:paraId="5A32762B" w14:textId="2F08403F" w:rsidR="00EE7382" w:rsidRPr="00B111C0" w:rsidRDefault="00EE7382" w:rsidP="00EE7382">
            <w:pPr>
              <w:ind w:left="0" w:firstLine="0"/>
              <w:rPr>
                <w:rFonts w:asciiTheme="minorHAnsi"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lastRenderedPageBreak/>
              <w:t>Advocate for prioritizing disadvantaged and marginalized people in informal settlements and slums as the most vulnerable, help NSs devise suitable action plans for these settlements.</w:t>
            </w:r>
          </w:p>
        </w:tc>
        <w:tc>
          <w:tcPr>
            <w:tcW w:w="6480" w:type="dxa"/>
          </w:tcPr>
          <w:p w14:paraId="125E9F5B" w14:textId="4A918B1F" w:rsidR="00EF5CF6" w:rsidRPr="00B111C0" w:rsidRDefault="00EE7382" w:rsidP="00EE7382">
            <w:pPr>
              <w:ind w:left="0"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 xml:space="preserve">Help communities self-organize, </w:t>
            </w:r>
            <w:r w:rsidR="00940E94" w:rsidRPr="00B111C0">
              <w:rPr>
                <w:rFonts w:asciiTheme="minorHAnsi" w:eastAsia="Times New Roman" w:hAnsiTheme="minorHAnsi" w:cstheme="minorHAnsi"/>
                <w:color w:val="0D0D0D" w:themeColor="text1" w:themeTint="F2"/>
                <w:sz w:val="21"/>
                <w:szCs w:val="21"/>
              </w:rPr>
              <w:t xml:space="preserve">collect data, </w:t>
            </w:r>
            <w:r w:rsidRPr="00B111C0">
              <w:rPr>
                <w:rFonts w:asciiTheme="minorHAnsi" w:eastAsia="Times New Roman" w:hAnsiTheme="minorHAnsi" w:cstheme="minorHAnsi"/>
                <w:color w:val="0D0D0D" w:themeColor="text1" w:themeTint="F2"/>
                <w:sz w:val="21"/>
                <w:szCs w:val="21"/>
              </w:rPr>
              <w:t xml:space="preserve">design and </w:t>
            </w:r>
            <w:r w:rsidR="00EF5CF6" w:rsidRPr="00B111C0">
              <w:rPr>
                <w:rFonts w:asciiTheme="minorHAnsi" w:eastAsia="Times New Roman" w:hAnsiTheme="minorHAnsi" w:cstheme="minorHAnsi"/>
                <w:color w:val="0D0D0D" w:themeColor="text1" w:themeTint="F2"/>
                <w:sz w:val="21"/>
                <w:szCs w:val="21"/>
              </w:rPr>
              <w:t>implement</w:t>
            </w:r>
            <w:r w:rsidRPr="00B111C0">
              <w:rPr>
                <w:rFonts w:asciiTheme="minorHAnsi" w:eastAsia="Times New Roman" w:hAnsiTheme="minorHAnsi" w:cstheme="minorHAnsi"/>
                <w:color w:val="0D0D0D" w:themeColor="text1" w:themeTint="F2"/>
                <w:sz w:val="21"/>
                <w:szCs w:val="21"/>
              </w:rPr>
              <w:t xml:space="preserve"> </w:t>
            </w:r>
            <w:r w:rsidR="00EF5CF6" w:rsidRPr="00B111C0">
              <w:rPr>
                <w:rFonts w:asciiTheme="minorHAnsi" w:eastAsia="Times New Roman" w:hAnsiTheme="minorHAnsi" w:cstheme="minorHAnsi"/>
                <w:color w:val="0D0D0D" w:themeColor="text1" w:themeTint="F2"/>
                <w:sz w:val="21"/>
                <w:szCs w:val="21"/>
              </w:rPr>
              <w:t>community-led</w:t>
            </w:r>
            <w:r w:rsidRPr="00B111C0">
              <w:rPr>
                <w:rFonts w:asciiTheme="minorHAnsi" w:eastAsia="Times New Roman" w:hAnsiTheme="minorHAnsi" w:cstheme="minorHAnsi"/>
                <w:color w:val="0D0D0D" w:themeColor="text1" w:themeTint="F2"/>
                <w:sz w:val="21"/>
                <w:szCs w:val="21"/>
              </w:rPr>
              <w:t xml:space="preserve"> interventions</w:t>
            </w:r>
            <w:r w:rsidR="00EF5CF6" w:rsidRPr="00B111C0">
              <w:rPr>
                <w:rFonts w:asciiTheme="minorHAnsi" w:eastAsia="Times New Roman" w:hAnsiTheme="minorHAnsi" w:cstheme="minorHAnsi"/>
                <w:color w:val="0D0D0D" w:themeColor="text1" w:themeTint="F2"/>
                <w:sz w:val="21"/>
                <w:szCs w:val="21"/>
              </w:rPr>
              <w:t xml:space="preserve"> that fits their needs and </w:t>
            </w:r>
            <w:r w:rsidR="0018136E" w:rsidRPr="00B111C0">
              <w:rPr>
                <w:rFonts w:asciiTheme="minorHAnsi" w:eastAsia="Times New Roman" w:hAnsiTheme="minorHAnsi" w:cstheme="minorHAnsi"/>
                <w:color w:val="0D0D0D" w:themeColor="text1" w:themeTint="F2"/>
                <w:sz w:val="21"/>
                <w:szCs w:val="21"/>
              </w:rPr>
              <w:t>spatial characteristics as well as social and cultural norms and power dynamics in</w:t>
            </w:r>
            <w:r w:rsidR="000C17BC" w:rsidRPr="00B111C0">
              <w:rPr>
                <w:rFonts w:asciiTheme="minorHAnsi" w:eastAsia="Times New Roman" w:hAnsiTheme="minorHAnsi" w:cstheme="minorHAnsi"/>
                <w:color w:val="0D0D0D" w:themeColor="text1" w:themeTint="F2"/>
                <w:sz w:val="21"/>
                <w:szCs w:val="21"/>
              </w:rPr>
              <w:t xml:space="preserve"> informal settlements and slums.</w:t>
            </w:r>
          </w:p>
          <w:p w14:paraId="6DEB2FD8" w14:textId="77777777" w:rsidR="00EF5CF6" w:rsidRPr="00B111C0" w:rsidRDefault="00EF5CF6" w:rsidP="00EE7382">
            <w:pPr>
              <w:ind w:left="0" w:firstLine="0"/>
              <w:rPr>
                <w:rFonts w:asciiTheme="minorHAnsi" w:eastAsia="Times New Roman" w:hAnsiTheme="minorHAnsi" w:cstheme="minorHAnsi"/>
                <w:color w:val="0D0D0D" w:themeColor="text1" w:themeTint="F2"/>
                <w:sz w:val="21"/>
                <w:szCs w:val="21"/>
              </w:rPr>
            </w:pPr>
          </w:p>
          <w:p w14:paraId="153EEF6C" w14:textId="77777777" w:rsidR="0018136E" w:rsidRPr="00B111C0" w:rsidRDefault="00EF5CF6" w:rsidP="00EE7382">
            <w:pPr>
              <w:ind w:left="0"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F</w:t>
            </w:r>
            <w:r w:rsidR="00EE7382" w:rsidRPr="00B111C0">
              <w:rPr>
                <w:rFonts w:asciiTheme="minorHAnsi" w:eastAsia="Times New Roman" w:hAnsiTheme="minorHAnsi" w:cstheme="minorHAnsi"/>
                <w:color w:val="0D0D0D" w:themeColor="text1" w:themeTint="F2"/>
                <w:sz w:val="21"/>
                <w:szCs w:val="21"/>
              </w:rPr>
              <w:t>acilitate communication and partnering with local government authorities</w:t>
            </w:r>
            <w:r w:rsidR="000A4DDD" w:rsidRPr="00B111C0">
              <w:rPr>
                <w:rFonts w:asciiTheme="minorHAnsi" w:eastAsia="Times New Roman" w:hAnsiTheme="minorHAnsi" w:cstheme="minorHAnsi"/>
                <w:color w:val="0D0D0D" w:themeColor="text1" w:themeTint="F2"/>
                <w:sz w:val="21"/>
                <w:szCs w:val="21"/>
              </w:rPr>
              <w:t xml:space="preserve"> to eliminate misinformation and</w:t>
            </w:r>
            <w:r w:rsidRPr="00B111C0">
              <w:rPr>
                <w:rFonts w:asciiTheme="minorHAnsi" w:eastAsia="Times New Roman" w:hAnsiTheme="minorHAnsi" w:cstheme="minorHAnsi"/>
                <w:color w:val="0D0D0D" w:themeColor="text1" w:themeTint="F2"/>
                <w:sz w:val="21"/>
                <w:szCs w:val="21"/>
              </w:rPr>
              <w:t xml:space="preserve"> </w:t>
            </w:r>
            <w:r w:rsidR="000A4DDD" w:rsidRPr="00B111C0">
              <w:rPr>
                <w:rFonts w:asciiTheme="minorHAnsi" w:eastAsia="Times New Roman" w:hAnsiTheme="minorHAnsi" w:cstheme="minorHAnsi"/>
                <w:color w:val="0D0D0D" w:themeColor="text1" w:themeTint="F2"/>
                <w:sz w:val="21"/>
                <w:szCs w:val="21"/>
              </w:rPr>
              <w:t xml:space="preserve">built trust </w:t>
            </w:r>
            <w:r w:rsidRPr="00B111C0">
              <w:rPr>
                <w:rFonts w:asciiTheme="minorHAnsi" w:eastAsia="Times New Roman" w:hAnsiTheme="minorHAnsi" w:cstheme="minorHAnsi"/>
                <w:color w:val="0D0D0D" w:themeColor="text1" w:themeTint="F2"/>
                <w:sz w:val="21"/>
                <w:szCs w:val="21"/>
              </w:rPr>
              <w:t>between</w:t>
            </w:r>
            <w:r w:rsidR="000A4DDD" w:rsidRPr="00B111C0">
              <w:rPr>
                <w:rFonts w:asciiTheme="minorHAnsi" w:eastAsia="Times New Roman" w:hAnsiTheme="minorHAnsi" w:cstheme="minorHAnsi"/>
                <w:color w:val="0D0D0D" w:themeColor="text1" w:themeTint="F2"/>
                <w:sz w:val="21"/>
                <w:szCs w:val="21"/>
              </w:rPr>
              <w:t xml:space="preserve"> </w:t>
            </w:r>
            <w:r w:rsidRPr="00B111C0">
              <w:rPr>
                <w:rFonts w:asciiTheme="minorHAnsi" w:eastAsia="Times New Roman" w:hAnsiTheme="minorHAnsi" w:cstheme="minorHAnsi"/>
                <w:color w:val="0D0D0D" w:themeColor="text1" w:themeTint="F2"/>
                <w:sz w:val="21"/>
                <w:szCs w:val="21"/>
              </w:rPr>
              <w:t>service providers and communities.</w:t>
            </w:r>
          </w:p>
          <w:p w14:paraId="4249F33F" w14:textId="641E005F" w:rsidR="00EE7382" w:rsidRPr="00B111C0" w:rsidRDefault="00EE7382" w:rsidP="00EE7382">
            <w:pPr>
              <w:ind w:left="0" w:firstLine="0"/>
              <w:rPr>
                <w:rFonts w:asciiTheme="minorHAnsi" w:eastAsia="Times New Roman"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br/>
              <w:t>Invest early in profiling informal settlements and slums, both in terms of its population (chronic and acute vulnerabilities – health, food security, income/expenditures, diverse</w:t>
            </w:r>
            <w:r w:rsidR="00C25964" w:rsidRPr="00B111C0">
              <w:rPr>
                <w:rFonts w:asciiTheme="minorHAnsi" w:eastAsia="Times New Roman" w:hAnsiTheme="minorHAnsi" w:cstheme="minorHAnsi"/>
                <w:color w:val="0D0D0D" w:themeColor="text1" w:themeTint="F2"/>
                <w:sz w:val="21"/>
                <w:szCs w:val="21"/>
              </w:rPr>
              <w:t xml:space="preserve"> identity and </w:t>
            </w:r>
            <w:r w:rsidRPr="00B111C0">
              <w:rPr>
                <w:rFonts w:asciiTheme="minorHAnsi" w:eastAsia="Times New Roman" w:hAnsiTheme="minorHAnsi" w:cstheme="minorHAnsi"/>
                <w:color w:val="0D0D0D" w:themeColor="text1" w:themeTint="F2"/>
                <w:sz w:val="21"/>
                <w:szCs w:val="21"/>
              </w:rPr>
              <w:t>socio-cultural profiles) and its spatial organization (ex. water and sanitation points, markets, transport hubs)</w:t>
            </w:r>
            <w:r w:rsidR="00F35039" w:rsidRPr="00B111C0">
              <w:rPr>
                <w:rFonts w:asciiTheme="minorHAnsi" w:eastAsia="Times New Roman" w:hAnsiTheme="minorHAnsi" w:cstheme="minorHAnsi"/>
                <w:color w:val="0D0D0D" w:themeColor="text1" w:themeTint="F2"/>
                <w:sz w:val="21"/>
                <w:szCs w:val="21"/>
              </w:rPr>
              <w:t xml:space="preserve">. This will also help </w:t>
            </w:r>
            <w:r w:rsidR="00EA5030" w:rsidRPr="00B111C0">
              <w:rPr>
                <w:rFonts w:asciiTheme="minorHAnsi" w:eastAsia="Times New Roman" w:hAnsiTheme="minorHAnsi" w:cstheme="minorHAnsi"/>
                <w:color w:val="0D0D0D" w:themeColor="text1" w:themeTint="F2"/>
                <w:sz w:val="21"/>
                <w:szCs w:val="21"/>
              </w:rPr>
              <w:t xml:space="preserve">create a baseline for multi hazard disaster preparedness and risk reduction activities. </w:t>
            </w:r>
            <w:r w:rsidRPr="00B111C0">
              <w:rPr>
                <w:rFonts w:asciiTheme="minorHAnsi" w:eastAsia="Times New Roman" w:hAnsiTheme="minorHAnsi" w:cstheme="minorHAnsi"/>
                <w:color w:val="0D0D0D" w:themeColor="text1" w:themeTint="F2"/>
                <w:sz w:val="21"/>
                <w:szCs w:val="21"/>
              </w:rPr>
              <w:br/>
            </w:r>
            <w:r w:rsidRPr="00B111C0">
              <w:rPr>
                <w:rFonts w:asciiTheme="minorHAnsi" w:eastAsia="Times New Roman" w:hAnsiTheme="minorHAnsi" w:cstheme="minorHAnsi"/>
                <w:color w:val="0D0D0D" w:themeColor="text1" w:themeTint="F2"/>
                <w:sz w:val="21"/>
                <w:szCs w:val="21"/>
              </w:rPr>
              <w:br/>
              <w:t>Map the different self-organized groups and community-based organizations, their current roles and interrelations and their potential as assets in a humanitarian response</w:t>
            </w:r>
            <w:r w:rsidRPr="00B111C0">
              <w:rPr>
                <w:rFonts w:asciiTheme="minorHAnsi" w:eastAsia="Times New Roman" w:hAnsiTheme="minorHAnsi" w:cstheme="minorHAnsi"/>
                <w:color w:val="0D0D0D" w:themeColor="text1" w:themeTint="F2"/>
                <w:sz w:val="21"/>
                <w:szCs w:val="21"/>
              </w:rPr>
              <w:br/>
            </w:r>
            <w:r w:rsidRPr="00B111C0">
              <w:rPr>
                <w:rFonts w:asciiTheme="minorHAnsi" w:eastAsia="Times New Roman" w:hAnsiTheme="minorHAnsi" w:cstheme="minorHAnsi"/>
                <w:color w:val="0D0D0D" w:themeColor="text1" w:themeTint="F2"/>
                <w:sz w:val="21"/>
                <w:szCs w:val="21"/>
              </w:rPr>
              <w:br/>
              <w:t>Map spaces and buildings (ex. schools, etc.) in or nearby informal settlements and slums that can be used for isolation of the most vulnerable, triage of potential cases and limited quarantine. Identify alternatives to the use of educational institutions as shelters, treatment units or quarantine centers, where such use is necessary.</w:t>
            </w:r>
          </w:p>
          <w:p w14:paraId="312A9E59" w14:textId="77777777" w:rsidR="00EE7382" w:rsidRPr="00B111C0" w:rsidRDefault="00EE7382" w:rsidP="00EE7382">
            <w:pPr>
              <w:ind w:left="0" w:firstLine="0"/>
              <w:rPr>
                <w:rFonts w:asciiTheme="minorHAnsi" w:hAnsiTheme="minorHAnsi" w:cstheme="minorHAnsi"/>
                <w:color w:val="0D0D0D" w:themeColor="text1" w:themeTint="F2"/>
                <w:sz w:val="21"/>
                <w:szCs w:val="21"/>
              </w:rPr>
            </w:pPr>
          </w:p>
          <w:p w14:paraId="6A898AD7" w14:textId="2A058777" w:rsidR="00EE7382" w:rsidRPr="00B111C0" w:rsidRDefault="00EE7382" w:rsidP="00EE7382">
            <w:pPr>
              <w:ind w:left="0" w:firstLine="0"/>
              <w:rPr>
                <w:rFonts w:asciiTheme="minorHAnsi" w:hAnsiTheme="minorHAnsi" w:cstheme="minorHAnsi"/>
                <w:color w:val="0D0D0D" w:themeColor="text1" w:themeTint="F2"/>
                <w:sz w:val="21"/>
                <w:szCs w:val="21"/>
              </w:rPr>
            </w:pPr>
          </w:p>
        </w:tc>
      </w:tr>
      <w:tr w:rsidR="00E7012B" w:rsidRPr="00B111C0" w14:paraId="0D9097D6" w14:textId="77777777" w:rsidTr="00FC0F36">
        <w:tc>
          <w:tcPr>
            <w:tcW w:w="9895" w:type="dxa"/>
            <w:gridSpan w:val="2"/>
            <w:shd w:val="clear" w:color="auto" w:fill="FFF2CC" w:themeFill="accent4" w:themeFillTint="33"/>
          </w:tcPr>
          <w:p w14:paraId="0C6A536A" w14:textId="77777777" w:rsidR="00EE7382" w:rsidRPr="00B111C0" w:rsidRDefault="00EE7382" w:rsidP="00EE7382">
            <w:pPr>
              <w:ind w:left="0" w:firstLine="0"/>
              <w:rPr>
                <w:rFonts w:asciiTheme="minorHAnsi" w:eastAsia="Times New Roman" w:hAnsiTheme="minorHAnsi" w:cstheme="minorHAnsi"/>
                <w:b/>
                <w:bCs/>
                <w:color w:val="0D0D0D" w:themeColor="text1" w:themeTint="F2"/>
                <w:szCs w:val="22"/>
              </w:rPr>
            </w:pPr>
            <w:r w:rsidRPr="00B111C0">
              <w:rPr>
                <w:rFonts w:asciiTheme="minorHAnsi" w:eastAsia="Times New Roman" w:hAnsiTheme="minorHAnsi" w:cstheme="minorHAnsi"/>
                <w:b/>
                <w:bCs/>
                <w:color w:val="0D0D0D" w:themeColor="text1" w:themeTint="F2"/>
                <w:szCs w:val="22"/>
              </w:rPr>
              <w:t>Provide community-level health services to maintain access to essential health services and prevent indirect illnesses and deaths resulting from overburdened health systems</w:t>
            </w:r>
          </w:p>
          <w:p w14:paraId="0B6A717E" w14:textId="40D026B9" w:rsidR="00EE7382" w:rsidRPr="00B111C0" w:rsidRDefault="00EE7382" w:rsidP="00EE7382">
            <w:pPr>
              <w:ind w:left="0" w:firstLine="0"/>
              <w:rPr>
                <w:rFonts w:asciiTheme="minorHAnsi" w:eastAsia="Times New Roman" w:hAnsiTheme="minorHAnsi" w:cstheme="minorHAnsi"/>
                <w:b/>
                <w:bCs/>
                <w:color w:val="0D0D0D" w:themeColor="text1" w:themeTint="F2"/>
                <w:szCs w:val="22"/>
              </w:rPr>
            </w:pPr>
          </w:p>
        </w:tc>
      </w:tr>
      <w:tr w:rsidR="00E7012B" w:rsidRPr="00B111C0" w14:paraId="759B2C1B" w14:textId="77777777" w:rsidTr="00FC0F36">
        <w:tc>
          <w:tcPr>
            <w:tcW w:w="3415" w:type="dxa"/>
          </w:tcPr>
          <w:p w14:paraId="6BCE23E7" w14:textId="78C86FB1" w:rsidR="00EE7382" w:rsidRPr="00B111C0" w:rsidRDefault="00EE7382" w:rsidP="00EE7382">
            <w:pPr>
              <w:ind w:left="0" w:firstLine="0"/>
              <w:rPr>
                <w:rFonts w:asciiTheme="minorHAnsi" w:hAnsiTheme="minorHAnsi" w:cstheme="minorHAnsi"/>
                <w:color w:val="0D0D0D" w:themeColor="text1" w:themeTint="F2"/>
              </w:rPr>
            </w:pPr>
            <w:r w:rsidRPr="00B111C0">
              <w:rPr>
                <w:rFonts w:asciiTheme="minorHAnsi" w:eastAsia="Times New Roman" w:hAnsiTheme="minorHAnsi" w:cstheme="minorHAnsi"/>
                <w:color w:val="0D0D0D" w:themeColor="text1" w:themeTint="F2"/>
                <w:szCs w:val="22"/>
              </w:rPr>
              <w:br/>
            </w:r>
            <w:r w:rsidRPr="00B111C0">
              <w:rPr>
                <w:rFonts w:asciiTheme="minorHAnsi" w:eastAsia="Times New Roman" w:hAnsiTheme="minorHAnsi" w:cstheme="minorHAnsi"/>
                <w:color w:val="0D0D0D" w:themeColor="text1" w:themeTint="F2"/>
                <w:szCs w:val="22"/>
              </w:rPr>
              <w:br/>
            </w:r>
          </w:p>
        </w:tc>
        <w:tc>
          <w:tcPr>
            <w:tcW w:w="6480" w:type="dxa"/>
          </w:tcPr>
          <w:p w14:paraId="2591623A" w14:textId="53C5AD76" w:rsidR="00EE7382" w:rsidRPr="00B111C0" w:rsidRDefault="00F13B1C" w:rsidP="00EE7382">
            <w:pPr>
              <w:ind w:left="0" w:firstLine="0"/>
              <w:rPr>
                <w:rFonts w:asciiTheme="minorHAnsi" w:eastAsia="Arial" w:hAnsiTheme="minorHAnsi" w:cstheme="minorHAnsi"/>
                <w:color w:val="0D0D0D" w:themeColor="text1" w:themeTint="F2"/>
                <w:sz w:val="21"/>
                <w:szCs w:val="21"/>
              </w:rPr>
            </w:pPr>
            <w:r w:rsidRPr="00B111C0">
              <w:rPr>
                <w:rFonts w:asciiTheme="minorHAnsi" w:eastAsia="Times New Roman" w:hAnsiTheme="minorHAnsi" w:cstheme="minorHAnsi"/>
                <w:color w:val="0D0D0D" w:themeColor="text1" w:themeTint="F2"/>
                <w:sz w:val="21"/>
                <w:szCs w:val="21"/>
              </w:rPr>
              <w:t>Partnering with local governments and national agencies, set up EWEA systems in cities; adapt and apply FbA in urban settings that incorporates pandemic alerts and preventive actions.</w:t>
            </w:r>
            <w:r w:rsidR="00EE7382" w:rsidRPr="00B111C0">
              <w:rPr>
                <w:rFonts w:asciiTheme="minorHAnsi" w:eastAsia="Arial" w:hAnsiTheme="minorHAnsi" w:cstheme="minorHAnsi"/>
                <w:color w:val="0D0D0D" w:themeColor="text1" w:themeTint="F2"/>
                <w:sz w:val="21"/>
                <w:szCs w:val="21"/>
              </w:rPr>
              <w:br/>
            </w:r>
            <w:r w:rsidR="00EE7382" w:rsidRPr="00B111C0">
              <w:rPr>
                <w:rFonts w:asciiTheme="minorHAnsi" w:eastAsia="Arial" w:hAnsiTheme="minorHAnsi" w:cstheme="minorHAnsi"/>
                <w:color w:val="0D0D0D" w:themeColor="text1" w:themeTint="F2"/>
                <w:sz w:val="21"/>
                <w:szCs w:val="21"/>
              </w:rPr>
              <w:br/>
              <w:t>Work with local governments and service providers to rapidly scale up affordable provision of water and safe sanitation, ensuring sufficient coverage</w:t>
            </w:r>
            <w:r w:rsidR="00EE7382" w:rsidRPr="00B111C0">
              <w:rPr>
                <w:rFonts w:asciiTheme="minorHAnsi" w:eastAsia="Arial" w:hAnsiTheme="minorHAnsi" w:cstheme="minorHAnsi"/>
                <w:color w:val="0D0D0D" w:themeColor="text1" w:themeTint="F2"/>
                <w:sz w:val="21"/>
                <w:szCs w:val="21"/>
              </w:rPr>
              <w:br/>
            </w:r>
            <w:r w:rsidR="00EE7382" w:rsidRPr="00B111C0">
              <w:rPr>
                <w:rFonts w:asciiTheme="minorHAnsi" w:eastAsia="Arial" w:hAnsiTheme="minorHAnsi" w:cstheme="minorHAnsi"/>
                <w:color w:val="0D0D0D" w:themeColor="text1" w:themeTint="F2"/>
                <w:sz w:val="21"/>
                <w:szCs w:val="21"/>
              </w:rPr>
              <w:br/>
              <w:t>Position adequate handwashing stations in strategic locations (ex. near toilets, markets, transport hubs, information centers) and use them as main hubs for awareness raising around COVID-19.</w:t>
            </w:r>
            <w:r w:rsidR="00EE7382" w:rsidRPr="00B111C0">
              <w:rPr>
                <w:rFonts w:asciiTheme="minorHAnsi" w:eastAsia="Arial" w:hAnsiTheme="minorHAnsi" w:cstheme="minorHAnsi"/>
                <w:color w:val="0D0D0D" w:themeColor="text1" w:themeTint="F2"/>
                <w:sz w:val="21"/>
                <w:szCs w:val="21"/>
              </w:rPr>
              <w:br/>
            </w:r>
            <w:r w:rsidR="00EE7382" w:rsidRPr="00B111C0">
              <w:rPr>
                <w:rFonts w:asciiTheme="minorHAnsi" w:eastAsia="Arial" w:hAnsiTheme="minorHAnsi" w:cstheme="minorHAnsi"/>
                <w:color w:val="0D0D0D" w:themeColor="text1" w:themeTint="F2"/>
                <w:sz w:val="21"/>
                <w:szCs w:val="21"/>
              </w:rPr>
              <w:br/>
              <w:t xml:space="preserve">Devise strategies for food and water provision that consider that households have no capacity for storage for several days and find creative ways to facilitate social distancing (ex. dispersed mini-markets, home deliveries) </w:t>
            </w:r>
            <w:r w:rsidR="00EE7382" w:rsidRPr="00B111C0">
              <w:rPr>
                <w:rFonts w:asciiTheme="minorHAnsi" w:eastAsia="Arial" w:hAnsiTheme="minorHAnsi" w:cstheme="minorHAnsi"/>
                <w:color w:val="0D0D0D" w:themeColor="text1" w:themeTint="F2"/>
                <w:sz w:val="21"/>
                <w:szCs w:val="21"/>
              </w:rPr>
              <w:br/>
            </w:r>
            <w:r w:rsidR="00EE7382" w:rsidRPr="00B111C0">
              <w:rPr>
                <w:rFonts w:asciiTheme="minorHAnsi" w:eastAsia="Arial" w:hAnsiTheme="minorHAnsi" w:cstheme="minorHAnsi"/>
                <w:color w:val="0D0D0D" w:themeColor="text1" w:themeTint="F2"/>
                <w:sz w:val="21"/>
                <w:szCs w:val="21"/>
              </w:rPr>
              <w:br/>
              <w:t xml:space="preserve">Monitor food insecurity and access to and affordability of nutritious food carefully and promote mitigation measures (ex. urban agriculture, replacement </w:t>
            </w:r>
            <w:proofErr w:type="spellStart"/>
            <w:r w:rsidR="00EE7382" w:rsidRPr="00B111C0">
              <w:rPr>
                <w:rFonts w:asciiTheme="minorHAnsi" w:eastAsia="Arial" w:hAnsiTheme="minorHAnsi" w:cstheme="minorHAnsi"/>
                <w:color w:val="0D0D0D" w:themeColor="text1" w:themeTint="F2"/>
                <w:sz w:val="21"/>
                <w:szCs w:val="21"/>
              </w:rPr>
              <w:t>programmes</w:t>
            </w:r>
            <w:proofErr w:type="spellEnd"/>
            <w:r w:rsidR="00EE7382" w:rsidRPr="00B111C0">
              <w:rPr>
                <w:rFonts w:asciiTheme="minorHAnsi" w:eastAsia="Arial" w:hAnsiTheme="minorHAnsi" w:cstheme="minorHAnsi"/>
                <w:color w:val="0D0D0D" w:themeColor="text1" w:themeTint="F2"/>
                <w:sz w:val="21"/>
                <w:szCs w:val="21"/>
              </w:rPr>
              <w:t xml:space="preserve"> for school feeding.</w:t>
            </w:r>
          </w:p>
          <w:p w14:paraId="619C70D7" w14:textId="77777777" w:rsidR="007D4036" w:rsidRPr="00B111C0" w:rsidRDefault="007D4036" w:rsidP="00EE7382">
            <w:pPr>
              <w:ind w:left="0" w:firstLine="0"/>
              <w:rPr>
                <w:rFonts w:asciiTheme="minorHAnsi" w:eastAsia="Times New Roman" w:hAnsiTheme="minorHAnsi" w:cstheme="minorHAnsi"/>
                <w:color w:val="0D0D0D" w:themeColor="text1" w:themeTint="F2"/>
                <w:sz w:val="21"/>
                <w:szCs w:val="21"/>
              </w:rPr>
            </w:pPr>
          </w:p>
          <w:p w14:paraId="75B9F203" w14:textId="0E1C4E3D" w:rsidR="00EE7382" w:rsidRPr="00B111C0" w:rsidRDefault="00EE7382" w:rsidP="007D4036">
            <w:pPr>
              <w:ind w:left="0" w:firstLine="0"/>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 xml:space="preserve">Design services, treatment and communication to be accessible to all, especially those who are </w:t>
            </w:r>
            <w:r w:rsidR="00534FC8" w:rsidRPr="00B111C0">
              <w:rPr>
                <w:rFonts w:asciiTheme="minorHAnsi" w:eastAsia="Arial" w:hAnsiTheme="minorHAnsi" w:cstheme="minorHAnsi"/>
                <w:color w:val="0D0D0D" w:themeColor="text1" w:themeTint="F2"/>
                <w:sz w:val="21"/>
                <w:szCs w:val="21"/>
              </w:rPr>
              <w:t>marginalized</w:t>
            </w:r>
            <w:r w:rsidRPr="00B111C0">
              <w:rPr>
                <w:rFonts w:asciiTheme="minorHAnsi" w:eastAsia="Arial" w:hAnsiTheme="minorHAnsi" w:cstheme="minorHAnsi"/>
                <w:color w:val="0D0D0D" w:themeColor="text1" w:themeTint="F2"/>
                <w:sz w:val="21"/>
                <w:szCs w:val="21"/>
              </w:rPr>
              <w:t xml:space="preserve">. </w:t>
            </w:r>
          </w:p>
          <w:p w14:paraId="798648FC" w14:textId="77777777" w:rsidR="00EE7382" w:rsidRPr="00B111C0" w:rsidRDefault="00EE7382" w:rsidP="007E3FF4">
            <w:pPr>
              <w:numPr>
                <w:ilvl w:val="1"/>
                <w:numId w:val="9"/>
              </w:numPr>
              <w:spacing w:before="60"/>
              <w:ind w:left="259" w:hanging="187"/>
              <w:rPr>
                <w:rFonts w:asciiTheme="minorHAnsi" w:eastAsia="Arial" w:hAnsiTheme="minorHAnsi" w:cstheme="minorHAnsi"/>
                <w:iCs/>
                <w:color w:val="0D0D0D" w:themeColor="text1" w:themeTint="F2"/>
                <w:sz w:val="21"/>
                <w:szCs w:val="21"/>
                <w:lang w:val="en-GB"/>
              </w:rPr>
            </w:pPr>
            <w:r w:rsidRPr="00B111C0">
              <w:rPr>
                <w:rFonts w:asciiTheme="minorHAnsi" w:eastAsia="Arial" w:hAnsiTheme="minorHAnsi" w:cstheme="minorHAnsi"/>
                <w:iCs/>
                <w:color w:val="0D0D0D" w:themeColor="text1" w:themeTint="F2"/>
                <w:sz w:val="21"/>
                <w:szCs w:val="21"/>
                <w:lang w:val="en-GB"/>
              </w:rPr>
              <w:lastRenderedPageBreak/>
              <w:t>Older people may not have easy access to information on websites &amp; social media, so use adapted communications methods like phone calls &amp; pamphlets.</w:t>
            </w:r>
          </w:p>
          <w:p w14:paraId="2FAADAF7" w14:textId="77777777" w:rsidR="00EE7382" w:rsidRPr="00B111C0" w:rsidRDefault="00EE7382" w:rsidP="007E3FF4">
            <w:pPr>
              <w:numPr>
                <w:ilvl w:val="1"/>
                <w:numId w:val="9"/>
              </w:numPr>
              <w:spacing w:before="60"/>
              <w:ind w:left="259" w:hanging="187"/>
              <w:rPr>
                <w:rFonts w:asciiTheme="minorHAnsi" w:eastAsia="Arial" w:hAnsiTheme="minorHAnsi" w:cstheme="minorHAnsi"/>
                <w:bCs/>
                <w:iCs/>
                <w:color w:val="0D0D0D" w:themeColor="text1" w:themeTint="F2"/>
                <w:sz w:val="21"/>
                <w:szCs w:val="21"/>
                <w:lang w:val="en-GB"/>
              </w:rPr>
            </w:pPr>
            <w:r w:rsidRPr="00B111C0">
              <w:rPr>
                <w:rFonts w:asciiTheme="minorHAnsi" w:eastAsia="Arial" w:hAnsiTheme="minorHAnsi" w:cstheme="minorHAnsi"/>
                <w:iCs/>
                <w:color w:val="0D0D0D" w:themeColor="text1" w:themeTint="F2"/>
                <w:sz w:val="21"/>
                <w:szCs w:val="21"/>
                <w:lang w:val="en-GB"/>
              </w:rPr>
              <w:t>Provide</w:t>
            </w:r>
            <w:r w:rsidRPr="00B111C0">
              <w:rPr>
                <w:rFonts w:asciiTheme="minorHAnsi" w:eastAsia="Arial" w:hAnsiTheme="minorHAnsi" w:cstheme="minorHAnsi"/>
                <w:bCs/>
                <w:iCs/>
                <w:color w:val="0D0D0D" w:themeColor="text1" w:themeTint="F2"/>
                <w:sz w:val="21"/>
                <w:szCs w:val="21"/>
                <w:lang w:val="en-GB"/>
              </w:rPr>
              <w:t xml:space="preserve"> communications in the languages of ethnic minorities and migrants, in plain language, and adapted for visual / auditory impairments.</w:t>
            </w:r>
          </w:p>
          <w:p w14:paraId="489F1377" w14:textId="77777777" w:rsidR="00EE7382" w:rsidRPr="00B111C0" w:rsidRDefault="00EE7382" w:rsidP="007E3FF4">
            <w:pPr>
              <w:numPr>
                <w:ilvl w:val="1"/>
                <w:numId w:val="9"/>
              </w:numPr>
              <w:spacing w:before="60"/>
              <w:ind w:left="259" w:hanging="187"/>
              <w:rPr>
                <w:rFonts w:asciiTheme="minorHAnsi" w:eastAsia="Arial" w:hAnsiTheme="minorHAnsi" w:cstheme="minorHAnsi"/>
                <w:bCs/>
                <w:iCs/>
                <w:color w:val="0D0D0D" w:themeColor="text1" w:themeTint="F2"/>
                <w:sz w:val="21"/>
                <w:szCs w:val="21"/>
                <w:lang w:val="en-GB"/>
              </w:rPr>
            </w:pPr>
            <w:r w:rsidRPr="00B111C0">
              <w:rPr>
                <w:rFonts w:asciiTheme="minorHAnsi" w:eastAsia="Arial" w:hAnsiTheme="minorHAnsi" w:cstheme="minorHAnsi"/>
                <w:bCs/>
                <w:iCs/>
                <w:color w:val="0D0D0D" w:themeColor="text1" w:themeTint="F2"/>
                <w:sz w:val="21"/>
                <w:szCs w:val="21"/>
                <w:lang w:val="en-GB"/>
              </w:rPr>
              <w:t xml:space="preserve">Ensure where possible gender-balanced teams especially if providing treatment or support, even if online or by phone. </w:t>
            </w:r>
          </w:p>
          <w:p w14:paraId="7C8E2E82" w14:textId="34BA834B" w:rsidR="00EE7382" w:rsidRPr="00B111C0" w:rsidRDefault="00EE7382" w:rsidP="00EE7382">
            <w:pPr>
              <w:ind w:left="0" w:firstLine="0"/>
              <w:rPr>
                <w:rFonts w:asciiTheme="minorHAnsi"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br/>
            </w:r>
          </w:p>
        </w:tc>
      </w:tr>
      <w:tr w:rsidR="00E7012B" w:rsidRPr="00B111C0" w14:paraId="2F2D6407" w14:textId="77777777" w:rsidTr="00FC0F36">
        <w:tc>
          <w:tcPr>
            <w:tcW w:w="9895" w:type="dxa"/>
            <w:gridSpan w:val="2"/>
            <w:shd w:val="clear" w:color="auto" w:fill="FFF2CC" w:themeFill="accent4" w:themeFillTint="33"/>
          </w:tcPr>
          <w:p w14:paraId="04910C25" w14:textId="6126F340" w:rsidR="00EE7382" w:rsidRPr="00B111C0" w:rsidRDefault="00EE7382" w:rsidP="00EE7382">
            <w:pPr>
              <w:ind w:left="0" w:firstLine="0"/>
              <w:rPr>
                <w:rFonts w:asciiTheme="minorHAnsi" w:eastAsia="Times New Roman" w:hAnsiTheme="minorHAnsi" w:cstheme="minorHAnsi"/>
                <w:b/>
                <w:bCs/>
                <w:color w:val="0D0D0D" w:themeColor="text1" w:themeTint="F2"/>
                <w:szCs w:val="22"/>
              </w:rPr>
            </w:pPr>
            <w:r w:rsidRPr="00B111C0">
              <w:rPr>
                <w:rFonts w:asciiTheme="minorHAnsi" w:eastAsia="Times New Roman" w:hAnsiTheme="minorHAnsi" w:cstheme="minorHAnsi"/>
                <w:b/>
                <w:bCs/>
                <w:color w:val="0D0D0D" w:themeColor="text1" w:themeTint="F2"/>
                <w:szCs w:val="22"/>
              </w:rPr>
              <w:lastRenderedPageBreak/>
              <w:t>Ensure   communities   have   access   to   critical life-saving   information   and   that   community   needs   and perspectives are identified and respected.</w:t>
            </w:r>
          </w:p>
          <w:p w14:paraId="4B0113FF" w14:textId="77777777" w:rsidR="00EE7382" w:rsidRPr="00B111C0" w:rsidRDefault="00EE7382" w:rsidP="00EE7382">
            <w:pPr>
              <w:ind w:left="0" w:firstLine="0"/>
              <w:rPr>
                <w:rFonts w:asciiTheme="minorHAnsi" w:eastAsia="Times New Roman" w:hAnsiTheme="minorHAnsi" w:cstheme="minorHAnsi"/>
                <w:b/>
                <w:bCs/>
                <w:color w:val="0D0D0D" w:themeColor="text1" w:themeTint="F2"/>
                <w:szCs w:val="22"/>
              </w:rPr>
            </w:pPr>
          </w:p>
          <w:p w14:paraId="30119FD4" w14:textId="77777777" w:rsidR="00EE7382" w:rsidRPr="00B111C0" w:rsidRDefault="00EE7382" w:rsidP="00EE7382">
            <w:pPr>
              <w:ind w:left="0" w:firstLine="0"/>
              <w:rPr>
                <w:rFonts w:asciiTheme="minorHAnsi" w:eastAsia="Arial" w:hAnsiTheme="minorHAnsi" w:cstheme="minorHAnsi"/>
                <w:b/>
                <w:bCs/>
                <w:color w:val="0D0D0D" w:themeColor="text1" w:themeTint="F2"/>
                <w:szCs w:val="22"/>
              </w:rPr>
            </w:pPr>
          </w:p>
        </w:tc>
      </w:tr>
      <w:tr w:rsidR="00E7012B" w:rsidRPr="00B111C0" w14:paraId="2C0941B0" w14:textId="77777777" w:rsidTr="00FC0F36">
        <w:tc>
          <w:tcPr>
            <w:tcW w:w="3415" w:type="dxa"/>
          </w:tcPr>
          <w:p w14:paraId="31B73414" w14:textId="77777777" w:rsidR="00EE7382" w:rsidRPr="00B111C0" w:rsidRDefault="00EE7382" w:rsidP="00EE7382">
            <w:pPr>
              <w:ind w:left="0" w:firstLine="0"/>
              <w:rPr>
                <w:rFonts w:asciiTheme="minorHAnsi" w:hAnsiTheme="minorHAnsi" w:cstheme="minorHAnsi"/>
                <w:color w:val="0D0D0D" w:themeColor="text1" w:themeTint="F2"/>
              </w:rPr>
            </w:pPr>
          </w:p>
        </w:tc>
        <w:tc>
          <w:tcPr>
            <w:tcW w:w="6480" w:type="dxa"/>
          </w:tcPr>
          <w:p w14:paraId="5D62F724" w14:textId="2EDD9A43" w:rsidR="00EE7382" w:rsidRPr="00B111C0" w:rsidRDefault="00EE7382" w:rsidP="00E82AA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 xml:space="preserve">Establish trust and ensure mutual understanding so people living in informal settlements fully understand the risk and </w:t>
            </w:r>
            <w:proofErr w:type="gramStart"/>
            <w:r w:rsidRPr="00B111C0">
              <w:rPr>
                <w:rFonts w:asciiTheme="minorHAnsi" w:eastAsia="Arial" w:hAnsiTheme="minorHAnsi" w:cstheme="minorHAnsi"/>
                <w:color w:val="0D0D0D" w:themeColor="text1" w:themeTint="F2"/>
                <w:sz w:val="21"/>
                <w:szCs w:val="21"/>
              </w:rPr>
              <w:t>are able to</w:t>
            </w:r>
            <w:proofErr w:type="gramEnd"/>
            <w:r w:rsidRPr="00B111C0">
              <w:rPr>
                <w:rFonts w:asciiTheme="minorHAnsi" w:eastAsia="Arial" w:hAnsiTheme="minorHAnsi" w:cstheme="minorHAnsi"/>
                <w:color w:val="0D0D0D" w:themeColor="text1" w:themeTint="F2"/>
                <w:sz w:val="21"/>
                <w:szCs w:val="21"/>
              </w:rPr>
              <w:t xml:space="preserve"> mobilize their communities to take all possible measures, while overcoming distrust in public messaging and to counter disinformation</w:t>
            </w:r>
            <w:r w:rsidR="00E82AA7" w:rsidRPr="00B111C0">
              <w:rPr>
                <w:rFonts w:asciiTheme="minorHAnsi" w:eastAsia="Arial" w:hAnsiTheme="minorHAnsi" w:cstheme="minorHAnsi"/>
                <w:color w:val="0D0D0D" w:themeColor="text1" w:themeTint="F2"/>
                <w:sz w:val="21"/>
                <w:szCs w:val="21"/>
              </w:rPr>
              <w:t>.</w:t>
            </w:r>
          </w:p>
          <w:p w14:paraId="0673D968" w14:textId="77777777" w:rsidR="00E82AA7" w:rsidRPr="00B111C0" w:rsidRDefault="00E82AA7" w:rsidP="00E82AA7">
            <w:pPr>
              <w:ind w:left="0" w:firstLine="0"/>
              <w:jc w:val="both"/>
              <w:rPr>
                <w:rFonts w:asciiTheme="minorHAnsi" w:eastAsia="Arial" w:hAnsiTheme="minorHAnsi" w:cstheme="minorHAnsi"/>
                <w:color w:val="0D0D0D" w:themeColor="text1" w:themeTint="F2"/>
                <w:sz w:val="21"/>
                <w:szCs w:val="21"/>
              </w:rPr>
            </w:pPr>
          </w:p>
          <w:p w14:paraId="38AFF56C" w14:textId="35518484" w:rsidR="00EE7382" w:rsidRPr="00B111C0" w:rsidRDefault="00EE7382" w:rsidP="00E82AA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Identify community leaders among different social groups</w:t>
            </w:r>
            <w:r w:rsidR="00C31DDB" w:rsidRPr="00B111C0">
              <w:rPr>
                <w:rFonts w:asciiTheme="minorHAnsi" w:eastAsia="Arial" w:hAnsiTheme="minorHAnsi" w:cstheme="minorHAnsi"/>
                <w:color w:val="0D0D0D" w:themeColor="text1" w:themeTint="F2"/>
                <w:sz w:val="21"/>
                <w:szCs w:val="21"/>
              </w:rPr>
              <w:t xml:space="preserve"> </w:t>
            </w:r>
            <w:r w:rsidR="00547AAD" w:rsidRPr="00B111C0">
              <w:rPr>
                <w:rFonts w:asciiTheme="minorHAnsi" w:eastAsia="Arial" w:hAnsiTheme="minorHAnsi" w:cstheme="minorHAnsi"/>
                <w:color w:val="0D0D0D" w:themeColor="text1" w:themeTint="F2"/>
                <w:sz w:val="21"/>
                <w:szCs w:val="21"/>
              </w:rPr>
              <w:t>(</w:t>
            </w:r>
            <w:r w:rsidR="00C31DDB" w:rsidRPr="00B111C0">
              <w:rPr>
                <w:rFonts w:asciiTheme="minorHAnsi" w:eastAsia="Arial" w:hAnsiTheme="minorHAnsi" w:cstheme="minorHAnsi"/>
                <w:color w:val="0D0D0D" w:themeColor="text1" w:themeTint="F2"/>
                <w:sz w:val="21"/>
                <w:szCs w:val="21"/>
              </w:rPr>
              <w:t>including faith groups</w:t>
            </w:r>
            <w:r w:rsidR="00547AAD" w:rsidRPr="00B111C0">
              <w:rPr>
                <w:rFonts w:asciiTheme="minorHAnsi" w:eastAsia="Arial" w:hAnsiTheme="minorHAnsi" w:cstheme="minorHAnsi"/>
                <w:color w:val="0D0D0D" w:themeColor="text1" w:themeTint="F2"/>
                <w:sz w:val="21"/>
                <w:szCs w:val="21"/>
              </w:rPr>
              <w:t>)</w:t>
            </w:r>
            <w:r w:rsidRPr="00B111C0">
              <w:rPr>
                <w:rFonts w:asciiTheme="minorHAnsi" w:eastAsia="Arial" w:hAnsiTheme="minorHAnsi" w:cstheme="minorHAnsi"/>
                <w:color w:val="0D0D0D" w:themeColor="text1" w:themeTint="F2"/>
                <w:sz w:val="21"/>
                <w:szCs w:val="21"/>
              </w:rPr>
              <w:t xml:space="preserve"> and areas and leverage their influence to disseminate the right messages and information. </w:t>
            </w:r>
          </w:p>
          <w:p w14:paraId="516705CD" w14:textId="77777777" w:rsidR="00EE7382" w:rsidRPr="00B111C0" w:rsidRDefault="00EE7382" w:rsidP="00E82AA7">
            <w:pPr>
              <w:ind w:left="0" w:firstLine="0"/>
              <w:jc w:val="both"/>
              <w:rPr>
                <w:rFonts w:asciiTheme="minorHAnsi" w:eastAsia="Arial" w:hAnsiTheme="minorHAnsi" w:cstheme="minorHAnsi"/>
                <w:color w:val="0D0D0D" w:themeColor="text1" w:themeTint="F2"/>
                <w:sz w:val="21"/>
                <w:szCs w:val="21"/>
              </w:rPr>
            </w:pPr>
          </w:p>
          <w:p w14:paraId="785673F1" w14:textId="240D764B" w:rsidR="00EE7382" w:rsidRPr="00B111C0" w:rsidRDefault="00EE7382" w:rsidP="00E82AA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Ensure that communication is sensitive to the socio-cultural backgrounds of the different groups in a specific settlement, translating material into the languages used by residents, in multiple and accessible formats, including for people with hearing, visual and intellectual impairments and people with low literacy</w:t>
            </w:r>
            <w:r w:rsidR="00E82AA7" w:rsidRPr="00B111C0">
              <w:rPr>
                <w:rFonts w:asciiTheme="minorHAnsi" w:eastAsia="Arial" w:hAnsiTheme="minorHAnsi" w:cstheme="minorHAnsi"/>
                <w:color w:val="0D0D0D" w:themeColor="text1" w:themeTint="F2"/>
                <w:sz w:val="21"/>
                <w:szCs w:val="21"/>
              </w:rPr>
              <w:t>.</w:t>
            </w:r>
          </w:p>
          <w:p w14:paraId="337FD338" w14:textId="77777777" w:rsidR="00E82AA7" w:rsidRPr="00B111C0" w:rsidRDefault="00E82AA7" w:rsidP="00E82AA7">
            <w:pPr>
              <w:ind w:left="0" w:firstLine="0"/>
              <w:jc w:val="both"/>
              <w:rPr>
                <w:rFonts w:asciiTheme="minorHAnsi" w:eastAsia="Arial" w:hAnsiTheme="minorHAnsi" w:cstheme="minorHAnsi"/>
                <w:color w:val="0D0D0D" w:themeColor="text1" w:themeTint="F2"/>
                <w:sz w:val="21"/>
                <w:szCs w:val="21"/>
              </w:rPr>
            </w:pPr>
          </w:p>
          <w:p w14:paraId="27AAE907" w14:textId="49D6D91E" w:rsidR="00EE7382" w:rsidRPr="00B111C0" w:rsidRDefault="00EE7382" w:rsidP="00E82AA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Prepare and share public communication to address and prevent stigma and discrimination that can prevent people from seeking healthcare. Messaging about “high risk groups” should be sensitive to minimize negative impact on those groups</w:t>
            </w:r>
          </w:p>
          <w:p w14:paraId="61559A31" w14:textId="77777777" w:rsidR="00EE7382" w:rsidRPr="00B111C0" w:rsidRDefault="00EE7382" w:rsidP="0033363E">
            <w:pPr>
              <w:spacing w:after="120"/>
              <w:ind w:left="0" w:right="-164" w:firstLine="0"/>
              <w:rPr>
                <w:rFonts w:asciiTheme="minorHAnsi" w:hAnsiTheme="minorHAnsi" w:cstheme="minorHAnsi"/>
                <w:color w:val="0D0D0D" w:themeColor="text1" w:themeTint="F2"/>
              </w:rPr>
            </w:pPr>
          </w:p>
        </w:tc>
      </w:tr>
      <w:tr w:rsidR="00E7012B" w:rsidRPr="00B111C0" w14:paraId="47A1FE6F" w14:textId="77777777" w:rsidTr="00FC0F36">
        <w:tc>
          <w:tcPr>
            <w:tcW w:w="9895" w:type="dxa"/>
            <w:gridSpan w:val="2"/>
            <w:shd w:val="clear" w:color="auto" w:fill="FFF2CC" w:themeFill="accent4" w:themeFillTint="33"/>
          </w:tcPr>
          <w:p w14:paraId="5D9A4639" w14:textId="77777777" w:rsidR="00EE7382" w:rsidRPr="00B111C0" w:rsidRDefault="00EE7382" w:rsidP="00EE7382">
            <w:pPr>
              <w:ind w:left="0" w:firstLine="0"/>
              <w:rPr>
                <w:rFonts w:asciiTheme="minorHAnsi" w:eastAsia="Times New Roman" w:hAnsiTheme="minorHAnsi" w:cstheme="minorHAnsi"/>
                <w:b/>
                <w:bCs/>
                <w:color w:val="0D0D0D" w:themeColor="text1" w:themeTint="F2"/>
                <w:szCs w:val="22"/>
              </w:rPr>
            </w:pPr>
            <w:r w:rsidRPr="00B111C0">
              <w:rPr>
                <w:rFonts w:asciiTheme="minorHAnsi" w:eastAsia="Times New Roman" w:hAnsiTheme="minorHAnsi" w:cstheme="minorHAnsi"/>
                <w:b/>
                <w:bCs/>
                <w:color w:val="0D0D0D" w:themeColor="text1" w:themeTint="F2"/>
                <w:szCs w:val="22"/>
              </w:rPr>
              <w:t>Help communities to reduce the social impacts of the pandemic and efforts to contain it</w:t>
            </w:r>
          </w:p>
          <w:p w14:paraId="152500F2" w14:textId="77777777" w:rsidR="00EE7382" w:rsidRPr="00B111C0" w:rsidRDefault="00EE7382" w:rsidP="0033363E">
            <w:pPr>
              <w:ind w:left="360" w:firstLine="0"/>
              <w:jc w:val="both"/>
              <w:rPr>
                <w:rFonts w:asciiTheme="minorHAnsi" w:hAnsiTheme="minorHAnsi" w:cstheme="minorHAnsi"/>
                <w:b/>
                <w:bCs/>
                <w:color w:val="0D0D0D" w:themeColor="text1" w:themeTint="F2"/>
              </w:rPr>
            </w:pPr>
          </w:p>
        </w:tc>
      </w:tr>
      <w:tr w:rsidR="00E7012B" w:rsidRPr="00B111C0" w14:paraId="7A320518" w14:textId="77777777" w:rsidTr="007E3FF4">
        <w:trPr>
          <w:trHeight w:val="1061"/>
        </w:trPr>
        <w:tc>
          <w:tcPr>
            <w:tcW w:w="3415" w:type="dxa"/>
          </w:tcPr>
          <w:p w14:paraId="20257BC4" w14:textId="70CAADAA" w:rsidR="00EE7382" w:rsidRPr="00B111C0" w:rsidRDefault="00EE7382" w:rsidP="0033363E">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Ensure protection remains central to the response and through multi-sectoral partnerships, the detection of protection challenges and monitoring of protection needs to provide response to identified protection risks</w:t>
            </w:r>
            <w:r w:rsidR="00F20A62" w:rsidRPr="00B111C0">
              <w:rPr>
                <w:rFonts w:asciiTheme="minorHAnsi" w:eastAsia="Arial" w:hAnsiTheme="minorHAnsi" w:cstheme="minorHAnsi"/>
                <w:color w:val="0D0D0D" w:themeColor="text1" w:themeTint="F2"/>
                <w:sz w:val="21"/>
                <w:szCs w:val="21"/>
              </w:rPr>
              <w:t>.</w:t>
            </w:r>
          </w:p>
          <w:p w14:paraId="6ED5EE57" w14:textId="77777777" w:rsidR="00EE7382" w:rsidRPr="00B111C0" w:rsidRDefault="00EE7382" w:rsidP="0033363E">
            <w:pPr>
              <w:ind w:left="0" w:firstLine="0"/>
              <w:jc w:val="both"/>
              <w:rPr>
                <w:rFonts w:asciiTheme="minorHAnsi" w:eastAsia="Arial" w:hAnsiTheme="minorHAnsi" w:cstheme="minorHAnsi"/>
                <w:color w:val="0D0D0D" w:themeColor="text1" w:themeTint="F2"/>
                <w:sz w:val="21"/>
                <w:szCs w:val="21"/>
              </w:rPr>
            </w:pPr>
          </w:p>
          <w:p w14:paraId="2FF97ACC" w14:textId="77777777" w:rsidR="00EE7382" w:rsidRPr="00B111C0" w:rsidRDefault="00EE7382" w:rsidP="0033363E">
            <w:pPr>
              <w:ind w:left="0" w:firstLine="0"/>
              <w:jc w:val="both"/>
              <w:rPr>
                <w:rFonts w:asciiTheme="minorHAnsi" w:eastAsia="Arial" w:hAnsiTheme="minorHAnsi" w:cstheme="minorHAnsi"/>
                <w:color w:val="0D0D0D" w:themeColor="text1" w:themeTint="F2"/>
                <w:sz w:val="21"/>
                <w:szCs w:val="21"/>
              </w:rPr>
            </w:pPr>
          </w:p>
        </w:tc>
        <w:tc>
          <w:tcPr>
            <w:tcW w:w="6480" w:type="dxa"/>
          </w:tcPr>
          <w:p w14:paraId="07F10FD6" w14:textId="3A88C996" w:rsidR="00EE7382" w:rsidRPr="00B111C0" w:rsidRDefault="00EE7382" w:rsidP="0033363E">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Monitor the risk of possible evictions, as families risk to fail on rental payments, as marginalized members of the community, victims of the disease or health care providers risk to be stigmatized</w:t>
            </w:r>
            <w:r w:rsidR="00EF5D8E" w:rsidRPr="00B111C0">
              <w:rPr>
                <w:rFonts w:asciiTheme="minorHAnsi" w:eastAsia="Arial" w:hAnsiTheme="minorHAnsi" w:cstheme="minorHAnsi"/>
                <w:color w:val="0D0D0D" w:themeColor="text1" w:themeTint="F2"/>
                <w:sz w:val="21"/>
                <w:szCs w:val="21"/>
              </w:rPr>
              <w:t>.</w:t>
            </w:r>
          </w:p>
          <w:p w14:paraId="2CAA4BB2" w14:textId="77777777" w:rsidR="00EF5D8E" w:rsidRPr="00B111C0" w:rsidRDefault="00EF5D8E" w:rsidP="0033363E">
            <w:pPr>
              <w:ind w:left="0" w:firstLine="0"/>
              <w:jc w:val="both"/>
              <w:rPr>
                <w:rFonts w:asciiTheme="minorHAnsi" w:eastAsia="Arial" w:hAnsiTheme="minorHAnsi" w:cstheme="minorHAnsi"/>
                <w:color w:val="0D0D0D" w:themeColor="text1" w:themeTint="F2"/>
                <w:sz w:val="21"/>
                <w:szCs w:val="21"/>
              </w:rPr>
            </w:pPr>
          </w:p>
          <w:p w14:paraId="68D47EE4" w14:textId="1B093B39" w:rsidR="00EE7382" w:rsidRPr="00B111C0" w:rsidRDefault="00EE7382" w:rsidP="0033363E">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Ensure any measures to quarantine or separate sick or vulnerable groups should be temporary, so they can return home once the risk is gone. Such guarantees will be essential to build community trust in quarantine measures, reducing the chances of resistance to these measures which could hinder protection and mitigation actions.</w:t>
            </w:r>
          </w:p>
          <w:p w14:paraId="4C31BBB8" w14:textId="77777777" w:rsidR="00EE7382" w:rsidRPr="00B111C0" w:rsidRDefault="00EE7382" w:rsidP="0033363E">
            <w:pPr>
              <w:ind w:left="0" w:firstLine="0"/>
              <w:jc w:val="both"/>
              <w:rPr>
                <w:rFonts w:asciiTheme="minorHAnsi" w:eastAsia="Arial" w:hAnsiTheme="minorHAnsi" w:cstheme="minorHAnsi"/>
                <w:color w:val="0D0D0D" w:themeColor="text1" w:themeTint="F2"/>
                <w:sz w:val="21"/>
                <w:szCs w:val="21"/>
              </w:rPr>
            </w:pPr>
          </w:p>
          <w:p w14:paraId="2118721F" w14:textId="17CAF7B6" w:rsidR="00A66068" w:rsidRPr="00B111C0" w:rsidRDefault="00EE7382" w:rsidP="0018527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Advocate for the suspension of all residential evictions for the duration of the health emergency since evictions can greatly heighten the risks of community transmission and work with governments to set up monitoring and intervention systems to avoid also informal evictions</w:t>
            </w:r>
            <w:r w:rsidR="00EF5D8E" w:rsidRPr="00B111C0">
              <w:rPr>
                <w:rFonts w:asciiTheme="minorHAnsi" w:eastAsia="Arial" w:hAnsiTheme="minorHAnsi" w:cstheme="minorHAnsi"/>
                <w:color w:val="0D0D0D" w:themeColor="text1" w:themeTint="F2"/>
                <w:sz w:val="21"/>
                <w:szCs w:val="21"/>
              </w:rPr>
              <w:t>.</w:t>
            </w:r>
          </w:p>
          <w:p w14:paraId="41DEDADD" w14:textId="77777777" w:rsidR="00A66068" w:rsidRPr="00B111C0" w:rsidRDefault="00A66068" w:rsidP="00A66068">
            <w:pPr>
              <w:pStyle w:val="Default"/>
              <w:rPr>
                <w:sz w:val="21"/>
                <w:szCs w:val="21"/>
              </w:rPr>
            </w:pPr>
            <w:r w:rsidRPr="00B111C0">
              <w:rPr>
                <w:sz w:val="21"/>
                <w:szCs w:val="21"/>
              </w:rPr>
              <w:t xml:space="preserve"> </w:t>
            </w:r>
          </w:p>
          <w:p w14:paraId="7122A63D" w14:textId="1E01100F" w:rsidR="00A66068" w:rsidRPr="00B111C0" w:rsidRDefault="00A66068" w:rsidP="00185277">
            <w:pPr>
              <w:pStyle w:val="Default"/>
              <w:numPr>
                <w:ilvl w:val="1"/>
                <w:numId w:val="10"/>
              </w:numPr>
              <w:spacing w:after="22"/>
              <w:rPr>
                <w:sz w:val="21"/>
                <w:szCs w:val="21"/>
              </w:rPr>
            </w:pPr>
            <w:r w:rsidRPr="00B111C0">
              <w:rPr>
                <w:b/>
                <w:bCs/>
                <w:sz w:val="21"/>
                <w:szCs w:val="21"/>
              </w:rPr>
              <w:t>Address the increased risk of violence</w:t>
            </w:r>
            <w:r w:rsidR="00A13A8F" w:rsidRPr="00B111C0">
              <w:rPr>
                <w:b/>
                <w:bCs/>
                <w:sz w:val="21"/>
                <w:szCs w:val="21"/>
              </w:rPr>
              <w:t xml:space="preserve"> (including sexual and gender based violence and violence against children)</w:t>
            </w:r>
            <w:r w:rsidRPr="00B111C0">
              <w:rPr>
                <w:b/>
                <w:bCs/>
                <w:sz w:val="21"/>
                <w:szCs w:val="21"/>
              </w:rPr>
              <w:t xml:space="preserve"> in the home and of self-harm during isolation and stressful situations </w:t>
            </w:r>
            <w:r w:rsidRPr="00B111C0">
              <w:rPr>
                <w:sz w:val="21"/>
                <w:szCs w:val="21"/>
              </w:rPr>
              <w:t xml:space="preserve">through embedding support and guidance on domestic violence in existing services – e.g. </w:t>
            </w:r>
            <w:r w:rsidRPr="00B111C0">
              <w:rPr>
                <w:sz w:val="21"/>
                <w:szCs w:val="21"/>
              </w:rPr>
              <w:lastRenderedPageBreak/>
              <w:t>equip volunteers providing other services with information about where to get help in the case of violence in the home / Setting up or strengthening  dedicated support and assistance – e.g. phoneline or online support for people at risk of inter-personal and self-directed violence.</w:t>
            </w:r>
          </w:p>
          <w:p w14:paraId="4EC64E4B" w14:textId="77777777" w:rsidR="00EF5D8E" w:rsidRPr="00B111C0" w:rsidRDefault="00EF5D8E" w:rsidP="00EF5D8E">
            <w:pPr>
              <w:ind w:left="0" w:firstLine="0"/>
              <w:jc w:val="both"/>
              <w:rPr>
                <w:rFonts w:asciiTheme="minorHAnsi" w:eastAsia="Arial" w:hAnsiTheme="minorHAnsi" w:cstheme="minorHAnsi"/>
                <w:color w:val="0D0D0D" w:themeColor="text1" w:themeTint="F2"/>
                <w:sz w:val="21"/>
                <w:szCs w:val="21"/>
              </w:rPr>
            </w:pPr>
          </w:p>
          <w:p w14:paraId="41CBEF18" w14:textId="7B3011C7" w:rsidR="00EF5D8E" w:rsidRPr="00B111C0" w:rsidRDefault="005B1ABA" w:rsidP="00EF5D8E">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Focus on creative ways to provide children with alternatives to school and play, to mitigate school closures and restrictions on movements in the absence of community or household level space, which disrupt children's routine while also placing new stressors on caregivers. This should include early learning opportunities for the youngest, that may entail providing parenting tips and ideas for engaging their children at home.</w:t>
            </w:r>
          </w:p>
          <w:p w14:paraId="7E26FA06" w14:textId="77777777" w:rsidR="00EF5D8E" w:rsidRPr="00B111C0" w:rsidRDefault="00EF5D8E" w:rsidP="00EF5D8E">
            <w:pPr>
              <w:ind w:left="0" w:firstLine="0"/>
              <w:jc w:val="both"/>
              <w:rPr>
                <w:rFonts w:asciiTheme="minorHAnsi" w:eastAsia="Arial" w:hAnsiTheme="minorHAnsi" w:cstheme="minorHAnsi"/>
                <w:color w:val="0D0D0D" w:themeColor="text1" w:themeTint="F2"/>
                <w:sz w:val="21"/>
                <w:szCs w:val="21"/>
              </w:rPr>
            </w:pPr>
          </w:p>
          <w:p w14:paraId="3A32A5D1" w14:textId="6D92CC03" w:rsidR="00EE7382" w:rsidRPr="00B111C0" w:rsidRDefault="00EF5D8E" w:rsidP="007E3FF4">
            <w:pPr>
              <w:pStyle w:val="ListParagraph"/>
              <w:spacing w:after="60"/>
              <w:ind w:left="0" w:firstLine="0"/>
              <w:contextualSpacing w:val="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Where possible, the distribution of educational resources to learners in remote locations and/or isolated/placed in quarantine, with no or poor Internet connectivity</w:t>
            </w:r>
            <w:r w:rsidR="00A84947" w:rsidRPr="00B111C0">
              <w:rPr>
                <w:rFonts w:asciiTheme="minorHAnsi" w:eastAsia="Arial" w:hAnsiTheme="minorHAnsi" w:cstheme="minorHAnsi"/>
                <w:color w:val="0D0D0D" w:themeColor="text1" w:themeTint="F2"/>
                <w:sz w:val="21"/>
                <w:szCs w:val="21"/>
              </w:rPr>
              <w:t xml:space="preserve"> through radio and other </w:t>
            </w:r>
            <w:r w:rsidR="008C3D96" w:rsidRPr="00B111C0">
              <w:rPr>
                <w:rFonts w:asciiTheme="minorHAnsi" w:eastAsia="Arial" w:hAnsiTheme="minorHAnsi" w:cstheme="minorHAnsi"/>
                <w:color w:val="0D0D0D" w:themeColor="text1" w:themeTint="F2"/>
                <w:sz w:val="21"/>
                <w:szCs w:val="21"/>
              </w:rPr>
              <w:t>resources</w:t>
            </w:r>
          </w:p>
          <w:p w14:paraId="49987E4C" w14:textId="70E50185" w:rsidR="00EE7382" w:rsidRPr="00B111C0" w:rsidRDefault="005B1ABA" w:rsidP="0033363E">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br/>
            </w:r>
          </w:p>
        </w:tc>
      </w:tr>
      <w:tr w:rsidR="00E7012B" w:rsidRPr="00B111C0" w14:paraId="5CA63485" w14:textId="77777777" w:rsidTr="00FC0F36">
        <w:tc>
          <w:tcPr>
            <w:tcW w:w="9895" w:type="dxa"/>
            <w:gridSpan w:val="2"/>
            <w:shd w:val="clear" w:color="auto" w:fill="FFF2CC" w:themeFill="accent4" w:themeFillTint="33"/>
          </w:tcPr>
          <w:p w14:paraId="11BDDE50" w14:textId="77777777" w:rsidR="00EE7382" w:rsidRPr="00B111C0" w:rsidRDefault="00EE7382" w:rsidP="00047757">
            <w:pPr>
              <w:ind w:left="0" w:firstLine="0"/>
              <w:rPr>
                <w:rFonts w:asciiTheme="minorHAnsi" w:hAnsiTheme="minorHAnsi" w:cstheme="minorHAnsi"/>
                <w:b/>
                <w:bCs/>
                <w:color w:val="0D0D0D" w:themeColor="text1" w:themeTint="F2"/>
              </w:rPr>
            </w:pPr>
            <w:r w:rsidRPr="00B111C0">
              <w:rPr>
                <w:rFonts w:asciiTheme="minorHAnsi" w:eastAsia="Times New Roman" w:hAnsiTheme="minorHAnsi" w:cstheme="minorHAnsi"/>
                <w:b/>
                <w:bCs/>
                <w:color w:val="0D0D0D" w:themeColor="text1" w:themeTint="F2"/>
                <w:szCs w:val="22"/>
              </w:rPr>
              <w:lastRenderedPageBreak/>
              <w:t>Preserve livelihoods for the most vulnerable communities affected by economic effects of the pandemic</w:t>
            </w:r>
          </w:p>
          <w:p w14:paraId="234657E2" w14:textId="1D60482E" w:rsidR="00EE7382" w:rsidRPr="00B111C0" w:rsidRDefault="00EE7382" w:rsidP="00047757">
            <w:pPr>
              <w:ind w:left="360" w:firstLine="0"/>
              <w:rPr>
                <w:rFonts w:asciiTheme="minorHAnsi" w:hAnsiTheme="minorHAnsi" w:cstheme="minorHAnsi"/>
                <w:b/>
                <w:bCs/>
                <w:color w:val="0D0D0D" w:themeColor="text1" w:themeTint="F2"/>
              </w:rPr>
            </w:pPr>
          </w:p>
        </w:tc>
      </w:tr>
      <w:tr w:rsidR="00E7012B" w:rsidRPr="00E7012B" w14:paraId="6A6EA42C" w14:textId="77777777" w:rsidTr="00FC0F36">
        <w:tc>
          <w:tcPr>
            <w:tcW w:w="3415" w:type="dxa"/>
          </w:tcPr>
          <w:p w14:paraId="7F7F42C2" w14:textId="77777777" w:rsidR="00EE7382" w:rsidRPr="00B111C0" w:rsidRDefault="00EE7382" w:rsidP="00EE7382">
            <w:pPr>
              <w:ind w:left="0" w:firstLine="0"/>
              <w:rPr>
                <w:rFonts w:asciiTheme="minorHAnsi" w:hAnsiTheme="minorHAnsi" w:cstheme="minorHAnsi"/>
                <w:color w:val="0D0D0D" w:themeColor="text1" w:themeTint="F2"/>
              </w:rPr>
            </w:pPr>
          </w:p>
        </w:tc>
        <w:tc>
          <w:tcPr>
            <w:tcW w:w="6480" w:type="dxa"/>
          </w:tcPr>
          <w:p w14:paraId="3E179EA3" w14:textId="4DFFC03A" w:rsidR="00EE7382" w:rsidRPr="00B111C0" w:rsidRDefault="00EE7382" w:rsidP="0004775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Promote and tailor social safety nets to the reality of the informal settlements and slums (incl. very limited savings or capacity to save), ensuring access to health services, water and food, while being sensitive to internal inequalities as to avoid disruptive tensions</w:t>
            </w:r>
            <w:r w:rsidR="00047757" w:rsidRPr="00B111C0">
              <w:rPr>
                <w:rFonts w:asciiTheme="minorHAnsi" w:eastAsia="Arial" w:hAnsiTheme="minorHAnsi" w:cstheme="minorHAnsi"/>
                <w:color w:val="0D0D0D" w:themeColor="text1" w:themeTint="F2"/>
                <w:sz w:val="21"/>
                <w:szCs w:val="21"/>
              </w:rPr>
              <w:t>.</w:t>
            </w:r>
          </w:p>
          <w:p w14:paraId="677E4C08" w14:textId="77777777" w:rsidR="00047757" w:rsidRPr="00B111C0" w:rsidRDefault="00047757" w:rsidP="00047757">
            <w:pPr>
              <w:ind w:left="0" w:firstLine="0"/>
              <w:jc w:val="both"/>
              <w:rPr>
                <w:rFonts w:asciiTheme="minorHAnsi" w:eastAsia="Arial" w:hAnsiTheme="minorHAnsi" w:cstheme="minorHAnsi"/>
                <w:color w:val="0D0D0D" w:themeColor="text1" w:themeTint="F2"/>
                <w:sz w:val="21"/>
                <w:szCs w:val="21"/>
              </w:rPr>
            </w:pPr>
          </w:p>
          <w:p w14:paraId="2B2DA351" w14:textId="2992C7A8" w:rsidR="00EE7382" w:rsidRPr="00B111C0" w:rsidRDefault="00EE7382" w:rsidP="0004775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Prioritize support (financial, protection, childcare) to people providing essential services (ex. garbage collectors)</w:t>
            </w:r>
            <w:r w:rsidR="00047757" w:rsidRPr="00B111C0">
              <w:rPr>
                <w:rFonts w:asciiTheme="minorHAnsi" w:eastAsia="Arial" w:hAnsiTheme="minorHAnsi" w:cstheme="minorHAnsi"/>
                <w:color w:val="0D0D0D" w:themeColor="text1" w:themeTint="F2"/>
                <w:sz w:val="21"/>
                <w:szCs w:val="21"/>
              </w:rPr>
              <w:t>.</w:t>
            </w:r>
          </w:p>
          <w:p w14:paraId="7F022E0D" w14:textId="77777777" w:rsidR="00047757" w:rsidRPr="00B111C0" w:rsidRDefault="00047757" w:rsidP="00047757">
            <w:pPr>
              <w:ind w:left="0" w:firstLine="0"/>
              <w:jc w:val="both"/>
              <w:rPr>
                <w:rFonts w:asciiTheme="minorHAnsi" w:eastAsia="Arial" w:hAnsiTheme="minorHAnsi" w:cstheme="minorHAnsi"/>
                <w:color w:val="0D0D0D" w:themeColor="text1" w:themeTint="F2"/>
                <w:sz w:val="21"/>
                <w:szCs w:val="21"/>
              </w:rPr>
            </w:pPr>
          </w:p>
          <w:p w14:paraId="7B0DD283" w14:textId="77777777" w:rsidR="00EE7382" w:rsidRPr="00185277" w:rsidRDefault="00EE7382" w:rsidP="00047757">
            <w:pPr>
              <w:ind w:left="0" w:firstLine="0"/>
              <w:jc w:val="both"/>
              <w:rPr>
                <w:rFonts w:asciiTheme="minorHAnsi" w:eastAsia="Arial" w:hAnsiTheme="minorHAnsi" w:cstheme="minorHAnsi"/>
                <w:color w:val="0D0D0D" w:themeColor="text1" w:themeTint="F2"/>
                <w:sz w:val="21"/>
                <w:szCs w:val="21"/>
              </w:rPr>
            </w:pPr>
            <w:r w:rsidRPr="00B111C0">
              <w:rPr>
                <w:rFonts w:asciiTheme="minorHAnsi" w:eastAsia="Arial" w:hAnsiTheme="minorHAnsi" w:cstheme="minorHAnsi"/>
                <w:color w:val="0D0D0D" w:themeColor="text1" w:themeTint="F2"/>
                <w:sz w:val="21"/>
                <w:szCs w:val="21"/>
              </w:rPr>
              <w:t>Provide economic and material support to families (e.g., through cash transfer programming, distance learning equipment) for nutrition-related matters (especially for those who relied on schools’ meals) and for enabling access and good connectivity to the Internet wherever possible</w:t>
            </w:r>
          </w:p>
          <w:p w14:paraId="0441C6A7" w14:textId="77777777" w:rsidR="00EE7382" w:rsidRPr="00E7012B" w:rsidRDefault="00EE7382" w:rsidP="00047757">
            <w:pPr>
              <w:ind w:left="0" w:firstLine="0"/>
              <w:jc w:val="both"/>
              <w:rPr>
                <w:rFonts w:asciiTheme="minorHAnsi" w:eastAsia="Arial" w:hAnsiTheme="minorHAnsi" w:cstheme="minorHAnsi"/>
                <w:color w:val="0D0D0D" w:themeColor="text1" w:themeTint="F2"/>
                <w:szCs w:val="22"/>
              </w:rPr>
            </w:pPr>
          </w:p>
        </w:tc>
      </w:tr>
    </w:tbl>
    <w:p w14:paraId="56B2A662" w14:textId="5836ECD3" w:rsidR="002D79EE" w:rsidRPr="00E7012B" w:rsidRDefault="002D79EE" w:rsidP="00244CF8">
      <w:pPr>
        <w:ind w:left="0" w:firstLine="0"/>
        <w:rPr>
          <w:rFonts w:asciiTheme="minorHAnsi" w:hAnsiTheme="minorHAnsi" w:cstheme="minorHAnsi"/>
          <w:color w:val="0D0D0D" w:themeColor="text1" w:themeTint="F2"/>
        </w:rPr>
      </w:pPr>
    </w:p>
    <w:sectPr w:rsidR="002D79EE" w:rsidRPr="00E7012B" w:rsidSect="00D3269E">
      <w:headerReference w:type="even" r:id="rId14"/>
      <w:headerReference w:type="default" r:id="rId15"/>
      <w:footerReference w:type="even" r:id="rId16"/>
      <w:footerReference w:type="default" r:id="rId17"/>
      <w:headerReference w:type="first" r:id="rId18"/>
      <w:footerReference w:type="first" r:id="rId19"/>
      <w:pgSz w:w="11906" w:h="16838" w:code="9"/>
      <w:pgMar w:top="810" w:right="1376"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FCBB" w14:textId="77777777" w:rsidR="006A5D36" w:rsidRDefault="006A5D36" w:rsidP="00FD4282">
      <w:pPr>
        <w:spacing w:before="0"/>
      </w:pPr>
      <w:r>
        <w:separator/>
      </w:r>
    </w:p>
  </w:endnote>
  <w:endnote w:type="continuationSeparator" w:id="0">
    <w:p w14:paraId="592E027C" w14:textId="77777777" w:rsidR="006A5D36" w:rsidRDefault="006A5D36" w:rsidP="00FD42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3B6A" w14:textId="77777777" w:rsidR="00BB61CD" w:rsidRDefault="00BB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1F05" w14:textId="617E6491" w:rsidR="005A521A" w:rsidRPr="0022659D" w:rsidRDefault="0022659D" w:rsidP="00BE2414">
    <w:pPr>
      <w:pStyle w:val="Footer"/>
      <w:ind w:right="-900" w:hanging="907"/>
      <w:rPr>
        <w:i/>
        <w:iCs/>
        <w:color w:val="0070C0"/>
        <w:sz w:val="20"/>
        <w:szCs w:val="20"/>
      </w:rPr>
    </w:pPr>
    <w:r w:rsidRPr="005948F9">
      <w:rPr>
        <w:color w:val="C00000"/>
        <w:sz w:val="20"/>
        <w:szCs w:val="20"/>
      </w:rPr>
      <w:t xml:space="preserve">Version 02, </w:t>
    </w:r>
    <w:r w:rsidR="005948F9">
      <w:rPr>
        <w:color w:val="C00000"/>
        <w:sz w:val="20"/>
        <w:szCs w:val="20"/>
      </w:rPr>
      <w:t xml:space="preserve">as of </w:t>
    </w:r>
    <w:r w:rsidRPr="005948F9">
      <w:rPr>
        <w:color w:val="C00000"/>
        <w:sz w:val="20"/>
        <w:szCs w:val="20"/>
      </w:rPr>
      <w:t>1</w:t>
    </w:r>
    <w:r w:rsidR="00BB61CD">
      <w:rPr>
        <w:color w:val="C00000"/>
        <w:sz w:val="20"/>
        <w:szCs w:val="20"/>
      </w:rPr>
      <w:t>3</w:t>
    </w:r>
    <w:r w:rsidRPr="005948F9">
      <w:rPr>
        <w:color w:val="C00000"/>
        <w:sz w:val="20"/>
        <w:szCs w:val="20"/>
      </w:rPr>
      <w:t xml:space="preserve"> April 2020</w:t>
    </w:r>
    <w:r>
      <w:t xml:space="preserve"> </w:t>
    </w:r>
    <w:r w:rsidRPr="0022659D">
      <w:rPr>
        <w:i/>
        <w:iCs/>
        <w:color w:val="0070C0"/>
        <w:sz w:val="20"/>
        <w:szCs w:val="20"/>
      </w:rPr>
      <w:t xml:space="preserve">(please reach out to </w:t>
    </w:r>
    <w:hyperlink r:id="rId1" w:history="1">
      <w:r w:rsidRPr="0022659D">
        <w:rPr>
          <w:rStyle w:val="Hyperlink"/>
          <w:i/>
          <w:iCs/>
          <w:color w:val="0070C0"/>
          <w:sz w:val="20"/>
          <w:szCs w:val="20"/>
        </w:rPr>
        <w:t>Aynur.kadihasanoglu@ifrc.org</w:t>
      </w:r>
    </w:hyperlink>
    <w:r w:rsidRPr="0022659D">
      <w:rPr>
        <w:i/>
        <w:iCs/>
        <w:color w:val="0070C0"/>
        <w:sz w:val="20"/>
        <w:szCs w:val="20"/>
      </w:rPr>
      <w:t xml:space="preserve"> for any comments and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E7E" w14:textId="77777777" w:rsidR="00BB61CD" w:rsidRDefault="00BB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3092D" w14:textId="77777777" w:rsidR="006A5D36" w:rsidRDefault="006A5D36" w:rsidP="00FD4282">
      <w:pPr>
        <w:spacing w:before="0"/>
      </w:pPr>
      <w:r>
        <w:separator/>
      </w:r>
    </w:p>
  </w:footnote>
  <w:footnote w:type="continuationSeparator" w:id="0">
    <w:p w14:paraId="2A04555E" w14:textId="77777777" w:rsidR="006A5D36" w:rsidRDefault="006A5D36" w:rsidP="00FD42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D3C4B" w14:textId="77777777" w:rsidR="00BB61CD" w:rsidRDefault="00BB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F214" w14:textId="77777777" w:rsidR="00BB61CD" w:rsidRDefault="00BB6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0E73" w14:textId="77777777" w:rsidR="00BB61CD" w:rsidRDefault="00BB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413053"/>
    <w:multiLevelType w:val="hybridMultilevel"/>
    <w:tmpl w:val="EE987D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39D"/>
    <w:multiLevelType w:val="hybridMultilevel"/>
    <w:tmpl w:val="2F10D32A"/>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04EE4094"/>
    <w:multiLevelType w:val="hybridMultilevel"/>
    <w:tmpl w:val="6C3C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167CE"/>
    <w:multiLevelType w:val="hybridMultilevel"/>
    <w:tmpl w:val="5134BFC4"/>
    <w:lvl w:ilvl="0" w:tplc="915292D6">
      <w:start w:val="1"/>
      <w:numFmt w:val="bullet"/>
      <w:lvlText w:val="·"/>
      <w:lvlJc w:val="left"/>
      <w:pPr>
        <w:ind w:left="789" w:hanging="360"/>
      </w:pPr>
      <w:rPr>
        <w:rFonts w:ascii="Courier New" w:hAnsi="Courier New"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35FD712D"/>
    <w:multiLevelType w:val="hybridMultilevel"/>
    <w:tmpl w:val="2164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56E03"/>
    <w:multiLevelType w:val="hybridMultilevel"/>
    <w:tmpl w:val="8E967AA0"/>
    <w:lvl w:ilvl="0" w:tplc="915292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B63BD"/>
    <w:multiLevelType w:val="hybridMultilevel"/>
    <w:tmpl w:val="0E44930A"/>
    <w:lvl w:ilvl="0" w:tplc="915292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840EF"/>
    <w:multiLevelType w:val="hybridMultilevel"/>
    <w:tmpl w:val="8394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B5B84"/>
    <w:multiLevelType w:val="hybridMultilevel"/>
    <w:tmpl w:val="543ABFA2"/>
    <w:lvl w:ilvl="0" w:tplc="0409000F">
      <w:start w:val="1"/>
      <w:numFmt w:val="decimal"/>
      <w:lvlText w:val="%1."/>
      <w:lvlJc w:val="left"/>
      <w:pPr>
        <w:ind w:left="360" w:hanging="360"/>
      </w:pPr>
    </w:lvl>
    <w:lvl w:ilvl="1" w:tplc="915292D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50554B"/>
    <w:multiLevelType w:val="hybridMultilevel"/>
    <w:tmpl w:val="9EE072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9"/>
  </w:num>
  <w:num w:numId="4">
    <w:abstractNumId w:val="4"/>
  </w:num>
  <w:num w:numId="5">
    <w:abstractNumId w:val="7"/>
  </w:num>
  <w:num w:numId="6">
    <w:abstractNumId w:val="6"/>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EE"/>
    <w:rsid w:val="000364DD"/>
    <w:rsid w:val="00037CD2"/>
    <w:rsid w:val="0004167A"/>
    <w:rsid w:val="00047757"/>
    <w:rsid w:val="0006511C"/>
    <w:rsid w:val="00075B65"/>
    <w:rsid w:val="000A4DDD"/>
    <w:rsid w:val="000C17BC"/>
    <w:rsid w:val="000D7787"/>
    <w:rsid w:val="0010228C"/>
    <w:rsid w:val="00112FB0"/>
    <w:rsid w:val="001523D1"/>
    <w:rsid w:val="0018136E"/>
    <w:rsid w:val="00185277"/>
    <w:rsid w:val="00197E82"/>
    <w:rsid w:val="001B7C6E"/>
    <w:rsid w:val="001D1893"/>
    <w:rsid w:val="001D6099"/>
    <w:rsid w:val="0022659D"/>
    <w:rsid w:val="00244CF8"/>
    <w:rsid w:val="0025592B"/>
    <w:rsid w:val="002601B9"/>
    <w:rsid w:val="002A727A"/>
    <w:rsid w:val="002B5807"/>
    <w:rsid w:val="002B718E"/>
    <w:rsid w:val="002B7E4C"/>
    <w:rsid w:val="002D79EE"/>
    <w:rsid w:val="002E299C"/>
    <w:rsid w:val="00301AA5"/>
    <w:rsid w:val="003273F0"/>
    <w:rsid w:val="0033363E"/>
    <w:rsid w:val="0038121A"/>
    <w:rsid w:val="003B7CA6"/>
    <w:rsid w:val="003F0EA3"/>
    <w:rsid w:val="004135E5"/>
    <w:rsid w:val="004515E6"/>
    <w:rsid w:val="004815AF"/>
    <w:rsid w:val="00482A1A"/>
    <w:rsid w:val="0048703A"/>
    <w:rsid w:val="004A52A0"/>
    <w:rsid w:val="004C68EF"/>
    <w:rsid w:val="004D13A6"/>
    <w:rsid w:val="00516D85"/>
    <w:rsid w:val="00523181"/>
    <w:rsid w:val="005278A2"/>
    <w:rsid w:val="005344B9"/>
    <w:rsid w:val="00534FC8"/>
    <w:rsid w:val="00547AAD"/>
    <w:rsid w:val="00553F1D"/>
    <w:rsid w:val="0056678F"/>
    <w:rsid w:val="00585A54"/>
    <w:rsid w:val="005948F9"/>
    <w:rsid w:val="005A521A"/>
    <w:rsid w:val="005B1ABA"/>
    <w:rsid w:val="005C7643"/>
    <w:rsid w:val="005E0FAF"/>
    <w:rsid w:val="005E5EDF"/>
    <w:rsid w:val="005F7881"/>
    <w:rsid w:val="00614CEC"/>
    <w:rsid w:val="00655503"/>
    <w:rsid w:val="00656A35"/>
    <w:rsid w:val="00663F09"/>
    <w:rsid w:val="00664BAA"/>
    <w:rsid w:val="00674AD1"/>
    <w:rsid w:val="00674B37"/>
    <w:rsid w:val="00685596"/>
    <w:rsid w:val="006A2B4A"/>
    <w:rsid w:val="006A5D36"/>
    <w:rsid w:val="006B087E"/>
    <w:rsid w:val="006C51C3"/>
    <w:rsid w:val="006D45BC"/>
    <w:rsid w:val="0070369A"/>
    <w:rsid w:val="007A3AE6"/>
    <w:rsid w:val="007C0CB9"/>
    <w:rsid w:val="007D4036"/>
    <w:rsid w:val="007E3FF4"/>
    <w:rsid w:val="007F1DC8"/>
    <w:rsid w:val="00806205"/>
    <w:rsid w:val="0083519E"/>
    <w:rsid w:val="00882231"/>
    <w:rsid w:val="00882E7D"/>
    <w:rsid w:val="00886A21"/>
    <w:rsid w:val="00892183"/>
    <w:rsid w:val="00896317"/>
    <w:rsid w:val="008B6396"/>
    <w:rsid w:val="008C3D96"/>
    <w:rsid w:val="008C5C1C"/>
    <w:rsid w:val="0090686A"/>
    <w:rsid w:val="00914265"/>
    <w:rsid w:val="00915768"/>
    <w:rsid w:val="00916235"/>
    <w:rsid w:val="00940E94"/>
    <w:rsid w:val="009706D2"/>
    <w:rsid w:val="00996438"/>
    <w:rsid w:val="009C23C9"/>
    <w:rsid w:val="009F015E"/>
    <w:rsid w:val="009F5888"/>
    <w:rsid w:val="00A062BC"/>
    <w:rsid w:val="00A13A8F"/>
    <w:rsid w:val="00A17698"/>
    <w:rsid w:val="00A3558E"/>
    <w:rsid w:val="00A377F3"/>
    <w:rsid w:val="00A42918"/>
    <w:rsid w:val="00A42E0A"/>
    <w:rsid w:val="00A66068"/>
    <w:rsid w:val="00A84947"/>
    <w:rsid w:val="00A94D4D"/>
    <w:rsid w:val="00A97415"/>
    <w:rsid w:val="00AB2792"/>
    <w:rsid w:val="00AB4E54"/>
    <w:rsid w:val="00AB587C"/>
    <w:rsid w:val="00AD7B9E"/>
    <w:rsid w:val="00AE3A48"/>
    <w:rsid w:val="00B111C0"/>
    <w:rsid w:val="00B313FD"/>
    <w:rsid w:val="00B36205"/>
    <w:rsid w:val="00B962DA"/>
    <w:rsid w:val="00BB61CD"/>
    <w:rsid w:val="00BE2414"/>
    <w:rsid w:val="00C1505A"/>
    <w:rsid w:val="00C25964"/>
    <w:rsid w:val="00C31DDB"/>
    <w:rsid w:val="00C81206"/>
    <w:rsid w:val="00C96E9F"/>
    <w:rsid w:val="00CD330D"/>
    <w:rsid w:val="00CF32A5"/>
    <w:rsid w:val="00CF419E"/>
    <w:rsid w:val="00D021CC"/>
    <w:rsid w:val="00D167F6"/>
    <w:rsid w:val="00D25065"/>
    <w:rsid w:val="00D3269E"/>
    <w:rsid w:val="00D95872"/>
    <w:rsid w:val="00DC3C41"/>
    <w:rsid w:val="00DD1ACE"/>
    <w:rsid w:val="00DD5989"/>
    <w:rsid w:val="00E321C0"/>
    <w:rsid w:val="00E32B9F"/>
    <w:rsid w:val="00E7012B"/>
    <w:rsid w:val="00E82AA7"/>
    <w:rsid w:val="00EA5030"/>
    <w:rsid w:val="00EA532A"/>
    <w:rsid w:val="00ED0E9B"/>
    <w:rsid w:val="00EE7382"/>
    <w:rsid w:val="00EF5CF6"/>
    <w:rsid w:val="00EF5D8E"/>
    <w:rsid w:val="00F13B1C"/>
    <w:rsid w:val="00F20A62"/>
    <w:rsid w:val="00F24692"/>
    <w:rsid w:val="00F309C6"/>
    <w:rsid w:val="00F35039"/>
    <w:rsid w:val="00F42EB9"/>
    <w:rsid w:val="00F456D1"/>
    <w:rsid w:val="00F959D6"/>
    <w:rsid w:val="00FB4F6D"/>
    <w:rsid w:val="00FC0F36"/>
    <w:rsid w:val="00FD330C"/>
    <w:rsid w:val="00FD4282"/>
    <w:rsid w:val="00FD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E6C3"/>
  <w15:chartTrackingRefBased/>
  <w15:docId w15:val="{572C3CE7-E73F-48FD-A0D3-0A5ED72F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sz w:val="22"/>
        <w:szCs w:val="24"/>
        <w:lang w:val="en-US" w:eastAsia="en-US" w:bidi="ar-SA"/>
      </w:rPr>
    </w:rPrDefault>
    <w:pPrDefault>
      <w:pPr>
        <w:spacing w:before="60"/>
        <w:ind w:left="907"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121A"/>
    <w:pPr>
      <w:keepNext/>
      <w:keepLines/>
      <w:spacing w:before="240" w:after="120" w:line="276" w:lineRule="auto"/>
      <w:ind w:left="0" w:firstLine="0"/>
      <w:outlineLvl w:val="0"/>
    </w:pPr>
    <w:rPr>
      <w:rFonts w:asciiTheme="majorHAnsi" w:eastAsia="Arial" w:hAnsiTheme="majorHAnsi" w:cs="Arial"/>
      <w:color w:val="2F5496" w:themeColor="accent1" w:themeShade="BF"/>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1A"/>
    <w:rPr>
      <w:rFonts w:asciiTheme="majorHAnsi" w:eastAsia="Arial" w:hAnsiTheme="majorHAnsi" w:cs="Arial"/>
      <w:color w:val="2F5496" w:themeColor="accent1" w:themeShade="BF"/>
      <w:sz w:val="40"/>
      <w:szCs w:val="40"/>
      <w:lang w:val="en"/>
    </w:rPr>
  </w:style>
  <w:style w:type="paragraph" w:customStyle="1" w:styleId="aynur">
    <w:name w:val="aynur"/>
    <w:basedOn w:val="Heading1"/>
    <w:link w:val="aynurChar"/>
    <w:autoRedefine/>
    <w:qFormat/>
    <w:rsid w:val="00655503"/>
    <w:pPr>
      <w:keepNext w:val="0"/>
      <w:keepLines w:val="0"/>
      <w:spacing w:after="0"/>
    </w:pPr>
    <w:rPr>
      <w:rFonts w:ascii="Calibri" w:eastAsiaTheme="minorHAnsi" w:hAnsi="Calibri" w:cs="Calibri"/>
      <w:sz w:val="36"/>
      <w:szCs w:val="36"/>
    </w:rPr>
  </w:style>
  <w:style w:type="character" w:customStyle="1" w:styleId="aynurChar">
    <w:name w:val="aynur Char"/>
    <w:basedOn w:val="Heading1Char"/>
    <w:link w:val="aynur"/>
    <w:rsid w:val="00655503"/>
    <w:rPr>
      <w:rFonts w:asciiTheme="majorHAnsi" w:eastAsia="Arial" w:hAnsiTheme="majorHAnsi" w:cs="Arial"/>
      <w:color w:val="2F5496" w:themeColor="accent1" w:themeShade="BF"/>
      <w:sz w:val="36"/>
      <w:szCs w:val="36"/>
      <w:lang w:val="en"/>
    </w:rPr>
  </w:style>
  <w:style w:type="table" w:styleId="TableGrid">
    <w:name w:val="Table Grid"/>
    <w:basedOn w:val="TableNormal"/>
    <w:uiPriority w:val="39"/>
    <w:rsid w:val="002D79E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2D79EE"/>
    <w:pPr>
      <w:ind w:left="720"/>
      <w:contextualSpacing/>
    </w:pPr>
  </w:style>
  <w:style w:type="paragraph" w:styleId="BalloonText">
    <w:name w:val="Balloon Text"/>
    <w:basedOn w:val="Normal"/>
    <w:link w:val="BalloonTextChar"/>
    <w:uiPriority w:val="99"/>
    <w:semiHidden/>
    <w:unhideWhenUsed/>
    <w:rsid w:val="00A3558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58E"/>
    <w:rPr>
      <w:rFonts w:ascii="Segoe UI" w:hAnsi="Segoe UI" w:cs="Segoe UI"/>
      <w:sz w:val="18"/>
      <w:szCs w:val="18"/>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C5C1C"/>
  </w:style>
  <w:style w:type="paragraph" w:styleId="FootnoteText">
    <w:name w:val="footnote text"/>
    <w:basedOn w:val="Normal"/>
    <w:link w:val="FootnoteTextChar"/>
    <w:uiPriority w:val="99"/>
    <w:semiHidden/>
    <w:unhideWhenUsed/>
    <w:rsid w:val="00FD4282"/>
    <w:pPr>
      <w:spacing w:before="0"/>
    </w:pPr>
    <w:rPr>
      <w:sz w:val="20"/>
      <w:szCs w:val="20"/>
    </w:rPr>
  </w:style>
  <w:style w:type="character" w:customStyle="1" w:styleId="FootnoteTextChar">
    <w:name w:val="Footnote Text Char"/>
    <w:basedOn w:val="DefaultParagraphFont"/>
    <w:link w:val="FootnoteText"/>
    <w:uiPriority w:val="99"/>
    <w:semiHidden/>
    <w:rsid w:val="00FD4282"/>
    <w:rPr>
      <w:sz w:val="20"/>
      <w:szCs w:val="20"/>
    </w:rPr>
  </w:style>
  <w:style w:type="character" w:styleId="FootnoteReference">
    <w:name w:val="footnote reference"/>
    <w:basedOn w:val="DefaultParagraphFont"/>
    <w:uiPriority w:val="99"/>
    <w:semiHidden/>
    <w:unhideWhenUsed/>
    <w:rsid w:val="00FD4282"/>
    <w:rPr>
      <w:vertAlign w:val="superscript"/>
    </w:rPr>
  </w:style>
  <w:style w:type="character" w:styleId="Hyperlink">
    <w:name w:val="Hyperlink"/>
    <w:basedOn w:val="DefaultParagraphFont"/>
    <w:uiPriority w:val="99"/>
    <w:unhideWhenUsed/>
    <w:rsid w:val="00B313FD"/>
    <w:rPr>
      <w:color w:val="0563C1" w:themeColor="hyperlink"/>
      <w:u w:val="single"/>
    </w:rPr>
  </w:style>
  <w:style w:type="character" w:styleId="UnresolvedMention">
    <w:name w:val="Unresolved Mention"/>
    <w:basedOn w:val="DefaultParagraphFont"/>
    <w:uiPriority w:val="99"/>
    <w:semiHidden/>
    <w:unhideWhenUsed/>
    <w:rsid w:val="00B313FD"/>
    <w:rPr>
      <w:color w:val="605E5C"/>
      <w:shd w:val="clear" w:color="auto" w:fill="E1DFDD"/>
    </w:rPr>
  </w:style>
  <w:style w:type="character" w:styleId="FollowedHyperlink">
    <w:name w:val="FollowedHyperlink"/>
    <w:basedOn w:val="DefaultParagraphFont"/>
    <w:uiPriority w:val="99"/>
    <w:semiHidden/>
    <w:unhideWhenUsed/>
    <w:rsid w:val="00F24692"/>
    <w:rPr>
      <w:color w:val="954F72" w:themeColor="followedHyperlink"/>
      <w:u w:val="single"/>
    </w:rPr>
  </w:style>
  <w:style w:type="character" w:styleId="CommentReference">
    <w:name w:val="annotation reference"/>
    <w:basedOn w:val="DefaultParagraphFont"/>
    <w:uiPriority w:val="99"/>
    <w:semiHidden/>
    <w:unhideWhenUsed/>
    <w:rsid w:val="0048703A"/>
    <w:rPr>
      <w:sz w:val="16"/>
      <w:szCs w:val="16"/>
    </w:rPr>
  </w:style>
  <w:style w:type="paragraph" w:styleId="CommentText">
    <w:name w:val="annotation text"/>
    <w:basedOn w:val="Normal"/>
    <w:link w:val="CommentTextChar"/>
    <w:uiPriority w:val="99"/>
    <w:semiHidden/>
    <w:unhideWhenUsed/>
    <w:rsid w:val="0048703A"/>
    <w:rPr>
      <w:sz w:val="20"/>
      <w:szCs w:val="20"/>
    </w:rPr>
  </w:style>
  <w:style w:type="character" w:customStyle="1" w:styleId="CommentTextChar">
    <w:name w:val="Comment Text Char"/>
    <w:basedOn w:val="DefaultParagraphFont"/>
    <w:link w:val="CommentText"/>
    <w:uiPriority w:val="99"/>
    <w:semiHidden/>
    <w:rsid w:val="0048703A"/>
    <w:rPr>
      <w:sz w:val="20"/>
      <w:szCs w:val="20"/>
    </w:rPr>
  </w:style>
  <w:style w:type="paragraph" w:styleId="CommentSubject">
    <w:name w:val="annotation subject"/>
    <w:basedOn w:val="CommentText"/>
    <w:next w:val="CommentText"/>
    <w:link w:val="CommentSubjectChar"/>
    <w:uiPriority w:val="99"/>
    <w:semiHidden/>
    <w:unhideWhenUsed/>
    <w:rsid w:val="0048703A"/>
    <w:rPr>
      <w:b/>
      <w:bCs/>
    </w:rPr>
  </w:style>
  <w:style w:type="character" w:customStyle="1" w:styleId="CommentSubjectChar">
    <w:name w:val="Comment Subject Char"/>
    <w:basedOn w:val="CommentTextChar"/>
    <w:link w:val="CommentSubject"/>
    <w:uiPriority w:val="99"/>
    <w:semiHidden/>
    <w:rsid w:val="0048703A"/>
    <w:rPr>
      <w:b/>
      <w:bCs/>
      <w:sz w:val="20"/>
      <w:szCs w:val="20"/>
    </w:rPr>
  </w:style>
  <w:style w:type="paragraph" w:customStyle="1" w:styleId="Default">
    <w:name w:val="Default"/>
    <w:rsid w:val="00A66068"/>
    <w:pPr>
      <w:autoSpaceDE w:val="0"/>
      <w:autoSpaceDN w:val="0"/>
      <w:adjustRightInd w:val="0"/>
      <w:spacing w:before="0"/>
      <w:ind w:left="0" w:firstLine="0"/>
    </w:pPr>
    <w:rPr>
      <w:sz w:val="24"/>
    </w:rPr>
  </w:style>
  <w:style w:type="paragraph" w:styleId="Header">
    <w:name w:val="header"/>
    <w:basedOn w:val="Normal"/>
    <w:link w:val="HeaderChar"/>
    <w:uiPriority w:val="99"/>
    <w:unhideWhenUsed/>
    <w:rsid w:val="005A521A"/>
    <w:pPr>
      <w:tabs>
        <w:tab w:val="center" w:pos="4680"/>
        <w:tab w:val="right" w:pos="9360"/>
      </w:tabs>
      <w:spacing w:before="0"/>
    </w:pPr>
  </w:style>
  <w:style w:type="character" w:customStyle="1" w:styleId="HeaderChar">
    <w:name w:val="Header Char"/>
    <w:basedOn w:val="DefaultParagraphFont"/>
    <w:link w:val="Header"/>
    <w:uiPriority w:val="99"/>
    <w:rsid w:val="005A521A"/>
  </w:style>
  <w:style w:type="paragraph" w:styleId="Footer">
    <w:name w:val="footer"/>
    <w:basedOn w:val="Normal"/>
    <w:link w:val="FooterChar"/>
    <w:uiPriority w:val="99"/>
    <w:unhideWhenUsed/>
    <w:rsid w:val="005A521A"/>
    <w:pPr>
      <w:tabs>
        <w:tab w:val="center" w:pos="4680"/>
        <w:tab w:val="right" w:pos="9360"/>
      </w:tabs>
      <w:spacing w:before="0"/>
    </w:pPr>
  </w:style>
  <w:style w:type="character" w:customStyle="1" w:styleId="FooterChar">
    <w:name w:val="Footer Char"/>
    <w:basedOn w:val="DefaultParagraphFont"/>
    <w:link w:val="Footer"/>
    <w:uiPriority w:val="99"/>
    <w:rsid w:val="005A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ifrc.org/emergencies/397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cialscienceinaction.org/resources/key-considerations-covid-19-informal-urban-settlements-march-2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ynur.kadihasanoglu@if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6BCC00A6A504B9CDCA32885882A52" ma:contentTypeVersion="13" ma:contentTypeDescription="Create a new document." ma:contentTypeScope="" ma:versionID="2971ad7b0b26e9ece68dc0aecc84a495">
  <xsd:schema xmlns:xsd="http://www.w3.org/2001/XMLSchema" xmlns:xs="http://www.w3.org/2001/XMLSchema" xmlns:p="http://schemas.microsoft.com/office/2006/metadata/properties" xmlns:ns3="b7d42fc7-596a-47eb-851e-423c4696558b" xmlns:ns4="b107c980-b06e-4767-98b6-af6c9467c0b3" targetNamespace="http://schemas.microsoft.com/office/2006/metadata/properties" ma:root="true" ma:fieldsID="87d40dc8d53a1767898d641b540690c0" ns3:_="" ns4:_="">
    <xsd:import namespace="b7d42fc7-596a-47eb-851e-423c4696558b"/>
    <xsd:import namespace="b107c980-b06e-4767-98b6-af6c9467c0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42fc7-596a-47eb-851e-423c469655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7c980-b06e-4767-98b6-af6c9467c0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4E40-FDDD-410F-9DA3-A01C9E3DD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42fc7-596a-47eb-851e-423c4696558b"/>
    <ds:schemaRef ds:uri="b107c980-b06e-4767-98b6-af6c9467c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AED1E-77A7-47FC-A100-E7BC4BFD758A}">
  <ds:schemaRefs>
    <ds:schemaRef ds:uri="http://schemas.microsoft.com/sharepoint/v3/contenttype/forms"/>
  </ds:schemaRefs>
</ds:datastoreItem>
</file>

<file path=customXml/itemProps3.xml><?xml version="1.0" encoding="utf-8"?>
<ds:datastoreItem xmlns:ds="http://schemas.openxmlformats.org/officeDocument/2006/customXml" ds:itemID="{44207C39-AAA6-4F3F-B88D-555B9C546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AB6F40-82E2-46F0-8436-BEDF94A2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KADIHASANOGLU</dc:creator>
  <cp:keywords/>
  <dc:description/>
  <cp:lastModifiedBy>Aynur KADIHASANOGLU</cp:lastModifiedBy>
  <cp:revision>3</cp:revision>
  <dcterms:created xsi:type="dcterms:W3CDTF">2020-04-13T08:20:00Z</dcterms:created>
  <dcterms:modified xsi:type="dcterms:W3CDTF">2020-04-13T16:36:00Z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0x0101007536BCC00A6A504B9CDCA32885882A52</vt:lpwstr>
  </property>
</Properties>
</file>