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9171E" w14:textId="77777777" w:rsidR="00584D45" w:rsidRPr="007069AB" w:rsidRDefault="002F678F">
      <w:pPr>
        <w:pStyle w:val="Heading1"/>
        <w:spacing w:before="120" w:after="0"/>
      </w:pPr>
      <w:r w:rsidRPr="007069AB">
        <w:t>Observaciones urbanas para</w:t>
      </w:r>
    </w:p>
    <w:p w14:paraId="7EB9A4F3" w14:textId="32109EAD" w:rsidR="00584D45" w:rsidRPr="007069AB" w:rsidRDefault="002F678F">
      <w:pPr>
        <w:pStyle w:val="Heading1"/>
        <w:spacing w:before="120" w:after="0"/>
      </w:pPr>
      <w:bookmarkStart w:id="0" w:name="_Hlk37318599"/>
      <w:r w:rsidRPr="007069AB">
        <w:t xml:space="preserve">el llamamiento de emergencia revisado sobre COVID 19 </w:t>
      </w:r>
    </w:p>
    <w:bookmarkEnd w:id="0"/>
    <w:p w14:paraId="3BF2A4C6" w14:textId="06C66F5E" w:rsidR="00584D45" w:rsidRPr="009A2202" w:rsidRDefault="002F678F">
      <w:pPr>
        <w:spacing w:before="120"/>
        <w:ind w:left="0" w:firstLine="0"/>
      </w:pPr>
      <w:r w:rsidRPr="007069AB">
        <w:t xml:space="preserve">Esta guía orientativa deriva </w:t>
      </w:r>
      <w:r w:rsidRPr="009A2202">
        <w:t xml:space="preserve">de un </w:t>
      </w:r>
      <w:hyperlink r:id="rId11" w:history="1">
        <w:r w:rsidRPr="009A2202">
          <w:rPr>
            <w:rStyle w:val="Hyperlink"/>
          </w:rPr>
          <w:t>informe técnico</w:t>
        </w:r>
      </w:hyperlink>
      <w:r w:rsidRPr="009A2202">
        <w:t xml:space="preserve"> que se desarrolló en cooperación con otras organizaciones. Se recomienda con suma importancia leerlo como un manual básico. También es un recurso adicional a los documentos de orientación de la Federación Internacional de la Cruz Roja y de la Media Luna Roja (IFRC, por sus siglas en inglés) sobre participación comunitaria y rendición de cuentas a la comunidad (CEA, por sus siglas en inglés), salud, protección, género e inclusión (PGI) y muchos otros que se pueden encontrar </w:t>
      </w:r>
      <w:hyperlink r:id="rId12" w:anchor="additional-info" w:history="1">
        <w:r w:rsidRPr="009A2202">
          <w:rPr>
            <w:rStyle w:val="Hyperlink"/>
          </w:rPr>
          <w:t>aquí</w:t>
        </w:r>
      </w:hyperlink>
      <w:r w:rsidRPr="009A2202">
        <w:t>.</w:t>
      </w:r>
    </w:p>
    <w:p w14:paraId="234AD400" w14:textId="39D0CDE7" w:rsidR="00584D45" w:rsidRPr="009A2202" w:rsidRDefault="002F678F">
      <w:pPr>
        <w:spacing w:before="120"/>
        <w:ind w:left="0" w:firstLine="0"/>
      </w:pPr>
      <w:r w:rsidRPr="009A2202">
        <w:t xml:space="preserve">Esta guía orientativa está adaptada a las necesidades específicas de las oficinas regionales del IFRC y las Sociedades Nacionales para prepararse para el llamamiento de emergencia revisado para el COVID 19 (MDR00005). Está diseñado en conjunto con las actividades principales de la Estrategia Operativa del llamamiento, resumiendo las actividades que se sugiere considerar. Esta lista no pretende ser exhaustiva y hay muchas otras actividades que pueden planear las Sociedades nacionales que se adecuen a sus contextos. </w:t>
      </w:r>
    </w:p>
    <w:p w14:paraId="0CC71C59" w14:textId="77777777" w:rsidR="00584D45" w:rsidRPr="009A2202" w:rsidRDefault="00584D45">
      <w:pPr>
        <w:ind w:left="0" w:firstLine="0"/>
        <w:rPr>
          <w:sz w:val="24"/>
        </w:rPr>
      </w:pPr>
    </w:p>
    <w:tbl>
      <w:tblPr>
        <w:tblStyle w:val="TableGrid"/>
        <w:tblW w:w="9895" w:type="dxa"/>
        <w:tblInd w:w="-90" w:type="dxa"/>
        <w:tblLook w:val="04A0" w:firstRow="1" w:lastRow="0" w:firstColumn="1" w:lastColumn="0" w:noHBand="0" w:noVBand="1"/>
      </w:tblPr>
      <w:tblGrid>
        <w:gridCol w:w="3415"/>
        <w:gridCol w:w="6480"/>
      </w:tblGrid>
      <w:tr w:rsidR="00584D45" w:rsidRPr="009A2202" w14:paraId="5F024688" w14:textId="77777777">
        <w:tc>
          <w:tcPr>
            <w:tcW w:w="3415" w:type="dxa"/>
            <w:shd w:val="clear" w:color="auto" w:fill="E7E6E6" w:themeFill="background2"/>
          </w:tcPr>
          <w:p w14:paraId="0CA4CCD7" w14:textId="1EFCB2AE" w:rsidR="00584D45" w:rsidRPr="009A2202" w:rsidRDefault="002F678F">
            <w:pPr>
              <w:ind w:left="0" w:firstLine="0"/>
            </w:pPr>
            <w:r w:rsidRPr="009A2202">
              <w:rPr>
                <w:rFonts w:asciiTheme="majorHAnsi" w:eastAsia="Times New Roman" w:hAnsiTheme="majorHAnsi" w:cstheme="majorHAnsi"/>
                <w:b/>
              </w:rPr>
              <w:t>A nivel regional</w:t>
            </w:r>
          </w:p>
        </w:tc>
        <w:tc>
          <w:tcPr>
            <w:tcW w:w="6480" w:type="dxa"/>
            <w:shd w:val="clear" w:color="auto" w:fill="E7E6E6" w:themeFill="background2"/>
          </w:tcPr>
          <w:p w14:paraId="70A758B0" w14:textId="677A4322" w:rsidR="00584D45" w:rsidRPr="009A2202" w:rsidRDefault="002F678F">
            <w:pPr>
              <w:ind w:left="0" w:firstLine="0"/>
            </w:pPr>
            <w:r w:rsidRPr="009A2202">
              <w:rPr>
                <w:rFonts w:asciiTheme="majorHAnsi" w:eastAsia="Times New Roman" w:hAnsiTheme="majorHAnsi" w:cstheme="majorHAnsi"/>
                <w:b/>
              </w:rPr>
              <w:t>A nivel nacional</w:t>
            </w:r>
          </w:p>
        </w:tc>
      </w:tr>
      <w:tr w:rsidR="00584D45" w:rsidRPr="009A2202" w14:paraId="490E5790" w14:textId="77777777">
        <w:tc>
          <w:tcPr>
            <w:tcW w:w="9895" w:type="dxa"/>
            <w:gridSpan w:val="2"/>
            <w:shd w:val="clear" w:color="auto" w:fill="FFF2CC" w:themeFill="accent4" w:themeFillTint="33"/>
          </w:tcPr>
          <w:p w14:paraId="6070EE7C" w14:textId="2C039AD4" w:rsidR="00584D45" w:rsidRPr="009A2202" w:rsidRDefault="002F678F">
            <w:pPr>
              <w:ind w:left="0" w:firstLine="0"/>
              <w:rPr>
                <w:rFonts w:asciiTheme="majorHAnsi" w:eastAsia="Times New Roman" w:hAnsiTheme="majorHAnsi" w:cstheme="majorHAnsi"/>
                <w:b/>
                <w:color w:val="auto"/>
              </w:rPr>
            </w:pPr>
            <w:r w:rsidRPr="009A2202">
              <w:rPr>
                <w:rFonts w:asciiTheme="majorHAnsi" w:eastAsia="Times New Roman" w:hAnsiTheme="majorHAnsi" w:cstheme="majorHAnsi"/>
                <w:b/>
                <w:color w:val="auto"/>
              </w:rPr>
              <w:t>Generalidades</w:t>
            </w:r>
          </w:p>
          <w:p w14:paraId="0EE6D88D" w14:textId="77777777" w:rsidR="00584D45" w:rsidRPr="009A2202" w:rsidRDefault="00584D45">
            <w:pPr>
              <w:ind w:left="0" w:firstLine="0"/>
              <w:rPr>
                <w:rFonts w:asciiTheme="majorHAnsi" w:eastAsia="Times New Roman" w:hAnsiTheme="majorHAnsi" w:cstheme="majorHAnsi"/>
                <w:b/>
              </w:rPr>
            </w:pPr>
          </w:p>
        </w:tc>
      </w:tr>
      <w:tr w:rsidR="00584D45" w:rsidRPr="009A2202" w14:paraId="7E676719" w14:textId="77777777">
        <w:trPr>
          <w:trHeight w:val="4715"/>
        </w:trPr>
        <w:tc>
          <w:tcPr>
            <w:tcW w:w="3415" w:type="dxa"/>
          </w:tcPr>
          <w:p w14:paraId="21F280B4" w14:textId="00912CBF" w:rsidR="00584D45" w:rsidRPr="009A2202" w:rsidRDefault="002F678F">
            <w:pPr>
              <w:ind w:left="-21" w:firstLine="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t>Proveer soporte técnico a las SSNN para asegurar que sus Planes de Acción sean "aptas para urbes": que integren las observaciones sugeridas en el documento.</w:t>
            </w:r>
          </w:p>
          <w:p w14:paraId="55141740" w14:textId="721F1279" w:rsidR="00584D45" w:rsidRPr="009A2202" w:rsidRDefault="00584D45">
            <w:pPr>
              <w:ind w:left="0" w:firstLine="0"/>
              <w:rPr>
                <w:rFonts w:asciiTheme="minorHAnsi" w:eastAsia="Times New Roman" w:hAnsiTheme="minorHAnsi" w:cstheme="minorHAnsi"/>
                <w:color w:val="0D0D0D" w:themeColor="text1" w:themeTint="F2"/>
              </w:rPr>
            </w:pPr>
          </w:p>
          <w:p w14:paraId="710A2627" w14:textId="4253F91A" w:rsidR="00584D45" w:rsidRPr="009A2202" w:rsidRDefault="002F678F">
            <w:pPr>
              <w:ind w:left="-27" w:firstLine="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t>Registrar las enseñanzas y buenas prácticas de las operaciones actuales en la región desde una perspectiva urbana y compartirla con una red más amplia.</w:t>
            </w:r>
          </w:p>
          <w:p w14:paraId="5BE29527" w14:textId="1E80E657" w:rsidR="00584D45" w:rsidRPr="009A2202" w:rsidRDefault="00584D45">
            <w:pPr>
              <w:ind w:left="0" w:firstLine="0"/>
              <w:rPr>
                <w:rFonts w:asciiTheme="minorHAnsi" w:eastAsia="Times New Roman" w:hAnsiTheme="minorHAnsi" w:cstheme="minorHAnsi"/>
                <w:color w:val="0D0D0D" w:themeColor="text1" w:themeTint="F2"/>
              </w:rPr>
            </w:pPr>
          </w:p>
          <w:p w14:paraId="52116408" w14:textId="77777777" w:rsidR="00584D45" w:rsidRPr="009A2202" w:rsidRDefault="00584D45">
            <w:pPr>
              <w:ind w:left="0" w:firstLine="0"/>
              <w:rPr>
                <w:rFonts w:asciiTheme="minorHAnsi" w:eastAsia="Times New Roman" w:hAnsiTheme="minorHAnsi" w:cstheme="minorHAnsi"/>
                <w:color w:val="0D0D0D" w:themeColor="text1" w:themeTint="F2"/>
              </w:rPr>
            </w:pPr>
          </w:p>
          <w:p w14:paraId="7D8F966E" w14:textId="1E03A167" w:rsidR="00584D45" w:rsidRPr="009A2202" w:rsidRDefault="002F678F">
            <w:pPr>
              <w:ind w:left="0" w:firstLine="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t>Abogar a nivel regional para mejorar la capacidad y los recursos disponibles para realizar acciones anticipatorias y tomar las medidas necesarias para proteger a las poblaciones vulnerables contra eventos extremos pero predecibles, incluyendo desastres relacionados con la pandemia y el clima, que se tornan cada vez más graves.</w:t>
            </w:r>
          </w:p>
          <w:p w14:paraId="65F93CBF" w14:textId="77777777" w:rsidR="00584D45" w:rsidRPr="009A2202" w:rsidRDefault="00584D45">
            <w:pPr>
              <w:ind w:left="0" w:firstLine="0"/>
              <w:rPr>
                <w:rFonts w:asciiTheme="minorHAnsi" w:eastAsia="Times New Roman" w:hAnsiTheme="minorHAnsi" w:cstheme="minorHAnsi"/>
                <w:color w:val="0D0D0D" w:themeColor="text1" w:themeTint="F2"/>
              </w:rPr>
            </w:pPr>
          </w:p>
          <w:p w14:paraId="3336D70E" w14:textId="77777777" w:rsidR="00584D45" w:rsidRPr="009A2202" w:rsidRDefault="00584D45">
            <w:pPr>
              <w:pStyle w:val="ListParagraph"/>
              <w:rPr>
                <w:rFonts w:asciiTheme="minorHAnsi" w:eastAsia="Times New Roman" w:hAnsiTheme="minorHAnsi" w:cstheme="minorHAnsi"/>
                <w:color w:val="0D0D0D" w:themeColor="text1" w:themeTint="F2"/>
              </w:rPr>
            </w:pPr>
          </w:p>
          <w:p w14:paraId="1D772796" w14:textId="77777777" w:rsidR="00584D45" w:rsidRPr="009A2202" w:rsidRDefault="00584D45">
            <w:pPr>
              <w:ind w:left="0" w:firstLine="0"/>
              <w:rPr>
                <w:rFonts w:asciiTheme="minorHAnsi" w:eastAsia="Times New Roman" w:hAnsiTheme="minorHAnsi" w:cstheme="minorHAnsi"/>
                <w:color w:val="0D0D0D" w:themeColor="text1" w:themeTint="F2"/>
              </w:rPr>
            </w:pPr>
          </w:p>
          <w:p w14:paraId="65F720D5" w14:textId="2F5AAC3B" w:rsidR="00584D45" w:rsidRPr="009A2202" w:rsidRDefault="00584D45">
            <w:pPr>
              <w:rPr>
                <w:rFonts w:asciiTheme="minorHAnsi" w:eastAsia="Times New Roman" w:hAnsiTheme="minorHAnsi" w:cstheme="minorHAnsi"/>
                <w:color w:val="0D0D0D" w:themeColor="text1" w:themeTint="F2"/>
              </w:rPr>
            </w:pPr>
          </w:p>
        </w:tc>
        <w:tc>
          <w:tcPr>
            <w:tcW w:w="6480" w:type="dxa"/>
          </w:tcPr>
          <w:p w14:paraId="7F2B6F09" w14:textId="749678ED" w:rsidR="00584D45" w:rsidRPr="009A2202" w:rsidRDefault="002F678F">
            <w:pPr>
              <w:ind w:left="0" w:firstLine="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t>Aprovechar el rol auxiliar actual, trabajar junto con los gobiernos locales y los miembros clave de la sociedad para asegurar que todas las actividades propuestas se conecten y complementen a nivel de ciudad. Los planes deben tomar en consideración:</w:t>
            </w:r>
          </w:p>
          <w:p w14:paraId="4DC8F68F" w14:textId="1AED7819" w:rsidR="00584D45" w:rsidRPr="009A2202" w:rsidRDefault="002F678F">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sz w:val="21"/>
              </w:rPr>
            </w:pPr>
            <w:r w:rsidRPr="009A2202">
              <w:rPr>
                <w:rFonts w:asciiTheme="minorHAnsi" w:eastAsia="Times New Roman" w:hAnsiTheme="minorHAnsi" w:cstheme="minorHAnsi"/>
                <w:color w:val="0D0D0D" w:themeColor="text1" w:themeTint="F2"/>
              </w:rPr>
              <w:t xml:space="preserve">las comunidades establecidas en asentamientos informales </w:t>
            </w:r>
            <w:proofErr w:type="gramStart"/>
            <w:r w:rsidRPr="009A2202">
              <w:rPr>
                <w:rFonts w:asciiTheme="minorHAnsi" w:eastAsia="Times New Roman" w:hAnsiTheme="minorHAnsi" w:cstheme="minorHAnsi"/>
                <w:color w:val="0D0D0D" w:themeColor="text1" w:themeTint="F2"/>
              </w:rPr>
              <w:t>y  barrios</w:t>
            </w:r>
            <w:proofErr w:type="gramEnd"/>
            <w:r w:rsidRPr="009A2202">
              <w:rPr>
                <w:rFonts w:asciiTheme="minorHAnsi" w:eastAsia="Times New Roman" w:hAnsiTheme="minorHAnsi" w:cstheme="minorHAnsi"/>
                <w:color w:val="0D0D0D" w:themeColor="text1" w:themeTint="F2"/>
              </w:rPr>
              <w:t xml:space="preserve"> marginales son las más vulnerables, no solo frente al COVID sino frente a todo tipo de peligros. </w:t>
            </w:r>
            <w:r w:rsidRPr="009A2202">
              <w:rPr>
                <w:rFonts w:asciiTheme="minorHAnsi" w:eastAsia="Times New Roman" w:hAnsiTheme="minorHAnsi" w:cstheme="minorHAnsi"/>
                <w:color w:val="0D0D0D" w:themeColor="text1" w:themeTint="F2"/>
                <w:sz w:val="21"/>
              </w:rPr>
              <w:t>Las repercusiones sociales y económicas secundarias también afectarán en mayor medida a los barrios marginales y a los asentamientos informales</w:t>
            </w:r>
          </w:p>
          <w:p w14:paraId="09E30D4A" w14:textId="29B0FAFF" w:rsidR="00584D45" w:rsidRPr="009A2202" w:rsidRDefault="002F678F">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t xml:space="preserve">la diversidad de las comunidades urbanas y sus vulnerabilidades específicas (p. ej. poblaciones desplazadas, normas culturales e idiomas diversos, </w:t>
            </w:r>
            <w:proofErr w:type="spellStart"/>
            <w:r w:rsidRPr="009A2202">
              <w:rPr>
                <w:rFonts w:asciiTheme="minorHAnsi" w:eastAsia="Times New Roman" w:hAnsiTheme="minorHAnsi" w:cstheme="minorHAnsi"/>
                <w:color w:val="0D0D0D" w:themeColor="text1" w:themeTint="F2"/>
              </w:rPr>
              <w:t>etc</w:t>
            </w:r>
            <w:proofErr w:type="spellEnd"/>
            <w:r w:rsidRPr="009A2202">
              <w:rPr>
                <w:rFonts w:asciiTheme="minorHAnsi" w:eastAsia="Times New Roman" w:hAnsiTheme="minorHAnsi" w:cstheme="minorHAnsi"/>
                <w:color w:val="0D0D0D" w:themeColor="text1" w:themeTint="F2"/>
              </w:rPr>
              <w:t xml:space="preserve">) en las ciudades. </w:t>
            </w:r>
          </w:p>
          <w:p w14:paraId="102C2285" w14:textId="77777777" w:rsidR="00584D45" w:rsidRPr="009A2202" w:rsidRDefault="002F678F">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t>el rol vital del sector privado tanto como recurso y como beneficiario, en particular las pequeñas empresas y las casas sujetas al empleo autónomo informal</w:t>
            </w:r>
          </w:p>
          <w:p w14:paraId="0B34CEA4" w14:textId="77777777" w:rsidR="00584D45" w:rsidRPr="009A2202" w:rsidRDefault="002F678F">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t xml:space="preserve">la necesidad de trabajar junto con los gobiernos locales para asegurar que las intervenciones propuestas sean escalables y sostenibles. </w:t>
            </w:r>
          </w:p>
          <w:p w14:paraId="774CE2A5" w14:textId="13359F81" w:rsidR="00584D45" w:rsidRPr="009A2202" w:rsidRDefault="002F678F">
            <w:pPr>
              <w:pStyle w:val="ListParagraph"/>
              <w:numPr>
                <w:ilvl w:val="0"/>
                <w:numId w:val="8"/>
              </w:numPr>
              <w:spacing w:beforeLines="60" w:before="144"/>
              <w:ind w:left="259" w:hanging="187"/>
              <w:contextualSpacing w:val="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t>Integración completa de los planes de contingencia de las SSNN y los sistemas AAT con los planes y sistemas de emergencia de las ciudades.</w:t>
            </w:r>
          </w:p>
          <w:p w14:paraId="6380A24E" w14:textId="273F1E4C" w:rsidR="00584D45" w:rsidRPr="009A2202" w:rsidRDefault="00584D45">
            <w:pPr>
              <w:ind w:left="720" w:firstLine="0"/>
              <w:rPr>
                <w:rFonts w:asciiTheme="minorHAnsi" w:eastAsia="Times New Roman" w:hAnsiTheme="minorHAnsi" w:cstheme="minorHAnsi"/>
                <w:color w:val="0D0D0D" w:themeColor="text1" w:themeTint="F2"/>
              </w:rPr>
            </w:pPr>
          </w:p>
          <w:p w14:paraId="635FD016" w14:textId="77777777" w:rsidR="00584D45" w:rsidRPr="009A2202" w:rsidRDefault="002F678F">
            <w:pPr>
              <w:ind w:left="-21" w:firstLine="0"/>
              <w:rPr>
                <w:rFonts w:asciiTheme="minorHAnsi" w:eastAsia="Times New Roman" w:hAnsiTheme="minorHAnsi" w:cstheme="minorHAnsi"/>
                <w:color w:val="0D0D0D" w:themeColor="text1" w:themeTint="F2"/>
                <w:sz w:val="21"/>
              </w:rPr>
            </w:pPr>
            <w:r w:rsidRPr="009A2202">
              <w:rPr>
                <w:rFonts w:asciiTheme="minorHAnsi" w:eastAsia="Times New Roman" w:hAnsiTheme="minorHAnsi" w:cstheme="minorHAnsi"/>
                <w:color w:val="0D0D0D" w:themeColor="text1" w:themeTint="F2"/>
                <w:sz w:val="21"/>
              </w:rPr>
              <w:t xml:space="preserve">Promover e integrar, cuando sea posible, actividades que aumenten la capacidad y los recursos destinados a las tareas de prevención y la adopción de medidas necesarias para proteger a las poblaciones vulnerables y garantizar un enfoque de No Ocasionar Daño (Do No </w:t>
            </w:r>
            <w:proofErr w:type="spellStart"/>
            <w:r w:rsidRPr="009A2202">
              <w:rPr>
                <w:rFonts w:asciiTheme="minorHAnsi" w:eastAsia="Times New Roman" w:hAnsiTheme="minorHAnsi" w:cstheme="minorHAnsi"/>
                <w:color w:val="0D0D0D" w:themeColor="text1" w:themeTint="F2"/>
                <w:sz w:val="21"/>
              </w:rPr>
              <w:t>Harm</w:t>
            </w:r>
            <w:proofErr w:type="spellEnd"/>
            <w:r w:rsidRPr="009A2202">
              <w:rPr>
                <w:rFonts w:asciiTheme="minorHAnsi" w:eastAsia="Times New Roman" w:hAnsiTheme="minorHAnsi" w:cstheme="minorHAnsi"/>
                <w:color w:val="0D0D0D" w:themeColor="text1" w:themeTint="F2"/>
                <w:sz w:val="21"/>
              </w:rPr>
              <w:t>) frente a los efectos agravantes de eventos adversos extremos pero previsibles, incluidas las pandemias y los desastres climáticos.</w:t>
            </w:r>
            <w:r w:rsidRPr="009A2202">
              <w:t xml:space="preserve"> </w:t>
            </w:r>
          </w:p>
          <w:p w14:paraId="0394CC1F" w14:textId="0781B002" w:rsidR="00584D45" w:rsidRPr="009A2202" w:rsidRDefault="00584D45">
            <w:pPr>
              <w:ind w:left="0" w:firstLine="0"/>
              <w:rPr>
                <w:rFonts w:asciiTheme="minorHAnsi" w:hAnsiTheme="minorHAnsi" w:cstheme="minorHAnsi"/>
                <w:color w:val="0D0D0D" w:themeColor="text1" w:themeTint="F2"/>
              </w:rPr>
            </w:pPr>
          </w:p>
        </w:tc>
      </w:tr>
      <w:tr w:rsidR="00584D45" w:rsidRPr="009A2202" w14:paraId="730ECDF5" w14:textId="77777777">
        <w:tc>
          <w:tcPr>
            <w:tcW w:w="9895" w:type="dxa"/>
            <w:gridSpan w:val="2"/>
            <w:shd w:val="clear" w:color="auto" w:fill="FFF2CC" w:themeFill="accent4" w:themeFillTint="33"/>
          </w:tcPr>
          <w:p w14:paraId="2B1AC17A" w14:textId="420C8B5C" w:rsidR="00584D45" w:rsidRPr="009A2202" w:rsidRDefault="002F678F">
            <w:pPr>
              <w:ind w:left="0" w:firstLine="0"/>
              <w:rPr>
                <w:rFonts w:asciiTheme="minorHAnsi" w:eastAsia="Times New Roman" w:hAnsiTheme="minorHAnsi" w:cstheme="minorHAnsi"/>
                <w:b/>
                <w:color w:val="0D0D0D" w:themeColor="text1" w:themeTint="F2"/>
              </w:rPr>
            </w:pPr>
            <w:r w:rsidRPr="009A2202">
              <w:rPr>
                <w:rFonts w:asciiTheme="minorHAnsi" w:eastAsia="Times New Roman" w:hAnsiTheme="minorHAnsi" w:cstheme="minorHAnsi"/>
                <w:b/>
                <w:color w:val="0D0D0D" w:themeColor="text1" w:themeTint="F2"/>
              </w:rPr>
              <w:lastRenderedPageBreak/>
              <w:t>Apoyar los esfuerzos para detectar, aislar y tratar casos de COVID-19 en las comunidades más afectadas (en las ciudades, concentrarse en asentamientos informales y barrios marginales)</w:t>
            </w:r>
          </w:p>
          <w:p w14:paraId="5906C05E" w14:textId="69A647BB" w:rsidR="00584D45" w:rsidRPr="009A2202" w:rsidRDefault="00584D45">
            <w:pPr>
              <w:ind w:left="0" w:firstLine="0"/>
              <w:rPr>
                <w:rFonts w:asciiTheme="minorHAnsi" w:eastAsia="Times New Roman" w:hAnsiTheme="minorHAnsi" w:cstheme="minorHAnsi"/>
                <w:color w:val="0D0D0D" w:themeColor="text1" w:themeTint="F2"/>
              </w:rPr>
            </w:pPr>
          </w:p>
        </w:tc>
      </w:tr>
      <w:tr w:rsidR="00584D45" w:rsidRPr="009A2202" w14:paraId="39A04301" w14:textId="77777777">
        <w:tc>
          <w:tcPr>
            <w:tcW w:w="3415" w:type="dxa"/>
          </w:tcPr>
          <w:p w14:paraId="5A32762B" w14:textId="2F08403F" w:rsidR="00584D45" w:rsidRPr="009A2202" w:rsidRDefault="002F678F">
            <w:pPr>
              <w:ind w:left="0" w:firstLine="0"/>
              <w:rPr>
                <w:rFonts w:asciiTheme="minorHAnsi" w:hAnsiTheme="minorHAnsi" w:cstheme="minorHAnsi"/>
                <w:color w:val="0D0D0D" w:themeColor="text1" w:themeTint="F2"/>
              </w:rPr>
            </w:pPr>
            <w:r w:rsidRPr="009A2202">
              <w:rPr>
                <w:rFonts w:asciiTheme="minorHAnsi" w:eastAsia="Times New Roman" w:hAnsiTheme="minorHAnsi" w:cstheme="minorHAnsi"/>
                <w:color w:val="0D0D0D" w:themeColor="text1" w:themeTint="F2"/>
              </w:rPr>
              <w:t>Abogar por priorizar las poblaciones marginales y desamparadas en asentamientos informales y barrios marginales como las más vulnerables, ayudar a que las SSNN tracen planes de acción apropiados para esos asentamientos.</w:t>
            </w:r>
          </w:p>
        </w:tc>
        <w:tc>
          <w:tcPr>
            <w:tcW w:w="6480" w:type="dxa"/>
          </w:tcPr>
          <w:p w14:paraId="125E9F5B" w14:textId="4A918B1F" w:rsidR="00584D45" w:rsidRPr="009A2202" w:rsidRDefault="002F678F">
            <w:pPr>
              <w:ind w:left="0" w:firstLine="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t xml:space="preserve">Ayudar a las comunidades a </w:t>
            </w:r>
            <w:proofErr w:type="spellStart"/>
            <w:proofErr w:type="gramStart"/>
            <w:r w:rsidRPr="009A2202">
              <w:rPr>
                <w:rFonts w:asciiTheme="minorHAnsi" w:eastAsia="Times New Roman" w:hAnsiTheme="minorHAnsi" w:cstheme="minorHAnsi"/>
                <w:color w:val="0D0D0D" w:themeColor="text1" w:themeTint="F2"/>
              </w:rPr>
              <w:t>auto-organizarse</w:t>
            </w:r>
            <w:proofErr w:type="spellEnd"/>
            <w:proofErr w:type="gramEnd"/>
            <w:r w:rsidRPr="009A2202">
              <w:rPr>
                <w:rFonts w:asciiTheme="minorHAnsi" w:eastAsia="Times New Roman" w:hAnsiTheme="minorHAnsi" w:cstheme="minorHAnsi"/>
                <w:color w:val="0D0D0D" w:themeColor="text1" w:themeTint="F2"/>
              </w:rPr>
              <w:t>, recopilar información, diseñar e implementar intervenciones comunitarias que se acoplen a sus necesidades y características espaciales, al igual que a sus normas sociales y culturales y el reparto de poder en asentamientos informales y barrios marginales.</w:t>
            </w:r>
          </w:p>
          <w:p w14:paraId="6DEB2FD8" w14:textId="77777777" w:rsidR="00584D45" w:rsidRPr="009A2202" w:rsidRDefault="00584D45">
            <w:pPr>
              <w:ind w:left="0" w:firstLine="0"/>
              <w:rPr>
                <w:rFonts w:asciiTheme="minorHAnsi" w:eastAsia="Times New Roman" w:hAnsiTheme="minorHAnsi" w:cstheme="minorHAnsi"/>
                <w:color w:val="0D0D0D" w:themeColor="text1" w:themeTint="F2"/>
              </w:rPr>
            </w:pPr>
          </w:p>
          <w:p w14:paraId="153EEF6C" w14:textId="77777777" w:rsidR="00584D45" w:rsidRPr="009A2202" w:rsidRDefault="002F678F">
            <w:pPr>
              <w:ind w:left="0" w:firstLine="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t>Facilitar la comunicación y trabajar junto con autoridades de gobierno locales para combatir la desinformación y construir confianza entre quienes proveen servicios y las comunidades.</w:t>
            </w:r>
          </w:p>
          <w:p w14:paraId="4249F33F" w14:textId="5A8DE918" w:rsidR="00584D45" w:rsidRPr="009A2202" w:rsidRDefault="002F678F">
            <w:pPr>
              <w:ind w:left="0" w:firstLine="0"/>
              <w:rPr>
                <w:rFonts w:asciiTheme="minorHAnsi" w:eastAsia="Times New Roman" w:hAnsiTheme="minorHAnsi" w:cstheme="minorHAnsi"/>
                <w:color w:val="0D0D0D" w:themeColor="text1" w:themeTint="F2"/>
              </w:rPr>
            </w:pPr>
            <w:r w:rsidRPr="009A2202">
              <w:rPr>
                <w:rFonts w:asciiTheme="minorHAnsi" w:eastAsia="Times New Roman" w:hAnsiTheme="minorHAnsi" w:cstheme="minorHAnsi"/>
                <w:color w:val="0D0D0D" w:themeColor="text1" w:themeTint="F2"/>
              </w:rPr>
              <w:br/>
            </w:r>
            <w:r w:rsidRPr="009A2202">
              <w:rPr>
                <w:rFonts w:asciiTheme="minorHAnsi" w:eastAsia="Times New Roman" w:hAnsiTheme="minorHAnsi" w:cstheme="minorHAnsi"/>
                <w:color w:val="0D0D0D" w:themeColor="text1" w:themeTint="F2"/>
                <w:sz w:val="21"/>
              </w:rPr>
              <w:t>Invertir desde una fase temprana en la definición de perfiles de asentamientos informales y barrios marginales, tanto en lo relativo a su población (vulnerabilidades crónicas y agudas, como salud, seguridad, ingresos/gastos, diversidad de identidades y perfiles socioculturales), como a su organización territorial (por ejemplo, puntos de agua y saneamiento, mercados y centros de transporte).</w:t>
            </w:r>
            <w:r w:rsidRPr="009A2202">
              <w:rPr>
                <w:rFonts w:asciiTheme="minorHAnsi" w:eastAsia="Times New Roman" w:hAnsiTheme="minorHAnsi" w:cstheme="minorHAnsi"/>
                <w:color w:val="0D0D0D" w:themeColor="text1" w:themeTint="F2"/>
              </w:rPr>
              <w:t xml:space="preserve"> </w:t>
            </w:r>
            <w:r w:rsidRPr="009A2202">
              <w:rPr>
                <w:rFonts w:asciiTheme="minorHAnsi" w:eastAsia="Times New Roman" w:hAnsiTheme="minorHAnsi" w:cstheme="minorHAnsi"/>
                <w:color w:val="0D0D0D" w:themeColor="text1" w:themeTint="F2"/>
                <w:sz w:val="21"/>
              </w:rPr>
              <w:t xml:space="preserve"> </w:t>
            </w:r>
            <w:r w:rsidRPr="009A2202">
              <w:rPr>
                <w:rFonts w:asciiTheme="minorHAnsi" w:eastAsia="Times New Roman" w:hAnsiTheme="minorHAnsi" w:cstheme="minorHAnsi"/>
                <w:color w:val="0D0D0D" w:themeColor="text1" w:themeTint="F2"/>
              </w:rPr>
              <w:t>Esto también ayudará a crear un punto de referencia para planes de urgencia ante múltiples peligros y actividades de reducción de riesgo. Crear un mapa de los distintos grupos autoorganizados y organizaciones comunitarias, sus roles actuales e interrelaciones y sus recursos posibles al ofrecer intervenciones humanitarias.</w:t>
            </w:r>
            <w:r w:rsidR="007069AB" w:rsidRPr="009A2202">
              <w:rPr>
                <w:rFonts w:asciiTheme="minorHAnsi" w:eastAsia="Times New Roman" w:hAnsiTheme="minorHAnsi" w:cstheme="minorHAnsi"/>
                <w:color w:val="0D0D0D" w:themeColor="text1" w:themeTint="F2"/>
              </w:rPr>
              <w:t xml:space="preserve"> </w:t>
            </w:r>
            <w:r w:rsidRPr="009A2202">
              <w:rPr>
                <w:rFonts w:asciiTheme="minorHAnsi" w:eastAsia="Times New Roman" w:hAnsiTheme="minorHAnsi" w:cstheme="minorHAnsi"/>
                <w:color w:val="0D0D0D" w:themeColor="text1" w:themeTint="F2"/>
              </w:rPr>
              <w:t>Crear un mapa de los espacios y edificios (p. ej. escuelas, etc.) dentro o cerca de asentamientos informales y barrios marginales que puedan usarse para aislar a los más vulnerables, seleccionar posibles casos y prioridades y llevar a cabo cuarentenas limitadas. Identificar instituciones educativas que alternativamente puedan usarse como refugios, unidades de tratamiento o centros de cuarentena, donde sea necesario.</w:t>
            </w:r>
          </w:p>
          <w:p w14:paraId="312A9E59" w14:textId="77777777" w:rsidR="00584D45" w:rsidRPr="009A2202" w:rsidRDefault="00584D45">
            <w:pPr>
              <w:ind w:left="0" w:firstLine="0"/>
              <w:rPr>
                <w:rFonts w:asciiTheme="minorHAnsi" w:hAnsiTheme="minorHAnsi" w:cstheme="minorHAnsi"/>
                <w:color w:val="0D0D0D" w:themeColor="text1" w:themeTint="F2"/>
              </w:rPr>
            </w:pPr>
          </w:p>
          <w:p w14:paraId="6A898AD7" w14:textId="2A058777" w:rsidR="00584D45" w:rsidRPr="009A2202" w:rsidRDefault="00584D45">
            <w:pPr>
              <w:ind w:left="0" w:firstLine="0"/>
              <w:rPr>
                <w:rFonts w:asciiTheme="minorHAnsi" w:hAnsiTheme="minorHAnsi" w:cstheme="minorHAnsi"/>
                <w:color w:val="0D0D0D" w:themeColor="text1" w:themeTint="F2"/>
              </w:rPr>
            </w:pPr>
          </w:p>
        </w:tc>
      </w:tr>
      <w:tr w:rsidR="00584D45" w:rsidRPr="009A2202" w14:paraId="0D9097D6" w14:textId="77777777">
        <w:tc>
          <w:tcPr>
            <w:tcW w:w="9895" w:type="dxa"/>
            <w:gridSpan w:val="2"/>
            <w:shd w:val="clear" w:color="auto" w:fill="FFF2CC" w:themeFill="accent4" w:themeFillTint="33"/>
          </w:tcPr>
          <w:p w14:paraId="0C6A536A" w14:textId="77777777" w:rsidR="00584D45" w:rsidRPr="009A2202" w:rsidRDefault="002F678F">
            <w:pPr>
              <w:ind w:left="0" w:firstLine="0"/>
              <w:rPr>
                <w:rFonts w:asciiTheme="minorHAnsi" w:eastAsia="Times New Roman" w:hAnsiTheme="minorHAnsi" w:cstheme="minorHAnsi"/>
                <w:b/>
                <w:color w:val="0D0D0D" w:themeColor="text1" w:themeTint="F2"/>
              </w:rPr>
            </w:pPr>
            <w:r w:rsidRPr="009A2202">
              <w:rPr>
                <w:rFonts w:asciiTheme="minorHAnsi" w:eastAsia="Times New Roman" w:hAnsiTheme="minorHAnsi" w:cstheme="minorHAnsi"/>
                <w:b/>
                <w:color w:val="0D0D0D" w:themeColor="text1" w:themeTint="F2"/>
              </w:rPr>
              <w:t>Proveer servicios de salud a nivel comunitario para mantener el acceso a servicios sanitarios esenciales y prevenir enfermedades indirectas y muertes que resulten de sistemas de salud abrumados.</w:t>
            </w:r>
          </w:p>
          <w:p w14:paraId="0B6A717E" w14:textId="40D026B9" w:rsidR="00584D45" w:rsidRPr="009A2202" w:rsidRDefault="00584D45">
            <w:pPr>
              <w:ind w:left="0" w:firstLine="0"/>
              <w:rPr>
                <w:rFonts w:asciiTheme="minorHAnsi" w:eastAsia="Times New Roman" w:hAnsiTheme="minorHAnsi" w:cstheme="minorHAnsi"/>
                <w:b/>
                <w:color w:val="0D0D0D" w:themeColor="text1" w:themeTint="F2"/>
              </w:rPr>
            </w:pPr>
          </w:p>
        </w:tc>
      </w:tr>
      <w:tr w:rsidR="00584D45" w:rsidRPr="009A2202" w14:paraId="759B2C1B" w14:textId="77777777">
        <w:tc>
          <w:tcPr>
            <w:tcW w:w="3415" w:type="dxa"/>
          </w:tcPr>
          <w:p w14:paraId="6BCE23E7" w14:textId="78C86FB1" w:rsidR="00584D45" w:rsidRPr="009A2202" w:rsidRDefault="00584D45">
            <w:pPr>
              <w:ind w:left="0" w:firstLine="0"/>
              <w:rPr>
                <w:rFonts w:asciiTheme="minorHAnsi" w:hAnsiTheme="minorHAnsi" w:cstheme="minorHAnsi"/>
                <w:color w:val="0D0D0D" w:themeColor="text1" w:themeTint="F2"/>
              </w:rPr>
            </w:pPr>
          </w:p>
        </w:tc>
        <w:tc>
          <w:tcPr>
            <w:tcW w:w="6480" w:type="dxa"/>
          </w:tcPr>
          <w:p w14:paraId="2591623A" w14:textId="4D2A1C69" w:rsidR="00584D45" w:rsidRPr="009A2202" w:rsidRDefault="002F678F">
            <w:pPr>
              <w:ind w:left="0" w:firstLine="0"/>
              <w:rPr>
                <w:rFonts w:asciiTheme="minorHAnsi" w:eastAsia="Arial" w:hAnsiTheme="minorHAnsi" w:cstheme="minorHAnsi"/>
                <w:color w:val="0D0D0D" w:themeColor="text1" w:themeTint="F2"/>
              </w:rPr>
            </w:pPr>
            <w:r w:rsidRPr="009A2202">
              <w:rPr>
                <w:rFonts w:asciiTheme="minorHAnsi" w:hAnsiTheme="minorHAnsi" w:cstheme="minorHAnsi"/>
                <w:color w:val="0D0D0D" w:themeColor="text1" w:themeTint="F2"/>
              </w:rPr>
              <w:t>Trabajar junto con gobiernos locales y agencias nacionales, organizar sistemas AAT en las ciudades; adaptar y aplicar Acciones basadas en Pronósticos (FbA, por sus siglas en inglés) en contextos urbanos que incorporen alertas sobre la pandemia y acciones preventivas.</w:t>
            </w:r>
            <w:r w:rsidR="007069AB" w:rsidRPr="009A2202">
              <w:rPr>
                <w:rFonts w:asciiTheme="minorHAnsi" w:hAnsiTheme="minorHAnsi" w:cstheme="minorHAnsi"/>
                <w:color w:val="0D0D0D" w:themeColor="text1" w:themeTint="F2"/>
              </w:rPr>
              <w:t xml:space="preserve"> </w:t>
            </w:r>
            <w:r w:rsidRPr="009A2202">
              <w:rPr>
                <w:rFonts w:asciiTheme="minorHAnsi" w:hAnsiTheme="minorHAnsi" w:cstheme="minorHAnsi"/>
                <w:color w:val="0D0D0D" w:themeColor="text1" w:themeTint="F2"/>
              </w:rPr>
              <w:t>Trabajar con los gobiernos locales y proveedores de servicios para ampliar las posibilidades de proveer agua y saneamiento seguros, asegurando que la cobertura sea adecuada.</w:t>
            </w:r>
            <w:r w:rsidR="007069AB" w:rsidRPr="009A2202">
              <w:rPr>
                <w:rFonts w:asciiTheme="minorHAnsi" w:hAnsiTheme="minorHAnsi" w:cstheme="minorHAnsi"/>
                <w:color w:val="0D0D0D" w:themeColor="text1" w:themeTint="F2"/>
              </w:rPr>
              <w:t xml:space="preserve"> </w:t>
            </w:r>
            <w:r w:rsidRPr="009A2202">
              <w:rPr>
                <w:rFonts w:asciiTheme="minorHAnsi" w:hAnsiTheme="minorHAnsi" w:cstheme="minorHAnsi"/>
                <w:color w:val="0D0D0D" w:themeColor="text1" w:themeTint="F2"/>
              </w:rPr>
              <w:t>Ubicar estaciones de lavado de manos adecuadas en lugares estratégicos (p. ej. cerca de baños, mercados, centros de transporte, centros de información) y usarlas como núcleos para crear conciencia sobre el COVID-19.Desarrollar estrategias para proporcionar comida y agua que tomen en consideración que las casas no tienen capacidad para almacenar comida por muchos días y buscar maneras creativas para facilitar el distanciamiento social (p. ej. minimercados dispersos, envío a domicilio)Supervisar la inseguridad alimentaria y un acceso asequible a comida nutritiva, y promover medidas de mitigación (p. ej. agricultura urbana, programas que reemplacen la alimentación escolar).</w:t>
            </w:r>
          </w:p>
          <w:p w14:paraId="619C70D7" w14:textId="77777777" w:rsidR="00584D45" w:rsidRPr="009A2202" w:rsidRDefault="00584D45">
            <w:pPr>
              <w:ind w:left="0" w:firstLine="0"/>
              <w:rPr>
                <w:rFonts w:asciiTheme="minorHAnsi" w:eastAsia="Times New Roman" w:hAnsiTheme="minorHAnsi" w:cstheme="minorHAnsi"/>
                <w:color w:val="0D0D0D" w:themeColor="text1" w:themeTint="F2"/>
              </w:rPr>
            </w:pPr>
          </w:p>
          <w:p w14:paraId="75B9F203" w14:textId="0E1C4E3D" w:rsidR="00584D45" w:rsidRPr="009A2202" w:rsidRDefault="002F678F">
            <w:pPr>
              <w:ind w:left="0" w:firstLine="0"/>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lastRenderedPageBreak/>
              <w:t xml:space="preserve">Diseñar servicios, tratamientos y comunicados accesibles para todos, en especial para los marginados. </w:t>
            </w:r>
          </w:p>
          <w:p w14:paraId="798648FC" w14:textId="77777777" w:rsidR="00584D45" w:rsidRPr="009A2202" w:rsidRDefault="002F678F">
            <w:pPr>
              <w:numPr>
                <w:ilvl w:val="1"/>
                <w:numId w:val="9"/>
              </w:numPr>
              <w:spacing w:before="60"/>
              <w:ind w:left="259" w:hanging="187"/>
              <w:rPr>
                <w:rFonts w:asciiTheme="minorHAnsi" w:eastAsia="Arial" w:hAnsiTheme="minorHAnsi" w:cstheme="minorHAnsi"/>
                <w:iCs/>
                <w:color w:val="0D0D0D" w:themeColor="text1" w:themeTint="F2"/>
              </w:rPr>
            </w:pPr>
            <w:r w:rsidRPr="009A2202">
              <w:rPr>
                <w:rFonts w:asciiTheme="minorHAnsi" w:eastAsia="Arial" w:hAnsiTheme="minorHAnsi" w:cstheme="minorHAnsi"/>
                <w:iCs/>
                <w:color w:val="0D0D0D" w:themeColor="text1" w:themeTint="F2"/>
              </w:rPr>
              <w:t>Es posible que la gente mayor no pueda acceder de manera sencilla a la información en sitios web y redes sociales, así que se deben usar métodos de comunicación adaptados como llamadas telefónicas y folletos.</w:t>
            </w:r>
          </w:p>
          <w:p w14:paraId="2FAADAF7" w14:textId="77777777" w:rsidR="00584D45" w:rsidRPr="009A2202" w:rsidRDefault="002F678F">
            <w:pPr>
              <w:numPr>
                <w:ilvl w:val="1"/>
                <w:numId w:val="9"/>
              </w:numPr>
              <w:spacing w:before="60"/>
              <w:ind w:left="259" w:hanging="187"/>
              <w:rPr>
                <w:rFonts w:asciiTheme="minorHAnsi" w:eastAsia="Arial" w:hAnsiTheme="minorHAnsi" w:cstheme="minorHAnsi"/>
                <w:iCs/>
                <w:color w:val="0D0D0D" w:themeColor="text1" w:themeTint="F2"/>
              </w:rPr>
            </w:pPr>
            <w:r w:rsidRPr="009A2202">
              <w:rPr>
                <w:rFonts w:asciiTheme="minorHAnsi" w:eastAsia="Arial" w:hAnsiTheme="minorHAnsi" w:cstheme="minorHAnsi"/>
                <w:iCs/>
                <w:color w:val="0D0D0D" w:themeColor="text1" w:themeTint="F2"/>
              </w:rPr>
              <w:t>Ofrecer comunicados en los idiomas de las minorías étnicas e inmigrantes, en lenguaje simple, y adaptadas para personas con discapacidades visuales o auditivas.</w:t>
            </w:r>
          </w:p>
          <w:p w14:paraId="489F1377" w14:textId="77777777" w:rsidR="00584D45" w:rsidRPr="009A2202" w:rsidRDefault="002F678F">
            <w:pPr>
              <w:numPr>
                <w:ilvl w:val="1"/>
                <w:numId w:val="9"/>
              </w:numPr>
              <w:spacing w:before="60"/>
              <w:ind w:left="259" w:hanging="187"/>
              <w:rPr>
                <w:rFonts w:asciiTheme="minorHAnsi" w:eastAsia="Arial" w:hAnsiTheme="minorHAnsi" w:cstheme="minorHAnsi"/>
                <w:iCs/>
                <w:color w:val="0D0D0D" w:themeColor="text1" w:themeTint="F2"/>
              </w:rPr>
            </w:pPr>
            <w:r w:rsidRPr="009A2202">
              <w:rPr>
                <w:rFonts w:asciiTheme="minorHAnsi" w:eastAsia="Arial" w:hAnsiTheme="minorHAnsi" w:cstheme="minorHAnsi"/>
                <w:iCs/>
                <w:color w:val="0D0D0D" w:themeColor="text1" w:themeTint="F2"/>
              </w:rPr>
              <w:t xml:space="preserve">Cuando resulte posible, asegurar equipos equilibrados en cuanto a género, en especial cuando se proporcione tratamiento o apoyo, incluso cuando sea en línea o por teléfono. </w:t>
            </w:r>
          </w:p>
          <w:p w14:paraId="7C8E2E82" w14:textId="34BA834B" w:rsidR="00584D45" w:rsidRPr="009A2202" w:rsidRDefault="00584D45">
            <w:pPr>
              <w:ind w:left="0" w:firstLine="0"/>
              <w:rPr>
                <w:rFonts w:asciiTheme="minorHAnsi" w:hAnsiTheme="minorHAnsi" w:cstheme="minorHAnsi"/>
                <w:color w:val="0D0D0D" w:themeColor="text1" w:themeTint="F2"/>
              </w:rPr>
            </w:pPr>
          </w:p>
        </w:tc>
      </w:tr>
      <w:tr w:rsidR="00584D45" w:rsidRPr="009A2202" w14:paraId="2F2D6407" w14:textId="77777777">
        <w:tc>
          <w:tcPr>
            <w:tcW w:w="9895" w:type="dxa"/>
            <w:gridSpan w:val="2"/>
            <w:shd w:val="clear" w:color="auto" w:fill="FFF2CC" w:themeFill="accent4" w:themeFillTint="33"/>
          </w:tcPr>
          <w:p w14:paraId="04910C25" w14:textId="6126F340" w:rsidR="00584D45" w:rsidRPr="009A2202" w:rsidRDefault="002F678F">
            <w:pPr>
              <w:ind w:left="0" w:firstLine="0"/>
              <w:rPr>
                <w:rFonts w:asciiTheme="minorHAnsi" w:eastAsia="Times New Roman" w:hAnsiTheme="minorHAnsi" w:cstheme="minorHAnsi"/>
                <w:b/>
                <w:color w:val="0D0D0D" w:themeColor="text1" w:themeTint="F2"/>
              </w:rPr>
            </w:pPr>
            <w:proofErr w:type="gramStart"/>
            <w:r w:rsidRPr="009A2202">
              <w:rPr>
                <w:rFonts w:asciiTheme="minorHAnsi" w:eastAsia="Times New Roman" w:hAnsiTheme="minorHAnsi" w:cstheme="minorHAnsi"/>
                <w:b/>
                <w:color w:val="0D0D0D" w:themeColor="text1" w:themeTint="F2"/>
              </w:rPr>
              <w:lastRenderedPageBreak/>
              <w:t>Asegurar</w:t>
            </w:r>
            <w:proofErr w:type="gramEnd"/>
            <w:r w:rsidRPr="009A2202">
              <w:rPr>
                <w:rFonts w:asciiTheme="minorHAnsi" w:eastAsia="Times New Roman" w:hAnsiTheme="minorHAnsi" w:cstheme="minorHAnsi"/>
                <w:b/>
                <w:color w:val="0D0D0D" w:themeColor="text1" w:themeTint="F2"/>
              </w:rPr>
              <w:t xml:space="preserve"> que las comunidades tengan acceso a información crítica que puede salvar sus vidas y que se identifiquen y respeten las necesidades y perspectivas de la comunidad.</w:t>
            </w:r>
          </w:p>
          <w:p w14:paraId="4B0113FF" w14:textId="77777777" w:rsidR="00584D45" w:rsidRPr="009A2202" w:rsidRDefault="00584D45">
            <w:pPr>
              <w:ind w:left="0" w:firstLine="0"/>
              <w:rPr>
                <w:rFonts w:asciiTheme="minorHAnsi" w:eastAsia="Times New Roman" w:hAnsiTheme="minorHAnsi" w:cstheme="minorHAnsi"/>
                <w:b/>
                <w:color w:val="0D0D0D" w:themeColor="text1" w:themeTint="F2"/>
              </w:rPr>
            </w:pPr>
          </w:p>
          <w:p w14:paraId="30119FD4" w14:textId="77777777" w:rsidR="00584D45" w:rsidRPr="009A2202" w:rsidRDefault="00584D45">
            <w:pPr>
              <w:ind w:left="0" w:firstLine="0"/>
              <w:rPr>
                <w:rFonts w:asciiTheme="minorHAnsi" w:eastAsia="Arial" w:hAnsiTheme="minorHAnsi" w:cstheme="minorHAnsi"/>
                <w:b/>
                <w:color w:val="0D0D0D" w:themeColor="text1" w:themeTint="F2"/>
              </w:rPr>
            </w:pPr>
          </w:p>
        </w:tc>
      </w:tr>
      <w:tr w:rsidR="00584D45" w:rsidRPr="009A2202" w14:paraId="2C0941B0" w14:textId="77777777">
        <w:tc>
          <w:tcPr>
            <w:tcW w:w="3415" w:type="dxa"/>
          </w:tcPr>
          <w:p w14:paraId="31B73414" w14:textId="77777777" w:rsidR="00584D45" w:rsidRPr="009A2202" w:rsidRDefault="00584D45">
            <w:pPr>
              <w:ind w:left="0" w:firstLine="0"/>
              <w:rPr>
                <w:rFonts w:asciiTheme="minorHAnsi" w:hAnsiTheme="minorHAnsi" w:cstheme="minorHAnsi"/>
                <w:color w:val="0D0D0D" w:themeColor="text1" w:themeTint="F2"/>
              </w:rPr>
            </w:pPr>
          </w:p>
        </w:tc>
        <w:tc>
          <w:tcPr>
            <w:tcW w:w="6480" w:type="dxa"/>
          </w:tcPr>
          <w:p w14:paraId="5D62F724" w14:textId="2EDD9A43"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t>Establecer confianza y asegurar un entendimiento mutuo para que la gente que vive en asentamientos informales pueda entender completamente los riesgos y movilizar a sus comunidades para que tomen todas las medidas posibles, a la vez que supera la desconfianza en los mensajes al público y se combate la desinformación.</w:t>
            </w:r>
          </w:p>
          <w:p w14:paraId="0673D968" w14:textId="77777777" w:rsidR="00584D45" w:rsidRPr="009A2202" w:rsidRDefault="00584D45">
            <w:pPr>
              <w:ind w:left="0" w:firstLine="0"/>
              <w:jc w:val="both"/>
              <w:rPr>
                <w:rFonts w:asciiTheme="minorHAnsi" w:eastAsia="Arial" w:hAnsiTheme="minorHAnsi" w:cstheme="minorHAnsi"/>
                <w:color w:val="0D0D0D" w:themeColor="text1" w:themeTint="F2"/>
              </w:rPr>
            </w:pPr>
          </w:p>
          <w:p w14:paraId="3AC70C14" w14:textId="4415CAAE" w:rsidR="00584D45" w:rsidRPr="009A2202" w:rsidRDefault="002F678F">
            <w:pPr>
              <w:ind w:left="0" w:firstLine="0"/>
              <w:jc w:val="both"/>
              <w:rPr>
                <w:rFonts w:asciiTheme="minorHAnsi" w:eastAsia="Arial" w:hAnsiTheme="minorHAnsi" w:cstheme="minorHAnsi"/>
                <w:color w:val="0D0D0D" w:themeColor="text1" w:themeTint="F2"/>
                <w:sz w:val="21"/>
              </w:rPr>
            </w:pPr>
            <w:r w:rsidRPr="009A2202">
              <w:rPr>
                <w:rFonts w:asciiTheme="minorHAnsi" w:eastAsia="Arial" w:hAnsiTheme="minorHAnsi" w:cstheme="minorHAnsi"/>
                <w:color w:val="0D0D0D" w:themeColor="text1" w:themeTint="F2"/>
                <w:sz w:val="21"/>
              </w:rPr>
              <w:t>Identificar a los lí</w:t>
            </w:r>
            <w:r w:rsidR="007069AB" w:rsidRPr="009A2202">
              <w:rPr>
                <w:rFonts w:asciiTheme="minorHAnsi" w:eastAsia="Arial" w:hAnsiTheme="minorHAnsi" w:cstheme="minorHAnsi"/>
                <w:color w:val="0D0D0D" w:themeColor="text1" w:themeTint="F2"/>
                <w:sz w:val="21"/>
              </w:rPr>
              <w:t xml:space="preserve">deres de la comunidad entre </w:t>
            </w:r>
            <w:proofErr w:type="gramStart"/>
            <w:r w:rsidR="007069AB" w:rsidRPr="009A2202">
              <w:rPr>
                <w:rFonts w:asciiTheme="minorHAnsi" w:eastAsia="Arial" w:hAnsiTheme="minorHAnsi" w:cstheme="minorHAnsi"/>
                <w:color w:val="0D0D0D" w:themeColor="text1" w:themeTint="F2"/>
                <w:sz w:val="21"/>
              </w:rPr>
              <w:t xml:space="preserve">las </w:t>
            </w:r>
            <w:r w:rsidRPr="009A2202">
              <w:rPr>
                <w:rFonts w:asciiTheme="minorHAnsi" w:eastAsia="Arial" w:hAnsiTheme="minorHAnsi" w:cstheme="minorHAnsi"/>
                <w:color w:val="0D0D0D" w:themeColor="text1" w:themeTint="F2"/>
                <w:sz w:val="21"/>
              </w:rPr>
              <w:t>diferentes grupos sociales</w:t>
            </w:r>
            <w:proofErr w:type="gramEnd"/>
            <w:r w:rsidRPr="009A2202">
              <w:rPr>
                <w:rFonts w:asciiTheme="minorHAnsi" w:eastAsia="Arial" w:hAnsiTheme="minorHAnsi" w:cstheme="minorHAnsi"/>
                <w:color w:val="0D0D0D" w:themeColor="text1" w:themeTint="F2"/>
                <w:sz w:val="21"/>
              </w:rPr>
              <w:t xml:space="preserve"> (incluidos los grupos religiosos) y zonas, y aprovechar su influencia para difundir los mensajes e información adecuados.</w:t>
            </w:r>
            <w:r w:rsidRPr="009A2202">
              <w:t xml:space="preserve"> </w:t>
            </w:r>
            <w:r w:rsidRPr="009A2202">
              <w:rPr>
                <w:rFonts w:asciiTheme="minorHAnsi" w:eastAsia="Arial" w:hAnsiTheme="minorHAnsi" w:cstheme="minorHAnsi"/>
                <w:color w:val="0D0D0D" w:themeColor="text1" w:themeTint="F2"/>
                <w:sz w:val="21"/>
              </w:rPr>
              <w:t xml:space="preserve"> </w:t>
            </w:r>
          </w:p>
          <w:p w14:paraId="516705CD" w14:textId="77777777" w:rsidR="00584D45" w:rsidRPr="009A2202" w:rsidRDefault="00584D45">
            <w:pPr>
              <w:ind w:left="0" w:firstLine="0"/>
              <w:jc w:val="both"/>
              <w:rPr>
                <w:rFonts w:asciiTheme="minorHAnsi" w:eastAsia="Arial" w:hAnsiTheme="minorHAnsi" w:cstheme="minorHAnsi"/>
                <w:color w:val="0D0D0D" w:themeColor="text1" w:themeTint="F2"/>
              </w:rPr>
            </w:pPr>
          </w:p>
          <w:p w14:paraId="785673F1" w14:textId="240D764B"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t>Asegurarse de que la información es respetuosa con los contextos socioculturales de los distintos grupos en un asentamiento concreto, y traducir el material a los idiomas empleados por los residentes, en varios formatos que resulten accesibles, en particular para personas con discapacidades auditivas, visuales e intelectuales y para personas con baja alfabetización.</w:t>
            </w:r>
          </w:p>
          <w:p w14:paraId="337FD338" w14:textId="77777777" w:rsidR="00584D45" w:rsidRPr="009A2202" w:rsidRDefault="00584D45">
            <w:pPr>
              <w:ind w:left="0" w:firstLine="0"/>
              <w:jc w:val="both"/>
              <w:rPr>
                <w:rFonts w:asciiTheme="minorHAnsi" w:eastAsia="Arial" w:hAnsiTheme="minorHAnsi" w:cstheme="minorHAnsi"/>
                <w:color w:val="0D0D0D" w:themeColor="text1" w:themeTint="F2"/>
              </w:rPr>
            </w:pPr>
          </w:p>
          <w:p w14:paraId="27AAE907" w14:textId="49D6D91E"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t>Preparar y compartir comunicación al público para hacer frente y evitar el estigma y la discriminación que pueda empujar a la gente a no solicitar atención sanitaria. La información sobre "grupos de alto riesgo" debe proporcionarse de manera que se minimicen las repercusiones negativas sobre estos grupos.</w:t>
            </w:r>
          </w:p>
          <w:p w14:paraId="52544291" w14:textId="77777777" w:rsidR="00584D45" w:rsidRPr="009A2202" w:rsidRDefault="00584D45">
            <w:pPr>
              <w:ind w:left="0" w:firstLine="0"/>
              <w:jc w:val="both"/>
              <w:rPr>
                <w:rFonts w:asciiTheme="minorHAnsi" w:eastAsia="Arial" w:hAnsiTheme="minorHAnsi" w:cstheme="minorHAnsi"/>
                <w:color w:val="0D0D0D" w:themeColor="text1" w:themeTint="F2"/>
              </w:rPr>
            </w:pPr>
          </w:p>
          <w:p w14:paraId="61559A31" w14:textId="77777777" w:rsidR="00584D45" w:rsidRPr="009A2202" w:rsidRDefault="00584D45">
            <w:pPr>
              <w:spacing w:after="120"/>
              <w:ind w:left="0" w:right="-164" w:firstLine="0"/>
              <w:rPr>
                <w:rFonts w:asciiTheme="minorHAnsi" w:hAnsiTheme="minorHAnsi" w:cstheme="minorHAnsi"/>
                <w:color w:val="0D0D0D" w:themeColor="text1" w:themeTint="F2"/>
              </w:rPr>
            </w:pPr>
          </w:p>
        </w:tc>
      </w:tr>
      <w:tr w:rsidR="00584D45" w:rsidRPr="009A2202" w14:paraId="47A1FE6F" w14:textId="77777777">
        <w:tc>
          <w:tcPr>
            <w:tcW w:w="9895" w:type="dxa"/>
            <w:gridSpan w:val="2"/>
            <w:shd w:val="clear" w:color="auto" w:fill="FFF2CC" w:themeFill="accent4" w:themeFillTint="33"/>
          </w:tcPr>
          <w:p w14:paraId="5D9A4639" w14:textId="77777777" w:rsidR="00584D45" w:rsidRPr="009A2202" w:rsidRDefault="002F678F">
            <w:pPr>
              <w:ind w:left="0" w:firstLine="0"/>
              <w:rPr>
                <w:rFonts w:asciiTheme="minorHAnsi" w:eastAsia="Times New Roman" w:hAnsiTheme="minorHAnsi" w:cstheme="minorHAnsi"/>
                <w:b/>
                <w:color w:val="0D0D0D" w:themeColor="text1" w:themeTint="F2"/>
              </w:rPr>
            </w:pPr>
            <w:r w:rsidRPr="009A2202">
              <w:rPr>
                <w:rFonts w:asciiTheme="minorHAnsi" w:eastAsia="Times New Roman" w:hAnsiTheme="minorHAnsi" w:cstheme="minorHAnsi"/>
                <w:b/>
                <w:color w:val="0D0D0D" w:themeColor="text1" w:themeTint="F2"/>
              </w:rPr>
              <w:t>Debe acordar un planteamiento concertado para reducir la repercusión social de la crisis.</w:t>
            </w:r>
          </w:p>
          <w:p w14:paraId="152500F2" w14:textId="77777777" w:rsidR="00584D45" w:rsidRPr="009A2202" w:rsidRDefault="00584D45">
            <w:pPr>
              <w:ind w:left="360" w:firstLine="0"/>
              <w:jc w:val="both"/>
              <w:rPr>
                <w:rFonts w:asciiTheme="minorHAnsi" w:hAnsiTheme="minorHAnsi" w:cstheme="minorHAnsi"/>
                <w:b/>
                <w:color w:val="0D0D0D" w:themeColor="text1" w:themeTint="F2"/>
              </w:rPr>
            </w:pPr>
          </w:p>
        </w:tc>
      </w:tr>
      <w:tr w:rsidR="00584D45" w:rsidRPr="009A2202" w14:paraId="7A320518" w14:textId="77777777">
        <w:trPr>
          <w:trHeight w:val="1061"/>
        </w:trPr>
        <w:tc>
          <w:tcPr>
            <w:tcW w:w="3415" w:type="dxa"/>
          </w:tcPr>
          <w:p w14:paraId="20257BC4" w14:textId="77777777"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t>Asegurarse de que la protección se mantiene como eje central de la respuesta y se realiza por medio de asociaciones multisectoriales, y que se detectan los desafíos relacionados con la protección y el seguimiento de las necesidades de protección para proporcionar una respuesta a aquellos riesgos de protección que se hayan detectado</w:t>
            </w:r>
          </w:p>
          <w:p w14:paraId="6ED5EE57" w14:textId="77777777" w:rsidR="00584D45" w:rsidRPr="009A2202" w:rsidRDefault="00584D45">
            <w:pPr>
              <w:ind w:left="0" w:firstLine="0"/>
              <w:jc w:val="both"/>
              <w:rPr>
                <w:rFonts w:asciiTheme="minorHAnsi" w:eastAsia="Arial" w:hAnsiTheme="minorHAnsi" w:cstheme="minorHAnsi"/>
                <w:color w:val="0D0D0D" w:themeColor="text1" w:themeTint="F2"/>
              </w:rPr>
            </w:pPr>
          </w:p>
          <w:p w14:paraId="2FF97ACC" w14:textId="77777777" w:rsidR="00584D45" w:rsidRPr="009A2202" w:rsidRDefault="00584D45">
            <w:pPr>
              <w:ind w:left="0" w:firstLine="0"/>
              <w:jc w:val="both"/>
              <w:rPr>
                <w:rFonts w:asciiTheme="minorHAnsi" w:eastAsia="Arial" w:hAnsiTheme="minorHAnsi" w:cstheme="minorHAnsi"/>
                <w:color w:val="0D0D0D" w:themeColor="text1" w:themeTint="F2"/>
              </w:rPr>
            </w:pPr>
          </w:p>
        </w:tc>
        <w:tc>
          <w:tcPr>
            <w:tcW w:w="6480" w:type="dxa"/>
          </w:tcPr>
          <w:p w14:paraId="07F10FD6" w14:textId="3A88C996"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lastRenderedPageBreak/>
              <w:t>Realizar el seguimiento de posibles desahucios de familias que sean incapaces de pagar el alquiler y de miembros marginados de las comunidades, de víctimas de la enfermedad o de profesionales sanitarios que se arriesguen a ser estigmatizados.</w:t>
            </w:r>
          </w:p>
          <w:p w14:paraId="2CAA4BB2" w14:textId="77777777" w:rsidR="00584D45" w:rsidRPr="009A2202" w:rsidRDefault="00584D45">
            <w:pPr>
              <w:ind w:left="0" w:firstLine="0"/>
              <w:jc w:val="both"/>
              <w:rPr>
                <w:rFonts w:asciiTheme="minorHAnsi" w:eastAsia="Arial" w:hAnsiTheme="minorHAnsi" w:cstheme="minorHAnsi"/>
                <w:color w:val="0D0D0D" w:themeColor="text1" w:themeTint="F2"/>
              </w:rPr>
            </w:pPr>
          </w:p>
          <w:p w14:paraId="68D47EE4" w14:textId="1B093B39"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t xml:space="preserve">Asegurarse de que cualquier medida para situar a grupos enfermos o vulnerables en cuarentena o separados sea temporal, de manera que puedan regresar a sus hogares una vez superado el riesgo. Estas garantías resultarán esenciales para reforzar la confianza de las comunidades en las medidas de cuarentena, reduciendo las </w:t>
            </w:r>
            <w:r w:rsidRPr="009A2202">
              <w:rPr>
                <w:rFonts w:asciiTheme="minorHAnsi" w:eastAsia="Arial" w:hAnsiTheme="minorHAnsi" w:cstheme="minorHAnsi"/>
                <w:color w:val="0D0D0D" w:themeColor="text1" w:themeTint="F2"/>
              </w:rPr>
              <w:lastRenderedPageBreak/>
              <w:t>posibilidades de que surja una oposición a dichas medidas que menoscabe las iniciativas de protección y mitigación.</w:t>
            </w:r>
          </w:p>
          <w:p w14:paraId="4C31BBB8" w14:textId="77777777" w:rsidR="00584D45" w:rsidRPr="009A2202" w:rsidRDefault="00584D45">
            <w:pPr>
              <w:ind w:left="0" w:firstLine="0"/>
              <w:jc w:val="both"/>
              <w:rPr>
                <w:rFonts w:asciiTheme="minorHAnsi" w:eastAsia="Arial" w:hAnsiTheme="minorHAnsi" w:cstheme="minorHAnsi"/>
                <w:color w:val="0D0D0D" w:themeColor="text1" w:themeTint="F2"/>
              </w:rPr>
            </w:pPr>
          </w:p>
          <w:p w14:paraId="50A90BFA" w14:textId="2F436137"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t>Abogar por la suspensión de todos los desahucios durante la emergencia sanitaria puesto que los desahucios pueden aumentar enormemente el riesgo de transmisión comunitaria, y trabajar con los gobiernos para fijar sistemas de supervisión e intervención para evitar también desahucios informales.</w:t>
            </w:r>
          </w:p>
          <w:p w14:paraId="46F535A6" w14:textId="77777777" w:rsidR="00584D45" w:rsidRPr="009A2202" w:rsidRDefault="00584D45">
            <w:pPr>
              <w:ind w:left="0" w:firstLine="0"/>
              <w:jc w:val="both"/>
              <w:rPr>
                <w:rFonts w:asciiTheme="minorHAnsi" w:eastAsia="Arial" w:hAnsiTheme="minorHAnsi" w:cstheme="minorHAnsi"/>
                <w:color w:val="0D0D0D" w:themeColor="text1" w:themeTint="F2"/>
              </w:rPr>
            </w:pPr>
          </w:p>
          <w:p w14:paraId="5B218049" w14:textId="77777777" w:rsidR="00584D45" w:rsidRPr="009A2202" w:rsidRDefault="002F678F">
            <w:pPr>
              <w:pStyle w:val="Default"/>
              <w:numPr>
                <w:ilvl w:val="1"/>
                <w:numId w:val="10"/>
              </w:numPr>
              <w:spacing w:after="22"/>
              <w:rPr>
                <w:sz w:val="21"/>
              </w:rPr>
            </w:pPr>
            <w:r w:rsidRPr="009A2202">
              <w:rPr>
                <w:b/>
                <w:sz w:val="21"/>
              </w:rPr>
              <w:t xml:space="preserve">Abordar el riesgo creciente de violencia (incluida la violencia sexual y de género y la violencia contra niños) en el hogar y de autolesiones a causa del aislamiento y las situaciones de estrés </w:t>
            </w:r>
            <w:r w:rsidRPr="009A2202">
              <w:rPr>
                <w:sz w:val="21"/>
              </w:rPr>
              <w:t>incorporando el apoyo y la orientación sobre la violencia en el hogar como parte de los servicios existentes, por ejemplo, proporcionando información a los voluntarios que prestan otros servicios sobre dónde obtener ayuda en caso de violencia en el hogar / estableciendo o reforzando el apoyo y la asistencia específicos, como el soporte telefónico o en línea, para las personas que corren el riesgo de sufrir violencia interpersonal y autodirigida.</w:t>
            </w:r>
            <w:r w:rsidRPr="009A2202">
              <w:t xml:space="preserve"> </w:t>
            </w:r>
          </w:p>
          <w:p w14:paraId="45795793" w14:textId="77777777" w:rsidR="00584D45" w:rsidRPr="009A2202" w:rsidRDefault="00584D45">
            <w:pPr>
              <w:ind w:left="0" w:firstLine="0"/>
              <w:jc w:val="both"/>
              <w:rPr>
                <w:rFonts w:asciiTheme="minorHAnsi" w:eastAsia="Arial" w:hAnsiTheme="minorHAnsi" w:cstheme="minorHAnsi"/>
                <w:color w:val="0D0D0D" w:themeColor="text1" w:themeTint="F2"/>
              </w:rPr>
            </w:pPr>
          </w:p>
          <w:p w14:paraId="4EC64E4B" w14:textId="77777777" w:rsidR="00584D45" w:rsidRPr="009A2202" w:rsidRDefault="00584D45">
            <w:pPr>
              <w:ind w:left="0" w:firstLine="0"/>
              <w:jc w:val="both"/>
              <w:rPr>
                <w:rFonts w:asciiTheme="minorHAnsi" w:eastAsia="Arial" w:hAnsiTheme="minorHAnsi" w:cstheme="minorHAnsi"/>
                <w:color w:val="0D0D0D" w:themeColor="text1" w:themeTint="F2"/>
              </w:rPr>
            </w:pPr>
          </w:p>
          <w:p w14:paraId="41CBEF18" w14:textId="7B3011C7"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t>Centrarse en maneras creativas de proporcionar alternativas a la escuela y a los juegos para la infancia, para así mitigar los cierres de las escuelas y las restricciones a los movimientos por la falta de espacios en las comunidades o domicilios, que alteran la rutina infantil y generan un mayor estrés para los cuidadores. Estas medidas comprenden, entre otras, oportunidades de aprendizaje temprano para los más jóvenes, que pueden suponer el envío de consejos para progenitores e ideas para mantener a los niños ocupados en casa.</w:t>
            </w:r>
          </w:p>
          <w:p w14:paraId="7E26FA06" w14:textId="77777777" w:rsidR="00584D45" w:rsidRPr="009A2202" w:rsidRDefault="00584D45">
            <w:pPr>
              <w:ind w:left="0" w:firstLine="0"/>
              <w:jc w:val="both"/>
              <w:rPr>
                <w:rFonts w:asciiTheme="minorHAnsi" w:eastAsia="Arial" w:hAnsiTheme="minorHAnsi" w:cstheme="minorHAnsi"/>
                <w:color w:val="0D0D0D" w:themeColor="text1" w:themeTint="F2"/>
              </w:rPr>
            </w:pPr>
          </w:p>
          <w:p w14:paraId="5C551D3D" w14:textId="77777777" w:rsidR="00584D45" w:rsidRPr="009A2202" w:rsidRDefault="002F678F">
            <w:pPr>
              <w:pStyle w:val="ListParagraph"/>
              <w:spacing w:after="60"/>
              <w:ind w:left="0" w:firstLine="0"/>
              <w:contextualSpacing w:val="0"/>
              <w:jc w:val="both"/>
              <w:rPr>
                <w:rFonts w:asciiTheme="minorHAnsi" w:eastAsia="Arial" w:hAnsiTheme="minorHAnsi" w:cstheme="minorHAnsi"/>
                <w:color w:val="0D0D0D" w:themeColor="text1" w:themeTint="F2"/>
                <w:sz w:val="21"/>
              </w:rPr>
            </w:pPr>
            <w:r w:rsidRPr="009A2202">
              <w:rPr>
                <w:rFonts w:asciiTheme="minorHAnsi" w:eastAsia="Arial" w:hAnsiTheme="minorHAnsi" w:cstheme="minorHAnsi"/>
                <w:color w:val="0D0D0D" w:themeColor="text1" w:themeTint="F2"/>
                <w:sz w:val="21"/>
              </w:rPr>
              <w:t>En la medida de lo posible, distribuir recursos educativos a los estudiantes que se encuentren en lugares remotos y/o aislados/en cuarentena, y que no cuenten con conexión a Internet, o cuya conexión sea precaria, a través de la radio y otros medios</w:t>
            </w:r>
            <w:r w:rsidRPr="009A2202">
              <w:t xml:space="preserve"> </w:t>
            </w:r>
          </w:p>
          <w:p w14:paraId="49987E4C" w14:textId="70E50185"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br/>
            </w:r>
          </w:p>
        </w:tc>
      </w:tr>
      <w:tr w:rsidR="00584D45" w:rsidRPr="009A2202" w14:paraId="5CA63485" w14:textId="77777777">
        <w:tc>
          <w:tcPr>
            <w:tcW w:w="9895" w:type="dxa"/>
            <w:gridSpan w:val="2"/>
            <w:shd w:val="clear" w:color="auto" w:fill="FFF2CC" w:themeFill="accent4" w:themeFillTint="33"/>
          </w:tcPr>
          <w:p w14:paraId="11BDDE50" w14:textId="77777777" w:rsidR="00584D45" w:rsidRPr="009A2202" w:rsidRDefault="002F678F">
            <w:pPr>
              <w:ind w:left="0" w:firstLine="0"/>
              <w:rPr>
                <w:rFonts w:asciiTheme="minorHAnsi" w:hAnsiTheme="minorHAnsi" w:cstheme="minorHAnsi"/>
                <w:b/>
                <w:color w:val="0D0D0D" w:themeColor="text1" w:themeTint="F2"/>
              </w:rPr>
            </w:pPr>
            <w:r w:rsidRPr="009A2202">
              <w:rPr>
                <w:rFonts w:asciiTheme="minorHAnsi" w:eastAsia="Times New Roman" w:hAnsiTheme="minorHAnsi" w:cstheme="minorHAnsi"/>
                <w:b/>
                <w:color w:val="0D0D0D" w:themeColor="text1" w:themeTint="F2"/>
              </w:rPr>
              <w:lastRenderedPageBreak/>
              <w:t>Mantener los medios de subsistencia para las comunidades más vulnerables afectadas por los efectos económicos de la pandemia</w:t>
            </w:r>
          </w:p>
          <w:p w14:paraId="234657E2" w14:textId="1D60482E" w:rsidR="00584D45" w:rsidRPr="009A2202" w:rsidRDefault="00584D45">
            <w:pPr>
              <w:ind w:left="360" w:firstLine="0"/>
              <w:rPr>
                <w:rFonts w:asciiTheme="minorHAnsi" w:hAnsiTheme="minorHAnsi" w:cstheme="minorHAnsi"/>
                <w:b/>
                <w:color w:val="0D0D0D" w:themeColor="text1" w:themeTint="F2"/>
              </w:rPr>
            </w:pPr>
          </w:p>
        </w:tc>
      </w:tr>
      <w:tr w:rsidR="00584D45" w:rsidRPr="007069AB" w14:paraId="6A6EA42C" w14:textId="77777777">
        <w:tc>
          <w:tcPr>
            <w:tcW w:w="3415" w:type="dxa"/>
          </w:tcPr>
          <w:p w14:paraId="7F7F42C2" w14:textId="77777777" w:rsidR="00584D45" w:rsidRPr="009A2202" w:rsidRDefault="00584D45">
            <w:pPr>
              <w:ind w:left="0" w:firstLine="0"/>
              <w:rPr>
                <w:rFonts w:asciiTheme="minorHAnsi" w:hAnsiTheme="minorHAnsi" w:cstheme="minorHAnsi"/>
                <w:color w:val="0D0D0D" w:themeColor="text1" w:themeTint="F2"/>
              </w:rPr>
            </w:pPr>
          </w:p>
        </w:tc>
        <w:tc>
          <w:tcPr>
            <w:tcW w:w="6480" w:type="dxa"/>
          </w:tcPr>
          <w:p w14:paraId="3E179EA3" w14:textId="4DFFC03A"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t>Promover y adaptar redes de seguridad sociales a la realidad de los asentamientos informales y los barrios marginales (en particular, aquellos con ahorros o capacidad de ahorro muy limitados), asegurando el acceso a los servicios sanitarios, al agua y a los alimentos, teniendo cuidado con las desigualdades internas para evitar tensiones negativas.</w:t>
            </w:r>
          </w:p>
          <w:p w14:paraId="677E4C08" w14:textId="77777777" w:rsidR="00584D45" w:rsidRPr="009A2202" w:rsidRDefault="00584D45">
            <w:pPr>
              <w:ind w:left="0" w:firstLine="0"/>
              <w:jc w:val="both"/>
              <w:rPr>
                <w:rFonts w:asciiTheme="minorHAnsi" w:eastAsia="Arial" w:hAnsiTheme="minorHAnsi" w:cstheme="minorHAnsi"/>
                <w:color w:val="0D0D0D" w:themeColor="text1" w:themeTint="F2"/>
              </w:rPr>
            </w:pPr>
          </w:p>
          <w:p w14:paraId="2B2DA351" w14:textId="2992C7A8" w:rsidR="00584D45" w:rsidRPr="009A2202"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t>Otorgar prioridad al apoyo (económico, de protección, de atención infantil) a las personas que proporcionen servicios esenciales (p. ej. recolectores de basura).</w:t>
            </w:r>
          </w:p>
          <w:p w14:paraId="7F022E0D" w14:textId="77777777" w:rsidR="00584D45" w:rsidRPr="009A2202" w:rsidRDefault="00584D45">
            <w:pPr>
              <w:ind w:left="0" w:firstLine="0"/>
              <w:jc w:val="both"/>
              <w:rPr>
                <w:rFonts w:asciiTheme="minorHAnsi" w:eastAsia="Arial" w:hAnsiTheme="minorHAnsi" w:cstheme="minorHAnsi"/>
                <w:color w:val="0D0D0D" w:themeColor="text1" w:themeTint="F2"/>
              </w:rPr>
            </w:pPr>
          </w:p>
          <w:p w14:paraId="7B0DD283" w14:textId="77777777" w:rsidR="00584D45" w:rsidRPr="007069AB" w:rsidRDefault="002F678F">
            <w:pPr>
              <w:ind w:left="0" w:firstLine="0"/>
              <w:jc w:val="both"/>
              <w:rPr>
                <w:rFonts w:asciiTheme="minorHAnsi" w:eastAsia="Arial" w:hAnsiTheme="minorHAnsi" w:cstheme="minorHAnsi"/>
                <w:color w:val="0D0D0D" w:themeColor="text1" w:themeTint="F2"/>
              </w:rPr>
            </w:pPr>
            <w:r w:rsidRPr="009A2202">
              <w:rPr>
                <w:rFonts w:asciiTheme="minorHAnsi" w:eastAsia="Arial" w:hAnsiTheme="minorHAnsi" w:cstheme="minorHAnsi"/>
                <w:color w:val="0D0D0D" w:themeColor="text1" w:themeTint="F2"/>
              </w:rPr>
              <w:t xml:space="preserve">Proporcionar apoyo económico y material a las familias (p. ej. por medio de programación de transferencias de dinero, equipos para aprendizaje a distancia) para asuntos relacionados con la nutrición (especialmente para aquellos que dependían de los almuerzos </w:t>
            </w:r>
            <w:r w:rsidRPr="009A2202">
              <w:rPr>
                <w:rFonts w:asciiTheme="minorHAnsi" w:eastAsia="Arial" w:hAnsiTheme="minorHAnsi" w:cstheme="minorHAnsi"/>
                <w:color w:val="0D0D0D" w:themeColor="text1" w:themeTint="F2"/>
              </w:rPr>
              <w:lastRenderedPageBreak/>
              <w:t>escolares) y para permitir el acceso y la buena conectividad a Internet cuando resulte posible.</w:t>
            </w:r>
          </w:p>
          <w:p w14:paraId="0441C6A7" w14:textId="77777777" w:rsidR="00584D45" w:rsidRPr="007069AB" w:rsidRDefault="00584D45">
            <w:pPr>
              <w:ind w:left="0" w:firstLine="0"/>
              <w:jc w:val="both"/>
              <w:rPr>
                <w:rFonts w:asciiTheme="minorHAnsi" w:eastAsia="Arial" w:hAnsiTheme="minorHAnsi" w:cstheme="minorHAnsi"/>
                <w:color w:val="0D0D0D" w:themeColor="text1" w:themeTint="F2"/>
              </w:rPr>
            </w:pPr>
          </w:p>
        </w:tc>
      </w:tr>
    </w:tbl>
    <w:p w14:paraId="56B2A662" w14:textId="5836ECD3" w:rsidR="00584D45" w:rsidRPr="007069AB" w:rsidRDefault="00584D45">
      <w:pPr>
        <w:ind w:left="0" w:firstLine="0"/>
        <w:rPr>
          <w:rFonts w:asciiTheme="minorHAnsi" w:hAnsiTheme="minorHAnsi" w:cstheme="minorHAnsi"/>
          <w:color w:val="0D0D0D" w:themeColor="text1" w:themeTint="F2"/>
        </w:rPr>
      </w:pPr>
    </w:p>
    <w:sectPr w:rsidR="00584D45" w:rsidRPr="007069AB">
      <w:pgSz w:w="11906" w:h="16838" w:code="9"/>
      <w:pgMar w:top="810" w:right="1376"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72C2B" w14:textId="77777777" w:rsidR="002F678F" w:rsidRDefault="002F678F">
      <w:pPr>
        <w:spacing w:before="0"/>
      </w:pPr>
      <w:r>
        <w:separator/>
      </w:r>
    </w:p>
  </w:endnote>
  <w:endnote w:type="continuationSeparator" w:id="0">
    <w:p w14:paraId="76EA0B2A" w14:textId="77777777" w:rsidR="002F678F" w:rsidRDefault="002F67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ADB78" w14:textId="77777777" w:rsidR="002F678F" w:rsidRDefault="002F678F">
      <w:pPr>
        <w:spacing w:before="0"/>
      </w:pPr>
      <w:r>
        <w:separator/>
      </w:r>
    </w:p>
  </w:footnote>
  <w:footnote w:type="continuationSeparator" w:id="0">
    <w:p w14:paraId="17A01AE1" w14:textId="77777777" w:rsidR="002F678F" w:rsidRDefault="002F678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413053"/>
    <w:multiLevelType w:val="hybridMultilevel"/>
    <w:tmpl w:val="EE987D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739D"/>
    <w:multiLevelType w:val="hybridMultilevel"/>
    <w:tmpl w:val="2F10D32A"/>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04EE4094"/>
    <w:multiLevelType w:val="hybridMultilevel"/>
    <w:tmpl w:val="6C3C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167CE"/>
    <w:multiLevelType w:val="hybridMultilevel"/>
    <w:tmpl w:val="5134BFC4"/>
    <w:lvl w:ilvl="0" w:tplc="915292D6">
      <w:start w:val="1"/>
      <w:numFmt w:val="bullet"/>
      <w:lvlText w:val="·"/>
      <w:lvlJc w:val="left"/>
      <w:pPr>
        <w:ind w:left="789" w:hanging="360"/>
      </w:pPr>
      <w:rPr>
        <w:rFonts w:ascii="Courier New" w:hAnsi="Courier New"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35FD712D"/>
    <w:multiLevelType w:val="hybridMultilevel"/>
    <w:tmpl w:val="2164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56E03"/>
    <w:multiLevelType w:val="hybridMultilevel"/>
    <w:tmpl w:val="8E967AA0"/>
    <w:lvl w:ilvl="0" w:tplc="915292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B63BD"/>
    <w:multiLevelType w:val="hybridMultilevel"/>
    <w:tmpl w:val="0E44930A"/>
    <w:lvl w:ilvl="0" w:tplc="915292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840EF"/>
    <w:multiLevelType w:val="hybridMultilevel"/>
    <w:tmpl w:val="83943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B5B84"/>
    <w:multiLevelType w:val="hybridMultilevel"/>
    <w:tmpl w:val="543ABFA2"/>
    <w:lvl w:ilvl="0" w:tplc="0409000F">
      <w:start w:val="1"/>
      <w:numFmt w:val="decimal"/>
      <w:lvlText w:val="%1."/>
      <w:lvlJc w:val="left"/>
      <w:pPr>
        <w:ind w:left="360" w:hanging="360"/>
      </w:pPr>
    </w:lvl>
    <w:lvl w:ilvl="1" w:tplc="915292D6">
      <w:start w:val="1"/>
      <w:numFmt w:val="bullet"/>
      <w:lvlText w:val="·"/>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50554B"/>
    <w:multiLevelType w:val="hybridMultilevel"/>
    <w:tmpl w:val="9EE072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9"/>
  </w:num>
  <w:num w:numId="4">
    <w:abstractNumId w:val="4"/>
  </w:num>
  <w:num w:numId="5">
    <w:abstractNumId w:val="7"/>
  </w:num>
  <w:num w:numId="6">
    <w:abstractNumId w:val="6"/>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EE"/>
    <w:rsid w:val="000364DD"/>
    <w:rsid w:val="00037CD2"/>
    <w:rsid w:val="0004167A"/>
    <w:rsid w:val="00047757"/>
    <w:rsid w:val="000A4DDD"/>
    <w:rsid w:val="000C17BC"/>
    <w:rsid w:val="000D7787"/>
    <w:rsid w:val="0010228C"/>
    <w:rsid w:val="00112FB0"/>
    <w:rsid w:val="0018136E"/>
    <w:rsid w:val="00184943"/>
    <w:rsid w:val="001B7C6E"/>
    <w:rsid w:val="001D1893"/>
    <w:rsid w:val="00244CF8"/>
    <w:rsid w:val="002A727A"/>
    <w:rsid w:val="002B5807"/>
    <w:rsid w:val="002B718E"/>
    <w:rsid w:val="002B7E4C"/>
    <w:rsid w:val="002C0FD3"/>
    <w:rsid w:val="002D79EE"/>
    <w:rsid w:val="002E299C"/>
    <w:rsid w:val="002F678F"/>
    <w:rsid w:val="00301AA5"/>
    <w:rsid w:val="0033363E"/>
    <w:rsid w:val="0038121A"/>
    <w:rsid w:val="003B7CA6"/>
    <w:rsid w:val="004815AF"/>
    <w:rsid w:val="00482A1A"/>
    <w:rsid w:val="004A52A0"/>
    <w:rsid w:val="004C68EF"/>
    <w:rsid w:val="00523181"/>
    <w:rsid w:val="005278A2"/>
    <w:rsid w:val="005344B9"/>
    <w:rsid w:val="00534FC8"/>
    <w:rsid w:val="0056678F"/>
    <w:rsid w:val="00584D45"/>
    <w:rsid w:val="00585A54"/>
    <w:rsid w:val="005B1ABA"/>
    <w:rsid w:val="005C7643"/>
    <w:rsid w:val="005E5EDF"/>
    <w:rsid w:val="005F7881"/>
    <w:rsid w:val="00614CEC"/>
    <w:rsid w:val="00655503"/>
    <w:rsid w:val="00664BAA"/>
    <w:rsid w:val="00674AD1"/>
    <w:rsid w:val="00674B37"/>
    <w:rsid w:val="00685596"/>
    <w:rsid w:val="006A2B4A"/>
    <w:rsid w:val="006B087E"/>
    <w:rsid w:val="006D45BC"/>
    <w:rsid w:val="007069AB"/>
    <w:rsid w:val="007A3AE6"/>
    <w:rsid w:val="007C0CB9"/>
    <w:rsid w:val="007D4036"/>
    <w:rsid w:val="007E3FF4"/>
    <w:rsid w:val="007F1DC8"/>
    <w:rsid w:val="00806205"/>
    <w:rsid w:val="00882231"/>
    <w:rsid w:val="00882E7D"/>
    <w:rsid w:val="00886A21"/>
    <w:rsid w:val="00896317"/>
    <w:rsid w:val="008B6396"/>
    <w:rsid w:val="008C5C1C"/>
    <w:rsid w:val="0090686A"/>
    <w:rsid w:val="00915768"/>
    <w:rsid w:val="00916235"/>
    <w:rsid w:val="00940E94"/>
    <w:rsid w:val="00996438"/>
    <w:rsid w:val="009A2202"/>
    <w:rsid w:val="009A2B45"/>
    <w:rsid w:val="009C23C9"/>
    <w:rsid w:val="009F015E"/>
    <w:rsid w:val="009F5888"/>
    <w:rsid w:val="00A062BC"/>
    <w:rsid w:val="00A17698"/>
    <w:rsid w:val="00A3558E"/>
    <w:rsid w:val="00A377F3"/>
    <w:rsid w:val="00A42E0A"/>
    <w:rsid w:val="00A97415"/>
    <w:rsid w:val="00AB2792"/>
    <w:rsid w:val="00AB4E54"/>
    <w:rsid w:val="00AB587C"/>
    <w:rsid w:val="00AD7B9E"/>
    <w:rsid w:val="00AE3A48"/>
    <w:rsid w:val="00B313FD"/>
    <w:rsid w:val="00B36205"/>
    <w:rsid w:val="00B962DA"/>
    <w:rsid w:val="00C81206"/>
    <w:rsid w:val="00C96E9F"/>
    <w:rsid w:val="00CD330D"/>
    <w:rsid w:val="00CE4E0A"/>
    <w:rsid w:val="00CF32A5"/>
    <w:rsid w:val="00D021CC"/>
    <w:rsid w:val="00D25065"/>
    <w:rsid w:val="00D3269E"/>
    <w:rsid w:val="00D95872"/>
    <w:rsid w:val="00DC3C41"/>
    <w:rsid w:val="00E321C0"/>
    <w:rsid w:val="00E32B9F"/>
    <w:rsid w:val="00E7012B"/>
    <w:rsid w:val="00E82AA7"/>
    <w:rsid w:val="00EA5030"/>
    <w:rsid w:val="00EA532A"/>
    <w:rsid w:val="00EE7382"/>
    <w:rsid w:val="00EF5CF6"/>
    <w:rsid w:val="00EF5D8E"/>
    <w:rsid w:val="00F13B1C"/>
    <w:rsid w:val="00F24692"/>
    <w:rsid w:val="00F35039"/>
    <w:rsid w:val="00F35F32"/>
    <w:rsid w:val="00F42EB9"/>
    <w:rsid w:val="00F456D1"/>
    <w:rsid w:val="00F505D6"/>
    <w:rsid w:val="00F959D6"/>
    <w:rsid w:val="00FC0F36"/>
    <w:rsid w:val="00FD4282"/>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E6C3"/>
  <w15:chartTrackingRefBased/>
  <w15:docId w15:val="{572C3CE7-E73F-48FD-A0D3-0A5ED72F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color w:val="000000"/>
        <w:sz w:val="22"/>
        <w:szCs w:val="24"/>
        <w:lang w:val="es-MX" w:eastAsia="en-US" w:bidi="ar-SA"/>
      </w:rPr>
    </w:rPrDefault>
    <w:pPrDefault>
      <w:pPr>
        <w:spacing w:before="60"/>
        <w:ind w:left="907" w:hanging="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121A"/>
    <w:pPr>
      <w:keepNext/>
      <w:keepLines/>
      <w:spacing w:before="240" w:after="120" w:line="276" w:lineRule="auto"/>
      <w:ind w:left="0" w:firstLine="0"/>
      <w:outlineLvl w:val="0"/>
    </w:pPr>
    <w:rPr>
      <w:rFonts w:asciiTheme="majorHAnsi" w:eastAsia="Arial" w:hAnsiTheme="majorHAnsi" w:cs="Arial"/>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1A"/>
    <w:rPr>
      <w:rFonts w:asciiTheme="majorHAnsi" w:eastAsia="Arial" w:hAnsiTheme="majorHAnsi" w:cs="Arial"/>
      <w:color w:val="2F5496" w:themeColor="accent1" w:themeShade="BF"/>
      <w:sz w:val="40"/>
      <w:szCs w:val="40"/>
      <w:lang w:val="es-MX"/>
    </w:rPr>
  </w:style>
  <w:style w:type="paragraph" w:customStyle="1" w:styleId="aynur">
    <w:name w:val="aynur"/>
    <w:basedOn w:val="Heading1"/>
    <w:link w:val="aynurChar"/>
    <w:autoRedefine/>
    <w:qFormat/>
    <w:rsid w:val="00655503"/>
    <w:pPr>
      <w:keepNext w:val="0"/>
      <w:keepLines w:val="0"/>
      <w:spacing w:after="0"/>
    </w:pPr>
    <w:rPr>
      <w:rFonts w:ascii="Calibri" w:eastAsiaTheme="minorHAnsi" w:hAnsi="Calibri" w:cs="Calibri"/>
      <w:sz w:val="36"/>
      <w:szCs w:val="36"/>
    </w:rPr>
  </w:style>
  <w:style w:type="character" w:customStyle="1" w:styleId="aynurChar">
    <w:name w:val="aynur Char"/>
    <w:basedOn w:val="Heading1Char"/>
    <w:link w:val="aynur"/>
    <w:rsid w:val="00655503"/>
    <w:rPr>
      <w:rFonts w:asciiTheme="majorHAnsi" w:eastAsia="Arial" w:hAnsiTheme="majorHAnsi" w:cs="Arial"/>
      <w:color w:val="2F5496" w:themeColor="accent1" w:themeShade="BF"/>
      <w:sz w:val="36"/>
      <w:szCs w:val="36"/>
      <w:lang w:val="es-MX"/>
    </w:rPr>
  </w:style>
  <w:style w:type="table" w:styleId="TableGrid">
    <w:name w:val="Table Grid"/>
    <w:basedOn w:val="TableNormal"/>
    <w:uiPriority w:val="39"/>
    <w:rsid w:val="002D79E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2D79EE"/>
    <w:pPr>
      <w:ind w:left="720"/>
      <w:contextualSpacing/>
    </w:pPr>
  </w:style>
  <w:style w:type="paragraph" w:styleId="BalloonText">
    <w:name w:val="Balloon Text"/>
    <w:basedOn w:val="Normal"/>
    <w:link w:val="BalloonTextChar"/>
    <w:uiPriority w:val="99"/>
    <w:semiHidden/>
    <w:unhideWhenUsed/>
    <w:rsid w:val="00A3558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58E"/>
    <w:rPr>
      <w:rFonts w:ascii="Segoe UI" w:hAnsi="Segoe UI" w:cs="Segoe UI"/>
      <w:sz w:val="18"/>
      <w:szCs w:val="18"/>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8C5C1C"/>
  </w:style>
  <w:style w:type="paragraph" w:styleId="FootnoteText">
    <w:name w:val="footnote text"/>
    <w:basedOn w:val="Normal"/>
    <w:link w:val="FootnoteTextChar"/>
    <w:uiPriority w:val="99"/>
    <w:semiHidden/>
    <w:unhideWhenUsed/>
    <w:rsid w:val="00FD4282"/>
    <w:pPr>
      <w:spacing w:before="0"/>
    </w:pPr>
    <w:rPr>
      <w:sz w:val="20"/>
      <w:szCs w:val="20"/>
    </w:rPr>
  </w:style>
  <w:style w:type="character" w:customStyle="1" w:styleId="FootnoteTextChar">
    <w:name w:val="Footnote Text Char"/>
    <w:basedOn w:val="DefaultParagraphFont"/>
    <w:link w:val="FootnoteText"/>
    <w:uiPriority w:val="99"/>
    <w:semiHidden/>
    <w:rsid w:val="00FD4282"/>
    <w:rPr>
      <w:sz w:val="20"/>
      <w:szCs w:val="20"/>
    </w:rPr>
  </w:style>
  <w:style w:type="character" w:styleId="FootnoteReference">
    <w:name w:val="footnote reference"/>
    <w:basedOn w:val="DefaultParagraphFont"/>
    <w:uiPriority w:val="99"/>
    <w:semiHidden/>
    <w:unhideWhenUsed/>
    <w:rsid w:val="00FD4282"/>
    <w:rPr>
      <w:vertAlign w:val="superscript"/>
    </w:rPr>
  </w:style>
  <w:style w:type="character" w:styleId="Hyperlink">
    <w:name w:val="Hyperlink"/>
    <w:basedOn w:val="DefaultParagraphFont"/>
    <w:uiPriority w:val="99"/>
    <w:unhideWhenUsed/>
    <w:rsid w:val="00B313FD"/>
    <w:rPr>
      <w:color w:val="0563C1" w:themeColor="hyperlink"/>
      <w:u w:val="single"/>
    </w:rPr>
  </w:style>
  <w:style w:type="character" w:customStyle="1" w:styleId="UnresolvedMention1">
    <w:name w:val="Unresolved Mention1"/>
    <w:basedOn w:val="DefaultParagraphFont"/>
    <w:uiPriority w:val="99"/>
    <w:semiHidden/>
    <w:unhideWhenUsed/>
    <w:rsid w:val="00B313FD"/>
    <w:rPr>
      <w:color w:val="605E5C"/>
      <w:shd w:val="clear" w:color="auto" w:fill="E1DFDD"/>
    </w:rPr>
  </w:style>
  <w:style w:type="character" w:styleId="FollowedHyperlink">
    <w:name w:val="FollowedHyperlink"/>
    <w:basedOn w:val="DefaultParagraphFont"/>
    <w:uiPriority w:val="99"/>
    <w:semiHidden/>
    <w:unhideWhenUsed/>
    <w:rsid w:val="00F24692"/>
    <w:rPr>
      <w:color w:val="954F72" w:themeColor="followedHyperlink"/>
      <w:u w:val="single"/>
    </w:rPr>
  </w:style>
  <w:style w:type="paragraph" w:customStyle="1" w:styleId="Default">
    <w:name w:val="Default"/>
    <w:rsid w:val="00F505D6"/>
    <w:pPr>
      <w:autoSpaceDE w:val="0"/>
      <w:autoSpaceDN w:val="0"/>
      <w:adjustRightInd w:val="0"/>
      <w:spacing w:before="0"/>
      <w:ind w:left="0"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ifrc.org/emergencies/397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scienceinaction.org/resources/key-considerations-covid-19-informal-urban-settlements-march-20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BD652E66459445919D27747FCE8BA5" ma:contentTypeVersion="13" ma:contentTypeDescription="Create a new document." ma:contentTypeScope="" ma:versionID="deaba9eac7e6c65e2fa62b02be40e03d">
  <xsd:schema xmlns:xsd="http://www.w3.org/2001/XMLSchema" xmlns:xs="http://www.w3.org/2001/XMLSchema" xmlns:p="http://schemas.microsoft.com/office/2006/metadata/properties" xmlns:ns3="c38517a7-f393-4ee7-8e27-8ffb18288be8" xmlns:ns4="9f456922-5e3b-4bb6-9ce1-ac36db08d786" targetNamespace="http://schemas.microsoft.com/office/2006/metadata/properties" ma:root="true" ma:fieldsID="c9f2b72c292716d5a51e1b32dc3cc1ea" ns3:_="" ns4:_="">
    <xsd:import namespace="c38517a7-f393-4ee7-8e27-8ffb18288be8"/>
    <xsd:import namespace="9f456922-5e3b-4bb6-9ce1-ac36db08d7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517a7-f393-4ee7-8e27-8ffb18288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456922-5e3b-4bb6-9ce1-ac36db08d7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ED1E-77A7-47FC-A100-E7BC4BFD758A}">
  <ds:schemaRefs>
    <ds:schemaRef ds:uri="http://schemas.microsoft.com/sharepoint/v3/contenttype/forms"/>
  </ds:schemaRefs>
</ds:datastoreItem>
</file>

<file path=customXml/itemProps2.xml><?xml version="1.0" encoding="utf-8"?>
<ds:datastoreItem xmlns:ds="http://schemas.openxmlformats.org/officeDocument/2006/customXml" ds:itemID="{022418BC-8690-48AB-BCD4-A287CFDBF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517a7-f393-4ee7-8e27-8ffb18288be8"/>
    <ds:schemaRef ds:uri="9f456922-5e3b-4bb6-9ce1-ac36db08d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07C39-AAA6-4F3F-B88D-555B9C546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A1FAD6-C21B-4872-BB37-1A079552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KADIHASANOGLU</dc:creator>
  <cp:keywords/>
  <dc:description/>
  <cp:lastModifiedBy>Aynur KADIHASANOGLU</cp:lastModifiedBy>
  <cp:revision>5</cp:revision>
  <dcterms:created xsi:type="dcterms:W3CDTF">2020-04-13T08:33:00Z</dcterms:created>
  <dcterms:modified xsi:type="dcterms:W3CDTF">2020-04-13T16:37:00Z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0x01010029BD652E66459445919D27747FCE8BA5</vt:lpwstr>
  </property>
</Properties>
</file>