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9171E" w14:textId="77777777" w:rsidR="001E6D1D" w:rsidRPr="004D635A" w:rsidRDefault="00E649E5">
      <w:pPr>
        <w:pStyle w:val="Heading1"/>
        <w:spacing w:before="120" w:after="0"/>
      </w:pPr>
      <w:r w:rsidRPr="004D635A">
        <w:t>Considérations urbaines pour</w:t>
      </w:r>
    </w:p>
    <w:p w14:paraId="7EB9A4F3" w14:textId="32109EAD" w:rsidR="001E6D1D" w:rsidRPr="004D635A" w:rsidRDefault="00E649E5">
      <w:pPr>
        <w:pStyle w:val="Heading1"/>
        <w:spacing w:before="120" w:after="0"/>
      </w:pPr>
      <w:bookmarkStart w:id="0" w:name="_Hlk37318599"/>
      <w:proofErr w:type="gramStart"/>
      <w:r w:rsidRPr="004D635A">
        <w:t>l'appel</w:t>
      </w:r>
      <w:proofErr w:type="gramEnd"/>
      <w:r w:rsidRPr="004D635A">
        <w:t xml:space="preserve"> d'urgence COVID 19 révisé </w:t>
      </w:r>
    </w:p>
    <w:bookmarkEnd w:id="0"/>
    <w:p w14:paraId="3BF2A4C6" w14:textId="169FFE83" w:rsidR="001E6D1D" w:rsidRPr="00730E2F" w:rsidRDefault="00E649E5">
      <w:pPr>
        <w:spacing w:before="120"/>
        <w:ind w:left="0" w:firstLine="0"/>
      </w:pPr>
      <w:r w:rsidRPr="00730E2F">
        <w:t xml:space="preserve">Cette notice d'information résulte d'un </w:t>
      </w:r>
      <w:hyperlink r:id="rId11" w:history="1">
        <w:r w:rsidRPr="00730E2F">
          <w:rPr>
            <w:rStyle w:val="Hyperlink"/>
          </w:rPr>
          <w:t>briefing technique exhaustif</w:t>
        </w:r>
      </w:hyperlink>
      <w:r w:rsidRPr="00730E2F">
        <w:t xml:space="preserve"> élaboré en collaboration avec d'autres organismes. Il est vivement recommandé de le lire en tant que premier livre. Il s'agit également d'une ressource complémentaire aux documents d'orientation existants de la FICR sur l'engagement communautaire et la responsabilité (CEA), la santé, la protection, le genre, l'inclusion (IGP) et bien d'autres </w:t>
      </w:r>
      <w:hyperlink r:id="rId12" w:anchor="additional-info" w:history="1">
        <w:r w:rsidRPr="00730E2F">
          <w:rPr>
            <w:rStyle w:val="Hyperlink"/>
          </w:rPr>
          <w:t>ici</w:t>
        </w:r>
      </w:hyperlink>
      <w:r w:rsidRPr="00730E2F">
        <w:t>.</w:t>
      </w:r>
    </w:p>
    <w:p w14:paraId="234AD400" w14:textId="12F3B179" w:rsidR="001E6D1D" w:rsidRPr="00730E2F" w:rsidRDefault="00E649E5">
      <w:pPr>
        <w:spacing w:before="120"/>
        <w:ind w:left="0" w:firstLine="0"/>
      </w:pPr>
      <w:r w:rsidRPr="00730E2F">
        <w:t xml:space="preserve">Cette notice d'information est adaptée aux besoins spécifiques des bureaux régionaux FICR et des sociétés nationales pour se préparer à l'appel d'urgence COVID 19 révisé (MDR00005) Elle suit les principales activités de la stratégie opérationnelle de la REA (Recherche, Évaluation, Responsabilité) et donne un aperçu des activités à envisager. Ce n'est pas une liste exhaustive, et il existe de nombreuses autres activités qui peuvent être planifiées par les sociétés nationales et adaptées à leur contexte. </w:t>
      </w:r>
    </w:p>
    <w:p w14:paraId="0CC71C59" w14:textId="77777777" w:rsidR="001E6D1D" w:rsidRPr="00730E2F" w:rsidRDefault="001E6D1D">
      <w:pPr>
        <w:ind w:left="0" w:firstLine="0"/>
        <w:rPr>
          <w:sz w:val="24"/>
        </w:rPr>
      </w:pPr>
    </w:p>
    <w:tbl>
      <w:tblPr>
        <w:tblStyle w:val="TableGrid"/>
        <w:tblW w:w="9895" w:type="dxa"/>
        <w:tblInd w:w="-90" w:type="dxa"/>
        <w:tblLook w:val="04A0" w:firstRow="1" w:lastRow="0" w:firstColumn="1" w:lastColumn="0" w:noHBand="0" w:noVBand="1"/>
      </w:tblPr>
      <w:tblGrid>
        <w:gridCol w:w="3415"/>
        <w:gridCol w:w="6480"/>
      </w:tblGrid>
      <w:tr w:rsidR="001E6D1D" w:rsidRPr="00730E2F" w14:paraId="5F024688" w14:textId="77777777">
        <w:tc>
          <w:tcPr>
            <w:tcW w:w="3415" w:type="dxa"/>
            <w:shd w:val="clear" w:color="auto" w:fill="E7E6E6" w:themeFill="background2"/>
          </w:tcPr>
          <w:p w14:paraId="0CA4CCD7" w14:textId="1EFCB2AE" w:rsidR="001E6D1D" w:rsidRPr="00730E2F" w:rsidRDefault="00E649E5">
            <w:pPr>
              <w:ind w:left="0" w:firstLine="0"/>
            </w:pPr>
            <w:r w:rsidRPr="00730E2F">
              <w:rPr>
                <w:rFonts w:asciiTheme="majorHAnsi" w:eastAsia="Times New Roman" w:hAnsiTheme="majorHAnsi" w:cstheme="majorHAnsi"/>
                <w:b/>
              </w:rPr>
              <w:t>Niveau régional</w:t>
            </w:r>
          </w:p>
        </w:tc>
        <w:tc>
          <w:tcPr>
            <w:tcW w:w="6480" w:type="dxa"/>
            <w:shd w:val="clear" w:color="auto" w:fill="E7E6E6" w:themeFill="background2"/>
          </w:tcPr>
          <w:p w14:paraId="70A758B0" w14:textId="677A4322" w:rsidR="001E6D1D" w:rsidRPr="00730E2F" w:rsidRDefault="00E649E5">
            <w:pPr>
              <w:ind w:left="0" w:firstLine="0"/>
            </w:pPr>
            <w:r w:rsidRPr="00730E2F">
              <w:rPr>
                <w:rFonts w:asciiTheme="majorHAnsi" w:eastAsia="Times New Roman" w:hAnsiTheme="majorHAnsi" w:cstheme="majorHAnsi"/>
                <w:b/>
              </w:rPr>
              <w:t>Niveau national</w:t>
            </w:r>
          </w:p>
        </w:tc>
      </w:tr>
      <w:tr w:rsidR="001E6D1D" w:rsidRPr="00730E2F" w14:paraId="490E5790" w14:textId="77777777">
        <w:tc>
          <w:tcPr>
            <w:tcW w:w="9895" w:type="dxa"/>
            <w:gridSpan w:val="2"/>
            <w:shd w:val="clear" w:color="auto" w:fill="FFF2CC" w:themeFill="accent4" w:themeFillTint="33"/>
          </w:tcPr>
          <w:p w14:paraId="6070EE7C" w14:textId="2C039AD4" w:rsidR="001E6D1D" w:rsidRPr="00730E2F" w:rsidRDefault="00E649E5">
            <w:pPr>
              <w:ind w:left="0" w:firstLine="0"/>
              <w:rPr>
                <w:rFonts w:asciiTheme="majorHAnsi" w:eastAsia="Times New Roman" w:hAnsiTheme="majorHAnsi" w:cstheme="majorHAnsi"/>
                <w:b/>
                <w:color w:val="auto"/>
              </w:rPr>
            </w:pPr>
            <w:r w:rsidRPr="00730E2F">
              <w:rPr>
                <w:rFonts w:asciiTheme="majorHAnsi" w:eastAsia="Times New Roman" w:hAnsiTheme="majorHAnsi" w:cstheme="majorHAnsi"/>
                <w:b/>
                <w:color w:val="auto"/>
              </w:rPr>
              <w:t>Général</w:t>
            </w:r>
          </w:p>
          <w:p w14:paraId="0EE6D88D" w14:textId="77777777" w:rsidR="001E6D1D" w:rsidRPr="00730E2F" w:rsidRDefault="001E6D1D">
            <w:pPr>
              <w:ind w:left="0" w:firstLine="0"/>
              <w:rPr>
                <w:rFonts w:asciiTheme="majorHAnsi" w:eastAsia="Times New Roman" w:hAnsiTheme="majorHAnsi" w:cstheme="majorHAnsi"/>
                <w:b/>
              </w:rPr>
            </w:pPr>
          </w:p>
        </w:tc>
      </w:tr>
      <w:tr w:rsidR="001E6D1D" w:rsidRPr="00730E2F" w14:paraId="7E676719" w14:textId="77777777">
        <w:trPr>
          <w:trHeight w:val="4715"/>
        </w:trPr>
        <w:tc>
          <w:tcPr>
            <w:tcW w:w="3415" w:type="dxa"/>
          </w:tcPr>
          <w:p w14:paraId="21F280B4" w14:textId="00912CBF" w:rsidR="001E6D1D" w:rsidRPr="00730E2F" w:rsidRDefault="00E649E5">
            <w:pPr>
              <w:ind w:left="-21"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Apportez un soutien technique à la Croix Rouge pour assurer que leur plan d'action proposé soit "adapté pour le modèle urbain" : intégrez les considérations suggérées dans ce document.</w:t>
            </w:r>
          </w:p>
          <w:p w14:paraId="55141740" w14:textId="721F1279" w:rsidR="001E6D1D" w:rsidRPr="00730E2F" w:rsidRDefault="001E6D1D">
            <w:pPr>
              <w:ind w:left="0" w:firstLine="0"/>
              <w:rPr>
                <w:rFonts w:asciiTheme="minorHAnsi" w:eastAsia="Times New Roman" w:hAnsiTheme="minorHAnsi" w:cstheme="minorHAnsi"/>
                <w:color w:val="0D0D0D" w:themeColor="text1" w:themeTint="F2"/>
              </w:rPr>
            </w:pPr>
          </w:p>
          <w:p w14:paraId="710A2627" w14:textId="4253F91A" w:rsidR="001E6D1D" w:rsidRPr="00730E2F" w:rsidRDefault="00E649E5">
            <w:pPr>
              <w:ind w:left="-27"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Retenez les enseignements et bonnes pratiques de l'opération en cours dans la région d'après la perspective urbaine et partagez-les avec le réseau élargi.</w:t>
            </w:r>
          </w:p>
          <w:p w14:paraId="5BE29527" w14:textId="1E80E657" w:rsidR="001E6D1D" w:rsidRPr="00730E2F" w:rsidRDefault="001E6D1D">
            <w:pPr>
              <w:ind w:left="0" w:firstLine="0"/>
              <w:rPr>
                <w:rFonts w:asciiTheme="minorHAnsi" w:eastAsia="Times New Roman" w:hAnsiTheme="minorHAnsi" w:cstheme="minorHAnsi"/>
                <w:color w:val="0D0D0D" w:themeColor="text1" w:themeTint="F2"/>
              </w:rPr>
            </w:pPr>
          </w:p>
          <w:p w14:paraId="52116408" w14:textId="77777777" w:rsidR="001E6D1D" w:rsidRPr="00730E2F" w:rsidRDefault="001E6D1D">
            <w:pPr>
              <w:ind w:left="0" w:firstLine="0"/>
              <w:rPr>
                <w:rFonts w:asciiTheme="minorHAnsi" w:eastAsia="Times New Roman" w:hAnsiTheme="minorHAnsi" w:cstheme="minorHAnsi"/>
                <w:color w:val="0D0D0D" w:themeColor="text1" w:themeTint="F2"/>
              </w:rPr>
            </w:pPr>
          </w:p>
          <w:p w14:paraId="7D8F966E" w14:textId="1E03A167" w:rsidR="001E6D1D" w:rsidRPr="00730E2F" w:rsidRDefault="00E649E5">
            <w:pPr>
              <w:ind w:left="0"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Préconisez au niveau régional une capacité augmentée et des ressources pour des actions préventives, et prenez les mesures nécessaires pour protéger les populations vulnérables contre les impacts aggravants d'événements extrêmes mais prévisibles, y compris une pandémie et des catastrophes climatiques.</w:t>
            </w:r>
          </w:p>
          <w:p w14:paraId="65F93CBF" w14:textId="77777777" w:rsidR="001E6D1D" w:rsidRPr="00730E2F" w:rsidRDefault="001E6D1D">
            <w:pPr>
              <w:ind w:left="0" w:firstLine="0"/>
              <w:rPr>
                <w:rFonts w:asciiTheme="minorHAnsi" w:eastAsia="Times New Roman" w:hAnsiTheme="minorHAnsi" w:cstheme="minorHAnsi"/>
                <w:color w:val="0D0D0D" w:themeColor="text1" w:themeTint="F2"/>
              </w:rPr>
            </w:pPr>
          </w:p>
          <w:p w14:paraId="3336D70E" w14:textId="77777777" w:rsidR="001E6D1D" w:rsidRPr="00730E2F" w:rsidRDefault="001E6D1D">
            <w:pPr>
              <w:pStyle w:val="ListParagraph"/>
              <w:rPr>
                <w:rFonts w:asciiTheme="minorHAnsi" w:eastAsia="Times New Roman" w:hAnsiTheme="minorHAnsi" w:cstheme="minorHAnsi"/>
                <w:color w:val="0D0D0D" w:themeColor="text1" w:themeTint="F2"/>
              </w:rPr>
            </w:pPr>
          </w:p>
          <w:p w14:paraId="1D772796" w14:textId="77777777" w:rsidR="001E6D1D" w:rsidRPr="00730E2F" w:rsidRDefault="001E6D1D">
            <w:pPr>
              <w:ind w:left="0" w:firstLine="0"/>
              <w:rPr>
                <w:rFonts w:asciiTheme="minorHAnsi" w:eastAsia="Times New Roman" w:hAnsiTheme="minorHAnsi" w:cstheme="minorHAnsi"/>
                <w:color w:val="0D0D0D" w:themeColor="text1" w:themeTint="F2"/>
              </w:rPr>
            </w:pPr>
          </w:p>
          <w:p w14:paraId="65F720D5" w14:textId="2F5AAC3B" w:rsidR="001E6D1D" w:rsidRPr="00730E2F" w:rsidRDefault="001E6D1D">
            <w:pPr>
              <w:rPr>
                <w:rFonts w:asciiTheme="minorHAnsi" w:eastAsia="Times New Roman" w:hAnsiTheme="minorHAnsi" w:cstheme="minorHAnsi"/>
                <w:color w:val="0D0D0D" w:themeColor="text1" w:themeTint="F2"/>
              </w:rPr>
            </w:pPr>
          </w:p>
        </w:tc>
        <w:tc>
          <w:tcPr>
            <w:tcW w:w="6480" w:type="dxa"/>
          </w:tcPr>
          <w:p w14:paraId="7F2B6F09" w14:textId="749678ED" w:rsidR="001E6D1D" w:rsidRPr="00730E2F" w:rsidRDefault="00E649E5">
            <w:pPr>
              <w:ind w:left="0"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Tirez profit des rôles auxiliaires, collaborez avec les gouvernements locaux et les acteurs clé de la ville pour assurer que toutes les activités proposées soient connectées et complémentaires au niveau urbain. Les plans devraient prendre en considération ce qui suit :</w:t>
            </w:r>
          </w:p>
          <w:p w14:paraId="4DC8F68F" w14:textId="7125144C" w:rsidR="001E6D1D" w:rsidRPr="00730E2F" w:rsidRDefault="00E649E5" w:rsidP="004D635A">
            <w:pPr>
              <w:spacing w:beforeLines="60" w:before="144"/>
              <w:ind w:left="429" w:firstLine="0"/>
              <w:rPr>
                <w:rFonts w:asciiTheme="minorHAnsi" w:eastAsia="Times New Roman" w:hAnsiTheme="minorHAnsi" w:cstheme="minorHAnsi"/>
                <w:color w:val="0D0D0D" w:themeColor="text1" w:themeTint="F2"/>
                <w:sz w:val="21"/>
              </w:rPr>
            </w:pPr>
            <w:proofErr w:type="gramStart"/>
            <w:r w:rsidRPr="00730E2F">
              <w:rPr>
                <w:rFonts w:asciiTheme="minorHAnsi" w:eastAsia="Times New Roman" w:hAnsiTheme="minorHAnsi" w:cstheme="minorHAnsi"/>
                <w:color w:val="0D0D0D" w:themeColor="text1" w:themeTint="F2"/>
              </w:rPr>
              <w:t>les</w:t>
            </w:r>
            <w:proofErr w:type="gramEnd"/>
            <w:r w:rsidRPr="00730E2F">
              <w:rPr>
                <w:rFonts w:asciiTheme="minorHAnsi" w:eastAsia="Times New Roman" w:hAnsiTheme="minorHAnsi" w:cstheme="minorHAnsi"/>
                <w:color w:val="0D0D0D" w:themeColor="text1" w:themeTint="F2"/>
              </w:rPr>
              <w:t xml:space="preserve"> communautés vivant dans des agglomérations et bidonvilles informels sont de loin les plus vulnérables, non seulement au COVID, mais également à toutes sortes de périls. </w:t>
            </w:r>
            <w:r w:rsidR="004D635A" w:rsidRPr="00730E2F">
              <w:rPr>
                <w:rFonts w:asciiTheme="minorHAnsi" w:eastAsia="Times New Roman" w:hAnsiTheme="minorHAnsi" w:cstheme="minorHAnsi"/>
                <w:color w:val="0D0D0D" w:themeColor="text1" w:themeTint="F2"/>
                <w:sz w:val="21"/>
              </w:rPr>
              <w:t>Les impacts sociaux et économiques secondaires affecteront également les installations informelles et les bidonvilles dans une plus large mesure</w:t>
            </w:r>
          </w:p>
          <w:p w14:paraId="09E30D4A" w14:textId="29B0FAFF" w:rsidR="001E6D1D" w:rsidRPr="00730E2F" w:rsidRDefault="00E649E5">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 xml:space="preserve">La diversité des communautés urbaines et leurs vulnérabilités spécifiques (p.ex. populations déplacées, normes culturelles diverses, langues, etc.) dans les villes. </w:t>
            </w:r>
          </w:p>
          <w:p w14:paraId="102C2285" w14:textId="77777777" w:rsidR="001E6D1D" w:rsidRPr="00730E2F" w:rsidRDefault="00E649E5">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proofErr w:type="gramStart"/>
            <w:r w:rsidRPr="00730E2F">
              <w:rPr>
                <w:rFonts w:asciiTheme="minorHAnsi" w:eastAsia="Times New Roman" w:hAnsiTheme="minorHAnsi" w:cstheme="minorHAnsi"/>
                <w:color w:val="0D0D0D" w:themeColor="text1" w:themeTint="F2"/>
              </w:rPr>
              <w:t>le</w:t>
            </w:r>
            <w:proofErr w:type="gramEnd"/>
            <w:r w:rsidRPr="00730E2F">
              <w:rPr>
                <w:rFonts w:asciiTheme="minorHAnsi" w:eastAsia="Times New Roman" w:hAnsiTheme="minorHAnsi" w:cstheme="minorHAnsi"/>
                <w:color w:val="0D0D0D" w:themeColor="text1" w:themeTint="F2"/>
              </w:rPr>
              <w:t xml:space="preserve"> rôle vital du secteur privé, et en tant que ressource et en tant que bénéficiaire ciblé, particulièrement les petites entreprises et les ménages ayant une activité autonome</w:t>
            </w:r>
          </w:p>
          <w:p w14:paraId="0B34CEA4" w14:textId="77777777" w:rsidR="001E6D1D" w:rsidRPr="00730E2F" w:rsidRDefault="00E649E5">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 xml:space="preserve">La nécessité de collaborer avec les gouvernements locaux pour assurer l'évolutivité et la durabilité des interventions proposées. </w:t>
            </w:r>
          </w:p>
          <w:p w14:paraId="774CE2A5" w14:textId="13359F81" w:rsidR="001E6D1D" w:rsidRPr="00730E2F" w:rsidRDefault="00E649E5">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L'intégration complète des plans alternatifs Croix-Rouge et systèmes EWEA dans les plans de secours et systèmes urbains.</w:t>
            </w:r>
          </w:p>
          <w:p w14:paraId="6380A24E" w14:textId="273F1E4C" w:rsidR="001E6D1D" w:rsidRPr="00730E2F" w:rsidRDefault="001E6D1D">
            <w:pPr>
              <w:ind w:left="720" w:firstLine="0"/>
              <w:rPr>
                <w:rFonts w:asciiTheme="minorHAnsi" w:eastAsia="Times New Roman" w:hAnsiTheme="minorHAnsi" w:cstheme="minorHAnsi"/>
                <w:color w:val="0D0D0D" w:themeColor="text1" w:themeTint="F2"/>
              </w:rPr>
            </w:pPr>
          </w:p>
          <w:p w14:paraId="18BFC21D" w14:textId="7FE307D3" w:rsidR="001E6D1D" w:rsidRPr="00730E2F" w:rsidRDefault="004D635A" w:rsidP="004D635A">
            <w:pPr>
              <w:ind w:left="0" w:firstLine="0"/>
              <w:rPr>
                <w:rFonts w:asciiTheme="minorHAnsi" w:eastAsia="Times New Roman" w:hAnsiTheme="minorHAnsi" w:cstheme="minorHAnsi"/>
                <w:color w:val="0D0D0D" w:themeColor="text1" w:themeTint="F2"/>
                <w:sz w:val="21"/>
              </w:rPr>
            </w:pPr>
            <w:r w:rsidRPr="00730E2F">
              <w:rPr>
                <w:rFonts w:asciiTheme="minorHAnsi" w:eastAsia="Times New Roman" w:hAnsiTheme="minorHAnsi" w:cstheme="minorHAnsi"/>
                <w:color w:val="0D0D0D" w:themeColor="text1" w:themeTint="F2"/>
                <w:sz w:val="21"/>
              </w:rPr>
              <w:t xml:space="preserve">Promouvoir et intégrer, dans la mesure du possible, des activités qui permettent d'accroître les capacités et les ressources favorisant les actions d'anticipation et la prise de mesures nécessaires pour protéger les populations vulnérables et garantir une approche Do No </w:t>
            </w:r>
            <w:proofErr w:type="spellStart"/>
            <w:r w:rsidRPr="00730E2F">
              <w:rPr>
                <w:rFonts w:asciiTheme="minorHAnsi" w:eastAsia="Times New Roman" w:hAnsiTheme="minorHAnsi" w:cstheme="minorHAnsi"/>
                <w:color w:val="0D0D0D" w:themeColor="text1" w:themeTint="F2"/>
                <w:sz w:val="21"/>
              </w:rPr>
              <w:t>Harm</w:t>
            </w:r>
            <w:proofErr w:type="spellEnd"/>
            <w:r w:rsidRPr="00730E2F">
              <w:rPr>
                <w:rFonts w:asciiTheme="minorHAnsi" w:eastAsia="Times New Roman" w:hAnsiTheme="minorHAnsi" w:cstheme="minorHAnsi"/>
                <w:color w:val="0D0D0D" w:themeColor="text1" w:themeTint="F2"/>
                <w:sz w:val="21"/>
              </w:rPr>
              <w:t xml:space="preserve"> contre les effets cumulés d'événements extrêmes mais prévisibles, tels que les pandémies et les catastrophes climatiques.</w:t>
            </w:r>
          </w:p>
          <w:p w14:paraId="0394CC1F" w14:textId="55CF9CD0" w:rsidR="004D635A" w:rsidRPr="00730E2F" w:rsidRDefault="004D635A">
            <w:pPr>
              <w:ind w:left="0" w:firstLine="0"/>
              <w:rPr>
                <w:rFonts w:asciiTheme="minorHAnsi" w:hAnsiTheme="minorHAnsi" w:cstheme="minorHAnsi"/>
                <w:color w:val="0D0D0D" w:themeColor="text1" w:themeTint="F2"/>
              </w:rPr>
            </w:pPr>
          </w:p>
        </w:tc>
      </w:tr>
      <w:tr w:rsidR="001E6D1D" w:rsidRPr="00730E2F" w14:paraId="730ECDF5" w14:textId="77777777">
        <w:tc>
          <w:tcPr>
            <w:tcW w:w="9895" w:type="dxa"/>
            <w:gridSpan w:val="2"/>
            <w:shd w:val="clear" w:color="auto" w:fill="FFF2CC" w:themeFill="accent4" w:themeFillTint="33"/>
          </w:tcPr>
          <w:p w14:paraId="2B1AC17A" w14:textId="420C8B5C" w:rsidR="001E6D1D" w:rsidRPr="00730E2F" w:rsidRDefault="00E649E5">
            <w:pPr>
              <w:ind w:left="0" w:firstLine="0"/>
              <w:rPr>
                <w:rFonts w:asciiTheme="minorHAnsi" w:eastAsia="Times New Roman" w:hAnsiTheme="minorHAnsi" w:cstheme="minorHAnsi"/>
                <w:b/>
                <w:color w:val="0D0D0D" w:themeColor="text1" w:themeTint="F2"/>
              </w:rPr>
            </w:pPr>
            <w:r w:rsidRPr="00730E2F">
              <w:rPr>
                <w:rFonts w:asciiTheme="minorHAnsi" w:eastAsia="Times New Roman" w:hAnsiTheme="minorHAnsi" w:cstheme="minorHAnsi"/>
                <w:b/>
                <w:color w:val="0D0D0D" w:themeColor="text1" w:themeTint="F2"/>
              </w:rPr>
              <w:t>Soutenez les efforts de détection, d'isolation et de traitement de cas COVID-19 dans les communautés les plus affectées (dans les villes, concentrez-vous sur les agglomérations et bidonvilles informels)</w:t>
            </w:r>
          </w:p>
          <w:p w14:paraId="5906C05E" w14:textId="69A647BB" w:rsidR="001E6D1D" w:rsidRPr="00730E2F" w:rsidRDefault="001E6D1D">
            <w:pPr>
              <w:ind w:left="0" w:firstLine="0"/>
              <w:rPr>
                <w:rFonts w:asciiTheme="minorHAnsi" w:eastAsia="Times New Roman" w:hAnsiTheme="minorHAnsi" w:cstheme="minorHAnsi"/>
                <w:color w:val="0D0D0D" w:themeColor="text1" w:themeTint="F2"/>
              </w:rPr>
            </w:pPr>
          </w:p>
        </w:tc>
      </w:tr>
      <w:tr w:rsidR="001E6D1D" w:rsidRPr="00730E2F" w14:paraId="39A04301" w14:textId="77777777">
        <w:tc>
          <w:tcPr>
            <w:tcW w:w="3415" w:type="dxa"/>
          </w:tcPr>
          <w:p w14:paraId="5A32762B" w14:textId="2F08403F" w:rsidR="001E6D1D" w:rsidRPr="00730E2F" w:rsidRDefault="00E649E5">
            <w:pPr>
              <w:ind w:left="0" w:firstLine="0"/>
              <w:rPr>
                <w:rFonts w:asciiTheme="minorHAnsi" w:hAnsiTheme="minorHAnsi" w:cstheme="minorHAnsi"/>
                <w:color w:val="0D0D0D" w:themeColor="text1" w:themeTint="F2"/>
              </w:rPr>
            </w:pPr>
            <w:r w:rsidRPr="00730E2F">
              <w:rPr>
                <w:rFonts w:asciiTheme="minorHAnsi" w:eastAsia="Times New Roman" w:hAnsiTheme="minorHAnsi" w:cstheme="minorHAnsi"/>
                <w:color w:val="0D0D0D" w:themeColor="text1" w:themeTint="F2"/>
              </w:rPr>
              <w:lastRenderedPageBreak/>
              <w:t>Préconisez la priorisation des personnes désavantagées et marginalisées dans les agglomérations et bidonvilles informels en tant que plus vulnérables, aidez la Croix Rouge à imaginer des plans d'action appropriés pour ces peuplements.</w:t>
            </w:r>
          </w:p>
        </w:tc>
        <w:tc>
          <w:tcPr>
            <w:tcW w:w="6480" w:type="dxa"/>
          </w:tcPr>
          <w:p w14:paraId="125E9F5B" w14:textId="4A918B1F" w:rsidR="001E6D1D" w:rsidRPr="00730E2F" w:rsidRDefault="00E649E5">
            <w:pPr>
              <w:ind w:left="0"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 xml:space="preserve">Aidez les communautés à s'organiser, récolter des données, imaginer et mettre en </w:t>
            </w:r>
            <w:proofErr w:type="spellStart"/>
            <w:r w:rsidRPr="00730E2F">
              <w:rPr>
                <w:rFonts w:asciiTheme="minorHAnsi" w:eastAsia="Times New Roman" w:hAnsiTheme="minorHAnsi" w:cstheme="minorHAnsi"/>
                <w:color w:val="0D0D0D" w:themeColor="text1" w:themeTint="F2"/>
              </w:rPr>
              <w:t>oeuvre</w:t>
            </w:r>
            <w:proofErr w:type="spellEnd"/>
            <w:r w:rsidRPr="00730E2F">
              <w:rPr>
                <w:rFonts w:asciiTheme="minorHAnsi" w:eastAsia="Times New Roman" w:hAnsiTheme="minorHAnsi" w:cstheme="minorHAnsi"/>
                <w:color w:val="0D0D0D" w:themeColor="text1" w:themeTint="F2"/>
              </w:rPr>
              <w:t xml:space="preserve"> des interventions communautaires adaptées à leurs besoins et caractéristiques spatiales, ainsi qu'aux normes sociales et culturelles et aux dynamiques de pouvoir dans les agglomérations et bidonvilles informels.</w:t>
            </w:r>
          </w:p>
          <w:p w14:paraId="6DEB2FD8" w14:textId="77777777" w:rsidR="001E6D1D" w:rsidRPr="00730E2F" w:rsidRDefault="001E6D1D">
            <w:pPr>
              <w:ind w:left="0" w:firstLine="0"/>
              <w:rPr>
                <w:rFonts w:asciiTheme="minorHAnsi" w:eastAsia="Times New Roman" w:hAnsiTheme="minorHAnsi" w:cstheme="minorHAnsi"/>
                <w:color w:val="0D0D0D" w:themeColor="text1" w:themeTint="F2"/>
              </w:rPr>
            </w:pPr>
          </w:p>
          <w:p w14:paraId="153EEF6C" w14:textId="77777777" w:rsidR="001E6D1D" w:rsidRPr="00730E2F" w:rsidRDefault="00E649E5">
            <w:pPr>
              <w:ind w:left="0"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t>Facilitez la communication et la collaboration avec les autorités gouvernementales locales pour éliminer la désinformation et créer un lien de confiance entre les fournisseurs de service et les communautés.</w:t>
            </w:r>
          </w:p>
          <w:p w14:paraId="4249F33F" w14:textId="651FB448" w:rsidR="001E6D1D" w:rsidRPr="00730E2F" w:rsidRDefault="00E649E5">
            <w:pPr>
              <w:ind w:left="0" w:firstLine="0"/>
              <w:rPr>
                <w:rFonts w:asciiTheme="minorHAnsi" w:eastAsia="Times New Roman" w:hAnsiTheme="minorHAnsi" w:cstheme="minorHAnsi"/>
                <w:color w:val="0D0D0D" w:themeColor="text1" w:themeTint="F2"/>
              </w:rPr>
            </w:pPr>
            <w:r w:rsidRPr="00730E2F">
              <w:rPr>
                <w:rFonts w:asciiTheme="minorHAnsi" w:eastAsia="Times New Roman" w:hAnsiTheme="minorHAnsi" w:cstheme="minorHAnsi"/>
                <w:color w:val="0D0D0D" w:themeColor="text1" w:themeTint="F2"/>
              </w:rPr>
              <w:br/>
            </w:r>
            <w:r w:rsidRPr="00730E2F">
              <w:rPr>
                <w:rFonts w:asciiTheme="minorHAnsi" w:eastAsia="Times New Roman" w:hAnsiTheme="minorHAnsi" w:cstheme="minorHAnsi"/>
                <w:color w:val="auto"/>
                <w:sz w:val="21"/>
              </w:rPr>
              <w:t>Investir tôt dans le profilage des établissements informels et des bidonvilles, tant en ce qui concerne leur population (vulnérabilités chroniques et aiguës - santé, sécurité alimentaire, revenus/dépenses, identités et profils socioculturels divers) que leur organisation spatiale (par exemple points d'eau et d'assainissement, marchés, nœuds de transport).</w:t>
            </w:r>
            <w:r w:rsidRPr="00730E2F">
              <w:t xml:space="preserve"> </w:t>
            </w:r>
            <w:r w:rsidRPr="00730E2F">
              <w:rPr>
                <w:rFonts w:asciiTheme="minorHAnsi" w:eastAsia="Times New Roman" w:hAnsiTheme="minorHAnsi" w:cstheme="minorHAnsi"/>
                <w:color w:val="auto"/>
                <w:sz w:val="21"/>
              </w:rPr>
              <w:t xml:space="preserve"> </w:t>
            </w:r>
            <w:r w:rsidRPr="00730E2F">
              <w:rPr>
                <w:rFonts w:asciiTheme="minorHAnsi" w:eastAsia="Times New Roman" w:hAnsiTheme="minorHAnsi" w:cstheme="minorHAnsi"/>
                <w:color w:val="0D0D0D" w:themeColor="text1" w:themeTint="F2"/>
              </w:rPr>
              <w:t xml:space="preserve">Ceci aidera également à créer une référence pour mieux se préparer aux hasards multiples et mettre en place des activités de réduction des risques. Cartographiez les différents groupes </w:t>
            </w:r>
            <w:proofErr w:type="spellStart"/>
            <w:r w:rsidRPr="00730E2F">
              <w:rPr>
                <w:rFonts w:asciiTheme="minorHAnsi" w:eastAsia="Times New Roman" w:hAnsiTheme="minorHAnsi" w:cstheme="minorHAnsi"/>
                <w:color w:val="0D0D0D" w:themeColor="text1" w:themeTint="F2"/>
              </w:rPr>
              <w:t>auto-organisés</w:t>
            </w:r>
            <w:proofErr w:type="spellEnd"/>
            <w:r w:rsidRPr="00730E2F">
              <w:rPr>
                <w:rFonts w:asciiTheme="minorHAnsi" w:eastAsia="Times New Roman" w:hAnsiTheme="minorHAnsi" w:cstheme="minorHAnsi"/>
                <w:color w:val="0D0D0D" w:themeColor="text1" w:themeTint="F2"/>
              </w:rPr>
              <w:t xml:space="preserve"> et les organismes communautaires, leurs rôles actuels et relations, ainsi que leur potentiel en tant qu'atout dans l'aide humanitaire Cartographiez les espaces et bâtiments (p.ex. écoles, etc.) dans ou près des agglomérations et bidonvilles informels, qui peuvent être utilisés pour isoler les plus vulnérables, trier les cas potentiels et mettre en place une quarantaine limitée. Identifiez les alternatives à l'utilisation d'instituts éducatifs en tant que refuges, unités de traitement ou centres de mise en quarantaine, lorsqu'une telle utilisation est nécessaire.</w:t>
            </w:r>
          </w:p>
          <w:p w14:paraId="312A9E59" w14:textId="77777777" w:rsidR="001E6D1D" w:rsidRPr="00730E2F" w:rsidRDefault="001E6D1D">
            <w:pPr>
              <w:ind w:left="0" w:firstLine="0"/>
              <w:rPr>
                <w:rFonts w:asciiTheme="minorHAnsi" w:hAnsiTheme="minorHAnsi" w:cstheme="minorHAnsi"/>
                <w:color w:val="0D0D0D" w:themeColor="text1" w:themeTint="F2"/>
              </w:rPr>
            </w:pPr>
          </w:p>
          <w:p w14:paraId="6A898AD7" w14:textId="2A058777" w:rsidR="001E6D1D" w:rsidRPr="00730E2F" w:rsidRDefault="001E6D1D">
            <w:pPr>
              <w:ind w:left="0" w:firstLine="0"/>
              <w:rPr>
                <w:rFonts w:asciiTheme="minorHAnsi" w:hAnsiTheme="minorHAnsi" w:cstheme="minorHAnsi"/>
                <w:color w:val="0D0D0D" w:themeColor="text1" w:themeTint="F2"/>
              </w:rPr>
            </w:pPr>
          </w:p>
        </w:tc>
      </w:tr>
      <w:tr w:rsidR="001E6D1D" w:rsidRPr="00730E2F" w14:paraId="0D9097D6" w14:textId="77777777">
        <w:tc>
          <w:tcPr>
            <w:tcW w:w="9895" w:type="dxa"/>
            <w:gridSpan w:val="2"/>
            <w:shd w:val="clear" w:color="auto" w:fill="FFF2CC" w:themeFill="accent4" w:themeFillTint="33"/>
          </w:tcPr>
          <w:p w14:paraId="0C6A536A" w14:textId="77777777" w:rsidR="001E6D1D" w:rsidRPr="00730E2F" w:rsidRDefault="00E649E5">
            <w:pPr>
              <w:ind w:left="0" w:firstLine="0"/>
              <w:rPr>
                <w:rFonts w:asciiTheme="minorHAnsi" w:eastAsia="Times New Roman" w:hAnsiTheme="minorHAnsi" w:cstheme="minorHAnsi"/>
                <w:b/>
                <w:color w:val="0D0D0D" w:themeColor="text1" w:themeTint="F2"/>
              </w:rPr>
            </w:pPr>
            <w:r w:rsidRPr="00730E2F">
              <w:rPr>
                <w:rFonts w:asciiTheme="minorHAnsi" w:eastAsia="Times New Roman" w:hAnsiTheme="minorHAnsi" w:cstheme="minorHAnsi"/>
                <w:b/>
                <w:color w:val="0D0D0D" w:themeColor="text1" w:themeTint="F2"/>
              </w:rPr>
              <w:t>Fournissez des services de santé communautaires afin de maintenir un accès aux soins de santé essentiels et empêcher les maladies et morts indirectes, résultant de la surcharge sur les systèmes de santé.</w:t>
            </w:r>
          </w:p>
          <w:p w14:paraId="0B6A717E" w14:textId="40D026B9" w:rsidR="001E6D1D" w:rsidRPr="00730E2F" w:rsidRDefault="001E6D1D">
            <w:pPr>
              <w:ind w:left="0" w:firstLine="0"/>
              <w:rPr>
                <w:rFonts w:asciiTheme="minorHAnsi" w:eastAsia="Times New Roman" w:hAnsiTheme="minorHAnsi" w:cstheme="minorHAnsi"/>
                <w:b/>
                <w:color w:val="0D0D0D" w:themeColor="text1" w:themeTint="F2"/>
              </w:rPr>
            </w:pPr>
          </w:p>
        </w:tc>
      </w:tr>
      <w:tr w:rsidR="001E6D1D" w:rsidRPr="00730E2F" w14:paraId="759B2C1B" w14:textId="77777777">
        <w:tc>
          <w:tcPr>
            <w:tcW w:w="3415" w:type="dxa"/>
          </w:tcPr>
          <w:p w14:paraId="6BCE23E7" w14:textId="78C86FB1" w:rsidR="001E6D1D" w:rsidRPr="00730E2F" w:rsidRDefault="00E649E5">
            <w:pPr>
              <w:ind w:left="0" w:firstLine="0"/>
              <w:rPr>
                <w:rFonts w:asciiTheme="minorHAnsi" w:hAnsiTheme="minorHAnsi" w:cstheme="minorHAnsi"/>
                <w:color w:val="0D0D0D" w:themeColor="text1" w:themeTint="F2"/>
              </w:rPr>
            </w:pPr>
            <w:r w:rsidRPr="00730E2F">
              <w:rPr>
                <w:rFonts w:asciiTheme="minorHAnsi" w:eastAsia="Times New Roman" w:hAnsiTheme="minorHAnsi" w:cstheme="minorHAnsi"/>
                <w:color w:val="0D0D0D" w:themeColor="text1" w:themeTint="F2"/>
              </w:rPr>
              <w:br/>
            </w:r>
            <w:r w:rsidRPr="00730E2F">
              <w:rPr>
                <w:rFonts w:asciiTheme="minorHAnsi" w:eastAsia="Times New Roman" w:hAnsiTheme="minorHAnsi" w:cstheme="minorHAnsi"/>
                <w:color w:val="0D0D0D" w:themeColor="text1" w:themeTint="F2"/>
              </w:rPr>
              <w:br/>
            </w:r>
          </w:p>
        </w:tc>
        <w:tc>
          <w:tcPr>
            <w:tcW w:w="6480" w:type="dxa"/>
          </w:tcPr>
          <w:p w14:paraId="2591623A" w14:textId="318C79F7" w:rsidR="001E6D1D" w:rsidRPr="00730E2F" w:rsidRDefault="00E649E5">
            <w:pPr>
              <w:ind w:left="0" w:firstLine="0"/>
              <w:rPr>
                <w:rFonts w:asciiTheme="minorHAnsi" w:eastAsia="Arial" w:hAnsiTheme="minorHAnsi" w:cstheme="minorHAnsi"/>
                <w:color w:val="0D0D0D" w:themeColor="text1" w:themeTint="F2"/>
              </w:rPr>
            </w:pPr>
            <w:r w:rsidRPr="00730E2F">
              <w:rPr>
                <w:rFonts w:asciiTheme="minorHAnsi" w:hAnsiTheme="minorHAnsi" w:cstheme="minorHAnsi"/>
                <w:color w:val="0D0D0D" w:themeColor="text1" w:themeTint="F2"/>
              </w:rPr>
              <w:t>Collaborez avec les gouvernements locaux et agences nationales, développez des systèmes EWEA dans les villes ; adaptez et appliquez le FbA dans les cadres urbains qui incorporent des alertes et actions préventives en cas de pandémie. Travaillez avec les gouvernements locaux et fournisseurs de service pour augmenter rapidement l'approvisionnement abordable en eau et soins d'hygiène, tout en assurant une couverture suffisante</w:t>
            </w:r>
            <w:r w:rsidR="004D635A" w:rsidRPr="00730E2F">
              <w:rPr>
                <w:rFonts w:asciiTheme="minorHAnsi" w:hAnsiTheme="minorHAnsi" w:cstheme="minorHAnsi"/>
                <w:color w:val="0D0D0D" w:themeColor="text1" w:themeTint="F2"/>
              </w:rPr>
              <w:t xml:space="preserve"> </w:t>
            </w:r>
            <w:r w:rsidRPr="00730E2F">
              <w:rPr>
                <w:rFonts w:asciiTheme="minorHAnsi" w:hAnsiTheme="minorHAnsi" w:cstheme="minorHAnsi"/>
                <w:color w:val="0D0D0D" w:themeColor="text1" w:themeTint="F2"/>
              </w:rPr>
              <w:t>Positionnez des stations de lavage de main adéquates et dans des emplacements stratégiques (p.ex. à proximité de toilettes, marchés, transports, centres d'information) et utilisez-les en tant que sites privilégiés pour sensibiliser aux dangers du COVID-19.Imaginez des stratégies pour l'approvisionnement en nourriture et en eau, qui prennent en considération le fait que les ménages n'ont aucune capacité de stockage sur plusieurs jours ; imaginez des solutions originales pour faciliter la distanciation sociale (p.ex. mini-marchés dispersés, livraisons à domicile)Effectuez un suivi de l'insécurité alimentaire et l'accès à une alimentation abordable et nutritive, et encouragez les mesures de mitigation (p.ex. agriculture urbaine, programmes de remplacement pour les repas scolaires.</w:t>
            </w:r>
          </w:p>
          <w:p w14:paraId="619C70D7" w14:textId="77777777" w:rsidR="001E6D1D" w:rsidRPr="00730E2F" w:rsidRDefault="001E6D1D">
            <w:pPr>
              <w:ind w:left="0" w:firstLine="0"/>
              <w:rPr>
                <w:rFonts w:asciiTheme="minorHAnsi" w:eastAsia="Times New Roman" w:hAnsiTheme="minorHAnsi" w:cstheme="minorHAnsi"/>
                <w:color w:val="0D0D0D" w:themeColor="text1" w:themeTint="F2"/>
              </w:rPr>
            </w:pPr>
          </w:p>
          <w:p w14:paraId="75B9F203" w14:textId="0E1C4E3D" w:rsidR="001E6D1D" w:rsidRPr="00730E2F" w:rsidRDefault="00E649E5">
            <w:pPr>
              <w:ind w:left="0" w:firstLine="0"/>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 xml:space="preserve">Mettez en place des services, traitements et communications accessibles pour tous, surtout pour les personnes plus marginalisées. </w:t>
            </w:r>
          </w:p>
          <w:p w14:paraId="798648FC" w14:textId="77777777" w:rsidR="001E6D1D" w:rsidRPr="00730E2F" w:rsidRDefault="00E649E5">
            <w:pPr>
              <w:numPr>
                <w:ilvl w:val="1"/>
                <w:numId w:val="9"/>
              </w:numPr>
              <w:spacing w:before="60"/>
              <w:ind w:left="259" w:hanging="187"/>
              <w:rPr>
                <w:rFonts w:asciiTheme="minorHAnsi" w:eastAsia="Arial" w:hAnsiTheme="minorHAnsi" w:cstheme="minorHAnsi"/>
                <w:iCs/>
                <w:color w:val="0D0D0D" w:themeColor="text1" w:themeTint="F2"/>
              </w:rPr>
            </w:pPr>
            <w:r w:rsidRPr="00730E2F">
              <w:rPr>
                <w:rFonts w:asciiTheme="minorHAnsi" w:eastAsia="Arial" w:hAnsiTheme="minorHAnsi" w:cstheme="minorHAnsi"/>
                <w:iCs/>
                <w:color w:val="0D0D0D" w:themeColor="text1" w:themeTint="F2"/>
              </w:rPr>
              <w:lastRenderedPageBreak/>
              <w:t>Les personnes plus âgées manquent parfois d'accès aux informations sur Internet &amp; réseaux sociaux, donc utilisez des moyens de communication adaptés tels qu'appels téléphoniques &amp; brochures.</w:t>
            </w:r>
          </w:p>
          <w:p w14:paraId="2FAADAF7" w14:textId="77777777" w:rsidR="001E6D1D" w:rsidRPr="00730E2F" w:rsidRDefault="00E649E5">
            <w:pPr>
              <w:numPr>
                <w:ilvl w:val="1"/>
                <w:numId w:val="9"/>
              </w:numPr>
              <w:spacing w:before="60"/>
              <w:ind w:left="259" w:hanging="187"/>
              <w:rPr>
                <w:rFonts w:asciiTheme="minorHAnsi" w:eastAsia="Arial" w:hAnsiTheme="minorHAnsi" w:cstheme="minorHAnsi"/>
                <w:iCs/>
                <w:color w:val="0D0D0D" w:themeColor="text1" w:themeTint="F2"/>
              </w:rPr>
            </w:pPr>
            <w:r w:rsidRPr="00730E2F">
              <w:rPr>
                <w:rFonts w:asciiTheme="minorHAnsi" w:eastAsia="Arial" w:hAnsiTheme="minorHAnsi" w:cstheme="minorHAnsi"/>
                <w:iCs/>
                <w:color w:val="0D0D0D" w:themeColor="text1" w:themeTint="F2"/>
              </w:rPr>
              <w:t>Communiquez dans la langue des minorités ethniques et migrants, dans un langage clair et adapté aux handicaps visuels/auditifs.</w:t>
            </w:r>
          </w:p>
          <w:p w14:paraId="489F1377" w14:textId="77777777" w:rsidR="001E6D1D" w:rsidRPr="00730E2F" w:rsidRDefault="00E649E5">
            <w:pPr>
              <w:numPr>
                <w:ilvl w:val="1"/>
                <w:numId w:val="9"/>
              </w:numPr>
              <w:spacing w:before="60"/>
              <w:ind w:left="259" w:hanging="187"/>
              <w:rPr>
                <w:rFonts w:asciiTheme="minorHAnsi" w:eastAsia="Arial" w:hAnsiTheme="minorHAnsi" w:cstheme="minorHAnsi"/>
                <w:iCs/>
                <w:color w:val="0D0D0D" w:themeColor="text1" w:themeTint="F2"/>
              </w:rPr>
            </w:pPr>
            <w:r w:rsidRPr="00730E2F">
              <w:rPr>
                <w:rFonts w:asciiTheme="minorHAnsi" w:eastAsia="Arial" w:hAnsiTheme="minorHAnsi" w:cstheme="minorHAnsi"/>
                <w:iCs/>
                <w:color w:val="0D0D0D" w:themeColor="text1" w:themeTint="F2"/>
              </w:rPr>
              <w:t xml:space="preserve">Assurez autant que possible que des équipes équilibrées (femmes/hommes) se chargent du traitement ou du soutien, même si cela doit se faire en ligne ou par téléphone. </w:t>
            </w:r>
          </w:p>
          <w:p w14:paraId="7C8E2E82" w14:textId="34BA834B" w:rsidR="001E6D1D" w:rsidRPr="00730E2F" w:rsidRDefault="00E649E5">
            <w:pPr>
              <w:ind w:left="0" w:firstLine="0"/>
              <w:rPr>
                <w:rFonts w:asciiTheme="minorHAnsi" w:hAnsiTheme="minorHAnsi" w:cstheme="minorHAnsi"/>
                <w:color w:val="0D0D0D" w:themeColor="text1" w:themeTint="F2"/>
              </w:rPr>
            </w:pPr>
            <w:r w:rsidRPr="00730E2F">
              <w:rPr>
                <w:rFonts w:asciiTheme="minorHAnsi" w:eastAsia="Arial" w:hAnsiTheme="minorHAnsi" w:cstheme="minorHAnsi"/>
                <w:color w:val="0D0D0D" w:themeColor="text1" w:themeTint="F2"/>
              </w:rPr>
              <w:br/>
            </w:r>
          </w:p>
        </w:tc>
      </w:tr>
      <w:tr w:rsidR="001E6D1D" w:rsidRPr="00730E2F" w14:paraId="2F2D6407" w14:textId="77777777">
        <w:tc>
          <w:tcPr>
            <w:tcW w:w="9895" w:type="dxa"/>
            <w:gridSpan w:val="2"/>
            <w:shd w:val="clear" w:color="auto" w:fill="FFF2CC" w:themeFill="accent4" w:themeFillTint="33"/>
          </w:tcPr>
          <w:p w14:paraId="04910C25" w14:textId="6126F340" w:rsidR="001E6D1D" w:rsidRPr="00730E2F" w:rsidRDefault="00E649E5">
            <w:pPr>
              <w:ind w:left="0" w:firstLine="0"/>
              <w:rPr>
                <w:rFonts w:asciiTheme="minorHAnsi" w:eastAsia="Times New Roman" w:hAnsiTheme="minorHAnsi" w:cstheme="minorHAnsi"/>
                <w:b/>
                <w:color w:val="0D0D0D" w:themeColor="text1" w:themeTint="F2"/>
              </w:rPr>
            </w:pPr>
            <w:r w:rsidRPr="00730E2F">
              <w:rPr>
                <w:rFonts w:asciiTheme="minorHAnsi" w:eastAsia="Times New Roman" w:hAnsiTheme="minorHAnsi" w:cstheme="minorHAnsi"/>
                <w:b/>
                <w:color w:val="0D0D0D" w:themeColor="text1" w:themeTint="F2"/>
              </w:rPr>
              <w:lastRenderedPageBreak/>
              <w:t>Veillez à ce que les communautés aient accès aux informations vitales essentielles et que les besoins et perspectives des communautés soient identifiés et respectés.</w:t>
            </w:r>
          </w:p>
          <w:p w14:paraId="4B0113FF" w14:textId="77777777" w:rsidR="001E6D1D" w:rsidRPr="00730E2F" w:rsidRDefault="001E6D1D">
            <w:pPr>
              <w:ind w:left="0" w:firstLine="0"/>
              <w:rPr>
                <w:rFonts w:asciiTheme="minorHAnsi" w:eastAsia="Times New Roman" w:hAnsiTheme="minorHAnsi" w:cstheme="minorHAnsi"/>
                <w:b/>
                <w:color w:val="0D0D0D" w:themeColor="text1" w:themeTint="F2"/>
              </w:rPr>
            </w:pPr>
          </w:p>
          <w:p w14:paraId="30119FD4" w14:textId="77777777" w:rsidR="001E6D1D" w:rsidRPr="00730E2F" w:rsidRDefault="001E6D1D">
            <w:pPr>
              <w:ind w:left="0" w:firstLine="0"/>
              <w:rPr>
                <w:rFonts w:asciiTheme="minorHAnsi" w:eastAsia="Arial" w:hAnsiTheme="minorHAnsi" w:cstheme="minorHAnsi"/>
                <w:b/>
                <w:color w:val="0D0D0D" w:themeColor="text1" w:themeTint="F2"/>
              </w:rPr>
            </w:pPr>
          </w:p>
        </w:tc>
      </w:tr>
      <w:tr w:rsidR="001E6D1D" w:rsidRPr="00730E2F" w14:paraId="2C0941B0" w14:textId="77777777">
        <w:tc>
          <w:tcPr>
            <w:tcW w:w="3415" w:type="dxa"/>
          </w:tcPr>
          <w:p w14:paraId="31B73414" w14:textId="77777777" w:rsidR="001E6D1D" w:rsidRPr="00730E2F" w:rsidRDefault="001E6D1D">
            <w:pPr>
              <w:ind w:left="0" w:firstLine="0"/>
              <w:rPr>
                <w:rFonts w:asciiTheme="minorHAnsi" w:hAnsiTheme="minorHAnsi" w:cstheme="minorHAnsi"/>
                <w:color w:val="0D0D0D" w:themeColor="text1" w:themeTint="F2"/>
              </w:rPr>
            </w:pPr>
          </w:p>
        </w:tc>
        <w:tc>
          <w:tcPr>
            <w:tcW w:w="6480" w:type="dxa"/>
          </w:tcPr>
          <w:p w14:paraId="5D62F724" w14:textId="2EDD9A43"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 xml:space="preserve">Établissez un lien de confiance et de compréhension mutuelle afin que les personnes vivant dans des peuplements informels comprennent les risques et puissent mobiliser leur communauté pour prendre toutes les mesures nécessaires, tout en palliant </w:t>
            </w:r>
            <w:proofErr w:type="gramStart"/>
            <w:r w:rsidRPr="00730E2F">
              <w:rPr>
                <w:rFonts w:asciiTheme="minorHAnsi" w:eastAsia="Arial" w:hAnsiTheme="minorHAnsi" w:cstheme="minorHAnsi"/>
                <w:color w:val="0D0D0D" w:themeColor="text1" w:themeTint="F2"/>
              </w:rPr>
              <w:t>au</w:t>
            </w:r>
            <w:proofErr w:type="gramEnd"/>
            <w:r w:rsidRPr="00730E2F">
              <w:rPr>
                <w:rFonts w:asciiTheme="minorHAnsi" w:eastAsia="Arial" w:hAnsiTheme="minorHAnsi" w:cstheme="minorHAnsi"/>
                <w:color w:val="0D0D0D" w:themeColor="text1" w:themeTint="F2"/>
              </w:rPr>
              <w:t xml:space="preserve"> manque de confiance dans les messages publics et à la désinformation.</w:t>
            </w:r>
          </w:p>
          <w:p w14:paraId="0673D968" w14:textId="77777777" w:rsidR="001E6D1D" w:rsidRPr="00730E2F" w:rsidRDefault="001E6D1D">
            <w:pPr>
              <w:ind w:left="0" w:firstLine="0"/>
              <w:jc w:val="both"/>
              <w:rPr>
                <w:rFonts w:asciiTheme="minorHAnsi" w:eastAsia="Arial" w:hAnsiTheme="minorHAnsi" w:cstheme="minorHAnsi"/>
                <w:color w:val="0D0D0D" w:themeColor="text1" w:themeTint="F2"/>
              </w:rPr>
            </w:pPr>
          </w:p>
          <w:p w14:paraId="5A6FACE0" w14:textId="77777777" w:rsidR="001E6D1D" w:rsidRPr="00730E2F" w:rsidRDefault="00E649E5">
            <w:pPr>
              <w:ind w:left="0" w:firstLine="0"/>
              <w:jc w:val="both"/>
              <w:rPr>
                <w:rFonts w:asciiTheme="minorHAnsi" w:eastAsia="Arial" w:hAnsiTheme="minorHAnsi" w:cstheme="minorHAnsi"/>
                <w:color w:val="0D0D0D" w:themeColor="text1" w:themeTint="F2"/>
                <w:sz w:val="21"/>
              </w:rPr>
            </w:pPr>
            <w:r w:rsidRPr="00730E2F">
              <w:rPr>
                <w:rFonts w:asciiTheme="minorHAnsi" w:eastAsia="Arial" w:hAnsiTheme="minorHAnsi" w:cstheme="minorHAnsi"/>
                <w:color w:val="auto"/>
                <w:sz w:val="21"/>
              </w:rPr>
              <w:t>Identifier les leaders communautaires parmi les différents groupes et domaines sociaux (notamment les groupes confessionnels) et tirer parti de leur influence pour diffuser les bons messages et les bonnes informations</w:t>
            </w:r>
            <w:r w:rsidRPr="00730E2F">
              <w:rPr>
                <w:rFonts w:asciiTheme="minorHAnsi" w:eastAsia="Arial" w:hAnsiTheme="minorHAnsi" w:cstheme="minorHAnsi"/>
                <w:color w:val="0D0D0D" w:themeColor="text1" w:themeTint="F2"/>
                <w:sz w:val="21"/>
              </w:rPr>
              <w:t>.</w:t>
            </w:r>
            <w:r w:rsidRPr="00730E2F">
              <w:t xml:space="preserve"> </w:t>
            </w:r>
          </w:p>
          <w:p w14:paraId="516705CD" w14:textId="77777777" w:rsidR="001E6D1D" w:rsidRPr="00730E2F" w:rsidRDefault="001E6D1D">
            <w:pPr>
              <w:ind w:left="0" w:firstLine="0"/>
              <w:jc w:val="both"/>
              <w:rPr>
                <w:rFonts w:asciiTheme="minorHAnsi" w:eastAsia="Arial" w:hAnsiTheme="minorHAnsi" w:cstheme="minorHAnsi"/>
                <w:color w:val="0D0D0D" w:themeColor="text1" w:themeTint="F2"/>
              </w:rPr>
            </w:pPr>
          </w:p>
          <w:p w14:paraId="785673F1" w14:textId="240D764B"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Assurez que les communications soient attentives aux contextes socio-économiques des différents groupes d'un peuplement, traduisez le message dans les langues utilisées par les résidents, sous des formats multiples et accessibles, y compris en tenant compte des handicaps auditifs, visuels et intellectuels et des personnes analphabètes.</w:t>
            </w:r>
          </w:p>
          <w:p w14:paraId="337FD338" w14:textId="77777777" w:rsidR="001E6D1D" w:rsidRPr="00730E2F" w:rsidRDefault="001E6D1D">
            <w:pPr>
              <w:ind w:left="0" w:firstLine="0"/>
              <w:jc w:val="both"/>
              <w:rPr>
                <w:rFonts w:asciiTheme="minorHAnsi" w:eastAsia="Arial" w:hAnsiTheme="minorHAnsi" w:cstheme="minorHAnsi"/>
                <w:color w:val="0D0D0D" w:themeColor="text1" w:themeTint="F2"/>
              </w:rPr>
            </w:pPr>
          </w:p>
          <w:p w14:paraId="27AAE907" w14:textId="49D6D91E"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 xml:space="preserve">Préparez et partagez des communications publiques pour </w:t>
            </w:r>
            <w:proofErr w:type="gramStart"/>
            <w:r w:rsidRPr="00730E2F">
              <w:rPr>
                <w:rFonts w:asciiTheme="minorHAnsi" w:eastAsia="Arial" w:hAnsiTheme="minorHAnsi" w:cstheme="minorHAnsi"/>
                <w:color w:val="0D0D0D" w:themeColor="text1" w:themeTint="F2"/>
              </w:rPr>
              <w:t>pallier à</w:t>
            </w:r>
            <w:proofErr w:type="gramEnd"/>
            <w:r w:rsidRPr="00730E2F">
              <w:rPr>
                <w:rFonts w:asciiTheme="minorHAnsi" w:eastAsia="Arial" w:hAnsiTheme="minorHAnsi" w:cstheme="minorHAnsi"/>
                <w:color w:val="0D0D0D" w:themeColor="text1" w:themeTint="F2"/>
              </w:rPr>
              <w:t xml:space="preserve"> et empêcher la stigmatisation et la discrimination, qui pourraient empêcher certaines personnes de se faire soigner. Les messages traitant des "groupes à risque élevé" devront être diplomatiques, afin de minimiser l'impact négatif sur ces groupes</w:t>
            </w:r>
          </w:p>
          <w:p w14:paraId="52544291" w14:textId="77777777" w:rsidR="001E6D1D" w:rsidRPr="00730E2F" w:rsidRDefault="001E6D1D">
            <w:pPr>
              <w:ind w:left="0" w:firstLine="0"/>
              <w:jc w:val="both"/>
              <w:rPr>
                <w:rFonts w:asciiTheme="minorHAnsi" w:eastAsia="Arial" w:hAnsiTheme="minorHAnsi" w:cstheme="minorHAnsi"/>
                <w:color w:val="0D0D0D" w:themeColor="text1" w:themeTint="F2"/>
              </w:rPr>
            </w:pPr>
          </w:p>
          <w:p w14:paraId="61559A31" w14:textId="77777777" w:rsidR="001E6D1D" w:rsidRPr="00730E2F" w:rsidRDefault="001E6D1D">
            <w:pPr>
              <w:spacing w:after="120"/>
              <w:ind w:left="0" w:right="-164" w:firstLine="0"/>
              <w:rPr>
                <w:rFonts w:asciiTheme="minorHAnsi" w:hAnsiTheme="minorHAnsi" w:cstheme="minorHAnsi"/>
                <w:color w:val="0D0D0D" w:themeColor="text1" w:themeTint="F2"/>
              </w:rPr>
            </w:pPr>
          </w:p>
        </w:tc>
      </w:tr>
      <w:tr w:rsidR="001E6D1D" w:rsidRPr="00730E2F" w14:paraId="47A1FE6F" w14:textId="77777777">
        <w:tc>
          <w:tcPr>
            <w:tcW w:w="9895" w:type="dxa"/>
            <w:gridSpan w:val="2"/>
            <w:shd w:val="clear" w:color="auto" w:fill="FFF2CC" w:themeFill="accent4" w:themeFillTint="33"/>
          </w:tcPr>
          <w:p w14:paraId="5D9A4639" w14:textId="77777777" w:rsidR="001E6D1D" w:rsidRPr="00730E2F" w:rsidRDefault="00E649E5">
            <w:pPr>
              <w:ind w:left="0" w:firstLine="0"/>
              <w:rPr>
                <w:rFonts w:asciiTheme="minorHAnsi" w:eastAsia="Times New Roman" w:hAnsiTheme="minorHAnsi" w:cstheme="minorHAnsi"/>
                <w:b/>
                <w:color w:val="0D0D0D" w:themeColor="text1" w:themeTint="F2"/>
              </w:rPr>
            </w:pPr>
            <w:r w:rsidRPr="00730E2F">
              <w:rPr>
                <w:rFonts w:asciiTheme="minorHAnsi" w:eastAsia="Times New Roman" w:hAnsiTheme="minorHAnsi" w:cstheme="minorHAnsi"/>
                <w:b/>
                <w:color w:val="0D0D0D" w:themeColor="text1" w:themeTint="F2"/>
              </w:rPr>
              <w:t>Aidez les communautés à réduire les impacts sociaux de la pandémie, et aidez aux efforts qu'elles font pour la contenir</w:t>
            </w:r>
          </w:p>
          <w:p w14:paraId="152500F2" w14:textId="77777777" w:rsidR="001E6D1D" w:rsidRPr="00730E2F" w:rsidRDefault="001E6D1D">
            <w:pPr>
              <w:ind w:left="360" w:firstLine="0"/>
              <w:jc w:val="both"/>
              <w:rPr>
                <w:rFonts w:asciiTheme="minorHAnsi" w:hAnsiTheme="minorHAnsi" w:cstheme="minorHAnsi"/>
                <w:b/>
                <w:color w:val="0D0D0D" w:themeColor="text1" w:themeTint="F2"/>
              </w:rPr>
            </w:pPr>
          </w:p>
        </w:tc>
      </w:tr>
      <w:tr w:rsidR="001E6D1D" w:rsidRPr="00730E2F" w14:paraId="7A320518" w14:textId="77777777">
        <w:trPr>
          <w:trHeight w:val="1061"/>
        </w:trPr>
        <w:tc>
          <w:tcPr>
            <w:tcW w:w="3415" w:type="dxa"/>
          </w:tcPr>
          <w:p w14:paraId="20257BC4" w14:textId="77777777"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Veillez à ce que la protection reste centrale à la réponse. En partenariat multi-sectoriel, détectez les problèmes de protection et effectuez un suivi des besoins de protection afin de réagir aux risques de protection identifiés</w:t>
            </w:r>
          </w:p>
          <w:p w14:paraId="6ED5EE57" w14:textId="77777777" w:rsidR="001E6D1D" w:rsidRPr="00730E2F" w:rsidRDefault="001E6D1D">
            <w:pPr>
              <w:ind w:left="0" w:firstLine="0"/>
              <w:jc w:val="both"/>
              <w:rPr>
                <w:rFonts w:asciiTheme="minorHAnsi" w:eastAsia="Arial" w:hAnsiTheme="minorHAnsi" w:cstheme="minorHAnsi"/>
                <w:color w:val="0D0D0D" w:themeColor="text1" w:themeTint="F2"/>
              </w:rPr>
            </w:pPr>
          </w:p>
          <w:p w14:paraId="2FF97ACC" w14:textId="77777777" w:rsidR="001E6D1D" w:rsidRPr="00730E2F" w:rsidRDefault="001E6D1D">
            <w:pPr>
              <w:ind w:left="0" w:firstLine="0"/>
              <w:jc w:val="both"/>
              <w:rPr>
                <w:rFonts w:asciiTheme="minorHAnsi" w:eastAsia="Arial" w:hAnsiTheme="minorHAnsi" w:cstheme="minorHAnsi"/>
                <w:color w:val="0D0D0D" w:themeColor="text1" w:themeTint="F2"/>
              </w:rPr>
            </w:pPr>
          </w:p>
        </w:tc>
        <w:tc>
          <w:tcPr>
            <w:tcW w:w="6480" w:type="dxa"/>
          </w:tcPr>
          <w:p w14:paraId="07F10FD6" w14:textId="3A88C996"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Suivez le risque d'évictions potentielles, car les familles pourraient ne pas pouvoir payer leur loyer. Les membres marginalisés de la communauté, les victimes de la maladie et le personnel soignant risquent d'être stigmatisés.</w:t>
            </w:r>
          </w:p>
          <w:p w14:paraId="2CAA4BB2" w14:textId="77777777" w:rsidR="001E6D1D" w:rsidRPr="00730E2F" w:rsidRDefault="001E6D1D">
            <w:pPr>
              <w:ind w:left="0" w:firstLine="0"/>
              <w:jc w:val="both"/>
              <w:rPr>
                <w:rFonts w:asciiTheme="minorHAnsi" w:eastAsia="Arial" w:hAnsiTheme="minorHAnsi" w:cstheme="minorHAnsi"/>
                <w:color w:val="0D0D0D" w:themeColor="text1" w:themeTint="F2"/>
              </w:rPr>
            </w:pPr>
          </w:p>
          <w:p w14:paraId="68D47EE4" w14:textId="1B093B39"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Veillez à ce que toutes les mesures de quarantaine ou de séparation des malades et des groupes vulnérables soient temporaires, afin que ces personnes puissent rentrer chez elles une fois le risque dépassé. De telles garanties seront essentielles pour créer un lien de confiance communautaire dans les mesures de quarantaine et réduire la résistance à ces mesures, ce qui pourrait entraver les actions de protection et de mitigation.</w:t>
            </w:r>
          </w:p>
          <w:p w14:paraId="4C31BBB8" w14:textId="77777777" w:rsidR="001E6D1D" w:rsidRPr="00730E2F" w:rsidRDefault="001E6D1D">
            <w:pPr>
              <w:ind w:left="0" w:firstLine="0"/>
              <w:jc w:val="both"/>
              <w:rPr>
                <w:rFonts w:asciiTheme="minorHAnsi" w:eastAsia="Arial" w:hAnsiTheme="minorHAnsi" w:cstheme="minorHAnsi"/>
                <w:color w:val="0D0D0D" w:themeColor="text1" w:themeTint="F2"/>
              </w:rPr>
            </w:pPr>
          </w:p>
          <w:p w14:paraId="50A90BFA" w14:textId="78BA79E6"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Préconisez la suspension de toutes les expulsions résidentielles pour la durée de l'urgence sanitaire, puisque les expulsions peuvent augmenter considérablement le risque de transmission communautaire, et collaborez avec le gouvernement pour mettre en place des systèmes de suivi et d'intervention pour éviter ces expulsions informelles.</w:t>
            </w:r>
          </w:p>
          <w:p w14:paraId="24E35262" w14:textId="77777777" w:rsidR="001E6D1D" w:rsidRPr="00730E2F" w:rsidRDefault="001E6D1D">
            <w:pPr>
              <w:ind w:left="0" w:firstLine="0"/>
              <w:jc w:val="both"/>
              <w:rPr>
                <w:rFonts w:asciiTheme="minorHAnsi" w:eastAsia="Arial" w:hAnsiTheme="minorHAnsi" w:cstheme="minorHAnsi"/>
                <w:color w:val="0D0D0D" w:themeColor="text1" w:themeTint="F2"/>
              </w:rPr>
            </w:pPr>
          </w:p>
          <w:p w14:paraId="07984C79" w14:textId="77777777" w:rsidR="001E6D1D" w:rsidRPr="00730E2F" w:rsidRDefault="00E649E5">
            <w:pPr>
              <w:pStyle w:val="Default"/>
              <w:numPr>
                <w:ilvl w:val="1"/>
                <w:numId w:val="10"/>
              </w:numPr>
              <w:spacing w:after="22"/>
              <w:rPr>
                <w:sz w:val="21"/>
              </w:rPr>
            </w:pPr>
            <w:r w:rsidRPr="00730E2F">
              <w:rPr>
                <w:b/>
                <w:sz w:val="21"/>
              </w:rPr>
              <w:t xml:space="preserve">Lutter contre le risque accru de violence (notamment la violence sexuelle et sexiste et la violence contre les enfants) à la maison et d'automutilation pendant l'isolement et les situations stressantes </w:t>
            </w:r>
            <w:r w:rsidRPr="00730E2F">
              <w:rPr>
                <w:sz w:val="21"/>
              </w:rPr>
              <w:t>en intégrant une assistance et des conseils concernant la violence domestique dans les services actuels – p.ex. Donner aux volontaires fournissant d'autres services des informations sur où obtenir de l'aide en cas de violence à domicile / Mettre en place ou renforcer un soutien et une assistance dédiés – p.ex. assistance téléphonique ou en ligne pour les personnes à risque de violence interpersonnelle et dirigée contre soi-même.</w:t>
            </w:r>
            <w:r w:rsidRPr="00730E2F">
              <w:t xml:space="preserve"> </w:t>
            </w:r>
          </w:p>
          <w:p w14:paraId="3449A052" w14:textId="77777777" w:rsidR="001E6D1D" w:rsidRPr="00730E2F" w:rsidRDefault="001E6D1D">
            <w:pPr>
              <w:ind w:left="0" w:firstLine="0"/>
              <w:jc w:val="both"/>
              <w:rPr>
                <w:rFonts w:asciiTheme="minorHAnsi" w:eastAsia="Arial" w:hAnsiTheme="minorHAnsi" w:cstheme="minorHAnsi"/>
                <w:color w:val="0D0D0D" w:themeColor="text1" w:themeTint="F2"/>
              </w:rPr>
            </w:pPr>
          </w:p>
          <w:p w14:paraId="4EC64E4B" w14:textId="77777777" w:rsidR="001E6D1D" w:rsidRPr="00730E2F" w:rsidRDefault="001E6D1D">
            <w:pPr>
              <w:ind w:left="0" w:firstLine="0"/>
              <w:jc w:val="both"/>
              <w:rPr>
                <w:rFonts w:asciiTheme="minorHAnsi" w:eastAsia="Arial" w:hAnsiTheme="minorHAnsi" w:cstheme="minorHAnsi"/>
                <w:color w:val="0D0D0D" w:themeColor="text1" w:themeTint="F2"/>
              </w:rPr>
            </w:pPr>
          </w:p>
          <w:p w14:paraId="41CBEF18" w14:textId="7B3011C7"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Imaginez des manières originales pour proposer aux enfants des alternatives à l'école et au jeu, pour atténuer la fermeture des écoles et la restriction des mouvements en l'absence d'espace au niveau communautaire ou ménager, ce qui perturbe la routine des enfants et peut être un facteur de stress supplémentaire pour le personnel soignant. Ceci devrait inclure des opportunités d'apprentissage pour les plus jeunes, ce qui peut impliquer le fait d'apporter des conseils et des idées aux parents, afin de divertir leurs enfants à la maison.</w:t>
            </w:r>
          </w:p>
          <w:p w14:paraId="7E26FA06" w14:textId="77777777" w:rsidR="001E6D1D" w:rsidRPr="00730E2F" w:rsidRDefault="001E6D1D">
            <w:pPr>
              <w:ind w:left="0" w:firstLine="0"/>
              <w:jc w:val="both"/>
              <w:rPr>
                <w:rFonts w:asciiTheme="minorHAnsi" w:eastAsia="Arial" w:hAnsiTheme="minorHAnsi" w:cstheme="minorHAnsi"/>
                <w:color w:val="0D0D0D" w:themeColor="text1" w:themeTint="F2"/>
              </w:rPr>
            </w:pPr>
          </w:p>
          <w:p w14:paraId="16377D8C" w14:textId="77777777" w:rsidR="001E6D1D" w:rsidRPr="00730E2F" w:rsidRDefault="00E649E5">
            <w:pPr>
              <w:pStyle w:val="ListParagraph"/>
              <w:spacing w:after="60"/>
              <w:ind w:left="0" w:firstLine="0"/>
              <w:contextualSpacing w:val="0"/>
              <w:jc w:val="both"/>
              <w:rPr>
                <w:rFonts w:asciiTheme="minorHAnsi" w:eastAsia="Arial" w:hAnsiTheme="minorHAnsi" w:cstheme="minorHAnsi"/>
                <w:color w:val="0D0D0D" w:themeColor="text1" w:themeTint="F2"/>
                <w:sz w:val="21"/>
              </w:rPr>
            </w:pPr>
            <w:r w:rsidRPr="00730E2F">
              <w:rPr>
                <w:rFonts w:asciiTheme="minorHAnsi" w:eastAsia="Arial" w:hAnsiTheme="minorHAnsi" w:cstheme="minorHAnsi"/>
                <w:color w:val="0D0D0D" w:themeColor="text1" w:themeTint="F2"/>
                <w:sz w:val="21"/>
              </w:rPr>
              <w:t>Dans la mesure du possible, la distribution de ressources éducatives aux apprenants se trouvant dans des endroits éloignés et/ou isolés/placés en quarantaine, avec une connectivité Internet faible ou inexistante via la radio et d’autres ressources.</w:t>
            </w:r>
            <w:r w:rsidRPr="00730E2F">
              <w:t xml:space="preserve"> </w:t>
            </w:r>
          </w:p>
          <w:p w14:paraId="49987E4C" w14:textId="70E50185"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br/>
            </w:r>
          </w:p>
        </w:tc>
      </w:tr>
      <w:tr w:rsidR="001E6D1D" w:rsidRPr="00730E2F" w14:paraId="5CA63485" w14:textId="77777777">
        <w:tc>
          <w:tcPr>
            <w:tcW w:w="9895" w:type="dxa"/>
            <w:gridSpan w:val="2"/>
            <w:shd w:val="clear" w:color="auto" w:fill="FFF2CC" w:themeFill="accent4" w:themeFillTint="33"/>
          </w:tcPr>
          <w:p w14:paraId="11BDDE50" w14:textId="77777777" w:rsidR="001E6D1D" w:rsidRPr="00730E2F" w:rsidRDefault="00E649E5">
            <w:pPr>
              <w:ind w:left="0" w:firstLine="0"/>
              <w:rPr>
                <w:rFonts w:asciiTheme="minorHAnsi" w:hAnsiTheme="minorHAnsi" w:cstheme="minorHAnsi"/>
                <w:b/>
                <w:color w:val="0D0D0D" w:themeColor="text1" w:themeTint="F2"/>
              </w:rPr>
            </w:pPr>
            <w:r w:rsidRPr="00730E2F">
              <w:rPr>
                <w:rFonts w:asciiTheme="minorHAnsi" w:eastAsia="Times New Roman" w:hAnsiTheme="minorHAnsi" w:cstheme="minorHAnsi"/>
                <w:b/>
                <w:color w:val="0D0D0D" w:themeColor="text1" w:themeTint="F2"/>
              </w:rPr>
              <w:lastRenderedPageBreak/>
              <w:t>Préservez les revenus des communautés les plus vulnérables, affectées par les effets économiques de la pandémie.</w:t>
            </w:r>
          </w:p>
          <w:p w14:paraId="234657E2" w14:textId="1D60482E" w:rsidR="001E6D1D" w:rsidRPr="00730E2F" w:rsidRDefault="001E6D1D">
            <w:pPr>
              <w:ind w:left="360" w:firstLine="0"/>
              <w:rPr>
                <w:rFonts w:asciiTheme="minorHAnsi" w:hAnsiTheme="minorHAnsi" w:cstheme="minorHAnsi"/>
                <w:b/>
                <w:color w:val="0D0D0D" w:themeColor="text1" w:themeTint="F2"/>
              </w:rPr>
            </w:pPr>
          </w:p>
        </w:tc>
      </w:tr>
      <w:tr w:rsidR="001E6D1D" w:rsidRPr="004D635A" w14:paraId="6A6EA42C" w14:textId="77777777">
        <w:tc>
          <w:tcPr>
            <w:tcW w:w="3415" w:type="dxa"/>
          </w:tcPr>
          <w:p w14:paraId="7F7F42C2" w14:textId="77777777" w:rsidR="001E6D1D" w:rsidRPr="00730E2F" w:rsidRDefault="001E6D1D">
            <w:pPr>
              <w:ind w:left="0" w:firstLine="0"/>
              <w:rPr>
                <w:rFonts w:asciiTheme="minorHAnsi" w:hAnsiTheme="minorHAnsi" w:cstheme="minorHAnsi"/>
                <w:color w:val="0D0D0D" w:themeColor="text1" w:themeTint="F2"/>
              </w:rPr>
            </w:pPr>
          </w:p>
        </w:tc>
        <w:tc>
          <w:tcPr>
            <w:tcW w:w="6480" w:type="dxa"/>
          </w:tcPr>
          <w:p w14:paraId="3E179EA3" w14:textId="4DFFC03A"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Encouragez et personnalisez les mesures de protection sociales à la réalité des agglomérations et bidonvilles informels (p.ex. économies et capacité d'économiser très limitées), assurant un accès aux soins de santé, à l'eau et à la nourriture tout en étant sensible aux inégalités internes pour éviter les tensions et les troubles.</w:t>
            </w:r>
          </w:p>
          <w:p w14:paraId="677E4C08" w14:textId="77777777" w:rsidR="001E6D1D" w:rsidRPr="00730E2F" w:rsidRDefault="001E6D1D">
            <w:pPr>
              <w:ind w:left="0" w:firstLine="0"/>
              <w:jc w:val="both"/>
              <w:rPr>
                <w:rFonts w:asciiTheme="minorHAnsi" w:eastAsia="Arial" w:hAnsiTheme="minorHAnsi" w:cstheme="minorHAnsi"/>
                <w:color w:val="0D0D0D" w:themeColor="text1" w:themeTint="F2"/>
              </w:rPr>
            </w:pPr>
          </w:p>
          <w:p w14:paraId="2B2DA351" w14:textId="2992C7A8" w:rsidR="001E6D1D" w:rsidRPr="00730E2F"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Prioriser le soutien (financier, protection, garde d'enfant) aux personnes fournissant les services essentiels (p.ex. éboueurs).</w:t>
            </w:r>
          </w:p>
          <w:p w14:paraId="7F022E0D" w14:textId="77777777" w:rsidR="001E6D1D" w:rsidRPr="00730E2F" w:rsidRDefault="001E6D1D">
            <w:pPr>
              <w:ind w:left="0" w:firstLine="0"/>
              <w:jc w:val="both"/>
              <w:rPr>
                <w:rFonts w:asciiTheme="minorHAnsi" w:eastAsia="Arial" w:hAnsiTheme="minorHAnsi" w:cstheme="minorHAnsi"/>
                <w:color w:val="0D0D0D" w:themeColor="text1" w:themeTint="F2"/>
              </w:rPr>
            </w:pPr>
          </w:p>
          <w:p w14:paraId="7B0DD283" w14:textId="77777777" w:rsidR="001E6D1D" w:rsidRPr="004D635A" w:rsidRDefault="00E649E5">
            <w:pPr>
              <w:ind w:left="0" w:firstLine="0"/>
              <w:jc w:val="both"/>
              <w:rPr>
                <w:rFonts w:asciiTheme="minorHAnsi" w:eastAsia="Arial" w:hAnsiTheme="minorHAnsi" w:cstheme="minorHAnsi"/>
                <w:color w:val="0D0D0D" w:themeColor="text1" w:themeTint="F2"/>
              </w:rPr>
            </w:pPr>
            <w:r w:rsidRPr="00730E2F">
              <w:rPr>
                <w:rFonts w:asciiTheme="minorHAnsi" w:eastAsia="Arial" w:hAnsiTheme="minorHAnsi" w:cstheme="minorHAnsi"/>
                <w:color w:val="0D0D0D" w:themeColor="text1" w:themeTint="F2"/>
              </w:rPr>
              <w:t xml:space="preserve">Apportez un soutien économique et matériel aux familles (p.ex. sous forme de programme de transfert de fonds, matériel d'apprentissage à distance) pour pallier </w:t>
            </w:r>
            <w:proofErr w:type="gramStart"/>
            <w:r w:rsidRPr="00730E2F">
              <w:rPr>
                <w:rFonts w:asciiTheme="minorHAnsi" w:eastAsia="Arial" w:hAnsiTheme="minorHAnsi" w:cstheme="minorHAnsi"/>
                <w:color w:val="0D0D0D" w:themeColor="text1" w:themeTint="F2"/>
              </w:rPr>
              <w:t>aux</w:t>
            </w:r>
            <w:proofErr w:type="gramEnd"/>
            <w:r w:rsidRPr="00730E2F">
              <w:rPr>
                <w:rFonts w:asciiTheme="minorHAnsi" w:eastAsia="Arial" w:hAnsiTheme="minorHAnsi" w:cstheme="minorHAnsi"/>
                <w:color w:val="0D0D0D" w:themeColor="text1" w:themeTint="F2"/>
              </w:rPr>
              <w:t xml:space="preserve"> problèmes nutritionnels (surtout pour ceux qui dépendent des repas scolaires) et pour accéder à une bonne connectivité à Internet autant que possible</w:t>
            </w:r>
          </w:p>
          <w:p w14:paraId="0441C6A7" w14:textId="77777777" w:rsidR="001E6D1D" w:rsidRPr="004D635A" w:rsidRDefault="001E6D1D">
            <w:pPr>
              <w:ind w:left="0" w:firstLine="0"/>
              <w:jc w:val="both"/>
              <w:rPr>
                <w:rFonts w:asciiTheme="minorHAnsi" w:eastAsia="Arial" w:hAnsiTheme="minorHAnsi" w:cstheme="minorHAnsi"/>
                <w:color w:val="0D0D0D" w:themeColor="text1" w:themeTint="F2"/>
              </w:rPr>
            </w:pPr>
          </w:p>
        </w:tc>
      </w:tr>
    </w:tbl>
    <w:p w14:paraId="56B2A662" w14:textId="5836ECD3" w:rsidR="001E6D1D" w:rsidRPr="004D635A" w:rsidRDefault="001E6D1D">
      <w:pPr>
        <w:ind w:left="0" w:firstLine="0"/>
        <w:rPr>
          <w:rFonts w:asciiTheme="minorHAnsi" w:hAnsiTheme="minorHAnsi" w:cstheme="minorHAnsi"/>
          <w:color w:val="0D0D0D" w:themeColor="text1" w:themeTint="F2"/>
        </w:rPr>
      </w:pPr>
    </w:p>
    <w:sectPr w:rsidR="001E6D1D" w:rsidRPr="004D635A">
      <w:pgSz w:w="11906" w:h="16838" w:code="9"/>
      <w:pgMar w:top="810" w:right="1376"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5627F" w14:textId="77777777" w:rsidR="00E649E5" w:rsidRDefault="00E649E5">
      <w:pPr>
        <w:spacing w:before="0"/>
      </w:pPr>
      <w:r>
        <w:separator/>
      </w:r>
    </w:p>
  </w:endnote>
  <w:endnote w:type="continuationSeparator" w:id="0">
    <w:p w14:paraId="6A629823" w14:textId="77777777" w:rsidR="00E649E5" w:rsidRDefault="00E649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78097" w14:textId="77777777" w:rsidR="00E649E5" w:rsidRDefault="00E649E5">
      <w:pPr>
        <w:spacing w:before="0"/>
      </w:pPr>
      <w:r>
        <w:separator/>
      </w:r>
    </w:p>
  </w:footnote>
  <w:footnote w:type="continuationSeparator" w:id="0">
    <w:p w14:paraId="6A2E6F6E" w14:textId="77777777" w:rsidR="00E649E5" w:rsidRDefault="00E649E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413053"/>
    <w:multiLevelType w:val="hybridMultilevel"/>
    <w:tmpl w:val="EE987D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39D"/>
    <w:multiLevelType w:val="hybridMultilevel"/>
    <w:tmpl w:val="2F10D32A"/>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04EE4094"/>
    <w:multiLevelType w:val="hybridMultilevel"/>
    <w:tmpl w:val="6C3C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167CE"/>
    <w:multiLevelType w:val="hybridMultilevel"/>
    <w:tmpl w:val="5134BFC4"/>
    <w:lvl w:ilvl="0" w:tplc="915292D6">
      <w:start w:val="1"/>
      <w:numFmt w:val="bullet"/>
      <w:lvlText w:val="·"/>
      <w:lvlJc w:val="left"/>
      <w:pPr>
        <w:ind w:left="789" w:hanging="360"/>
      </w:pPr>
      <w:rPr>
        <w:rFonts w:ascii="Courier New" w:hAnsi="Courier New"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35FD712D"/>
    <w:multiLevelType w:val="hybridMultilevel"/>
    <w:tmpl w:val="2164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56E03"/>
    <w:multiLevelType w:val="hybridMultilevel"/>
    <w:tmpl w:val="8E967AA0"/>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B63BD"/>
    <w:multiLevelType w:val="hybridMultilevel"/>
    <w:tmpl w:val="0E44930A"/>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840EF"/>
    <w:multiLevelType w:val="hybridMultilevel"/>
    <w:tmpl w:val="8394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B5B84"/>
    <w:multiLevelType w:val="hybridMultilevel"/>
    <w:tmpl w:val="543ABFA2"/>
    <w:lvl w:ilvl="0" w:tplc="0409000F">
      <w:start w:val="1"/>
      <w:numFmt w:val="decimal"/>
      <w:lvlText w:val="%1."/>
      <w:lvlJc w:val="left"/>
      <w:pPr>
        <w:ind w:left="360" w:hanging="360"/>
      </w:pPr>
    </w:lvl>
    <w:lvl w:ilvl="1" w:tplc="915292D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50554B"/>
    <w:multiLevelType w:val="hybridMultilevel"/>
    <w:tmpl w:val="9EE072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9"/>
  </w:num>
  <w:num w:numId="4">
    <w:abstractNumId w:val="4"/>
  </w:num>
  <w:num w:numId="5">
    <w:abstractNumId w:val="7"/>
  </w:num>
  <w:num w:numId="6">
    <w:abstractNumId w:val="6"/>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EE"/>
    <w:rsid w:val="000364DD"/>
    <w:rsid w:val="00037CD2"/>
    <w:rsid w:val="0004167A"/>
    <w:rsid w:val="00047757"/>
    <w:rsid w:val="00082F2D"/>
    <w:rsid w:val="000A4DDD"/>
    <w:rsid w:val="000C17BC"/>
    <w:rsid w:val="000D7787"/>
    <w:rsid w:val="0010228C"/>
    <w:rsid w:val="00112FB0"/>
    <w:rsid w:val="0018136E"/>
    <w:rsid w:val="001B7C6E"/>
    <w:rsid w:val="001D1893"/>
    <w:rsid w:val="001E6D1D"/>
    <w:rsid w:val="00244CF8"/>
    <w:rsid w:val="002A727A"/>
    <w:rsid w:val="002B5807"/>
    <w:rsid w:val="002B718E"/>
    <w:rsid w:val="002B7E4C"/>
    <w:rsid w:val="002D79EE"/>
    <w:rsid w:val="002E299C"/>
    <w:rsid w:val="00301AA5"/>
    <w:rsid w:val="0033363E"/>
    <w:rsid w:val="0038121A"/>
    <w:rsid w:val="003B7CA6"/>
    <w:rsid w:val="00481193"/>
    <w:rsid w:val="004815AF"/>
    <w:rsid w:val="00482A1A"/>
    <w:rsid w:val="004A52A0"/>
    <w:rsid w:val="004C68EF"/>
    <w:rsid w:val="004D5CB0"/>
    <w:rsid w:val="004D635A"/>
    <w:rsid w:val="00523181"/>
    <w:rsid w:val="005278A2"/>
    <w:rsid w:val="005344B9"/>
    <w:rsid w:val="00534FC8"/>
    <w:rsid w:val="0056678F"/>
    <w:rsid w:val="00585A54"/>
    <w:rsid w:val="005B1ABA"/>
    <w:rsid w:val="005B3D60"/>
    <w:rsid w:val="005C000D"/>
    <w:rsid w:val="005C7643"/>
    <w:rsid w:val="005E5EDF"/>
    <w:rsid w:val="005F7881"/>
    <w:rsid w:val="00614CEC"/>
    <w:rsid w:val="00655503"/>
    <w:rsid w:val="00664BAA"/>
    <w:rsid w:val="00674AD1"/>
    <w:rsid w:val="00674B37"/>
    <w:rsid w:val="00681D9B"/>
    <w:rsid w:val="00685596"/>
    <w:rsid w:val="006A2B4A"/>
    <w:rsid w:val="006B087E"/>
    <w:rsid w:val="006D45BC"/>
    <w:rsid w:val="00730E2F"/>
    <w:rsid w:val="007A3AE6"/>
    <w:rsid w:val="007C0CB9"/>
    <w:rsid w:val="007D4036"/>
    <w:rsid w:val="007E3FF4"/>
    <w:rsid w:val="007F1DC8"/>
    <w:rsid w:val="00806205"/>
    <w:rsid w:val="00882231"/>
    <w:rsid w:val="00882E7D"/>
    <w:rsid w:val="00886A21"/>
    <w:rsid w:val="00896317"/>
    <w:rsid w:val="008B6396"/>
    <w:rsid w:val="008C5C1C"/>
    <w:rsid w:val="0090686A"/>
    <w:rsid w:val="00915768"/>
    <w:rsid w:val="00916235"/>
    <w:rsid w:val="00940E94"/>
    <w:rsid w:val="00996438"/>
    <w:rsid w:val="009C23C9"/>
    <w:rsid w:val="009F015E"/>
    <w:rsid w:val="009F5888"/>
    <w:rsid w:val="00A062BC"/>
    <w:rsid w:val="00A17698"/>
    <w:rsid w:val="00A3558E"/>
    <w:rsid w:val="00A377F3"/>
    <w:rsid w:val="00A42E0A"/>
    <w:rsid w:val="00A97415"/>
    <w:rsid w:val="00AB2792"/>
    <w:rsid w:val="00AB4E54"/>
    <w:rsid w:val="00AB587C"/>
    <w:rsid w:val="00AD7B9E"/>
    <w:rsid w:val="00AE3A48"/>
    <w:rsid w:val="00B313FD"/>
    <w:rsid w:val="00B36205"/>
    <w:rsid w:val="00B962DA"/>
    <w:rsid w:val="00C81206"/>
    <w:rsid w:val="00C96E9F"/>
    <w:rsid w:val="00CB1603"/>
    <w:rsid w:val="00CD330D"/>
    <w:rsid w:val="00CF32A5"/>
    <w:rsid w:val="00D021CC"/>
    <w:rsid w:val="00D25065"/>
    <w:rsid w:val="00D3269E"/>
    <w:rsid w:val="00D95872"/>
    <w:rsid w:val="00DC3C41"/>
    <w:rsid w:val="00E321C0"/>
    <w:rsid w:val="00E32B9F"/>
    <w:rsid w:val="00E649E5"/>
    <w:rsid w:val="00E7012B"/>
    <w:rsid w:val="00E82AA7"/>
    <w:rsid w:val="00EA5030"/>
    <w:rsid w:val="00EA532A"/>
    <w:rsid w:val="00EE7382"/>
    <w:rsid w:val="00EF5CF6"/>
    <w:rsid w:val="00EF5D8E"/>
    <w:rsid w:val="00F13B1C"/>
    <w:rsid w:val="00F24692"/>
    <w:rsid w:val="00F35039"/>
    <w:rsid w:val="00F42EB9"/>
    <w:rsid w:val="00F456D1"/>
    <w:rsid w:val="00F959D6"/>
    <w:rsid w:val="00FC0F36"/>
    <w:rsid w:val="00FD42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E6C3"/>
  <w15:chartTrackingRefBased/>
  <w15:docId w15:val="{572C3CE7-E73F-48FD-A0D3-0A5ED72F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sz w:val="22"/>
        <w:szCs w:val="24"/>
        <w:lang w:val="fr-FR" w:eastAsia="en-US" w:bidi="ar-SA"/>
      </w:rPr>
    </w:rPrDefault>
    <w:pPrDefault>
      <w:pPr>
        <w:spacing w:before="60"/>
        <w:ind w:left="90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121A"/>
    <w:pPr>
      <w:keepNext/>
      <w:keepLines/>
      <w:spacing w:before="240" w:after="120" w:line="276" w:lineRule="auto"/>
      <w:ind w:left="0" w:firstLine="0"/>
      <w:outlineLvl w:val="0"/>
    </w:pPr>
    <w:rPr>
      <w:rFonts w:asciiTheme="majorHAnsi" w:eastAsia="Arial" w:hAnsiTheme="majorHAnsi" w:cs="Arial"/>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1A"/>
    <w:rPr>
      <w:rFonts w:asciiTheme="majorHAnsi" w:eastAsia="Arial" w:hAnsiTheme="majorHAnsi" w:cs="Arial"/>
      <w:color w:val="2F5496" w:themeColor="accent1" w:themeShade="BF"/>
      <w:sz w:val="40"/>
      <w:szCs w:val="40"/>
      <w:lang w:val="fr-FR"/>
    </w:rPr>
  </w:style>
  <w:style w:type="paragraph" w:customStyle="1" w:styleId="aynur">
    <w:name w:val="aynur"/>
    <w:basedOn w:val="Heading1"/>
    <w:link w:val="aynurChar"/>
    <w:autoRedefine/>
    <w:qFormat/>
    <w:rsid w:val="00655503"/>
    <w:pPr>
      <w:keepNext w:val="0"/>
      <w:keepLines w:val="0"/>
      <w:spacing w:after="0"/>
    </w:pPr>
    <w:rPr>
      <w:rFonts w:ascii="Calibri" w:eastAsiaTheme="minorHAnsi" w:hAnsi="Calibri" w:cs="Calibri"/>
      <w:sz w:val="36"/>
      <w:szCs w:val="36"/>
    </w:rPr>
  </w:style>
  <w:style w:type="character" w:customStyle="1" w:styleId="aynurChar">
    <w:name w:val="aynur Char"/>
    <w:basedOn w:val="Heading1Char"/>
    <w:link w:val="aynur"/>
    <w:rsid w:val="00655503"/>
    <w:rPr>
      <w:rFonts w:asciiTheme="majorHAnsi" w:eastAsia="Arial" w:hAnsiTheme="majorHAnsi" w:cs="Arial"/>
      <w:color w:val="2F5496" w:themeColor="accent1" w:themeShade="BF"/>
      <w:sz w:val="36"/>
      <w:szCs w:val="36"/>
      <w:lang w:val="fr-FR"/>
    </w:rPr>
  </w:style>
  <w:style w:type="table" w:styleId="TableGrid">
    <w:name w:val="Table Grid"/>
    <w:basedOn w:val="TableNormal"/>
    <w:uiPriority w:val="39"/>
    <w:rsid w:val="002D79E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2D79EE"/>
    <w:pPr>
      <w:ind w:left="720"/>
      <w:contextualSpacing/>
    </w:pPr>
  </w:style>
  <w:style w:type="paragraph" w:styleId="BalloonText">
    <w:name w:val="Balloon Text"/>
    <w:basedOn w:val="Normal"/>
    <w:link w:val="BalloonTextChar"/>
    <w:uiPriority w:val="99"/>
    <w:semiHidden/>
    <w:unhideWhenUsed/>
    <w:rsid w:val="00A3558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58E"/>
    <w:rPr>
      <w:rFonts w:ascii="Segoe UI" w:hAnsi="Segoe UI" w:cs="Segoe UI"/>
      <w:sz w:val="18"/>
      <w:szCs w:val="18"/>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C5C1C"/>
  </w:style>
  <w:style w:type="paragraph" w:styleId="FootnoteText">
    <w:name w:val="footnote text"/>
    <w:basedOn w:val="Normal"/>
    <w:link w:val="FootnoteTextChar"/>
    <w:uiPriority w:val="99"/>
    <w:semiHidden/>
    <w:unhideWhenUsed/>
    <w:rsid w:val="00FD4282"/>
    <w:pPr>
      <w:spacing w:before="0"/>
    </w:pPr>
    <w:rPr>
      <w:sz w:val="20"/>
      <w:szCs w:val="20"/>
    </w:rPr>
  </w:style>
  <w:style w:type="character" w:customStyle="1" w:styleId="FootnoteTextChar">
    <w:name w:val="Footnote Text Char"/>
    <w:basedOn w:val="DefaultParagraphFont"/>
    <w:link w:val="FootnoteText"/>
    <w:uiPriority w:val="99"/>
    <w:semiHidden/>
    <w:rsid w:val="00FD4282"/>
    <w:rPr>
      <w:sz w:val="20"/>
      <w:szCs w:val="20"/>
    </w:rPr>
  </w:style>
  <w:style w:type="character" w:styleId="FootnoteReference">
    <w:name w:val="footnote reference"/>
    <w:basedOn w:val="DefaultParagraphFont"/>
    <w:uiPriority w:val="99"/>
    <w:semiHidden/>
    <w:unhideWhenUsed/>
    <w:rsid w:val="00FD4282"/>
    <w:rPr>
      <w:vertAlign w:val="superscript"/>
    </w:rPr>
  </w:style>
  <w:style w:type="character" w:styleId="Hyperlink">
    <w:name w:val="Hyperlink"/>
    <w:basedOn w:val="DefaultParagraphFont"/>
    <w:uiPriority w:val="99"/>
    <w:unhideWhenUsed/>
    <w:rsid w:val="00B313FD"/>
    <w:rPr>
      <w:color w:val="0563C1" w:themeColor="hyperlink"/>
      <w:u w:val="single"/>
    </w:rPr>
  </w:style>
  <w:style w:type="character" w:customStyle="1" w:styleId="UnresolvedMention1">
    <w:name w:val="Unresolved Mention1"/>
    <w:basedOn w:val="DefaultParagraphFont"/>
    <w:uiPriority w:val="99"/>
    <w:semiHidden/>
    <w:unhideWhenUsed/>
    <w:rsid w:val="00B313FD"/>
    <w:rPr>
      <w:color w:val="605E5C"/>
      <w:shd w:val="clear" w:color="auto" w:fill="E1DFDD"/>
    </w:rPr>
  </w:style>
  <w:style w:type="character" w:styleId="FollowedHyperlink">
    <w:name w:val="FollowedHyperlink"/>
    <w:basedOn w:val="DefaultParagraphFont"/>
    <w:uiPriority w:val="99"/>
    <w:semiHidden/>
    <w:unhideWhenUsed/>
    <w:rsid w:val="00F24692"/>
    <w:rPr>
      <w:color w:val="954F72" w:themeColor="followedHyperlink"/>
      <w:u w:val="single"/>
    </w:rPr>
  </w:style>
  <w:style w:type="paragraph" w:customStyle="1" w:styleId="Default">
    <w:name w:val="Default"/>
    <w:rsid w:val="005B3D60"/>
    <w:pPr>
      <w:autoSpaceDE w:val="0"/>
      <w:autoSpaceDN w:val="0"/>
      <w:adjustRightInd w:val="0"/>
      <w:spacing w:before="0"/>
      <w:ind w:left="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ifrc.org/emergencies/39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scienceinaction.org/resources/key-considerations-covid-19-informal-urban-settlements-march-20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D652E66459445919D27747FCE8BA5" ma:contentTypeVersion="13" ma:contentTypeDescription="Create a new document." ma:contentTypeScope="" ma:versionID="deaba9eac7e6c65e2fa62b02be40e03d">
  <xsd:schema xmlns:xsd="http://www.w3.org/2001/XMLSchema" xmlns:xs="http://www.w3.org/2001/XMLSchema" xmlns:p="http://schemas.microsoft.com/office/2006/metadata/properties" xmlns:ns3="c38517a7-f393-4ee7-8e27-8ffb18288be8" xmlns:ns4="9f456922-5e3b-4bb6-9ce1-ac36db08d786" targetNamespace="http://schemas.microsoft.com/office/2006/metadata/properties" ma:root="true" ma:fieldsID="c9f2b72c292716d5a51e1b32dc3cc1ea" ns3:_="" ns4:_="">
    <xsd:import namespace="c38517a7-f393-4ee7-8e27-8ffb18288be8"/>
    <xsd:import namespace="9f456922-5e3b-4bb6-9ce1-ac36db08d7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517a7-f393-4ee7-8e27-8ffb1828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456922-5e3b-4bb6-9ce1-ac36db08d7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ED1E-77A7-47FC-A100-E7BC4BFD758A}">
  <ds:schemaRefs>
    <ds:schemaRef ds:uri="http://schemas.microsoft.com/sharepoint/v3/contenttype/forms"/>
  </ds:schemaRefs>
</ds:datastoreItem>
</file>

<file path=customXml/itemProps2.xml><?xml version="1.0" encoding="utf-8"?>
<ds:datastoreItem xmlns:ds="http://schemas.openxmlformats.org/officeDocument/2006/customXml" ds:itemID="{44207C39-AAA6-4F3F-B88D-555B9C546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2418BC-8690-48AB-BCD4-A287CFDB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517a7-f393-4ee7-8e27-8ffb18288be8"/>
    <ds:schemaRef ds:uri="9f456922-5e3b-4bb6-9ce1-ac36db08d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7F1E5-75A2-40A7-BDF5-F5227909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KADIHASANOGLU</dc:creator>
  <cp:keywords/>
  <dc:description/>
  <cp:lastModifiedBy>Aynur KADIHASANOGLU</cp:lastModifiedBy>
  <cp:revision>5</cp:revision>
  <dcterms:created xsi:type="dcterms:W3CDTF">2020-04-13T07:40:00Z</dcterms:created>
  <dcterms:modified xsi:type="dcterms:W3CDTF">2020-04-13T16:37:00Z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0x01010029BD652E66459445919D27747FCE8BA5</vt:lpwstr>
  </property>
</Properties>
</file>