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9171E" w14:textId="77777777" w:rsidR="00D62624" w:rsidRPr="00F22E64" w:rsidRDefault="003C6F8F">
      <w:pPr>
        <w:pStyle w:val="Heading1"/>
        <w:spacing w:before="120" w:after="0"/>
      </w:pPr>
      <w:r w:rsidRPr="00F22E64">
        <w:t>Урбанистические факторы</w:t>
      </w:r>
    </w:p>
    <w:p w14:paraId="7EB9A4F3" w14:textId="32109EAD" w:rsidR="00D62624" w:rsidRPr="00F22E64" w:rsidRDefault="003C6F8F">
      <w:pPr>
        <w:pStyle w:val="Heading1"/>
        <w:spacing w:before="120" w:after="0"/>
      </w:pPr>
      <w:bookmarkStart w:id="0" w:name="_Hlk37318599"/>
      <w:r w:rsidRPr="00F22E64">
        <w:t xml:space="preserve">экстренного предупреждения по COVID 19 (обновленная версия) </w:t>
      </w:r>
    </w:p>
    <w:bookmarkEnd w:id="0"/>
    <w:p w14:paraId="3BF2A4C6" w14:textId="0C5807C7" w:rsidR="00D62624" w:rsidRPr="001B4202" w:rsidRDefault="003C6F8F">
      <w:pPr>
        <w:spacing w:before="120"/>
        <w:ind w:left="0" w:firstLine="0"/>
      </w:pPr>
      <w:r w:rsidRPr="001B4202">
        <w:t xml:space="preserve">Это руководство основано на подробном </w:t>
      </w:r>
      <w:hyperlink r:id="rId11" w:history="1">
        <w:r w:rsidRPr="001B4202">
          <w:rPr>
            <w:rStyle w:val="Hyperlink"/>
          </w:rPr>
          <w:t>техническом анализе</w:t>
        </w:r>
      </w:hyperlink>
      <w:r w:rsidRPr="001B4202">
        <w:t xml:space="preserve">, разработанном в сотрудничестве с другими организациями. Настоятельно рекомендуется изучить как руководство для начинающих. Это дополнительная информация к уже существующим руководящим документам МФКК по теме Общественного участия и Ответственности (ОУО), Здоровья, Защиты, Гендерным вопросам и многим другим вопросам </w:t>
      </w:r>
      <w:hyperlink r:id="rId12" w:anchor="additional-info" w:history="1">
        <w:r w:rsidRPr="001B4202">
          <w:rPr>
            <w:rStyle w:val="Hyperlink"/>
          </w:rPr>
          <w:t>здесь</w:t>
        </w:r>
      </w:hyperlink>
      <w:r w:rsidRPr="001B4202">
        <w:t>.</w:t>
      </w:r>
    </w:p>
    <w:p w14:paraId="234AD400" w14:textId="282F17D0" w:rsidR="00D62624" w:rsidRPr="001B4202" w:rsidRDefault="003C6F8F">
      <w:pPr>
        <w:spacing w:before="120"/>
        <w:ind w:left="0" w:firstLine="0"/>
      </w:pPr>
      <w:r w:rsidRPr="001B4202">
        <w:t xml:space="preserve">Руководство адаптировано к конкретным потребностям региональных отделений МФКК и государственным организациям при подготовке экстренного предупреждения по COVID 19 (MDR00005). Оно разработано в соответствии с основными направлениями деятельности в рамках Операционной стратегии REA с указанием предлагаемых действий. Это ни в коем случае не исчерпывающий список, и есть много других действий, которые могут быть запланированы государственными организациями в соответствии с их контекстами. </w:t>
      </w:r>
    </w:p>
    <w:p w14:paraId="0CC71C59" w14:textId="77777777" w:rsidR="00D62624" w:rsidRPr="001B4202" w:rsidRDefault="00D62624">
      <w:pPr>
        <w:ind w:left="0" w:firstLine="0"/>
        <w:rPr>
          <w:sz w:val="24"/>
        </w:rPr>
      </w:pPr>
    </w:p>
    <w:tbl>
      <w:tblPr>
        <w:tblStyle w:val="TableGrid"/>
        <w:tblW w:w="9895" w:type="dxa"/>
        <w:tblInd w:w="-90" w:type="dxa"/>
        <w:tblLook w:val="04A0" w:firstRow="1" w:lastRow="0" w:firstColumn="1" w:lastColumn="0" w:noHBand="0" w:noVBand="1"/>
      </w:tblPr>
      <w:tblGrid>
        <w:gridCol w:w="3415"/>
        <w:gridCol w:w="6480"/>
      </w:tblGrid>
      <w:tr w:rsidR="00D62624" w:rsidRPr="001B4202" w14:paraId="5F024688" w14:textId="77777777">
        <w:tc>
          <w:tcPr>
            <w:tcW w:w="3415" w:type="dxa"/>
            <w:shd w:val="clear" w:color="auto" w:fill="E7E6E6" w:themeFill="background2"/>
          </w:tcPr>
          <w:p w14:paraId="0CA4CCD7" w14:textId="1EFCB2AE" w:rsidR="00D62624" w:rsidRPr="001B4202" w:rsidRDefault="003C6F8F">
            <w:pPr>
              <w:ind w:left="0" w:firstLine="0"/>
            </w:pPr>
            <w:r w:rsidRPr="001B4202">
              <w:rPr>
                <w:rFonts w:asciiTheme="majorHAnsi" w:eastAsia="Times New Roman" w:hAnsiTheme="majorHAnsi" w:cstheme="majorHAnsi"/>
                <w:b/>
              </w:rPr>
              <w:t>Региональный уровень</w:t>
            </w:r>
          </w:p>
        </w:tc>
        <w:tc>
          <w:tcPr>
            <w:tcW w:w="6480" w:type="dxa"/>
            <w:shd w:val="clear" w:color="auto" w:fill="E7E6E6" w:themeFill="background2"/>
          </w:tcPr>
          <w:p w14:paraId="70A758B0" w14:textId="677A4322" w:rsidR="00D62624" w:rsidRPr="001B4202" w:rsidRDefault="003C6F8F">
            <w:pPr>
              <w:ind w:left="0" w:firstLine="0"/>
            </w:pPr>
            <w:r w:rsidRPr="001B4202">
              <w:rPr>
                <w:rFonts w:asciiTheme="majorHAnsi" w:eastAsia="Times New Roman" w:hAnsiTheme="majorHAnsi" w:cstheme="majorHAnsi"/>
                <w:b/>
              </w:rPr>
              <w:t>Государственный уровень</w:t>
            </w:r>
          </w:p>
        </w:tc>
      </w:tr>
      <w:tr w:rsidR="00D62624" w:rsidRPr="001B4202" w14:paraId="490E5790" w14:textId="77777777">
        <w:tc>
          <w:tcPr>
            <w:tcW w:w="9895" w:type="dxa"/>
            <w:gridSpan w:val="2"/>
            <w:shd w:val="clear" w:color="auto" w:fill="FFF2CC" w:themeFill="accent4" w:themeFillTint="33"/>
          </w:tcPr>
          <w:p w14:paraId="6070EE7C" w14:textId="2C039AD4" w:rsidR="00D62624" w:rsidRPr="001B4202" w:rsidRDefault="003C6F8F">
            <w:pPr>
              <w:ind w:left="0" w:firstLine="0"/>
              <w:rPr>
                <w:rFonts w:asciiTheme="majorHAnsi" w:eastAsia="Times New Roman" w:hAnsiTheme="majorHAnsi" w:cstheme="majorHAnsi"/>
                <w:b/>
                <w:color w:val="auto"/>
              </w:rPr>
            </w:pPr>
            <w:r w:rsidRPr="001B4202">
              <w:rPr>
                <w:rFonts w:asciiTheme="majorHAnsi" w:eastAsia="Times New Roman" w:hAnsiTheme="majorHAnsi" w:cstheme="majorHAnsi"/>
                <w:b/>
                <w:color w:val="auto"/>
              </w:rPr>
              <w:t>Общее</w:t>
            </w:r>
          </w:p>
          <w:p w14:paraId="0EE6D88D" w14:textId="77777777" w:rsidR="00D62624" w:rsidRPr="001B4202" w:rsidRDefault="00D62624">
            <w:pPr>
              <w:ind w:left="0" w:firstLine="0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D62624" w:rsidRPr="001B4202" w14:paraId="7E676719" w14:textId="77777777">
        <w:trPr>
          <w:trHeight w:val="4715"/>
        </w:trPr>
        <w:tc>
          <w:tcPr>
            <w:tcW w:w="3415" w:type="dxa"/>
          </w:tcPr>
          <w:p w14:paraId="21F280B4" w14:textId="00912CBF" w:rsidR="00D62624" w:rsidRPr="001B4202" w:rsidRDefault="003C6F8F">
            <w:pPr>
              <w:ind w:left="-21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t>Предоставьте техническую поддержку государственным организациям для того, чтобы  предлагаемые планы их действий были «пригодны для городов»: включение предложений в этот документ.</w:t>
            </w:r>
          </w:p>
          <w:p w14:paraId="55141740" w14:textId="721F1279" w:rsidR="00D62624" w:rsidRPr="001B4202" w:rsidRDefault="00D62624">
            <w:pPr>
              <w:ind w:left="0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</w:p>
          <w:p w14:paraId="710A2627" w14:textId="4253F91A" w:rsidR="00D62624" w:rsidRPr="001B4202" w:rsidRDefault="003C6F8F">
            <w:pPr>
              <w:ind w:left="-27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t>Извлекайте уроки и передовые практики текущей работы в регионе с урбанистической точки зрения и делитесь ими с более широкой сетью.</w:t>
            </w:r>
          </w:p>
          <w:p w14:paraId="5BE29527" w14:textId="1E80E657" w:rsidR="00D62624" w:rsidRPr="001B4202" w:rsidRDefault="00D62624">
            <w:pPr>
              <w:ind w:left="0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</w:p>
          <w:p w14:paraId="52116408" w14:textId="77777777" w:rsidR="00D62624" w:rsidRPr="001B4202" w:rsidRDefault="00D62624">
            <w:pPr>
              <w:ind w:left="0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</w:p>
          <w:p w14:paraId="7D8F966E" w14:textId="1E03A167" w:rsidR="00D62624" w:rsidRPr="001B4202" w:rsidRDefault="003C6F8F">
            <w:pPr>
              <w:ind w:left="0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t>Выступайте за увеличение потенциала и ресурсов на региональном уровне для упреждающих действий и принятия необходимых мер для защиты уязвимых групп населения от комплексного воздействия экстремальных, но предсказуемых событий, включая пандемии и природные бедствия.</w:t>
            </w:r>
          </w:p>
          <w:p w14:paraId="65F93CBF" w14:textId="77777777" w:rsidR="00D62624" w:rsidRPr="001B4202" w:rsidRDefault="00D62624">
            <w:pPr>
              <w:ind w:left="0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</w:p>
          <w:p w14:paraId="3336D70E" w14:textId="77777777" w:rsidR="00D62624" w:rsidRPr="001B4202" w:rsidRDefault="00D62624">
            <w:pPr>
              <w:pStyle w:val="ListParagraph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</w:p>
          <w:p w14:paraId="1D772796" w14:textId="77777777" w:rsidR="00D62624" w:rsidRPr="001B4202" w:rsidRDefault="00D62624">
            <w:pPr>
              <w:ind w:left="0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</w:p>
          <w:p w14:paraId="65F720D5" w14:textId="2F5AAC3B" w:rsidR="00D62624" w:rsidRPr="001B4202" w:rsidRDefault="00D62624">
            <w:pPr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</w:p>
        </w:tc>
        <w:tc>
          <w:tcPr>
            <w:tcW w:w="6480" w:type="dxa"/>
          </w:tcPr>
          <w:p w14:paraId="7F2B6F09" w14:textId="749678ED" w:rsidR="00D62624" w:rsidRPr="001B4202" w:rsidRDefault="003C6F8F">
            <w:pPr>
              <w:ind w:left="0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t>Выполняя вспомогательную роль, сотрудничайте с местными органами власти и заинтересованными сторонами в городе, чтобы гарантировать, чтобы все предложенные мероприятия были связаны и дополняли друг друга на уровне города. Планы должны учитывать:</w:t>
            </w:r>
          </w:p>
          <w:p w14:paraId="4DC8F68F" w14:textId="21B77855" w:rsidR="00D62624" w:rsidRPr="001B4202" w:rsidRDefault="003C6F8F">
            <w:pPr>
              <w:pStyle w:val="ListParagraph"/>
              <w:numPr>
                <w:ilvl w:val="0"/>
                <w:numId w:val="8"/>
              </w:numPr>
              <w:spacing w:beforeLines="60" w:before="144"/>
              <w:ind w:left="259" w:hanging="187"/>
              <w:contextualSpacing w:val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br/>
              <w:t xml:space="preserve">общины в неформальных поселениях и трущобах являются наиболее уязвимыми не только для COVID, но и для всех видов опасностей. </w:t>
            </w: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  <w:sz w:val="21"/>
              </w:rPr>
              <w:t>Вторичные социальные и экономические последствия также в серьезной степени повлияют на незаконные поселения и трущобы.</w:t>
            </w: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t xml:space="preserve"> </w:t>
            </w:r>
          </w:p>
          <w:p w14:paraId="09E30D4A" w14:textId="29B0FAFF" w:rsidR="00D62624" w:rsidRPr="001B4202" w:rsidRDefault="003C6F8F">
            <w:pPr>
              <w:pStyle w:val="ListParagraph"/>
              <w:numPr>
                <w:ilvl w:val="0"/>
                <w:numId w:val="8"/>
              </w:numPr>
              <w:spacing w:beforeLines="60" w:before="144"/>
              <w:ind w:left="259" w:hanging="187"/>
              <w:contextualSpacing w:val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br/>
              <w:t xml:space="preserve">разнообразие городских сообществ и их специфическая уязвимость (например, перемещенное население, различные культурные нормы и языки и т. д.) в городах. </w:t>
            </w:r>
          </w:p>
          <w:p w14:paraId="102C2285" w14:textId="77777777" w:rsidR="00D62624" w:rsidRPr="001B4202" w:rsidRDefault="003C6F8F">
            <w:pPr>
              <w:pStyle w:val="ListParagraph"/>
              <w:numPr>
                <w:ilvl w:val="0"/>
                <w:numId w:val="8"/>
              </w:numPr>
              <w:spacing w:beforeLines="60" w:before="144"/>
              <w:ind w:left="259" w:hanging="187"/>
              <w:contextualSpacing w:val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t>ключевая роль частного сектора как в качестве ресурса, так и целевого бенефициара, особенно малых предприятий и неформальных самозанятых домохозяйств</w:t>
            </w:r>
          </w:p>
          <w:p w14:paraId="0B34CEA4" w14:textId="77777777" w:rsidR="00D62624" w:rsidRPr="001B4202" w:rsidRDefault="003C6F8F">
            <w:pPr>
              <w:pStyle w:val="ListParagraph"/>
              <w:numPr>
                <w:ilvl w:val="0"/>
                <w:numId w:val="8"/>
              </w:numPr>
              <w:spacing w:beforeLines="60" w:before="144"/>
              <w:ind w:left="259" w:hanging="187"/>
              <w:contextualSpacing w:val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t xml:space="preserve">необходимость сотрудничества с местными органами власти для обеспечения масштабируемости и устойчивости предлагаемых вмешательств. </w:t>
            </w:r>
          </w:p>
          <w:p w14:paraId="774CE2A5" w14:textId="13359F81" w:rsidR="00D62624" w:rsidRPr="001B4202" w:rsidRDefault="003C6F8F">
            <w:pPr>
              <w:pStyle w:val="ListParagraph"/>
              <w:numPr>
                <w:ilvl w:val="0"/>
                <w:numId w:val="8"/>
              </w:numPr>
              <w:spacing w:beforeLines="60" w:before="144"/>
              <w:ind w:left="259" w:hanging="187"/>
              <w:contextualSpacing w:val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t>Полная интеграция планов действий в чрезвычайных ситуациях государственных структур и систем EWEA (Европейская ветроэнергетическая ассоциация) в городские планы и системы действий в чрезвычайных ситуациях.</w:t>
            </w:r>
          </w:p>
          <w:p w14:paraId="6380A24E" w14:textId="273F1E4C" w:rsidR="00D62624" w:rsidRPr="001B4202" w:rsidRDefault="00D62624">
            <w:pPr>
              <w:ind w:left="720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</w:p>
          <w:p w14:paraId="18A5980E" w14:textId="73B0195F" w:rsidR="00D62624" w:rsidRPr="001B4202" w:rsidRDefault="003C6F8F">
            <w:pPr>
              <w:ind w:left="-21" w:firstLine="0"/>
            </w:pP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  <w:sz w:val="21"/>
              </w:rPr>
              <w:t xml:space="preserve">Поощряйте и интегрируйте, где это возможно, мероприятия по увеличению потенциала и ресурсов для принятия предупредительных и необходимых мер по защите уязвимых групп </w:t>
            </w: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  <w:sz w:val="21"/>
              </w:rPr>
              <w:lastRenderedPageBreak/>
              <w:t>населенияи обеспечивайте соблюдение принципа "не навреди" против усугубляющих последствий от экстремальных, но предсказуемых событий, включая пандемии и природные бедствия.</w:t>
            </w:r>
            <w:r w:rsidRPr="001B4202">
              <w:t xml:space="preserve"> </w:t>
            </w:r>
          </w:p>
          <w:p w14:paraId="0394CC1F" w14:textId="0781B002" w:rsidR="00D62624" w:rsidRPr="001B4202" w:rsidRDefault="00D62624" w:rsidP="00F22E64">
            <w:pPr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</w:tr>
      <w:tr w:rsidR="00D62624" w:rsidRPr="001B4202" w14:paraId="730ECDF5" w14:textId="77777777">
        <w:tc>
          <w:tcPr>
            <w:tcW w:w="9895" w:type="dxa"/>
            <w:gridSpan w:val="2"/>
            <w:shd w:val="clear" w:color="auto" w:fill="FFF2CC" w:themeFill="accent4" w:themeFillTint="33"/>
          </w:tcPr>
          <w:p w14:paraId="2B1AC17A" w14:textId="420C8B5C" w:rsidR="00D62624" w:rsidRPr="001B4202" w:rsidRDefault="003C6F8F">
            <w:pPr>
              <w:ind w:left="0" w:firstLine="0"/>
              <w:rPr>
                <w:rFonts w:asciiTheme="minorHAnsi" w:eastAsia="Times New Roman" w:hAnsiTheme="minorHAnsi" w:cstheme="minorHAnsi"/>
                <w:b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b/>
                <w:color w:val="0D0D0D" w:themeColor="text1" w:themeTint="F2"/>
              </w:rPr>
              <w:lastRenderedPageBreak/>
              <w:t>Поддерживайте усилия по выявлению, изоляции и лечению случаев COVID-19 в наиболее пострадавших общинах (в городах основное внимание уделяйте неформальным поселениям и трущобам)</w:t>
            </w:r>
          </w:p>
          <w:p w14:paraId="5906C05E" w14:textId="69A647BB" w:rsidR="00D62624" w:rsidRPr="001B4202" w:rsidRDefault="00D62624">
            <w:pPr>
              <w:ind w:left="0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</w:p>
        </w:tc>
      </w:tr>
      <w:tr w:rsidR="00D62624" w:rsidRPr="001B4202" w14:paraId="39A04301" w14:textId="77777777">
        <w:tc>
          <w:tcPr>
            <w:tcW w:w="3415" w:type="dxa"/>
          </w:tcPr>
          <w:p w14:paraId="5A32762B" w14:textId="2F08403F" w:rsidR="00D62624" w:rsidRPr="001B4202" w:rsidRDefault="003C6F8F">
            <w:pPr>
              <w:ind w:left="0" w:firstLine="0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t>Выступайте за установление приоритетов обездоленных и маргинальных лиц в неформальных поселениях и трущобах как наиболее уязвимых, помогайте государственным структрурам разрабатывать подходящие планы действий для этих поселений.</w:t>
            </w:r>
          </w:p>
        </w:tc>
        <w:tc>
          <w:tcPr>
            <w:tcW w:w="6480" w:type="dxa"/>
          </w:tcPr>
          <w:p w14:paraId="125E9F5B" w14:textId="4A918B1F" w:rsidR="00D62624" w:rsidRPr="001B4202" w:rsidRDefault="003C6F8F">
            <w:pPr>
              <w:ind w:left="0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t>Под руководством сообщества помогите ему  самоорганизоваться, собирать данные, разрабатывать и осуществлять вмешательства , которые соответствуют их потребностям и пространственным характеристикам, а также социальным и культурным нормам и динамике власти в неформальных поселениях и трущобах.</w:t>
            </w:r>
          </w:p>
          <w:p w14:paraId="6DEB2FD8" w14:textId="77777777" w:rsidR="00D62624" w:rsidRPr="001B4202" w:rsidRDefault="00D62624">
            <w:pPr>
              <w:ind w:left="0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</w:p>
          <w:p w14:paraId="153EEF6C" w14:textId="77777777" w:rsidR="00D62624" w:rsidRPr="001B4202" w:rsidRDefault="003C6F8F">
            <w:pPr>
              <w:ind w:left="0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t>Содействуйте коммуникации и партнерским отношениям с местными органами власти для устранения дезинформации и укрепления доверия между поставщиками услуг и сообществами.</w:t>
            </w:r>
          </w:p>
          <w:p w14:paraId="4249F33F" w14:textId="2A1CF010" w:rsidR="00D62624" w:rsidRPr="001B4202" w:rsidRDefault="003C6F8F">
            <w:pPr>
              <w:ind w:left="0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br/>
            </w: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  <w:sz w:val="21"/>
              </w:rPr>
              <w:t>На раннем этапе инвестируйте в профилирование незаконных поселений и трущоб, как с точки зрения их населения (хроническая и острая уязвимость - здоровье, продовольственная безопасность, доходы/расходы,</w:t>
            </w:r>
            <w:r w:rsidR="00F22E64" w:rsidRPr="001B4202">
              <w:rPr>
                <w:rFonts w:asciiTheme="minorHAnsi" w:eastAsia="Times New Roman" w:hAnsiTheme="minorHAnsi" w:cstheme="minorHAnsi"/>
                <w:color w:val="0D0D0D" w:themeColor="text1" w:themeTint="F2"/>
                <w:sz w:val="21"/>
              </w:rPr>
              <w:t xml:space="preserve"> </w:t>
            </w: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  <w:sz w:val="21"/>
              </w:rPr>
              <w:t>многообразие индивидуальных особенностей и</w:t>
            </w:r>
            <w:r w:rsidR="00F22E64" w:rsidRPr="001B4202">
              <w:rPr>
                <w:rFonts w:asciiTheme="minorHAnsi" w:eastAsia="Times New Roman" w:hAnsiTheme="minorHAnsi" w:cstheme="minorHAnsi"/>
                <w:color w:val="0D0D0D" w:themeColor="text1" w:themeTint="F2"/>
                <w:sz w:val="21"/>
              </w:rPr>
              <w:t xml:space="preserve"> </w:t>
            </w: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  <w:sz w:val="21"/>
              </w:rPr>
              <w:t>социокультурные характеристики), так и его пространственной организации (например, пункты водоснабжения и санитарии, рынки, транспортные узлы).</w:t>
            </w:r>
            <w:r w:rsidR="00F22E64" w:rsidRPr="001B4202">
              <w:rPr>
                <w:rFonts w:asciiTheme="minorHAnsi" w:eastAsia="Times New Roman" w:hAnsiTheme="minorHAnsi" w:cstheme="minorHAnsi"/>
                <w:color w:val="0D0D0D" w:themeColor="text1" w:themeTint="F2"/>
                <w:sz w:val="21"/>
              </w:rPr>
              <w:t xml:space="preserve"> </w:t>
            </w: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t>Это также поможет создать основу для деятельности по обеспечению готовности к стихийны</w:t>
            </w:r>
            <w:r w:rsidR="00F22E64"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t xml:space="preserve">м бедствиям и снижению рисков. </w:t>
            </w: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t xml:space="preserve">Составьте карту различных самоорганизующихся групп и общинных организаций, их текущих ролей и взаимосвязей, а также их потенциала в качестве активов гуманитарного реагированияНанесите на карту места и здания (например, школы и т.д.) в неформальных поселениях и трущобах или поблизости от них, которые можно использовать для изоляции наиболее уязвимых, сортировки потенциальных случаев и ограниченного карантина. Определите альтернативы использованию учебных заведений в качестве приютов, лечебных учреждений или карантинных центров, где такое использование необходимо. </w:t>
            </w:r>
          </w:p>
          <w:p w14:paraId="312A9E59" w14:textId="77777777" w:rsidR="00D62624" w:rsidRPr="001B4202" w:rsidRDefault="00D62624">
            <w:pPr>
              <w:ind w:left="0" w:firstLine="0"/>
              <w:rPr>
                <w:rFonts w:asciiTheme="minorHAnsi" w:hAnsiTheme="minorHAnsi" w:cstheme="minorHAnsi"/>
                <w:color w:val="0D0D0D" w:themeColor="text1" w:themeTint="F2"/>
              </w:rPr>
            </w:pPr>
          </w:p>
          <w:p w14:paraId="6A898AD7" w14:textId="2A058777" w:rsidR="00D62624" w:rsidRPr="001B4202" w:rsidRDefault="00D62624">
            <w:pPr>
              <w:ind w:left="0" w:firstLine="0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</w:tr>
      <w:tr w:rsidR="00D62624" w:rsidRPr="001B4202" w14:paraId="0D9097D6" w14:textId="77777777">
        <w:tc>
          <w:tcPr>
            <w:tcW w:w="9895" w:type="dxa"/>
            <w:gridSpan w:val="2"/>
            <w:shd w:val="clear" w:color="auto" w:fill="FFF2CC" w:themeFill="accent4" w:themeFillTint="33"/>
          </w:tcPr>
          <w:p w14:paraId="0C6A536A" w14:textId="77777777" w:rsidR="00D62624" w:rsidRPr="001B4202" w:rsidRDefault="003C6F8F">
            <w:pPr>
              <w:ind w:left="0" w:firstLine="0"/>
              <w:rPr>
                <w:rFonts w:asciiTheme="minorHAnsi" w:eastAsia="Times New Roman" w:hAnsiTheme="minorHAnsi" w:cstheme="minorHAnsi"/>
                <w:b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b/>
                <w:color w:val="0D0D0D" w:themeColor="text1" w:themeTint="F2"/>
              </w:rPr>
              <w:lastRenderedPageBreak/>
              <w:t>Предоставьте медицинские услуги на уровне общин для обеспечения доступа к основным медицинским услугам и предотвращения косвенных заболеваний и смертей в результате перегруженности систем здравоохранения</w:t>
            </w:r>
          </w:p>
          <w:p w14:paraId="0B6A717E" w14:textId="40D026B9" w:rsidR="00D62624" w:rsidRPr="001B4202" w:rsidRDefault="00D62624">
            <w:pPr>
              <w:ind w:left="0" w:firstLine="0"/>
              <w:rPr>
                <w:rFonts w:asciiTheme="minorHAnsi" w:eastAsia="Times New Roman" w:hAnsiTheme="minorHAnsi" w:cstheme="minorHAnsi"/>
                <w:b/>
                <w:color w:val="0D0D0D" w:themeColor="text1" w:themeTint="F2"/>
              </w:rPr>
            </w:pPr>
          </w:p>
        </w:tc>
      </w:tr>
      <w:tr w:rsidR="00D62624" w:rsidRPr="001B4202" w14:paraId="759B2C1B" w14:textId="77777777">
        <w:tc>
          <w:tcPr>
            <w:tcW w:w="3415" w:type="dxa"/>
          </w:tcPr>
          <w:p w14:paraId="6BCE23E7" w14:textId="78C86FB1" w:rsidR="00D62624" w:rsidRPr="001B4202" w:rsidRDefault="003C6F8F">
            <w:pPr>
              <w:ind w:left="0" w:firstLine="0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br/>
            </w:r>
            <w:r w:rsidRPr="001B4202">
              <w:rPr>
                <w:rFonts w:asciiTheme="minorHAnsi" w:eastAsia="Times New Roman" w:hAnsiTheme="minorHAnsi" w:cstheme="minorHAnsi"/>
                <w:color w:val="0D0D0D" w:themeColor="text1" w:themeTint="F2"/>
              </w:rPr>
              <w:br/>
            </w:r>
          </w:p>
        </w:tc>
        <w:tc>
          <w:tcPr>
            <w:tcW w:w="6480" w:type="dxa"/>
          </w:tcPr>
          <w:p w14:paraId="2591623A" w14:textId="53C5AD76" w:rsidR="00D62624" w:rsidRPr="001B4202" w:rsidRDefault="003C6F8F">
            <w:pPr>
              <w:ind w:left="0" w:firstLine="0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hAnsiTheme="minorHAnsi" w:cstheme="minorHAnsi"/>
                <w:color w:val="0D0D0D" w:themeColor="text1" w:themeTint="F2"/>
              </w:rPr>
              <w:t xml:space="preserve">Сотрудничайте с местными органами власти и государственными структурами, создавайте системы EWEA в городах; в городских условиях адаптируйте и применяйте FbA, которые включают предупреждения о пандемии и профилактические меры.Работайте с местными органами власти и поставщиками услуг, чтобы быстро увеличить доступное водоснабжение и безопасную санитарию с достаточным охватомРазместите соответствующие станции для мытья рук в стратегически важных местах (например, рядом с туалетами, рынками, транспортными узлами, информационными центрами) и используйте их в качестве основных узлов для повышения осведомленности о COVID-19.Разработайте стратегии обеспечения продовольствием и водой, которые учитывают, то,что домохозяйства не имеют возможности ее хранения  в течение нескольких дней, и находите творческие способы облегчения социального дистанцирования (например, рассредоточенные мини-рынки, доставка на дом) </w:t>
            </w:r>
            <w:r w:rsidRPr="001B4202">
              <w:rPr>
                <w:rFonts w:asciiTheme="minorHAnsi" w:hAnsiTheme="minorHAnsi" w:cstheme="minorHAnsi"/>
                <w:color w:val="0D0D0D" w:themeColor="text1" w:themeTint="F2"/>
              </w:rPr>
              <w:br/>
            </w:r>
            <w:r w:rsidRPr="001B4202">
              <w:rPr>
                <w:rFonts w:asciiTheme="minorHAnsi" w:hAnsiTheme="minorHAnsi" w:cstheme="minorHAnsi"/>
                <w:color w:val="0D0D0D" w:themeColor="text1" w:themeTint="F2"/>
              </w:rPr>
              <w:br/>
              <w:t>Тщательно следите за продовольственной безопасностью и доступностью продуктов питания и продвигайте меры по смягчению последствий (например, урбанистическое сельское хозяйство, программы замены для школьного питания.</w:t>
            </w:r>
          </w:p>
          <w:p w14:paraId="619C70D7" w14:textId="77777777" w:rsidR="00D62624" w:rsidRPr="001B4202" w:rsidRDefault="00D62624">
            <w:pPr>
              <w:ind w:left="0" w:firstLine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</w:p>
          <w:p w14:paraId="75B9F203" w14:textId="0E1C4E3D" w:rsidR="00D62624" w:rsidRPr="001B4202" w:rsidRDefault="003C6F8F">
            <w:pPr>
              <w:ind w:left="0" w:firstLine="0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</w:rPr>
              <w:t xml:space="preserve">Обеспечите доступность услуг, лечения и коммуникации для всех, особенно для маргинализированных слоев. </w:t>
            </w:r>
          </w:p>
          <w:p w14:paraId="798648FC" w14:textId="77777777" w:rsidR="00D62624" w:rsidRPr="001B4202" w:rsidRDefault="003C6F8F">
            <w:pPr>
              <w:numPr>
                <w:ilvl w:val="1"/>
                <w:numId w:val="9"/>
              </w:numPr>
              <w:spacing w:before="60"/>
              <w:ind w:left="259" w:hanging="187"/>
              <w:rPr>
                <w:rFonts w:asciiTheme="minorHAnsi" w:eastAsia="Arial" w:hAnsiTheme="minorHAnsi" w:cstheme="minorHAnsi"/>
                <w:iCs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iCs/>
                <w:color w:val="0D0D0D" w:themeColor="text1" w:themeTint="F2"/>
              </w:rPr>
              <w:t>Пожилые люди могут не иметь доступа к информации на веб-сайтах и ​​в социальных сетях, поэтому используйте адаптированные методы связи, такие как телефонные звонки и брошюры.</w:t>
            </w:r>
          </w:p>
          <w:p w14:paraId="2FAADAF7" w14:textId="77777777" w:rsidR="00D62624" w:rsidRPr="001B4202" w:rsidRDefault="003C6F8F">
            <w:pPr>
              <w:numPr>
                <w:ilvl w:val="1"/>
                <w:numId w:val="9"/>
              </w:numPr>
              <w:spacing w:before="60"/>
              <w:ind w:left="259" w:hanging="187"/>
              <w:rPr>
                <w:rFonts w:asciiTheme="minorHAnsi" w:eastAsia="Arial" w:hAnsiTheme="minorHAnsi" w:cstheme="minorHAnsi"/>
                <w:iCs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iCs/>
                <w:color w:val="0D0D0D" w:themeColor="text1" w:themeTint="F2"/>
              </w:rPr>
              <w:t>Обеспечьте коммуникацию на языках этнических меньшинств и мигрантов на понятном языке, адаптированное к нарушениям зрения/слуха.</w:t>
            </w:r>
          </w:p>
          <w:p w14:paraId="489F1377" w14:textId="77777777" w:rsidR="00D62624" w:rsidRPr="001B4202" w:rsidRDefault="003C6F8F">
            <w:pPr>
              <w:numPr>
                <w:ilvl w:val="1"/>
                <w:numId w:val="9"/>
              </w:numPr>
              <w:spacing w:before="60"/>
              <w:ind w:left="259" w:hanging="187"/>
              <w:rPr>
                <w:rFonts w:asciiTheme="minorHAnsi" w:eastAsia="Arial" w:hAnsiTheme="minorHAnsi" w:cstheme="minorHAnsi"/>
                <w:iCs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iCs/>
                <w:color w:val="0D0D0D" w:themeColor="text1" w:themeTint="F2"/>
              </w:rPr>
              <w:t xml:space="preserve">Обеспечьте, где это возможно, команды, сбалансированные по половому признаку, особенно если они предоставляют лечение или поддержку, включая онлайн или по телефонные каналы. </w:t>
            </w:r>
          </w:p>
          <w:p w14:paraId="7C8E2E82" w14:textId="34BA834B" w:rsidR="00D62624" w:rsidRPr="001B4202" w:rsidRDefault="003C6F8F">
            <w:pPr>
              <w:ind w:left="0" w:firstLine="0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</w:rPr>
              <w:br/>
            </w:r>
          </w:p>
        </w:tc>
      </w:tr>
      <w:tr w:rsidR="00D62624" w:rsidRPr="001B4202" w14:paraId="2F2D6407" w14:textId="77777777">
        <w:tc>
          <w:tcPr>
            <w:tcW w:w="9895" w:type="dxa"/>
            <w:gridSpan w:val="2"/>
            <w:shd w:val="clear" w:color="auto" w:fill="FFF2CC" w:themeFill="accent4" w:themeFillTint="33"/>
          </w:tcPr>
          <w:p w14:paraId="04910C25" w14:textId="6126F340" w:rsidR="00D62624" w:rsidRPr="001B4202" w:rsidRDefault="003C6F8F">
            <w:pPr>
              <w:ind w:left="0" w:firstLine="0"/>
              <w:rPr>
                <w:rFonts w:asciiTheme="minorHAnsi" w:eastAsia="Times New Roman" w:hAnsiTheme="minorHAnsi" w:cstheme="minorHAnsi"/>
                <w:b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b/>
                <w:color w:val="0D0D0D" w:themeColor="text1" w:themeTint="F2"/>
              </w:rPr>
              <w:t>Убедитесь, что сообщества имеют доступ к критически важной информации, необходимой для спасения жизни, и что потребности и перспективы сообщества определены и учтены.</w:t>
            </w:r>
          </w:p>
          <w:p w14:paraId="4B0113FF" w14:textId="77777777" w:rsidR="00D62624" w:rsidRPr="001B4202" w:rsidRDefault="00D62624">
            <w:pPr>
              <w:ind w:left="0" w:firstLine="0"/>
              <w:rPr>
                <w:rFonts w:asciiTheme="minorHAnsi" w:eastAsia="Times New Roman" w:hAnsiTheme="minorHAnsi" w:cstheme="minorHAnsi"/>
                <w:b/>
                <w:color w:val="0D0D0D" w:themeColor="text1" w:themeTint="F2"/>
              </w:rPr>
            </w:pPr>
          </w:p>
          <w:p w14:paraId="30119FD4" w14:textId="77777777" w:rsidR="00D62624" w:rsidRPr="001B4202" w:rsidRDefault="00D62624">
            <w:pPr>
              <w:ind w:left="0" w:firstLine="0"/>
              <w:rPr>
                <w:rFonts w:asciiTheme="minorHAnsi" w:eastAsia="Arial" w:hAnsiTheme="minorHAnsi" w:cstheme="minorHAnsi"/>
                <w:b/>
                <w:color w:val="0D0D0D" w:themeColor="text1" w:themeTint="F2"/>
              </w:rPr>
            </w:pPr>
          </w:p>
        </w:tc>
      </w:tr>
      <w:tr w:rsidR="00D62624" w:rsidRPr="001B4202" w14:paraId="2C0941B0" w14:textId="77777777">
        <w:tc>
          <w:tcPr>
            <w:tcW w:w="3415" w:type="dxa"/>
          </w:tcPr>
          <w:p w14:paraId="31B73414" w14:textId="77777777" w:rsidR="00D62624" w:rsidRPr="001B4202" w:rsidRDefault="00D62624">
            <w:pPr>
              <w:ind w:left="0" w:firstLine="0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  <w:tc>
          <w:tcPr>
            <w:tcW w:w="6480" w:type="dxa"/>
          </w:tcPr>
          <w:p w14:paraId="5D62F724" w14:textId="2EDD9A43" w:rsidR="00D62624" w:rsidRPr="001B4202" w:rsidRDefault="003C6F8F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</w:rPr>
              <w:t>Установите доверие и обеспечьте взаимопонимание, чтобы люди, живущие в неформальных поселениях, полностью осознавали риск и могли мобилизовать свои сообщества для принятия всех возможных мер, одновременно преодолевая недоверие к публичным сообщениям и противодействуя дезинформации.</w:t>
            </w:r>
          </w:p>
          <w:p w14:paraId="0673D968" w14:textId="77777777" w:rsidR="00D62624" w:rsidRPr="001B4202" w:rsidRDefault="00D62624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</w:p>
          <w:p w14:paraId="240A88EB" w14:textId="77777777" w:rsidR="00D62624" w:rsidRPr="001B4202" w:rsidRDefault="003C6F8F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  <w:sz w:val="21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  <w:sz w:val="21"/>
              </w:rPr>
              <w:t xml:space="preserve">Определите лидеров сообществ среди различных социальных групп (включая религиозные) и территорий, и используйте их влияние для распространения правильных сообщений и информации. </w:t>
            </w:r>
            <w:r w:rsidRPr="001B4202">
              <w:t xml:space="preserve"> </w:t>
            </w:r>
          </w:p>
          <w:p w14:paraId="516705CD" w14:textId="77777777" w:rsidR="00D62624" w:rsidRPr="001B4202" w:rsidRDefault="00D62624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</w:p>
          <w:p w14:paraId="785673F1" w14:textId="240D764B" w:rsidR="00D62624" w:rsidRPr="001B4202" w:rsidRDefault="003C6F8F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</w:rPr>
              <w:t>Убедитесь, что коммуникация чувствительна к социально-культурным особенностям различных групп в конкретном населенном пункте, переводя материалы на языки, используемые жителями, во множественных и доступных форматах, в том числе для людей с нарушениями слуха, зрения и интеллекта, а также для людей с низкой грамотностью.</w:t>
            </w:r>
          </w:p>
          <w:p w14:paraId="337FD338" w14:textId="77777777" w:rsidR="00D62624" w:rsidRPr="001B4202" w:rsidRDefault="00D62624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</w:p>
          <w:p w14:paraId="27AAE907" w14:textId="49D6D91E" w:rsidR="00D62624" w:rsidRPr="001B4202" w:rsidRDefault="003C6F8F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</w:rPr>
              <w:t>Подготовьте и поделитесь информацией с общественностью, чтобы устранить и предотвратить стигму и дискриминацию, которые могут помешать людям обращаться за медицинской помощью. Сообщения о «группах высокого риска» должны быть чувствительными, чтобы минимизировать негативное влияние на эти группы</w:t>
            </w:r>
          </w:p>
          <w:p w14:paraId="52544291" w14:textId="77777777" w:rsidR="00D62624" w:rsidRPr="001B4202" w:rsidRDefault="00D62624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</w:p>
          <w:p w14:paraId="61559A31" w14:textId="77777777" w:rsidR="00D62624" w:rsidRPr="001B4202" w:rsidRDefault="00D62624">
            <w:pPr>
              <w:spacing w:after="120"/>
              <w:ind w:left="0" w:right="-164" w:firstLine="0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</w:tr>
      <w:tr w:rsidR="00D62624" w:rsidRPr="001B4202" w14:paraId="47A1FE6F" w14:textId="77777777">
        <w:tc>
          <w:tcPr>
            <w:tcW w:w="9895" w:type="dxa"/>
            <w:gridSpan w:val="2"/>
            <w:shd w:val="clear" w:color="auto" w:fill="FFF2CC" w:themeFill="accent4" w:themeFillTint="33"/>
          </w:tcPr>
          <w:p w14:paraId="5D9A4639" w14:textId="77777777" w:rsidR="00D62624" w:rsidRPr="001B4202" w:rsidRDefault="003C6F8F">
            <w:pPr>
              <w:ind w:left="0" w:firstLine="0"/>
              <w:rPr>
                <w:rFonts w:asciiTheme="minorHAnsi" w:eastAsia="Times New Roman" w:hAnsiTheme="minorHAnsi" w:cstheme="minorHAnsi"/>
                <w:b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b/>
                <w:color w:val="0D0D0D" w:themeColor="text1" w:themeTint="F2"/>
              </w:rPr>
              <w:lastRenderedPageBreak/>
              <w:t>Помогите общинам снизить социальные последствия пандемии и усилий по ее сдерживанию</w:t>
            </w:r>
          </w:p>
          <w:p w14:paraId="152500F2" w14:textId="77777777" w:rsidR="00D62624" w:rsidRPr="001B4202" w:rsidRDefault="00D62624">
            <w:pPr>
              <w:ind w:left="360" w:firstLine="0"/>
              <w:jc w:val="both"/>
              <w:rPr>
                <w:rFonts w:asciiTheme="minorHAnsi" w:hAnsiTheme="minorHAnsi" w:cstheme="minorHAnsi"/>
                <w:b/>
                <w:color w:val="0D0D0D" w:themeColor="text1" w:themeTint="F2"/>
              </w:rPr>
            </w:pPr>
          </w:p>
        </w:tc>
      </w:tr>
      <w:tr w:rsidR="00D62624" w:rsidRPr="001B4202" w14:paraId="7A320518" w14:textId="77777777">
        <w:trPr>
          <w:trHeight w:val="1061"/>
        </w:trPr>
        <w:tc>
          <w:tcPr>
            <w:tcW w:w="3415" w:type="dxa"/>
          </w:tcPr>
          <w:p w14:paraId="20257BC4" w14:textId="77777777" w:rsidR="00D62624" w:rsidRPr="001B4202" w:rsidRDefault="003C6F8F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</w:rPr>
              <w:t>Обеспечение защиты остается важнейшим элементом мер реагирования и посредством межсекторальных партнерств, проблемы защиты и выявления потребностей в защите важно для реагирования на выявленные риски.</w:t>
            </w:r>
          </w:p>
          <w:p w14:paraId="6ED5EE57" w14:textId="77777777" w:rsidR="00D62624" w:rsidRPr="001B4202" w:rsidRDefault="00D62624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</w:p>
          <w:p w14:paraId="2FF97ACC" w14:textId="77777777" w:rsidR="00D62624" w:rsidRPr="001B4202" w:rsidRDefault="00D62624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</w:p>
        </w:tc>
        <w:tc>
          <w:tcPr>
            <w:tcW w:w="6480" w:type="dxa"/>
          </w:tcPr>
          <w:p w14:paraId="07F10FD6" w14:textId="3A88C996" w:rsidR="00D62624" w:rsidRPr="001B4202" w:rsidRDefault="003C6F8F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</w:rPr>
              <w:t>Контролируйте риск возможных выселений, так как семьи могут потерять возможность оплачивать аренду, поскольку маргинализированые члены сообщества, жертвы заболевания или поставщики медицинских услуг могут подвергнуться дискриминации.</w:t>
            </w:r>
          </w:p>
          <w:p w14:paraId="2CAA4BB2" w14:textId="77777777" w:rsidR="00D62624" w:rsidRPr="001B4202" w:rsidRDefault="00D62624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</w:p>
          <w:p w14:paraId="68D47EE4" w14:textId="1B093B39" w:rsidR="00D62624" w:rsidRPr="001B4202" w:rsidRDefault="003C6F8F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</w:rPr>
              <w:t>Убедитесь, что любые меры по карантину или отделению больных или уязвимых групп должны быть временными, чтобы те могли вернуться домой по исчезновении риска. Такие гарантии важны для укрепления доверия сообщества к карантинным мерам, они уменьшают вероятность сопротивления этим мерам, и способствуют действиям по защите и смягчают последствия.</w:t>
            </w:r>
          </w:p>
          <w:p w14:paraId="4C31BBB8" w14:textId="77777777" w:rsidR="00D62624" w:rsidRPr="001B4202" w:rsidRDefault="00D62624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</w:p>
          <w:p w14:paraId="50A90BFA" w14:textId="27B28A51" w:rsidR="00D62624" w:rsidRPr="001B4202" w:rsidRDefault="003C6F8F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</w:rPr>
              <w:t>Выступите за приостановление всех выселений из жилых помещений на время чрезвычайной ситуации в области здравоохранения, поскольку выселения могут значительно повысить риск передачи инфекции в сообществе, работайте с правительствами над созданием систем мониторинга и вмешательства, чтобы избежать также неформальных выселений.</w:t>
            </w:r>
          </w:p>
          <w:p w14:paraId="07711E72" w14:textId="19A9A6CD" w:rsidR="00D62624" w:rsidRPr="001B4202" w:rsidRDefault="00D62624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</w:p>
          <w:p w14:paraId="2C9485B3" w14:textId="77777777" w:rsidR="00D62624" w:rsidRPr="001B4202" w:rsidRDefault="003C6F8F">
            <w:pPr>
              <w:pStyle w:val="Default"/>
              <w:numPr>
                <w:ilvl w:val="1"/>
                <w:numId w:val="10"/>
              </w:numPr>
              <w:spacing w:after="22"/>
              <w:rPr>
                <w:sz w:val="21"/>
              </w:rPr>
            </w:pPr>
            <w:r w:rsidRPr="001B4202">
              <w:rPr>
                <w:b/>
                <w:sz w:val="21"/>
              </w:rPr>
              <w:t>Необходимо предотвращать риск домашнего насилия (включая сексуальное и гендерное насилие и насилие в отношении детей) и членовредительства во время изоляции и стрессовых ситуаций</w:t>
            </w:r>
            <w:r w:rsidRPr="001B4202">
              <w:rPr>
                <w:sz w:val="21"/>
              </w:rPr>
              <w:t xml:space="preserve"> посредством оказания поддержки и консультирования по бытовому насилию через различные службы - например, снабдить волонтеров, оказывающих различные услуги, информацией о том, где можно получить помощь в случае домашнего насилия / установление или совершенствование специальной помощи и поддержки - например, телефонная или онлайн служба для людей, подверженных риску межличностного насилия или самонасилия.</w:t>
            </w:r>
            <w:r w:rsidRPr="001B4202">
              <w:t xml:space="preserve"> </w:t>
            </w:r>
          </w:p>
          <w:p w14:paraId="1C70C078" w14:textId="77777777" w:rsidR="00D62624" w:rsidRPr="001B4202" w:rsidRDefault="00D62624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</w:p>
          <w:p w14:paraId="4EC64E4B" w14:textId="77777777" w:rsidR="00D62624" w:rsidRPr="001B4202" w:rsidRDefault="00D62624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</w:p>
          <w:p w14:paraId="41CBEF18" w14:textId="7B3011C7" w:rsidR="00D62624" w:rsidRPr="001B4202" w:rsidRDefault="003C6F8F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</w:rPr>
              <w:t xml:space="preserve">Сосредоточьтесь на творческих способах предоставить детям альтернативы школе и играм, чтобы смягчить последствия закрытия школ и ограничения на передвижение в отсутствие места на уровне сообщества или семьи, ведь это нарушает привычную жизнь детей, и создает новые стрессовые факторы для тех, кто </w:t>
            </w: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</w:rPr>
              <w:lastRenderedPageBreak/>
              <w:t>ухаживает за детьми. Это должно включать возможности раннего обучения для самых маленьких, предоставление советов и идей по воспитанию детей в домашних условиях.</w:t>
            </w:r>
          </w:p>
          <w:p w14:paraId="7E26FA06" w14:textId="77777777" w:rsidR="00D62624" w:rsidRPr="001B4202" w:rsidRDefault="00D62624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</w:p>
          <w:p w14:paraId="5F680F85" w14:textId="77777777" w:rsidR="00D62624" w:rsidRPr="001B4202" w:rsidRDefault="003C6F8F">
            <w:pPr>
              <w:pStyle w:val="ListParagraph"/>
              <w:spacing w:after="60"/>
              <w:ind w:left="0" w:firstLine="0"/>
              <w:contextualSpacing w:val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  <w:sz w:val="21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  <w:sz w:val="21"/>
              </w:rPr>
              <w:t>Там, где это возможно, предоставьте образовательные ресурсы учащимся в удаленных местах и​/или в изоляции/на карантине, у которых нет подключения к интернету, посредством радио или других средств</w:t>
            </w:r>
            <w:r w:rsidRPr="001B4202">
              <w:t xml:space="preserve"> </w:t>
            </w:r>
          </w:p>
          <w:p w14:paraId="49987E4C" w14:textId="70E50185" w:rsidR="00D62624" w:rsidRPr="001B4202" w:rsidRDefault="003C6F8F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</w:rPr>
              <w:br/>
            </w:r>
          </w:p>
        </w:tc>
      </w:tr>
      <w:tr w:rsidR="00D62624" w:rsidRPr="001B4202" w14:paraId="5CA63485" w14:textId="77777777">
        <w:tc>
          <w:tcPr>
            <w:tcW w:w="9895" w:type="dxa"/>
            <w:gridSpan w:val="2"/>
            <w:shd w:val="clear" w:color="auto" w:fill="FFF2CC" w:themeFill="accent4" w:themeFillTint="33"/>
          </w:tcPr>
          <w:p w14:paraId="11BDDE50" w14:textId="77777777" w:rsidR="00D62624" w:rsidRPr="001B4202" w:rsidRDefault="003C6F8F">
            <w:pPr>
              <w:ind w:left="0" w:firstLine="0"/>
              <w:rPr>
                <w:rFonts w:asciiTheme="minorHAnsi" w:hAnsiTheme="minorHAnsi" w:cstheme="minorHAnsi"/>
                <w:b/>
                <w:color w:val="0D0D0D" w:themeColor="text1" w:themeTint="F2"/>
              </w:rPr>
            </w:pPr>
            <w:r w:rsidRPr="001B4202">
              <w:rPr>
                <w:rFonts w:asciiTheme="minorHAnsi" w:eastAsia="Times New Roman" w:hAnsiTheme="minorHAnsi" w:cstheme="minorHAnsi"/>
                <w:b/>
                <w:color w:val="0D0D0D" w:themeColor="text1" w:themeTint="F2"/>
              </w:rPr>
              <w:lastRenderedPageBreak/>
              <w:t>Обеспечьте средства к существованию для наиболее уязвимых общин, затронутых экономическими последствиями пандемии</w:t>
            </w:r>
          </w:p>
          <w:p w14:paraId="234657E2" w14:textId="1D60482E" w:rsidR="00D62624" w:rsidRPr="001B4202" w:rsidRDefault="00D62624">
            <w:pPr>
              <w:ind w:left="360" w:firstLine="0"/>
              <w:rPr>
                <w:rFonts w:asciiTheme="minorHAnsi" w:hAnsiTheme="minorHAnsi" w:cstheme="minorHAnsi"/>
                <w:b/>
                <w:color w:val="0D0D0D" w:themeColor="text1" w:themeTint="F2"/>
              </w:rPr>
            </w:pPr>
          </w:p>
        </w:tc>
      </w:tr>
      <w:tr w:rsidR="00D62624" w:rsidRPr="00F22E64" w14:paraId="6A6EA42C" w14:textId="77777777">
        <w:tc>
          <w:tcPr>
            <w:tcW w:w="3415" w:type="dxa"/>
          </w:tcPr>
          <w:p w14:paraId="7F7F42C2" w14:textId="77777777" w:rsidR="00D62624" w:rsidRPr="001B4202" w:rsidRDefault="00D62624">
            <w:pPr>
              <w:ind w:left="0" w:firstLine="0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  <w:tc>
          <w:tcPr>
            <w:tcW w:w="6480" w:type="dxa"/>
          </w:tcPr>
          <w:p w14:paraId="3E179EA3" w14:textId="4DFFC03A" w:rsidR="00D62624" w:rsidRPr="001B4202" w:rsidRDefault="003C6F8F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</w:rPr>
              <w:t>Поощряйте и приспособьте системы социальной защиты к реалиям неформальных поселений и трущоб (включая очень ограниченные сбережения или возможность экономить), обеспечивая доступ к медицинским услугам, воде и продуктам питания, и в то же время учитывайте внутреннее неравенство во избежание конфликтов и напряженности.</w:t>
            </w:r>
          </w:p>
          <w:p w14:paraId="677E4C08" w14:textId="77777777" w:rsidR="00D62624" w:rsidRPr="001B4202" w:rsidRDefault="00D62624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</w:p>
          <w:p w14:paraId="2B2DA351" w14:textId="2992C7A8" w:rsidR="00D62624" w:rsidRPr="001B4202" w:rsidRDefault="003C6F8F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</w:rPr>
              <w:t>Определите приоритет поддержки (финансовой, защиты, ухода за детьми) для людей, предоставляющих основные услуги (например, сборщики мусора).</w:t>
            </w:r>
          </w:p>
          <w:p w14:paraId="7F022E0D" w14:textId="77777777" w:rsidR="00D62624" w:rsidRPr="001B4202" w:rsidRDefault="00D62624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</w:p>
          <w:p w14:paraId="7B0DD283" w14:textId="77777777" w:rsidR="00D62624" w:rsidRPr="00F22E64" w:rsidRDefault="003C6F8F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  <w:r w:rsidRPr="001B4202">
              <w:rPr>
                <w:rFonts w:asciiTheme="minorHAnsi" w:eastAsia="Arial" w:hAnsiTheme="minorHAnsi" w:cstheme="minorHAnsi"/>
                <w:color w:val="0D0D0D" w:themeColor="text1" w:themeTint="F2"/>
              </w:rPr>
              <w:t>Предоставляйте экономическую и материальную поддержку семьям (например, посредством программ денежных переводов, оборудования для дистанционного обучения) по вопросам, связанным с питанием (особенно для тех, кто полагается на питание в школах), а также для обеспечения доступа и хорошего подключения к Интернету, где это возможно</w:t>
            </w:r>
          </w:p>
          <w:p w14:paraId="0441C6A7" w14:textId="77777777" w:rsidR="00D62624" w:rsidRPr="00F22E64" w:rsidRDefault="00D62624">
            <w:pPr>
              <w:ind w:left="0" w:firstLine="0"/>
              <w:jc w:val="both"/>
              <w:rPr>
                <w:rFonts w:asciiTheme="minorHAnsi" w:eastAsia="Arial" w:hAnsiTheme="minorHAnsi" w:cstheme="minorHAnsi"/>
                <w:color w:val="0D0D0D" w:themeColor="text1" w:themeTint="F2"/>
              </w:rPr>
            </w:pPr>
          </w:p>
        </w:tc>
      </w:tr>
    </w:tbl>
    <w:p w14:paraId="56B2A662" w14:textId="5836ECD3" w:rsidR="00D62624" w:rsidRPr="00F22E64" w:rsidRDefault="00D62624">
      <w:pPr>
        <w:ind w:left="0" w:firstLine="0"/>
        <w:rPr>
          <w:rFonts w:asciiTheme="minorHAnsi" w:hAnsiTheme="minorHAnsi" w:cstheme="minorHAnsi"/>
          <w:color w:val="0D0D0D" w:themeColor="text1" w:themeTint="F2"/>
        </w:rPr>
      </w:pPr>
    </w:p>
    <w:sectPr w:rsidR="00D62624" w:rsidRPr="00F22E64">
      <w:pgSz w:w="11906" w:h="16838" w:code="9"/>
      <w:pgMar w:top="810" w:right="1376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FF769" w14:textId="77777777" w:rsidR="003C6F8F" w:rsidRDefault="003C6F8F">
      <w:pPr>
        <w:spacing w:before="0"/>
      </w:pPr>
      <w:r>
        <w:separator/>
      </w:r>
    </w:p>
  </w:endnote>
  <w:endnote w:type="continuationSeparator" w:id="0">
    <w:p w14:paraId="4252FC5A" w14:textId="77777777" w:rsidR="003C6F8F" w:rsidRDefault="003C6F8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B9C78" w14:textId="77777777" w:rsidR="003C6F8F" w:rsidRDefault="003C6F8F">
      <w:pPr>
        <w:spacing w:before="0"/>
      </w:pPr>
      <w:r>
        <w:separator/>
      </w:r>
    </w:p>
  </w:footnote>
  <w:footnote w:type="continuationSeparator" w:id="0">
    <w:p w14:paraId="51C7D05D" w14:textId="77777777" w:rsidR="003C6F8F" w:rsidRDefault="003C6F8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413053"/>
    <w:multiLevelType w:val="hybridMultilevel"/>
    <w:tmpl w:val="EE987D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E739D"/>
    <w:multiLevelType w:val="hybridMultilevel"/>
    <w:tmpl w:val="2F10D32A"/>
    <w:lvl w:ilvl="0" w:tplc="0409000F">
      <w:start w:val="1"/>
      <w:numFmt w:val="decimal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04EE4094"/>
    <w:multiLevelType w:val="hybridMultilevel"/>
    <w:tmpl w:val="6C3C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167CE"/>
    <w:multiLevelType w:val="hybridMultilevel"/>
    <w:tmpl w:val="5134BFC4"/>
    <w:lvl w:ilvl="0" w:tplc="915292D6">
      <w:start w:val="1"/>
      <w:numFmt w:val="bullet"/>
      <w:lvlText w:val="·"/>
      <w:lvlJc w:val="left"/>
      <w:pPr>
        <w:ind w:left="78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35FD712D"/>
    <w:multiLevelType w:val="hybridMultilevel"/>
    <w:tmpl w:val="21644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56E03"/>
    <w:multiLevelType w:val="hybridMultilevel"/>
    <w:tmpl w:val="8E967AA0"/>
    <w:lvl w:ilvl="0" w:tplc="915292D6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B63BD"/>
    <w:multiLevelType w:val="hybridMultilevel"/>
    <w:tmpl w:val="0E44930A"/>
    <w:lvl w:ilvl="0" w:tplc="915292D6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840EF"/>
    <w:multiLevelType w:val="hybridMultilevel"/>
    <w:tmpl w:val="8394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B5B84"/>
    <w:multiLevelType w:val="hybridMultilevel"/>
    <w:tmpl w:val="543AB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15292D6">
      <w:start w:val="1"/>
      <w:numFmt w:val="bullet"/>
      <w:lvlText w:val="·"/>
      <w:lvlJc w:val="left"/>
      <w:pPr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50554B"/>
    <w:multiLevelType w:val="hybridMultilevel"/>
    <w:tmpl w:val="9EE07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EE"/>
    <w:rsid w:val="000364DD"/>
    <w:rsid w:val="00037CD2"/>
    <w:rsid w:val="0004167A"/>
    <w:rsid w:val="00047757"/>
    <w:rsid w:val="000A4DDD"/>
    <w:rsid w:val="000C17BC"/>
    <w:rsid w:val="000D7787"/>
    <w:rsid w:val="0010228C"/>
    <w:rsid w:val="00112FB0"/>
    <w:rsid w:val="0018136E"/>
    <w:rsid w:val="001B4202"/>
    <w:rsid w:val="001B7C6E"/>
    <w:rsid w:val="001D1893"/>
    <w:rsid w:val="00244CF8"/>
    <w:rsid w:val="002A727A"/>
    <w:rsid w:val="002B5807"/>
    <w:rsid w:val="002B718E"/>
    <w:rsid w:val="002B7E4C"/>
    <w:rsid w:val="002D79EE"/>
    <w:rsid w:val="002E299C"/>
    <w:rsid w:val="00301AA5"/>
    <w:rsid w:val="0033363E"/>
    <w:rsid w:val="00366643"/>
    <w:rsid w:val="0038121A"/>
    <w:rsid w:val="003B7CA6"/>
    <w:rsid w:val="003C6F8F"/>
    <w:rsid w:val="004815AF"/>
    <w:rsid w:val="00482A1A"/>
    <w:rsid w:val="004A52A0"/>
    <w:rsid w:val="004C68EF"/>
    <w:rsid w:val="00523181"/>
    <w:rsid w:val="005278A2"/>
    <w:rsid w:val="005344B9"/>
    <w:rsid w:val="00534FC8"/>
    <w:rsid w:val="0056678F"/>
    <w:rsid w:val="00585A54"/>
    <w:rsid w:val="005B1ABA"/>
    <w:rsid w:val="005B6C0A"/>
    <w:rsid w:val="005C7643"/>
    <w:rsid w:val="005E5EDF"/>
    <w:rsid w:val="005F7881"/>
    <w:rsid w:val="00614CEC"/>
    <w:rsid w:val="00655503"/>
    <w:rsid w:val="00664BAA"/>
    <w:rsid w:val="00674AD1"/>
    <w:rsid w:val="00674B37"/>
    <w:rsid w:val="00685596"/>
    <w:rsid w:val="006A2B4A"/>
    <w:rsid w:val="006B087E"/>
    <w:rsid w:val="006D45BC"/>
    <w:rsid w:val="007A3AE6"/>
    <w:rsid w:val="007C0CB9"/>
    <w:rsid w:val="007D4036"/>
    <w:rsid w:val="007E3FF4"/>
    <w:rsid w:val="007F1DC8"/>
    <w:rsid w:val="00806205"/>
    <w:rsid w:val="00882231"/>
    <w:rsid w:val="00882E7D"/>
    <w:rsid w:val="00886A21"/>
    <w:rsid w:val="00896317"/>
    <w:rsid w:val="008B6396"/>
    <w:rsid w:val="008C5C1C"/>
    <w:rsid w:val="0090686A"/>
    <w:rsid w:val="00915768"/>
    <w:rsid w:val="00916235"/>
    <w:rsid w:val="00940E94"/>
    <w:rsid w:val="00996438"/>
    <w:rsid w:val="009C23C9"/>
    <w:rsid w:val="009F015E"/>
    <w:rsid w:val="009F5888"/>
    <w:rsid w:val="00A062BC"/>
    <w:rsid w:val="00A17698"/>
    <w:rsid w:val="00A3558E"/>
    <w:rsid w:val="00A377F3"/>
    <w:rsid w:val="00A42E0A"/>
    <w:rsid w:val="00A97415"/>
    <w:rsid w:val="00AB2792"/>
    <w:rsid w:val="00AB4E54"/>
    <w:rsid w:val="00AB587C"/>
    <w:rsid w:val="00AD7B9E"/>
    <w:rsid w:val="00AE3A48"/>
    <w:rsid w:val="00B313FD"/>
    <w:rsid w:val="00B36205"/>
    <w:rsid w:val="00B962DA"/>
    <w:rsid w:val="00C81206"/>
    <w:rsid w:val="00C96E9F"/>
    <w:rsid w:val="00CD330D"/>
    <w:rsid w:val="00CF32A5"/>
    <w:rsid w:val="00D021CC"/>
    <w:rsid w:val="00D25065"/>
    <w:rsid w:val="00D3269E"/>
    <w:rsid w:val="00D62624"/>
    <w:rsid w:val="00D95872"/>
    <w:rsid w:val="00DC3C41"/>
    <w:rsid w:val="00E321C0"/>
    <w:rsid w:val="00E32B9F"/>
    <w:rsid w:val="00E7012B"/>
    <w:rsid w:val="00E82AA7"/>
    <w:rsid w:val="00EA5030"/>
    <w:rsid w:val="00EA532A"/>
    <w:rsid w:val="00EE7382"/>
    <w:rsid w:val="00EF5CF6"/>
    <w:rsid w:val="00EF5D8E"/>
    <w:rsid w:val="00F13B1C"/>
    <w:rsid w:val="00F22E64"/>
    <w:rsid w:val="00F24692"/>
    <w:rsid w:val="00F35039"/>
    <w:rsid w:val="00F42EB9"/>
    <w:rsid w:val="00F456D1"/>
    <w:rsid w:val="00F959D6"/>
    <w:rsid w:val="00F97CD1"/>
    <w:rsid w:val="00FC0F36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E6C3"/>
  <w15:chartTrackingRefBased/>
  <w15:docId w15:val="{572C3CE7-E73F-48FD-A0D3-0A5ED72F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color w:val="000000"/>
        <w:sz w:val="22"/>
        <w:szCs w:val="24"/>
        <w:lang w:val="ru-RU" w:eastAsia="en-US" w:bidi="ar-SA"/>
      </w:rPr>
    </w:rPrDefault>
    <w:pPrDefault>
      <w:pPr>
        <w:spacing w:before="60"/>
        <w:ind w:left="907" w:hanging="1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8121A"/>
    <w:pPr>
      <w:keepNext/>
      <w:keepLines/>
      <w:spacing w:before="240" w:after="120" w:line="276" w:lineRule="auto"/>
      <w:ind w:left="0" w:firstLine="0"/>
      <w:outlineLvl w:val="0"/>
    </w:pPr>
    <w:rPr>
      <w:rFonts w:asciiTheme="majorHAnsi" w:eastAsia="Arial" w:hAnsiTheme="majorHAnsi" w:cs="Arial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21A"/>
    <w:rPr>
      <w:rFonts w:asciiTheme="majorHAnsi" w:eastAsia="Arial" w:hAnsiTheme="majorHAnsi" w:cs="Arial"/>
      <w:color w:val="2F5496" w:themeColor="accent1" w:themeShade="BF"/>
      <w:sz w:val="40"/>
      <w:szCs w:val="40"/>
      <w:lang w:val="ru-RU"/>
    </w:rPr>
  </w:style>
  <w:style w:type="paragraph" w:customStyle="1" w:styleId="aynur">
    <w:name w:val="aynur"/>
    <w:basedOn w:val="Heading1"/>
    <w:link w:val="aynurChar"/>
    <w:autoRedefine/>
    <w:qFormat/>
    <w:rsid w:val="00655503"/>
    <w:pPr>
      <w:keepNext w:val="0"/>
      <w:keepLines w:val="0"/>
      <w:spacing w:after="0"/>
    </w:pPr>
    <w:rPr>
      <w:rFonts w:ascii="Calibri" w:eastAsiaTheme="minorHAnsi" w:hAnsi="Calibri" w:cs="Calibri"/>
      <w:sz w:val="36"/>
      <w:szCs w:val="36"/>
    </w:rPr>
  </w:style>
  <w:style w:type="character" w:customStyle="1" w:styleId="aynurChar">
    <w:name w:val="aynur Char"/>
    <w:basedOn w:val="Heading1Char"/>
    <w:link w:val="aynur"/>
    <w:rsid w:val="00655503"/>
    <w:rPr>
      <w:rFonts w:asciiTheme="majorHAnsi" w:eastAsia="Arial" w:hAnsiTheme="majorHAnsi" w:cs="Arial"/>
      <w:color w:val="2F5496" w:themeColor="accent1" w:themeShade="BF"/>
      <w:sz w:val="36"/>
      <w:szCs w:val="36"/>
      <w:lang w:val="ru-RU"/>
    </w:rPr>
  </w:style>
  <w:style w:type="table" w:styleId="TableGrid">
    <w:name w:val="Table Grid"/>
    <w:basedOn w:val="TableNormal"/>
    <w:uiPriority w:val="39"/>
    <w:rsid w:val="002D79E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????"/>
    <w:basedOn w:val="Normal"/>
    <w:link w:val="ListParagraphChar"/>
    <w:uiPriority w:val="34"/>
    <w:qFormat/>
    <w:rsid w:val="002D7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58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8E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basedOn w:val="DefaultParagraphFont"/>
    <w:link w:val="ListParagraph"/>
    <w:uiPriority w:val="34"/>
    <w:qFormat/>
    <w:locked/>
    <w:rsid w:val="008C5C1C"/>
  </w:style>
  <w:style w:type="paragraph" w:styleId="FootnoteText">
    <w:name w:val="footnote text"/>
    <w:basedOn w:val="Normal"/>
    <w:link w:val="FootnoteTextChar"/>
    <w:uiPriority w:val="99"/>
    <w:semiHidden/>
    <w:unhideWhenUsed/>
    <w:rsid w:val="00FD4282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2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42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13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3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692"/>
    <w:rPr>
      <w:color w:val="954F72" w:themeColor="followedHyperlink"/>
      <w:u w:val="single"/>
    </w:rPr>
  </w:style>
  <w:style w:type="paragraph" w:customStyle="1" w:styleId="Default">
    <w:name w:val="Default"/>
    <w:rsid w:val="005B6C0A"/>
    <w:pPr>
      <w:autoSpaceDE w:val="0"/>
      <w:autoSpaceDN w:val="0"/>
      <w:adjustRightInd w:val="0"/>
      <w:spacing w:before="0"/>
      <w:ind w:left="0"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o.ifrc.org/emergencies/397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cialscienceinaction.org/resources/key-considerations-covid-19-informal-urban-settlements-march-2020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D652E66459445919D27747FCE8BA5" ma:contentTypeVersion="13" ma:contentTypeDescription="Create a new document." ma:contentTypeScope="" ma:versionID="deaba9eac7e6c65e2fa62b02be40e03d">
  <xsd:schema xmlns:xsd="http://www.w3.org/2001/XMLSchema" xmlns:xs="http://www.w3.org/2001/XMLSchema" xmlns:p="http://schemas.microsoft.com/office/2006/metadata/properties" xmlns:ns3="c38517a7-f393-4ee7-8e27-8ffb18288be8" xmlns:ns4="9f456922-5e3b-4bb6-9ce1-ac36db08d786" targetNamespace="http://schemas.microsoft.com/office/2006/metadata/properties" ma:root="true" ma:fieldsID="c9f2b72c292716d5a51e1b32dc3cc1ea" ns3:_="" ns4:_="">
    <xsd:import namespace="c38517a7-f393-4ee7-8e27-8ffb18288be8"/>
    <xsd:import namespace="9f456922-5e3b-4bb6-9ce1-ac36db08d7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517a7-f393-4ee7-8e27-8ffb18288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56922-5e3b-4bb6-9ce1-ac36db08d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ED1E-77A7-47FC-A100-E7BC4BFD7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07C39-AAA6-4F3F-B88D-555B9C546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2418BC-8690-48AB-BCD4-A287CFDBF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517a7-f393-4ee7-8e27-8ffb18288be8"/>
    <ds:schemaRef ds:uri="9f456922-5e3b-4bb6-9ce1-ac36db08d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03851-457B-486F-ABF8-92A7ED01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1758</Words>
  <Characters>10021</Characters>
  <Application>Microsoft Office Word</Application>
  <DocSecurity>0</DocSecurity>
  <Lines>83</Lines>
  <Paragraphs>23</Paragraphs>
  <ScaleCrop>false</ScaleCrop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 KADIHASANOGLU</dc:creator>
  <cp:keywords/>
  <dc:description/>
  <cp:lastModifiedBy>Aynur KADIHASANOGLU</cp:lastModifiedBy>
  <cp:revision>17</cp:revision>
  <dcterms:created xsi:type="dcterms:W3CDTF">2020-04-09T08:16:00Z</dcterms:created>
  <dcterms:modified xsi:type="dcterms:W3CDTF">2020-04-13T16:38:00Z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0x01010029BD652E66459445919D27747FCE8BA5</vt:lpwstr>
  </property>
</Properties>
</file>