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047" w:rsidRPr="00533679" w:rsidRDefault="00533679" w:rsidP="00786F62">
      <w:pPr>
        <w:pStyle w:val="Heading2"/>
        <w:tabs>
          <w:tab w:val="left" w:pos="3375"/>
        </w:tabs>
        <w:rPr>
          <w:color w:val="7F1416"/>
        </w:rPr>
      </w:pPr>
      <w:r w:rsidRPr="00533679">
        <w:rPr>
          <w:color w:val="7F1416"/>
        </w:rPr>
        <w:t xml:space="preserve">GSC Meeting 2018: </w:t>
      </w:r>
      <w:r w:rsidR="00A0515A" w:rsidRPr="00533679">
        <w:rPr>
          <w:color w:val="7F1416"/>
        </w:rPr>
        <w:t>Imagining shelter 2020</w:t>
      </w:r>
      <w:r w:rsidRPr="00533679">
        <w:rPr>
          <w:color w:val="7F1416"/>
        </w:rPr>
        <w:t xml:space="preserve"> </w:t>
      </w:r>
      <w:r w:rsidR="000F3124" w:rsidRPr="00533679">
        <w:rPr>
          <w:color w:val="7F1416"/>
        </w:rPr>
        <w:t>Report</w:t>
      </w:r>
    </w:p>
    <w:p w:rsidR="00786F62" w:rsidRPr="00533679" w:rsidRDefault="00786F62" w:rsidP="00786F62">
      <w:pPr>
        <w:pStyle w:val="Heading2"/>
        <w:rPr>
          <w:color w:val="7F1416"/>
        </w:rPr>
      </w:pPr>
      <w:r w:rsidRPr="00533679">
        <w:rPr>
          <w:color w:val="7F1416"/>
        </w:rPr>
        <w:t>Are we putting too much emphasis on structural safety?</w:t>
      </w:r>
    </w:p>
    <w:p w:rsidR="002D2B12" w:rsidRDefault="002D2B12" w:rsidP="002D2B12"/>
    <w:p w:rsidR="002D2B12" w:rsidRPr="002D2B12" w:rsidRDefault="002D2B12" w:rsidP="002D2B12">
      <w:r>
        <w:t xml:space="preserve">Bill introduced the discussion by outlining the following </w:t>
      </w:r>
      <w:r w:rsidR="000F3124">
        <w:t>issues that</w:t>
      </w:r>
      <w:r>
        <w:t xml:space="preserve"> are most usefully summed up in the graph:</w:t>
      </w:r>
    </w:p>
    <w:p w:rsidR="00A0515A" w:rsidRDefault="00A0515A" w:rsidP="00214293">
      <w:pPr>
        <w:pStyle w:val="ListParagraph"/>
        <w:numPr>
          <w:ilvl w:val="0"/>
          <w:numId w:val="1"/>
        </w:numPr>
        <w:tabs>
          <w:tab w:val="left" w:pos="6765"/>
        </w:tabs>
      </w:pPr>
      <w:r>
        <w:t>3.4 million people die each</w:t>
      </w:r>
      <w:bookmarkStart w:id="0" w:name="_GoBack"/>
      <w:bookmarkEnd w:id="0"/>
      <w:r>
        <w:t xml:space="preserve"> year from waterborne disease (WHO)</w:t>
      </w:r>
    </w:p>
    <w:p w:rsidR="00A0515A" w:rsidRDefault="00A0515A" w:rsidP="00214293">
      <w:pPr>
        <w:pStyle w:val="ListParagraph"/>
        <w:numPr>
          <w:ilvl w:val="0"/>
          <w:numId w:val="1"/>
        </w:numPr>
        <w:tabs>
          <w:tab w:val="left" w:pos="6765"/>
        </w:tabs>
      </w:pPr>
      <w:r>
        <w:t>4.3 million die from respiratory diseases</w:t>
      </w:r>
      <w:r w:rsidR="00786F62">
        <w:t>;</w:t>
      </w:r>
      <w:r w:rsidR="00254DCA">
        <w:t xml:space="preserve"> of these</w:t>
      </w:r>
      <w:r>
        <w:t xml:space="preserve"> 1.3 million premature deaths can be attributed to indoor smoke inhalation from cooking </w:t>
      </w:r>
    </w:p>
    <w:p w:rsidR="00A0515A" w:rsidRDefault="00A0515A" w:rsidP="00214293">
      <w:pPr>
        <w:pStyle w:val="ListParagraph"/>
        <w:numPr>
          <w:ilvl w:val="0"/>
          <w:numId w:val="1"/>
        </w:numPr>
        <w:tabs>
          <w:tab w:val="left" w:pos="6765"/>
        </w:tabs>
      </w:pPr>
      <w:r>
        <w:t>Of 300-600 million malaria sufferers, one million die each year</w:t>
      </w:r>
    </w:p>
    <w:p w:rsidR="00214293" w:rsidRDefault="000032F7" w:rsidP="00A0515A">
      <w:pPr>
        <w:tabs>
          <w:tab w:val="left" w:pos="6765"/>
        </w:tabs>
      </w:pPr>
      <w:r>
        <w:t>All of these are closely connected to the quality of housing</w:t>
      </w:r>
      <w:r w:rsidR="00786F62">
        <w:t>: l</w:t>
      </w:r>
      <w:r>
        <w:t xml:space="preserve">atrines, access to clean water, rainwater harvesting, indoor cooking without adequate chimneys or ventilation, mosquito netting in windows etc. </w:t>
      </w:r>
    </w:p>
    <w:p w:rsidR="00A0515A" w:rsidRDefault="00A0515A" w:rsidP="00A0515A">
      <w:pPr>
        <w:tabs>
          <w:tab w:val="left" w:pos="6765"/>
        </w:tabs>
      </w:pPr>
      <w:r>
        <w:t>By comparison:</w:t>
      </w:r>
    </w:p>
    <w:p w:rsidR="00A0515A" w:rsidRDefault="00A0515A" w:rsidP="00786F62">
      <w:pPr>
        <w:pStyle w:val="ListParagraph"/>
        <w:numPr>
          <w:ilvl w:val="0"/>
          <w:numId w:val="2"/>
        </w:numPr>
        <w:tabs>
          <w:tab w:val="left" w:pos="6765"/>
        </w:tabs>
        <w:spacing w:before="240"/>
      </w:pPr>
      <w:r>
        <w:t>There are about 40,000 deaths each year from earthquakes</w:t>
      </w:r>
    </w:p>
    <w:p w:rsidR="00214293" w:rsidRDefault="00214293" w:rsidP="00214293">
      <w:pPr>
        <w:pStyle w:val="ListParagraph"/>
        <w:numPr>
          <w:ilvl w:val="0"/>
          <w:numId w:val="2"/>
        </w:numPr>
        <w:tabs>
          <w:tab w:val="left" w:pos="6765"/>
        </w:tabs>
      </w:pPr>
      <w:r>
        <w:t>12,000 from storms – and of course most of these are not</w:t>
      </w:r>
      <w:r w:rsidR="0013636C">
        <w:t xml:space="preserve"> directly</w:t>
      </w:r>
      <w:r>
        <w:t xml:space="preserve"> related to housing</w:t>
      </w:r>
    </w:p>
    <w:p w:rsidR="00214293" w:rsidRDefault="000F3124" w:rsidP="00214293">
      <w:pPr>
        <w:pStyle w:val="ListParagraph"/>
        <w:numPr>
          <w:ilvl w:val="0"/>
          <w:numId w:val="2"/>
        </w:numPr>
        <w:tabs>
          <w:tab w:val="left" w:pos="6765"/>
        </w:tabs>
      </w:pPr>
      <w:r>
        <w:rPr>
          <w:noProof/>
          <w:lang w:eastAsia="en-GB"/>
        </w:rPr>
        <w:drawing>
          <wp:anchor distT="0" distB="0" distL="114300" distR="114300" simplePos="0" relativeHeight="251658240" behindDoc="0" locked="0" layoutInCell="1" allowOverlap="1" wp14:anchorId="1D7FFC72" wp14:editId="52046E11">
            <wp:simplePos x="0" y="0"/>
            <wp:positionH relativeFrom="column">
              <wp:posOffset>85725</wp:posOffset>
            </wp:positionH>
            <wp:positionV relativeFrom="paragraph">
              <wp:posOffset>501650</wp:posOffset>
            </wp:positionV>
            <wp:extent cx="4572000" cy="4233545"/>
            <wp:effectExtent l="0" t="0" r="19050" b="1460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214293">
        <w:t>7,000 from flooding</w:t>
      </w:r>
    </w:p>
    <w:p w:rsidR="00214293" w:rsidRDefault="00786F62" w:rsidP="00A0515A">
      <w:pPr>
        <w:tabs>
          <w:tab w:val="left" w:pos="6765"/>
        </w:tabs>
      </w:pPr>
      <w:r>
        <w:br w:type="textWrapping" w:clear="all"/>
      </w:r>
    </w:p>
    <w:p w:rsidR="00214293" w:rsidRDefault="00214293" w:rsidP="00A0515A">
      <w:pPr>
        <w:tabs>
          <w:tab w:val="left" w:pos="6765"/>
        </w:tabs>
      </w:pPr>
    </w:p>
    <w:p w:rsidR="00786F62" w:rsidRDefault="00786F62" w:rsidP="00A0515A">
      <w:pPr>
        <w:tabs>
          <w:tab w:val="left" w:pos="6765"/>
        </w:tabs>
      </w:pPr>
    </w:p>
    <w:p w:rsidR="00214293" w:rsidRDefault="000032F7" w:rsidP="00A0515A">
      <w:pPr>
        <w:tabs>
          <w:tab w:val="left" w:pos="6765"/>
        </w:tabs>
      </w:pPr>
      <w:r>
        <w:t>So given the opportunity to rebuild</w:t>
      </w:r>
      <w:r w:rsidR="00254DCA">
        <w:t xml:space="preserve"> that is</w:t>
      </w:r>
      <w:r>
        <w:t xml:space="preserve"> </w:t>
      </w:r>
      <w:r w:rsidR="00C5460F">
        <w:t>provided</w:t>
      </w:r>
      <w:r>
        <w:t xml:space="preserve"> by a disaster, are we getting our priorities right? Do we put too much emphasis on structural safety? </w:t>
      </w:r>
    </w:p>
    <w:p w:rsidR="002D2B12" w:rsidRDefault="002D2B12" w:rsidP="00A0515A">
      <w:pPr>
        <w:tabs>
          <w:tab w:val="left" w:pos="6765"/>
        </w:tabs>
      </w:pPr>
    </w:p>
    <w:p w:rsidR="002D2B12" w:rsidRDefault="002D2B12" w:rsidP="002D2B12">
      <w:pPr>
        <w:pStyle w:val="Heading2"/>
      </w:pPr>
      <w:r>
        <w:t>Discussion:</w:t>
      </w:r>
    </w:p>
    <w:p w:rsidR="002D2B12" w:rsidRDefault="002D2B12" w:rsidP="002D2B12">
      <w:pPr>
        <w:pStyle w:val="ListParagraph"/>
        <w:numPr>
          <w:ilvl w:val="0"/>
          <w:numId w:val="5"/>
        </w:numPr>
        <w:tabs>
          <w:tab w:val="left" w:pos="6765"/>
        </w:tabs>
      </w:pPr>
      <w:r>
        <w:t xml:space="preserve">It is very rare to see a </w:t>
      </w:r>
      <w:proofErr w:type="spellStart"/>
      <w:r>
        <w:t>BoQ</w:t>
      </w:r>
      <w:proofErr w:type="spellEnd"/>
      <w:r>
        <w:t xml:space="preserve"> that includes items that go beyond structural safety</w:t>
      </w:r>
      <w:r w:rsidR="000F3124">
        <w:t xml:space="preserve">, </w:t>
      </w:r>
      <w:proofErr w:type="spellStart"/>
      <w:r w:rsidR="000F3124">
        <w:t>eg</w:t>
      </w:r>
      <w:proofErr w:type="spellEnd"/>
      <w:r>
        <w:t>:</w:t>
      </w:r>
    </w:p>
    <w:p w:rsidR="002D2B12" w:rsidRDefault="002D2B12" w:rsidP="002D2B12">
      <w:pPr>
        <w:pStyle w:val="ListParagraph"/>
        <w:numPr>
          <w:ilvl w:val="1"/>
          <w:numId w:val="5"/>
        </w:numPr>
        <w:tabs>
          <w:tab w:val="left" w:pos="6765"/>
        </w:tabs>
      </w:pPr>
      <w:r>
        <w:t>Solar lighting</w:t>
      </w:r>
    </w:p>
    <w:p w:rsidR="002D2B12" w:rsidRDefault="002D2B12" w:rsidP="002D2B12">
      <w:pPr>
        <w:pStyle w:val="ListParagraph"/>
        <w:numPr>
          <w:ilvl w:val="1"/>
          <w:numId w:val="5"/>
        </w:numPr>
        <w:tabs>
          <w:tab w:val="left" w:pos="6765"/>
        </w:tabs>
      </w:pPr>
      <w:r>
        <w:t>Mosquito netting</w:t>
      </w:r>
    </w:p>
    <w:p w:rsidR="002D2B12" w:rsidRDefault="002D2B12" w:rsidP="002D2B12">
      <w:pPr>
        <w:pStyle w:val="ListParagraph"/>
        <w:numPr>
          <w:ilvl w:val="1"/>
          <w:numId w:val="5"/>
        </w:numPr>
        <w:tabs>
          <w:tab w:val="left" w:pos="6765"/>
        </w:tabs>
      </w:pPr>
      <w:r>
        <w:t>Locks for doors etc</w:t>
      </w:r>
      <w:r w:rsidR="00B50CA6">
        <w:br/>
        <w:t>however many of these are “easy wins” that can make a significant difference.</w:t>
      </w:r>
    </w:p>
    <w:p w:rsidR="002D2B12" w:rsidRDefault="002D2B12" w:rsidP="002D2B12">
      <w:pPr>
        <w:pStyle w:val="ListParagraph"/>
        <w:numPr>
          <w:ilvl w:val="0"/>
          <w:numId w:val="5"/>
        </w:numPr>
        <w:tabs>
          <w:tab w:val="left" w:pos="6765"/>
        </w:tabs>
      </w:pPr>
      <w:r>
        <w:t>It was discussed how these are potential</w:t>
      </w:r>
      <w:r w:rsidR="000F3124">
        <w:t>, or often real,</w:t>
      </w:r>
      <w:r>
        <w:t xml:space="preserve"> disasters, but we </w:t>
      </w:r>
      <w:r w:rsidR="000F3124">
        <w:t>have no corresponding messaging.</w:t>
      </w:r>
    </w:p>
    <w:p w:rsidR="00B50CA6" w:rsidRDefault="00B50CA6" w:rsidP="002D2B12">
      <w:pPr>
        <w:pStyle w:val="ListParagraph"/>
        <w:numPr>
          <w:ilvl w:val="0"/>
          <w:numId w:val="5"/>
        </w:numPr>
        <w:tabs>
          <w:tab w:val="left" w:pos="6765"/>
        </w:tabs>
      </w:pPr>
      <w:r>
        <w:t>Some other disease were also mentioned: TB (overcrowding); dengue (mosquito nets)</w:t>
      </w:r>
    </w:p>
    <w:p w:rsidR="002D2B12" w:rsidRDefault="002D2B12" w:rsidP="002D2B12">
      <w:pPr>
        <w:pStyle w:val="ListParagraph"/>
        <w:numPr>
          <w:ilvl w:val="0"/>
          <w:numId w:val="5"/>
        </w:numPr>
        <w:tabs>
          <w:tab w:val="left" w:pos="6765"/>
        </w:tabs>
      </w:pPr>
      <w:r>
        <w:t>It was also discussed how other issues –</w:t>
      </w:r>
      <w:r w:rsidR="00B50CA6">
        <w:t xml:space="preserve"> notably</w:t>
      </w:r>
      <w:r>
        <w:t xml:space="preserve"> protection –</w:t>
      </w:r>
      <w:r w:rsidR="00B50CA6">
        <w:t xml:space="preserve"> are also extremely important</w:t>
      </w:r>
      <w:r>
        <w:t xml:space="preserve"> but rarely given the prominence they deserve. </w:t>
      </w:r>
    </w:p>
    <w:p w:rsidR="002D2B12" w:rsidRDefault="002D2B12" w:rsidP="002D2B12">
      <w:pPr>
        <w:pStyle w:val="ListParagraph"/>
        <w:numPr>
          <w:ilvl w:val="0"/>
          <w:numId w:val="5"/>
        </w:numPr>
        <w:tabs>
          <w:tab w:val="left" w:pos="6765"/>
        </w:tabs>
      </w:pPr>
      <w:r>
        <w:t>A clear implication was the need for integration with WASH, protection and health</w:t>
      </w:r>
    </w:p>
    <w:p w:rsidR="002D2B12" w:rsidRDefault="002D2B12" w:rsidP="00A0515A">
      <w:pPr>
        <w:pStyle w:val="ListParagraph"/>
        <w:numPr>
          <w:ilvl w:val="0"/>
          <w:numId w:val="5"/>
        </w:numPr>
        <w:tabs>
          <w:tab w:val="left" w:pos="6765"/>
        </w:tabs>
      </w:pPr>
      <w:r>
        <w:t>It was recognised that the growing interest in cash, and multi-purpose cash in particular, will make this discussion all the more urgent: how do we generate the information that allows families to make informed choices that align with their priorities, needs and resources?</w:t>
      </w:r>
    </w:p>
    <w:p w:rsidR="00B50CA6" w:rsidRDefault="00B50CA6" w:rsidP="00A0515A">
      <w:pPr>
        <w:pStyle w:val="ListParagraph"/>
        <w:numPr>
          <w:ilvl w:val="0"/>
          <w:numId w:val="5"/>
        </w:numPr>
        <w:tabs>
          <w:tab w:val="left" w:pos="6765"/>
        </w:tabs>
      </w:pPr>
      <w:r>
        <w:t>It was questioned whether these issues are really developmental rather than humanitarian. It was pointed out that improving structural safety could also be seen as more developmental, rather than humanitarian. It could fit well with the current nexus discussion.</w:t>
      </w:r>
    </w:p>
    <w:p w:rsidR="002D2B12" w:rsidRDefault="002D2B12" w:rsidP="00B50CA6">
      <w:pPr>
        <w:pStyle w:val="Heading2"/>
      </w:pPr>
      <w:r>
        <w:t>Actions:</w:t>
      </w:r>
    </w:p>
    <w:p w:rsidR="002D2B12" w:rsidRDefault="002D2B12" w:rsidP="00B50CA6">
      <w:pPr>
        <w:pStyle w:val="ListParagraph"/>
        <w:numPr>
          <w:ilvl w:val="0"/>
          <w:numId w:val="6"/>
        </w:numPr>
        <w:tabs>
          <w:tab w:val="left" w:pos="6765"/>
        </w:tabs>
      </w:pPr>
      <w:r>
        <w:t>Involve other sectors – WASH, Health and protection – in a discussion around these issues.</w:t>
      </w:r>
    </w:p>
    <w:p w:rsidR="002D2B12" w:rsidRDefault="002D2B12" w:rsidP="00B50CA6">
      <w:pPr>
        <w:pStyle w:val="ListParagraph"/>
        <w:numPr>
          <w:ilvl w:val="0"/>
          <w:numId w:val="6"/>
        </w:numPr>
        <w:tabs>
          <w:tab w:val="left" w:pos="6765"/>
        </w:tabs>
      </w:pPr>
      <w:r>
        <w:t>Consider how this argument is also relevant to inclusion and disability (this actually came up through a subsequent discussion on disability).</w:t>
      </w:r>
    </w:p>
    <w:p w:rsidR="00B50CA6" w:rsidRDefault="00B50CA6" w:rsidP="00B50CA6">
      <w:pPr>
        <w:pStyle w:val="ListParagraph"/>
        <w:numPr>
          <w:ilvl w:val="0"/>
          <w:numId w:val="6"/>
        </w:numPr>
        <w:tabs>
          <w:tab w:val="left" w:pos="6765"/>
        </w:tabs>
      </w:pPr>
      <w:r>
        <w:t>Take this discussion to the Promoting Safer Building Working group.</w:t>
      </w:r>
    </w:p>
    <w:p w:rsidR="00913919" w:rsidRDefault="00913919" w:rsidP="00913919"/>
    <w:p w:rsidR="00913919" w:rsidRDefault="00913919" w:rsidP="00913919">
      <w:r>
        <w:t>Bill</w:t>
      </w:r>
      <w:r w:rsidR="00B50CA6">
        <w:t xml:space="preserve"> Flinn</w:t>
      </w:r>
    </w:p>
    <w:p w:rsidR="00913919" w:rsidRDefault="00B50CA6" w:rsidP="00913919">
      <w:r>
        <w:t>October</w:t>
      </w:r>
      <w:r w:rsidR="00913919">
        <w:t xml:space="preserve"> 2018</w:t>
      </w:r>
    </w:p>
    <w:p w:rsidR="000222A7" w:rsidRDefault="000222A7" w:rsidP="000D030F">
      <w:pPr>
        <w:tabs>
          <w:tab w:val="left" w:pos="6765"/>
        </w:tabs>
        <w:ind w:left="360"/>
      </w:pPr>
    </w:p>
    <w:p w:rsidR="000222A7" w:rsidRDefault="000222A7" w:rsidP="000D030F">
      <w:pPr>
        <w:tabs>
          <w:tab w:val="left" w:pos="6765"/>
        </w:tabs>
        <w:ind w:left="360"/>
      </w:pPr>
    </w:p>
    <w:p w:rsidR="000222A7" w:rsidRDefault="000222A7" w:rsidP="000D030F">
      <w:pPr>
        <w:tabs>
          <w:tab w:val="left" w:pos="6765"/>
        </w:tabs>
        <w:ind w:left="360"/>
      </w:pPr>
    </w:p>
    <w:p w:rsidR="000D030F" w:rsidRDefault="000D030F"/>
    <w:sectPr w:rsidR="000D0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02F"/>
    <w:multiLevelType w:val="hybridMultilevel"/>
    <w:tmpl w:val="3836F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E3DA6"/>
    <w:multiLevelType w:val="hybridMultilevel"/>
    <w:tmpl w:val="8682C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A4BB7"/>
    <w:multiLevelType w:val="hybridMultilevel"/>
    <w:tmpl w:val="E362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A5254"/>
    <w:multiLevelType w:val="hybridMultilevel"/>
    <w:tmpl w:val="49B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42C8D"/>
    <w:multiLevelType w:val="hybridMultilevel"/>
    <w:tmpl w:val="9862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82CF6"/>
    <w:multiLevelType w:val="hybridMultilevel"/>
    <w:tmpl w:val="3EDA9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15A"/>
    <w:rsid w:val="000032F7"/>
    <w:rsid w:val="000222A7"/>
    <w:rsid w:val="00030994"/>
    <w:rsid w:val="000814A9"/>
    <w:rsid w:val="000D030F"/>
    <w:rsid w:val="000F3124"/>
    <w:rsid w:val="0013636C"/>
    <w:rsid w:val="00176A30"/>
    <w:rsid w:val="001B5D3B"/>
    <w:rsid w:val="00214293"/>
    <w:rsid w:val="00254DCA"/>
    <w:rsid w:val="002A1634"/>
    <w:rsid w:val="002D2B12"/>
    <w:rsid w:val="004B19BE"/>
    <w:rsid w:val="00533679"/>
    <w:rsid w:val="00626D7C"/>
    <w:rsid w:val="00786F62"/>
    <w:rsid w:val="00913919"/>
    <w:rsid w:val="00916525"/>
    <w:rsid w:val="00A0515A"/>
    <w:rsid w:val="00AF788C"/>
    <w:rsid w:val="00B50CA6"/>
    <w:rsid w:val="00C54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052F"/>
  <w15:docId w15:val="{804CC0F8-37FB-4AAB-B67D-0E8204E5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54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515A"/>
    <w:rPr>
      <w:sz w:val="16"/>
      <w:szCs w:val="16"/>
    </w:rPr>
  </w:style>
  <w:style w:type="paragraph" w:styleId="CommentText">
    <w:name w:val="annotation text"/>
    <w:basedOn w:val="Normal"/>
    <w:link w:val="CommentTextChar"/>
    <w:uiPriority w:val="99"/>
    <w:semiHidden/>
    <w:unhideWhenUsed/>
    <w:rsid w:val="00A0515A"/>
    <w:pPr>
      <w:spacing w:line="240" w:lineRule="auto"/>
    </w:pPr>
    <w:rPr>
      <w:sz w:val="20"/>
      <w:szCs w:val="20"/>
    </w:rPr>
  </w:style>
  <w:style w:type="character" w:customStyle="1" w:styleId="CommentTextChar">
    <w:name w:val="Comment Text Char"/>
    <w:basedOn w:val="DefaultParagraphFont"/>
    <w:link w:val="CommentText"/>
    <w:uiPriority w:val="99"/>
    <w:semiHidden/>
    <w:rsid w:val="00A0515A"/>
    <w:rPr>
      <w:sz w:val="20"/>
      <w:szCs w:val="20"/>
    </w:rPr>
  </w:style>
  <w:style w:type="paragraph" w:styleId="BalloonText">
    <w:name w:val="Balloon Text"/>
    <w:basedOn w:val="Normal"/>
    <w:link w:val="BalloonTextChar"/>
    <w:uiPriority w:val="99"/>
    <w:semiHidden/>
    <w:unhideWhenUsed/>
    <w:rsid w:val="00A05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5A"/>
    <w:rPr>
      <w:rFonts w:ascii="Tahoma" w:hAnsi="Tahoma" w:cs="Tahoma"/>
      <w:sz w:val="16"/>
      <w:szCs w:val="16"/>
    </w:rPr>
  </w:style>
  <w:style w:type="table" w:styleId="TableGrid">
    <w:name w:val="Table Grid"/>
    <w:basedOn w:val="TableNormal"/>
    <w:uiPriority w:val="59"/>
    <w:rsid w:val="00214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293"/>
    <w:pPr>
      <w:ind w:left="720"/>
      <w:contextualSpacing/>
    </w:pPr>
  </w:style>
  <w:style w:type="character" w:customStyle="1" w:styleId="Heading2Char">
    <w:name w:val="Heading 2 Char"/>
    <w:basedOn w:val="DefaultParagraphFont"/>
    <w:link w:val="Heading2"/>
    <w:uiPriority w:val="9"/>
    <w:rsid w:val="00254D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Sheet1!$D$12</c:f>
              <c:strCache>
                <c:ptCount val="1"/>
                <c:pt idx="0">
                  <c:v># fatalities</c:v>
                </c:pt>
              </c:strCache>
            </c:strRef>
          </c:tx>
          <c:invertIfNegative val="0"/>
          <c:cat>
            <c:strRef>
              <c:f>Sheet1!$C$13:$C$18</c:f>
              <c:strCache>
                <c:ptCount val="6"/>
                <c:pt idx="0">
                  <c:v>water borne</c:v>
                </c:pt>
                <c:pt idx="1">
                  <c:v>respiratory</c:v>
                </c:pt>
                <c:pt idx="2">
                  <c:v>malaria</c:v>
                </c:pt>
                <c:pt idx="3">
                  <c:v>earthquakes</c:v>
                </c:pt>
                <c:pt idx="4">
                  <c:v>stroms</c:v>
                </c:pt>
                <c:pt idx="5">
                  <c:v>flood</c:v>
                </c:pt>
              </c:strCache>
            </c:strRef>
          </c:cat>
          <c:val>
            <c:numRef>
              <c:f>Sheet1!$D$13:$D$18</c:f>
              <c:numCache>
                <c:formatCode>_-* #,##0_-;\-* #,##0_-;_-* "-"??_-;_-@_-</c:formatCode>
                <c:ptCount val="6"/>
                <c:pt idx="0">
                  <c:v>3400000</c:v>
                </c:pt>
                <c:pt idx="1">
                  <c:v>1300000</c:v>
                </c:pt>
                <c:pt idx="2">
                  <c:v>1000000</c:v>
                </c:pt>
                <c:pt idx="3">
                  <c:v>40000</c:v>
                </c:pt>
                <c:pt idx="4">
                  <c:v>12000</c:v>
                </c:pt>
                <c:pt idx="5">
                  <c:v>7000</c:v>
                </c:pt>
              </c:numCache>
            </c:numRef>
          </c:val>
          <c:extLst>
            <c:ext xmlns:c16="http://schemas.microsoft.com/office/drawing/2014/chart" uri="{C3380CC4-5D6E-409C-BE32-E72D297353CC}">
              <c16:uniqueId val="{00000000-1115-4B71-9348-C6B8DB0C482D}"/>
            </c:ext>
          </c:extLst>
        </c:ser>
        <c:dLbls>
          <c:showLegendKey val="0"/>
          <c:showVal val="0"/>
          <c:showCatName val="0"/>
          <c:showSerName val="0"/>
          <c:showPercent val="0"/>
          <c:showBubbleSize val="0"/>
        </c:dLbls>
        <c:gapWidth val="150"/>
        <c:axId val="269201408"/>
        <c:axId val="249993984"/>
      </c:barChart>
      <c:catAx>
        <c:axId val="269201408"/>
        <c:scaling>
          <c:orientation val="minMax"/>
        </c:scaling>
        <c:delete val="0"/>
        <c:axPos val="b"/>
        <c:numFmt formatCode="General" sourceLinked="0"/>
        <c:majorTickMark val="out"/>
        <c:minorTickMark val="none"/>
        <c:tickLblPos val="nextTo"/>
        <c:crossAx val="249993984"/>
        <c:crosses val="autoZero"/>
        <c:auto val="1"/>
        <c:lblAlgn val="ctr"/>
        <c:lblOffset val="100"/>
        <c:noMultiLvlLbl val="0"/>
      </c:catAx>
      <c:valAx>
        <c:axId val="249993984"/>
        <c:scaling>
          <c:orientation val="minMax"/>
        </c:scaling>
        <c:delete val="0"/>
        <c:axPos val="l"/>
        <c:majorGridlines/>
        <c:numFmt formatCode="_-* #,##0_-;\-* #,##0_-;_-* &quot;-&quot;??_-;_-@_-" sourceLinked="1"/>
        <c:majorTickMark val="out"/>
        <c:minorTickMark val="none"/>
        <c:tickLblPos val="nextTo"/>
        <c:crossAx val="269201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Flinn, Bill</dc:creator>
  <cp:lastModifiedBy>Shirin NARYMBAEVA</cp:lastModifiedBy>
  <cp:revision>5</cp:revision>
  <dcterms:created xsi:type="dcterms:W3CDTF">2018-10-09T16:33:00Z</dcterms:created>
  <dcterms:modified xsi:type="dcterms:W3CDTF">2018-10-17T12:03:00Z</dcterms:modified>
</cp:coreProperties>
</file>