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78E0" w:rsidRPr="007E2DC2" w:rsidRDefault="00341A93" w:rsidP="001912F0">
      <w:pPr>
        <w:jc w:val="center"/>
        <w:rPr>
          <w:b/>
          <w:bCs/>
          <w:color w:val="943634"/>
          <w:sz w:val="36"/>
          <w:szCs w:val="36"/>
        </w:rPr>
      </w:pPr>
      <w:r w:rsidRPr="007E2DC2">
        <w:rPr>
          <w:b/>
          <w:bCs/>
          <w:color w:val="943634"/>
          <w:sz w:val="36"/>
          <w:szCs w:val="36"/>
        </w:rPr>
        <w:t xml:space="preserve">Inclusion of existing </w:t>
      </w:r>
      <w:r w:rsidR="00E04A96" w:rsidRPr="007E2DC2">
        <w:rPr>
          <w:b/>
          <w:bCs/>
          <w:color w:val="943634"/>
          <w:sz w:val="36"/>
          <w:szCs w:val="36"/>
        </w:rPr>
        <w:t xml:space="preserve">or proposed agency </w:t>
      </w:r>
      <w:r w:rsidRPr="007E2DC2">
        <w:rPr>
          <w:b/>
          <w:bCs/>
          <w:color w:val="943634"/>
          <w:sz w:val="36"/>
          <w:szCs w:val="36"/>
        </w:rPr>
        <w:t>projects</w:t>
      </w:r>
    </w:p>
    <w:p w:rsidR="00341A93" w:rsidRPr="007E2DC2" w:rsidRDefault="00341A93" w:rsidP="007678E0">
      <w:pPr>
        <w:jc w:val="center"/>
        <w:rPr>
          <w:b/>
          <w:bCs/>
          <w:color w:val="943634"/>
          <w:sz w:val="36"/>
          <w:szCs w:val="36"/>
        </w:rPr>
      </w:pPr>
      <w:proofErr w:type="gramStart"/>
      <w:r w:rsidRPr="007E2DC2">
        <w:rPr>
          <w:b/>
          <w:bCs/>
          <w:color w:val="943634"/>
          <w:sz w:val="36"/>
          <w:szCs w:val="36"/>
        </w:rPr>
        <w:t>as</w:t>
      </w:r>
      <w:proofErr w:type="gramEnd"/>
      <w:r w:rsidRPr="007E2DC2">
        <w:rPr>
          <w:b/>
          <w:bCs/>
          <w:color w:val="943634"/>
          <w:sz w:val="36"/>
          <w:szCs w:val="36"/>
        </w:rPr>
        <w:t xml:space="preserve"> Global Shelter Cluster activities</w:t>
      </w:r>
    </w:p>
    <w:p w:rsidR="00E04A96" w:rsidRPr="00E04A96" w:rsidRDefault="00E04A96" w:rsidP="00E04A96">
      <w:pPr>
        <w:pStyle w:val="ListParagraph"/>
        <w:rPr>
          <w:rFonts w:ascii="Arial" w:hAnsi="Arial"/>
          <w:sz w:val="22"/>
        </w:rPr>
      </w:pPr>
    </w:p>
    <w:p w:rsidR="001912F0" w:rsidRDefault="00762862" w:rsidP="001912F0">
      <w:pPr>
        <w:spacing w:line="480" w:lineRule="auto"/>
        <w:ind w:left="1440" w:right="-250" w:firstLine="720"/>
        <w:rPr>
          <w:b/>
          <w:bCs/>
          <w:sz w:val="28"/>
          <w:szCs w:val="28"/>
        </w:rPr>
      </w:pPr>
      <w:r w:rsidRPr="007E2DC2">
        <w:rPr>
          <w:b/>
          <w:bCs/>
          <w:sz w:val="28"/>
          <w:szCs w:val="28"/>
        </w:rPr>
        <w:t>ACTIVITY</w:t>
      </w:r>
      <w:r w:rsidR="00C31CA4" w:rsidRPr="007E2DC2">
        <w:rPr>
          <w:b/>
          <w:bCs/>
          <w:sz w:val="28"/>
          <w:szCs w:val="28"/>
        </w:rPr>
        <w:t xml:space="preserve"> PROPOSAL TEMPLATE</w:t>
      </w:r>
    </w:p>
    <w:p w:rsidR="00C643E5" w:rsidRPr="00D52CCC" w:rsidRDefault="004C33AA" w:rsidP="00D52CCC">
      <w:pPr>
        <w:spacing w:line="480" w:lineRule="auto"/>
        <w:ind w:left="2880" w:right="-250" w:firstLine="720"/>
        <w:rPr>
          <w:b/>
          <w:bCs/>
          <w:sz w:val="28"/>
          <w:szCs w:val="28"/>
        </w:rPr>
      </w:pPr>
      <w:r>
        <w:rPr>
          <w:rFonts w:ascii="Calibri" w:hAnsi="Calibri" w:cs="Times New Roman"/>
          <w:sz w:val="22"/>
          <w:szCs w:val="22"/>
        </w:rPr>
        <w:t>20</w:t>
      </w:r>
      <w:r w:rsidR="0024190E">
        <w:rPr>
          <w:rFonts w:ascii="Calibri" w:hAnsi="Calibri" w:cs="Times New Roman"/>
          <w:sz w:val="22"/>
          <w:szCs w:val="22"/>
        </w:rPr>
        <w:t xml:space="preserve"> </w:t>
      </w:r>
      <w:r w:rsidR="00FA29DD">
        <w:rPr>
          <w:rFonts w:ascii="Calibri" w:hAnsi="Calibri" w:cs="Times New Roman"/>
          <w:sz w:val="22"/>
          <w:szCs w:val="22"/>
        </w:rPr>
        <w:t>March</w:t>
      </w:r>
      <w:r>
        <w:rPr>
          <w:rFonts w:ascii="Calibri" w:hAnsi="Calibri" w:cs="Times New Roman"/>
          <w:sz w:val="22"/>
          <w:szCs w:val="22"/>
        </w:rPr>
        <w:t xml:space="preserve"> 2018</w:t>
      </w:r>
      <w:r w:rsidR="00781262">
        <w:t xml:space="preserve">   </w:t>
      </w:r>
      <w:r w:rsidR="001912F0">
        <w:t xml:space="preserve">                               </w:t>
      </w:r>
      <w:r w:rsidR="00781262">
        <w:t xml:space="preserve">               </w:t>
      </w:r>
    </w:p>
    <w:p w:rsidR="00F90B0D" w:rsidRDefault="00762862" w:rsidP="00495741">
      <w:pPr>
        <w:pStyle w:val="Heading3"/>
        <w:numPr>
          <w:ilvl w:val="0"/>
          <w:numId w:val="10"/>
        </w:numPr>
        <w:spacing w:before="0" w:after="0"/>
        <w:rPr>
          <w:rFonts w:ascii="Arial" w:hAnsi="Arial" w:cs="Arial"/>
          <w:sz w:val="22"/>
          <w:szCs w:val="22"/>
          <w:lang w:val="en-GB"/>
        </w:rPr>
      </w:pPr>
      <w:r w:rsidRPr="007E2DC2">
        <w:rPr>
          <w:rFonts w:ascii="Arial" w:hAnsi="Arial" w:cs="Arial"/>
          <w:sz w:val="22"/>
          <w:szCs w:val="22"/>
          <w:lang w:val="en-GB"/>
        </w:rPr>
        <w:t>Activity</w:t>
      </w:r>
      <w:r w:rsidR="00F34D5D" w:rsidRPr="007E2DC2">
        <w:rPr>
          <w:rFonts w:ascii="Arial" w:hAnsi="Arial" w:cs="Arial"/>
          <w:sz w:val="22"/>
          <w:szCs w:val="22"/>
          <w:lang w:val="en-GB"/>
        </w:rPr>
        <w:t xml:space="preserve"> title</w:t>
      </w:r>
    </w:p>
    <w:p w:rsidR="00495741" w:rsidRPr="00495741" w:rsidRDefault="00495741" w:rsidP="00495741">
      <w:pPr>
        <w:rPr>
          <w:lang w:val="en-GB"/>
        </w:rPr>
      </w:pPr>
    </w:p>
    <w:p w:rsidR="004C33AA" w:rsidRPr="004C33AA" w:rsidRDefault="001E1078" w:rsidP="008E50B2">
      <w:pPr>
        <w:autoSpaceDE w:val="0"/>
        <w:autoSpaceDN w:val="0"/>
        <w:adjustRightInd w:val="0"/>
        <w:rPr>
          <w:lang w:val="en-GB"/>
        </w:rPr>
      </w:pPr>
      <w:r>
        <w:rPr>
          <w:lang w:val="en-GB"/>
        </w:rPr>
        <w:t>Inform</w:t>
      </w:r>
      <w:r w:rsidR="007C307E">
        <w:rPr>
          <w:lang w:val="en-GB"/>
        </w:rPr>
        <w:t>ing</w:t>
      </w:r>
      <w:r>
        <w:rPr>
          <w:lang w:val="en-GB"/>
        </w:rPr>
        <w:t xml:space="preserve"> evidence-based decisions</w:t>
      </w:r>
      <w:r w:rsidR="007C307E">
        <w:rPr>
          <w:lang w:val="en-GB"/>
        </w:rPr>
        <w:t xml:space="preserve"> in the shelter sector</w:t>
      </w:r>
      <w:r w:rsidRPr="004C33AA">
        <w:rPr>
          <w:lang w:val="en-GB"/>
        </w:rPr>
        <w:t xml:space="preserve"> </w:t>
      </w:r>
      <w:r>
        <w:rPr>
          <w:lang w:val="en-GB"/>
        </w:rPr>
        <w:t>by d</w:t>
      </w:r>
      <w:r w:rsidR="004C33AA" w:rsidRPr="004C33AA">
        <w:rPr>
          <w:lang w:val="en-GB"/>
        </w:rPr>
        <w:t xml:space="preserve">eveloping </w:t>
      </w:r>
      <w:r>
        <w:rPr>
          <w:lang w:val="en-GB"/>
        </w:rPr>
        <w:t>agreed upon</w:t>
      </w:r>
      <w:r w:rsidR="004C33AA" w:rsidRPr="004C33AA">
        <w:rPr>
          <w:lang w:val="en-GB"/>
        </w:rPr>
        <w:t xml:space="preserve"> </w:t>
      </w:r>
      <w:r w:rsidR="007C307E">
        <w:rPr>
          <w:lang w:val="en-GB"/>
        </w:rPr>
        <w:t>tools and procedures for classifying</w:t>
      </w:r>
      <w:r w:rsidR="004C33AA" w:rsidRPr="004C33AA">
        <w:rPr>
          <w:lang w:val="en-GB"/>
        </w:rPr>
        <w:t xml:space="preserve"> </w:t>
      </w:r>
      <w:r w:rsidR="007C307E">
        <w:rPr>
          <w:lang w:val="en-GB"/>
        </w:rPr>
        <w:t xml:space="preserve">and communicating </w:t>
      </w:r>
      <w:r w:rsidR="004C33AA" w:rsidRPr="004C33AA">
        <w:rPr>
          <w:lang w:val="en-GB"/>
        </w:rPr>
        <w:t xml:space="preserve">the nature and severity of </w:t>
      </w:r>
      <w:r w:rsidR="007C307E">
        <w:rPr>
          <w:lang w:val="en-GB"/>
        </w:rPr>
        <w:t>vulnerabilities</w:t>
      </w:r>
      <w:r w:rsidR="004C33AA">
        <w:rPr>
          <w:lang w:val="en-GB"/>
        </w:rPr>
        <w:t>.</w:t>
      </w:r>
    </w:p>
    <w:p w:rsidR="00F90B0D" w:rsidRPr="00495741" w:rsidRDefault="0079283B" w:rsidP="004C33AA">
      <w:pPr>
        <w:pStyle w:val="Heading3"/>
        <w:numPr>
          <w:ilvl w:val="0"/>
          <w:numId w:val="10"/>
        </w:numPr>
        <w:rPr>
          <w:rFonts w:ascii="Arial" w:hAnsi="Arial" w:cs="Arial"/>
          <w:sz w:val="22"/>
          <w:szCs w:val="22"/>
          <w:lang w:val="en-GB"/>
        </w:rPr>
      </w:pPr>
      <w:r>
        <w:rPr>
          <w:rFonts w:ascii="Arial" w:hAnsi="Arial" w:cs="Arial"/>
          <w:sz w:val="22"/>
          <w:szCs w:val="22"/>
          <w:lang w:val="en-GB"/>
        </w:rPr>
        <w:t>Proposing/L</w:t>
      </w:r>
      <w:r w:rsidR="00B9198E" w:rsidRPr="007E2DC2">
        <w:rPr>
          <w:rFonts w:ascii="Arial" w:hAnsi="Arial" w:cs="Arial"/>
          <w:sz w:val="22"/>
          <w:szCs w:val="22"/>
          <w:lang w:val="en-GB"/>
        </w:rPr>
        <w:t>ead</w:t>
      </w:r>
      <w:r w:rsidR="00157935" w:rsidRPr="007E2DC2">
        <w:rPr>
          <w:rFonts w:ascii="Arial" w:hAnsi="Arial" w:cs="Arial"/>
          <w:sz w:val="22"/>
          <w:szCs w:val="22"/>
          <w:lang w:val="en-GB"/>
        </w:rPr>
        <w:t xml:space="preserve"> </w:t>
      </w:r>
      <w:proofErr w:type="gramStart"/>
      <w:r w:rsidR="00157935" w:rsidRPr="007E2DC2">
        <w:rPr>
          <w:rFonts w:ascii="Arial" w:hAnsi="Arial" w:cs="Arial"/>
          <w:sz w:val="22"/>
          <w:szCs w:val="22"/>
          <w:lang w:val="en-GB"/>
        </w:rPr>
        <w:t>agency(</w:t>
      </w:r>
      <w:proofErr w:type="spellStart"/>
      <w:proofErr w:type="gramEnd"/>
      <w:r w:rsidR="00157935" w:rsidRPr="007E2DC2">
        <w:rPr>
          <w:rFonts w:ascii="Arial" w:hAnsi="Arial" w:cs="Arial"/>
          <w:sz w:val="22"/>
          <w:szCs w:val="22"/>
          <w:lang w:val="en-GB"/>
        </w:rPr>
        <w:t>ies</w:t>
      </w:r>
      <w:proofErr w:type="spellEnd"/>
      <w:r w:rsidR="00157935" w:rsidRPr="007E2DC2">
        <w:rPr>
          <w:rFonts w:ascii="Arial" w:hAnsi="Arial" w:cs="Arial"/>
          <w:sz w:val="22"/>
          <w:szCs w:val="22"/>
          <w:lang w:val="en-GB"/>
        </w:rPr>
        <w:t>)</w:t>
      </w:r>
    </w:p>
    <w:p w:rsidR="00495741" w:rsidRDefault="00495741" w:rsidP="004C33AA">
      <w:pPr>
        <w:rPr>
          <w:lang w:val="en-GB"/>
        </w:rPr>
      </w:pPr>
    </w:p>
    <w:p w:rsidR="004C33AA" w:rsidRPr="004C33AA" w:rsidRDefault="004C33AA" w:rsidP="004C33AA">
      <w:pPr>
        <w:rPr>
          <w:lang w:val="en-GB"/>
        </w:rPr>
      </w:pPr>
      <w:r>
        <w:rPr>
          <w:lang w:val="en-GB"/>
        </w:rPr>
        <w:t>UNHCR, IFRC and REACH</w:t>
      </w:r>
    </w:p>
    <w:p w:rsidR="00377CF7" w:rsidRPr="00495741" w:rsidRDefault="00762862" w:rsidP="00495741">
      <w:pPr>
        <w:pStyle w:val="Heading3"/>
        <w:numPr>
          <w:ilvl w:val="0"/>
          <w:numId w:val="10"/>
        </w:numPr>
        <w:rPr>
          <w:rFonts w:ascii="Arial" w:hAnsi="Arial" w:cs="Arial"/>
          <w:sz w:val="22"/>
          <w:szCs w:val="22"/>
        </w:rPr>
      </w:pPr>
      <w:r w:rsidRPr="007E2DC2">
        <w:rPr>
          <w:rFonts w:ascii="Arial" w:hAnsi="Arial" w:cs="Arial"/>
          <w:sz w:val="22"/>
          <w:szCs w:val="22"/>
        </w:rPr>
        <w:t>S</w:t>
      </w:r>
      <w:r w:rsidR="00E91263" w:rsidRPr="007E2DC2">
        <w:rPr>
          <w:rFonts w:ascii="Arial" w:hAnsi="Arial" w:cs="Arial"/>
          <w:sz w:val="22"/>
          <w:szCs w:val="22"/>
        </w:rPr>
        <w:t>ummary</w:t>
      </w:r>
      <w:r w:rsidR="00AA3D57" w:rsidRPr="007E2DC2">
        <w:rPr>
          <w:rFonts w:ascii="Arial" w:hAnsi="Arial" w:cs="Arial"/>
          <w:sz w:val="22"/>
          <w:szCs w:val="22"/>
        </w:rPr>
        <w:t xml:space="preserve"> </w:t>
      </w:r>
    </w:p>
    <w:p w:rsidR="00495741" w:rsidRDefault="00495741" w:rsidP="002011EC">
      <w:pPr>
        <w:autoSpaceDE w:val="0"/>
        <w:autoSpaceDN w:val="0"/>
        <w:adjustRightInd w:val="0"/>
        <w:jc w:val="left"/>
        <w:rPr>
          <w:lang w:val="en-GB"/>
        </w:rPr>
      </w:pPr>
    </w:p>
    <w:p w:rsidR="002011EC" w:rsidRDefault="00F90B0D" w:rsidP="008E50B2">
      <w:pPr>
        <w:autoSpaceDE w:val="0"/>
        <w:autoSpaceDN w:val="0"/>
        <w:adjustRightInd w:val="0"/>
        <w:rPr>
          <w:lang w:val="en-GB"/>
        </w:rPr>
      </w:pPr>
      <w:r w:rsidRPr="00F90B0D">
        <w:rPr>
          <w:lang w:val="en-GB"/>
        </w:rPr>
        <w:t xml:space="preserve">There is </w:t>
      </w:r>
      <w:r w:rsidR="002011EC">
        <w:rPr>
          <w:lang w:val="en-GB"/>
        </w:rPr>
        <w:t xml:space="preserve">currently </w:t>
      </w:r>
      <w:r w:rsidRPr="00F90B0D">
        <w:rPr>
          <w:lang w:val="en-GB"/>
        </w:rPr>
        <w:t xml:space="preserve">no </w:t>
      </w:r>
      <w:r w:rsidR="00EC630B">
        <w:rPr>
          <w:lang w:val="en-GB"/>
        </w:rPr>
        <w:t>agreed upon</w:t>
      </w:r>
      <w:r w:rsidRPr="00F90B0D">
        <w:rPr>
          <w:lang w:val="en-GB"/>
        </w:rPr>
        <w:t xml:space="preserve"> </w:t>
      </w:r>
      <w:r w:rsidR="001E1078">
        <w:rPr>
          <w:lang w:val="en-GB"/>
        </w:rPr>
        <w:t>protocol</w:t>
      </w:r>
      <w:r w:rsidR="00EC630B">
        <w:rPr>
          <w:lang w:val="en-GB"/>
        </w:rPr>
        <w:t xml:space="preserve"> </w:t>
      </w:r>
      <w:r w:rsidRPr="00F90B0D">
        <w:rPr>
          <w:lang w:val="en-GB"/>
        </w:rPr>
        <w:t>to classify the nature and severity of vulnerability</w:t>
      </w:r>
      <w:r>
        <w:rPr>
          <w:lang w:val="en-GB"/>
        </w:rPr>
        <w:t xml:space="preserve"> in the shelter sector.</w:t>
      </w:r>
      <w:r w:rsidR="002011EC">
        <w:rPr>
          <w:lang w:val="en-GB"/>
        </w:rPr>
        <w:t xml:space="preserve"> </w:t>
      </w:r>
      <w:r>
        <w:rPr>
          <w:lang w:val="en-GB"/>
        </w:rPr>
        <w:t xml:space="preserve">As a result, it is difficult to compare </w:t>
      </w:r>
      <w:r w:rsidR="002011EC">
        <w:rPr>
          <w:lang w:val="en-GB"/>
        </w:rPr>
        <w:t xml:space="preserve">vulnerability </w:t>
      </w:r>
      <w:r>
        <w:rPr>
          <w:lang w:val="en-GB"/>
        </w:rPr>
        <w:t>between different situations, the quality of analysis varies from country to country and</w:t>
      </w:r>
      <w:r w:rsidR="00E148D2">
        <w:rPr>
          <w:lang w:val="en-GB"/>
        </w:rPr>
        <w:t xml:space="preserve"> even though needs assessments are often undertaken,</w:t>
      </w:r>
      <w:r>
        <w:rPr>
          <w:lang w:val="en-GB"/>
        </w:rPr>
        <w:t xml:space="preserve"> it is not always clear on what information </w:t>
      </w:r>
      <w:r w:rsidR="001E1078">
        <w:rPr>
          <w:lang w:val="en-GB"/>
        </w:rPr>
        <w:t xml:space="preserve">strategic </w:t>
      </w:r>
      <w:r>
        <w:rPr>
          <w:lang w:val="en-GB"/>
        </w:rPr>
        <w:t xml:space="preserve">decisions are </w:t>
      </w:r>
      <w:r w:rsidR="00E148D2">
        <w:rPr>
          <w:lang w:val="en-GB"/>
        </w:rPr>
        <w:t xml:space="preserve">ultimately </w:t>
      </w:r>
      <w:r>
        <w:rPr>
          <w:lang w:val="en-GB"/>
        </w:rPr>
        <w:t>based.</w:t>
      </w:r>
    </w:p>
    <w:p w:rsidR="002011EC" w:rsidRDefault="002011EC" w:rsidP="008E50B2">
      <w:pPr>
        <w:autoSpaceDE w:val="0"/>
        <w:autoSpaceDN w:val="0"/>
        <w:adjustRightInd w:val="0"/>
        <w:rPr>
          <w:lang w:val="en-GB"/>
        </w:rPr>
      </w:pPr>
    </w:p>
    <w:p w:rsidR="002011EC" w:rsidRPr="002011EC" w:rsidRDefault="002011EC" w:rsidP="008E50B2">
      <w:pPr>
        <w:autoSpaceDE w:val="0"/>
        <w:autoSpaceDN w:val="0"/>
        <w:adjustRightInd w:val="0"/>
        <w:rPr>
          <w:lang w:val="en-GB"/>
        </w:rPr>
      </w:pPr>
      <w:r w:rsidRPr="002011EC">
        <w:rPr>
          <w:lang w:val="en-GB"/>
        </w:rPr>
        <w:t xml:space="preserve">This lack of clarity is problematic because </w:t>
      </w:r>
      <w:r w:rsidR="00FA7877">
        <w:rPr>
          <w:lang w:val="en-GB"/>
        </w:rPr>
        <w:t xml:space="preserve">such a classification does not only inform strategic decisions </w:t>
      </w:r>
      <w:r w:rsidR="007C307E">
        <w:rPr>
          <w:lang w:val="en-GB"/>
        </w:rPr>
        <w:t xml:space="preserve">such as </w:t>
      </w:r>
      <w:r w:rsidR="00FA7877">
        <w:rPr>
          <w:lang w:val="en-GB"/>
        </w:rPr>
        <w:t xml:space="preserve">response options, it could also determine </w:t>
      </w:r>
      <w:r w:rsidRPr="002011EC">
        <w:rPr>
          <w:lang w:val="en-GB"/>
        </w:rPr>
        <w:t xml:space="preserve">the source </w:t>
      </w:r>
      <w:r>
        <w:rPr>
          <w:lang w:val="en-GB"/>
        </w:rPr>
        <w:t xml:space="preserve">and scale </w:t>
      </w:r>
      <w:r w:rsidRPr="002011EC">
        <w:rPr>
          <w:lang w:val="en-GB"/>
        </w:rPr>
        <w:t xml:space="preserve">of funding, the </w:t>
      </w:r>
      <w:r w:rsidR="00FA7877">
        <w:rPr>
          <w:lang w:val="en-GB"/>
        </w:rPr>
        <w:t xml:space="preserve">type of </w:t>
      </w:r>
      <w:r w:rsidRPr="002011EC">
        <w:rPr>
          <w:lang w:val="en-GB"/>
        </w:rPr>
        <w:t xml:space="preserve">planning </w:t>
      </w:r>
      <w:r>
        <w:rPr>
          <w:lang w:val="en-GB"/>
        </w:rPr>
        <w:t xml:space="preserve">process and the </w:t>
      </w:r>
      <w:r w:rsidRPr="002011EC">
        <w:rPr>
          <w:lang w:val="en-GB"/>
        </w:rPr>
        <w:t xml:space="preserve">roles of different </w:t>
      </w:r>
      <w:r w:rsidR="00FA7877">
        <w:rPr>
          <w:lang w:val="en-GB"/>
        </w:rPr>
        <w:t>stakeholders. This means that</w:t>
      </w:r>
      <w:r>
        <w:rPr>
          <w:lang w:val="en-GB"/>
        </w:rPr>
        <w:t xml:space="preserve"> </w:t>
      </w:r>
      <w:r w:rsidR="00FA7877">
        <w:rPr>
          <w:lang w:val="en-GB"/>
        </w:rPr>
        <w:t xml:space="preserve">its absence </w:t>
      </w:r>
      <w:r w:rsidRPr="002011EC">
        <w:rPr>
          <w:lang w:val="en-GB"/>
        </w:rPr>
        <w:t xml:space="preserve">can lead to misallocations of scarce resources, and in the worst case scenario, even loss of lives. </w:t>
      </w:r>
    </w:p>
    <w:p w:rsidR="00F90B0D" w:rsidRDefault="00F90B0D" w:rsidP="008E50B2">
      <w:pPr>
        <w:autoSpaceDE w:val="0"/>
        <w:autoSpaceDN w:val="0"/>
        <w:adjustRightInd w:val="0"/>
        <w:rPr>
          <w:lang w:val="en-GB"/>
        </w:rPr>
      </w:pPr>
    </w:p>
    <w:p w:rsidR="00F90B0D" w:rsidRDefault="00F90B0D" w:rsidP="008E50B2">
      <w:pPr>
        <w:autoSpaceDE w:val="0"/>
        <w:autoSpaceDN w:val="0"/>
        <w:adjustRightInd w:val="0"/>
        <w:rPr>
          <w:lang w:val="en-GB"/>
        </w:rPr>
      </w:pPr>
      <w:r>
        <w:rPr>
          <w:lang w:val="en-GB"/>
        </w:rPr>
        <w:t xml:space="preserve">If we look at the best example </w:t>
      </w:r>
      <w:r w:rsidR="00EC630B">
        <w:rPr>
          <w:lang w:val="en-GB"/>
        </w:rPr>
        <w:t xml:space="preserve">from </w:t>
      </w:r>
      <w:r>
        <w:rPr>
          <w:lang w:val="en-GB"/>
        </w:rPr>
        <w:t>within the humanitarian sector</w:t>
      </w:r>
      <w:r>
        <w:rPr>
          <w:rStyle w:val="FootnoteReference"/>
          <w:lang w:val="en-GB"/>
        </w:rPr>
        <w:footnoteReference w:id="1"/>
      </w:r>
      <w:r>
        <w:rPr>
          <w:lang w:val="en-GB"/>
        </w:rPr>
        <w:t>, the Integrated Phase Classification</w:t>
      </w:r>
      <w:r w:rsidR="008E50B2">
        <w:rPr>
          <w:lang w:val="en-GB"/>
        </w:rPr>
        <w:t xml:space="preserve"> (IPC)</w:t>
      </w:r>
      <w:r>
        <w:rPr>
          <w:lang w:val="en-GB"/>
        </w:rPr>
        <w:t xml:space="preserve"> system </w:t>
      </w:r>
      <w:r w:rsidR="007E05A3">
        <w:rPr>
          <w:lang w:val="en-GB"/>
        </w:rPr>
        <w:t>used by the</w:t>
      </w:r>
      <w:r w:rsidR="008E50B2">
        <w:rPr>
          <w:lang w:val="en-GB"/>
        </w:rPr>
        <w:t xml:space="preserve"> f</w:t>
      </w:r>
      <w:r>
        <w:rPr>
          <w:lang w:val="en-GB"/>
        </w:rPr>
        <w:t xml:space="preserve">ood </w:t>
      </w:r>
      <w:r w:rsidR="008E50B2">
        <w:rPr>
          <w:lang w:val="en-GB"/>
        </w:rPr>
        <w:t>s</w:t>
      </w:r>
      <w:r>
        <w:rPr>
          <w:lang w:val="en-GB"/>
        </w:rPr>
        <w:t>ecurity</w:t>
      </w:r>
      <w:r w:rsidR="007C307E">
        <w:rPr>
          <w:lang w:val="en-GB"/>
        </w:rPr>
        <w:t xml:space="preserve"> and </w:t>
      </w:r>
      <w:r w:rsidR="008E50B2">
        <w:rPr>
          <w:lang w:val="en-GB"/>
        </w:rPr>
        <w:t>n</w:t>
      </w:r>
      <w:r w:rsidR="007C307E">
        <w:rPr>
          <w:lang w:val="en-GB"/>
        </w:rPr>
        <w:t>utrition</w:t>
      </w:r>
      <w:r w:rsidR="007E05A3">
        <w:rPr>
          <w:lang w:val="en-GB"/>
        </w:rPr>
        <w:t xml:space="preserve"> sectors</w:t>
      </w:r>
      <w:r>
        <w:rPr>
          <w:lang w:val="en-GB"/>
        </w:rPr>
        <w:t xml:space="preserve">, it becomes clear that having an agreed upon framework in place increases the relevance of </w:t>
      </w:r>
      <w:r w:rsidR="00E148D2">
        <w:rPr>
          <w:lang w:val="en-GB"/>
        </w:rPr>
        <w:t xml:space="preserve">assessment </w:t>
      </w:r>
      <w:r>
        <w:rPr>
          <w:lang w:val="en-GB"/>
        </w:rPr>
        <w:t>information for strategic decision-making, ultimately resulting in more needs-based and timely interventions.</w:t>
      </w:r>
    </w:p>
    <w:p w:rsidR="00F90B0D" w:rsidRPr="00F90B0D" w:rsidRDefault="00F90B0D" w:rsidP="008E50B2">
      <w:pPr>
        <w:autoSpaceDE w:val="0"/>
        <w:autoSpaceDN w:val="0"/>
        <w:adjustRightInd w:val="0"/>
        <w:rPr>
          <w:lang w:val="en-GB"/>
        </w:rPr>
      </w:pPr>
    </w:p>
    <w:p w:rsidR="00F90B0D" w:rsidRPr="00EC630B" w:rsidRDefault="00EC630B" w:rsidP="008E50B2">
      <w:pPr>
        <w:autoSpaceDE w:val="0"/>
        <w:autoSpaceDN w:val="0"/>
        <w:adjustRightInd w:val="0"/>
        <w:rPr>
          <w:lang w:val="en-GB"/>
        </w:rPr>
      </w:pPr>
      <w:r w:rsidRPr="00EC630B">
        <w:rPr>
          <w:lang w:val="en-GB"/>
        </w:rPr>
        <w:t>According to the IPC manual</w:t>
      </w:r>
      <w:r>
        <w:rPr>
          <w:rStyle w:val="FootnoteReference"/>
          <w:lang w:val="en-GB"/>
        </w:rPr>
        <w:footnoteReference w:id="2"/>
      </w:r>
      <w:r w:rsidRPr="00EC630B">
        <w:rPr>
          <w:lang w:val="en-GB"/>
        </w:rPr>
        <w:t xml:space="preserve">, </w:t>
      </w:r>
      <w:r w:rsidR="00E148D2">
        <w:rPr>
          <w:lang w:val="en-GB"/>
        </w:rPr>
        <w:t xml:space="preserve">however, </w:t>
      </w:r>
      <w:r w:rsidRPr="00EC630B">
        <w:rPr>
          <w:lang w:val="en-GB"/>
        </w:rPr>
        <w:t xml:space="preserve">the challenge </w:t>
      </w:r>
      <w:r>
        <w:rPr>
          <w:lang w:val="en-GB"/>
        </w:rPr>
        <w:t>is</w:t>
      </w:r>
      <w:r w:rsidRPr="00EC630B">
        <w:rPr>
          <w:lang w:val="en-GB"/>
        </w:rPr>
        <w:t xml:space="preserve"> to develop a classification system that is generic enough to be used in different countries and contexts (it was created </w:t>
      </w:r>
      <w:r>
        <w:rPr>
          <w:lang w:val="en-GB"/>
        </w:rPr>
        <w:t>for</w:t>
      </w:r>
      <w:r w:rsidRPr="00EC630B">
        <w:rPr>
          <w:lang w:val="en-GB"/>
        </w:rPr>
        <w:t xml:space="preserve"> Somalia</w:t>
      </w:r>
      <w:r>
        <w:rPr>
          <w:lang w:val="en-GB"/>
        </w:rPr>
        <w:t xml:space="preserve"> at first</w:t>
      </w:r>
      <w:r w:rsidRPr="00EC630B">
        <w:rPr>
          <w:lang w:val="en-GB"/>
        </w:rPr>
        <w:t>), simple enough to be implemented and understood by different actors</w:t>
      </w:r>
      <w:r w:rsidR="007C307E">
        <w:rPr>
          <w:lang w:val="en-GB"/>
        </w:rPr>
        <w:t>,</w:t>
      </w:r>
      <w:r w:rsidRPr="00EC630B">
        <w:rPr>
          <w:lang w:val="en-GB"/>
        </w:rPr>
        <w:t xml:space="preserve"> </w:t>
      </w:r>
      <w:r>
        <w:rPr>
          <w:lang w:val="en-GB"/>
        </w:rPr>
        <w:t xml:space="preserve">while </w:t>
      </w:r>
      <w:r w:rsidR="008E50B2">
        <w:rPr>
          <w:lang w:val="en-GB"/>
        </w:rPr>
        <w:t>at the same time</w:t>
      </w:r>
      <w:r>
        <w:rPr>
          <w:lang w:val="en-GB"/>
        </w:rPr>
        <w:t xml:space="preserve"> being </w:t>
      </w:r>
      <w:r w:rsidRPr="00EC630B">
        <w:rPr>
          <w:lang w:val="en-GB"/>
        </w:rPr>
        <w:t>rigorous enough to meet international standards.</w:t>
      </w:r>
    </w:p>
    <w:p w:rsidR="00A11E91" w:rsidRDefault="00A11E91" w:rsidP="008E50B2">
      <w:pPr>
        <w:rPr>
          <w:rFonts w:ascii="FrutigerLTStd-Light" w:eastAsia="FrutigerLTStd-Light" w:hAnsi="Cambria" w:cs="FrutigerLTStd-Light"/>
          <w:sz w:val="19"/>
          <w:szCs w:val="19"/>
          <w:lang w:val="en-GB" w:eastAsia="en-GB"/>
        </w:rPr>
      </w:pPr>
    </w:p>
    <w:p w:rsidR="00430AA5" w:rsidRDefault="008E50B2" w:rsidP="008E50B2">
      <w:pPr>
        <w:autoSpaceDE w:val="0"/>
        <w:autoSpaceDN w:val="0"/>
        <w:adjustRightInd w:val="0"/>
        <w:rPr>
          <w:lang w:val="en-GB"/>
        </w:rPr>
      </w:pPr>
      <w:r>
        <w:rPr>
          <w:lang w:val="en-GB"/>
        </w:rPr>
        <w:t>This</w:t>
      </w:r>
      <w:r w:rsidR="00430AA5" w:rsidRPr="00430AA5">
        <w:rPr>
          <w:lang w:val="en-GB"/>
        </w:rPr>
        <w:t xml:space="preserve"> proposal </w:t>
      </w:r>
      <w:r>
        <w:rPr>
          <w:lang w:val="en-GB"/>
        </w:rPr>
        <w:t>foresees</w:t>
      </w:r>
      <w:r w:rsidR="00430AA5" w:rsidRPr="00430AA5">
        <w:rPr>
          <w:lang w:val="en-GB"/>
        </w:rPr>
        <w:t xml:space="preserve"> </w:t>
      </w:r>
      <w:r>
        <w:rPr>
          <w:lang w:val="en-GB"/>
        </w:rPr>
        <w:t>the establishment of</w:t>
      </w:r>
      <w:r w:rsidR="007E05A3">
        <w:rPr>
          <w:lang w:val="en-GB"/>
        </w:rPr>
        <w:t xml:space="preserve"> a Working Group that will </w:t>
      </w:r>
      <w:r w:rsidR="00430AA5" w:rsidRPr="00430AA5">
        <w:rPr>
          <w:lang w:val="en-GB"/>
        </w:rPr>
        <w:t>adapt the IPC concept for the shelter sector b</w:t>
      </w:r>
      <w:r w:rsidR="00FE3A0C" w:rsidRPr="00430AA5">
        <w:rPr>
          <w:lang w:val="en-GB"/>
        </w:rPr>
        <w:t xml:space="preserve">ased on </w:t>
      </w:r>
      <w:r w:rsidR="00430AA5" w:rsidRPr="00430AA5">
        <w:rPr>
          <w:lang w:val="en-GB"/>
        </w:rPr>
        <w:t xml:space="preserve">existing </w:t>
      </w:r>
      <w:r w:rsidR="00FE3A0C" w:rsidRPr="00430AA5">
        <w:rPr>
          <w:lang w:val="en-GB"/>
        </w:rPr>
        <w:t xml:space="preserve">good practice </w:t>
      </w:r>
      <w:r w:rsidR="007E05A3">
        <w:rPr>
          <w:lang w:val="en-GB"/>
        </w:rPr>
        <w:t xml:space="preserve">from country-level clusters </w:t>
      </w:r>
      <w:r w:rsidR="00430AA5" w:rsidRPr="00430AA5">
        <w:rPr>
          <w:lang w:val="en-GB"/>
        </w:rPr>
        <w:t>and available research</w:t>
      </w:r>
      <w:r w:rsidR="007E05A3">
        <w:rPr>
          <w:lang w:val="en-GB"/>
        </w:rPr>
        <w:t xml:space="preserve"> at global level</w:t>
      </w:r>
      <w:r w:rsidR="00430AA5">
        <w:rPr>
          <w:lang w:val="en-GB"/>
        </w:rPr>
        <w:t>.</w:t>
      </w:r>
      <w:r w:rsidR="007E05A3">
        <w:rPr>
          <w:lang w:val="en-GB"/>
        </w:rPr>
        <w:t xml:space="preserve"> </w:t>
      </w:r>
      <w:r w:rsidR="007E05A3" w:rsidRPr="007E05A3">
        <w:rPr>
          <w:iCs/>
          <w:szCs w:val="20"/>
          <w:lang w:val="en-GB"/>
        </w:rPr>
        <w:t xml:space="preserve">The </w:t>
      </w:r>
      <w:r w:rsidR="007E05A3">
        <w:rPr>
          <w:iCs/>
          <w:szCs w:val="20"/>
          <w:lang w:val="en-GB"/>
        </w:rPr>
        <w:t>output of this Working Group would contribute</w:t>
      </w:r>
      <w:r w:rsidR="007E05A3" w:rsidRPr="007E05A3">
        <w:rPr>
          <w:iCs/>
          <w:szCs w:val="20"/>
          <w:lang w:val="en-GB"/>
        </w:rPr>
        <w:t xml:space="preserve"> directly to Strategic Area 3 (Evidence-Based Response) of GSC</w:t>
      </w:r>
      <w:r>
        <w:rPr>
          <w:iCs/>
          <w:szCs w:val="20"/>
          <w:lang w:val="en-GB"/>
        </w:rPr>
        <w:t>’s</w:t>
      </w:r>
      <w:r w:rsidR="007E05A3" w:rsidRPr="007E05A3">
        <w:rPr>
          <w:iCs/>
          <w:szCs w:val="20"/>
          <w:lang w:val="en-GB"/>
        </w:rPr>
        <w:t xml:space="preserve"> Strategy 2018-2022 and is an enabler for Strategic Area 2 (Advocacy).</w:t>
      </w:r>
    </w:p>
    <w:p w:rsidR="00D52CCC" w:rsidRDefault="00D52CCC" w:rsidP="008E50B2">
      <w:pPr>
        <w:autoSpaceDE w:val="0"/>
        <w:autoSpaceDN w:val="0"/>
        <w:adjustRightInd w:val="0"/>
        <w:rPr>
          <w:lang w:val="en-GB"/>
        </w:rPr>
      </w:pPr>
    </w:p>
    <w:p w:rsidR="00D52CCC" w:rsidRDefault="007E05A3" w:rsidP="008E50B2">
      <w:pPr>
        <w:autoSpaceDE w:val="0"/>
        <w:autoSpaceDN w:val="0"/>
        <w:adjustRightInd w:val="0"/>
        <w:rPr>
          <w:lang w:val="en-GB"/>
        </w:rPr>
      </w:pPr>
      <w:r>
        <w:rPr>
          <w:lang w:val="en-GB"/>
        </w:rPr>
        <w:t>The</w:t>
      </w:r>
      <w:r w:rsidR="00D52CCC">
        <w:rPr>
          <w:lang w:val="en-GB"/>
        </w:rPr>
        <w:t xml:space="preserve"> adaptation will take into account existing norms from relevant initiatives in both the public</w:t>
      </w:r>
      <w:r>
        <w:rPr>
          <w:lang w:val="en-GB"/>
        </w:rPr>
        <w:t xml:space="preserve"> sector</w:t>
      </w:r>
      <w:r w:rsidR="0062321F">
        <w:rPr>
          <w:lang w:val="en-GB"/>
        </w:rPr>
        <w:t xml:space="preserve"> (such as the </w:t>
      </w:r>
      <w:r w:rsidR="0062321F" w:rsidRPr="0062321F">
        <w:rPr>
          <w:lang w:val="en-GB"/>
        </w:rPr>
        <w:t>right to adequate housing</w:t>
      </w:r>
      <w:r w:rsidR="0062321F">
        <w:rPr>
          <w:lang w:val="en-GB"/>
        </w:rPr>
        <w:t>)</w:t>
      </w:r>
      <w:r w:rsidR="00D52CCC">
        <w:rPr>
          <w:lang w:val="en-GB"/>
        </w:rPr>
        <w:t xml:space="preserve"> and private sector </w:t>
      </w:r>
      <w:r w:rsidR="0062321F">
        <w:rPr>
          <w:lang w:val="en-GB"/>
        </w:rPr>
        <w:t xml:space="preserve">(such as the insurance industry) </w:t>
      </w:r>
      <w:r w:rsidR="00D52CCC">
        <w:rPr>
          <w:lang w:val="en-GB"/>
        </w:rPr>
        <w:t>and span the divide between humanitarian and development contexts. As a result, broad buy-in and applica</w:t>
      </w:r>
      <w:r w:rsidR="0082057D">
        <w:rPr>
          <w:lang w:val="en-GB"/>
        </w:rPr>
        <w:t>bility in both preparedness,</w:t>
      </w:r>
      <w:r w:rsidR="00D52CCC">
        <w:rPr>
          <w:lang w:val="en-GB"/>
        </w:rPr>
        <w:t xml:space="preserve"> post-</w:t>
      </w:r>
      <w:r w:rsidR="0082057D">
        <w:rPr>
          <w:lang w:val="en-GB"/>
        </w:rPr>
        <w:t>crisis</w:t>
      </w:r>
      <w:r w:rsidR="00D52CCC">
        <w:rPr>
          <w:lang w:val="en-GB"/>
        </w:rPr>
        <w:t xml:space="preserve"> </w:t>
      </w:r>
      <w:r w:rsidR="0082057D">
        <w:rPr>
          <w:lang w:val="en-GB"/>
        </w:rPr>
        <w:t xml:space="preserve">humanitarian </w:t>
      </w:r>
      <w:r w:rsidR="0062321F">
        <w:rPr>
          <w:lang w:val="en-GB"/>
        </w:rPr>
        <w:t>situations</w:t>
      </w:r>
      <w:r w:rsidR="0082057D">
        <w:rPr>
          <w:lang w:val="en-GB"/>
        </w:rPr>
        <w:t>, and other contexts</w:t>
      </w:r>
      <w:r w:rsidR="0062321F">
        <w:rPr>
          <w:lang w:val="en-GB"/>
        </w:rPr>
        <w:t xml:space="preserve"> will be ensured.</w:t>
      </w:r>
      <w:r w:rsidR="00D52CCC">
        <w:rPr>
          <w:lang w:val="en-GB"/>
        </w:rPr>
        <w:t xml:space="preserve"> </w:t>
      </w:r>
    </w:p>
    <w:p w:rsidR="004F0DC9" w:rsidRDefault="004F0DC9" w:rsidP="008E50B2">
      <w:pPr>
        <w:autoSpaceDE w:val="0"/>
        <w:autoSpaceDN w:val="0"/>
        <w:adjustRightInd w:val="0"/>
        <w:rPr>
          <w:lang w:val="en-GB"/>
        </w:rPr>
      </w:pPr>
    </w:p>
    <w:p w:rsidR="00495741" w:rsidRDefault="004F0DC9" w:rsidP="008E50B2">
      <w:pPr>
        <w:autoSpaceDE w:val="0"/>
        <w:autoSpaceDN w:val="0"/>
        <w:adjustRightInd w:val="0"/>
        <w:rPr>
          <w:lang w:val="en-GB"/>
        </w:rPr>
      </w:pPr>
      <w:r>
        <w:rPr>
          <w:lang w:val="en-GB"/>
        </w:rPr>
        <w:t xml:space="preserve">However, the IPC is more than a system to classify severity and causes, it is described as a set of tools and procedures aimed at building technical consensus, communicating for action and ensuring quality. </w:t>
      </w:r>
      <w:r w:rsidR="007E05A3">
        <w:rPr>
          <w:lang w:val="en-GB"/>
        </w:rPr>
        <w:t>I</w:t>
      </w:r>
      <w:r>
        <w:rPr>
          <w:lang w:val="en-GB"/>
        </w:rPr>
        <w:t xml:space="preserve">nstitutionalisation will </w:t>
      </w:r>
      <w:r w:rsidR="007E05A3">
        <w:rPr>
          <w:lang w:val="en-GB"/>
        </w:rPr>
        <w:t xml:space="preserve">therefore </w:t>
      </w:r>
      <w:r>
        <w:rPr>
          <w:lang w:val="en-GB"/>
        </w:rPr>
        <w:t>also need to be</w:t>
      </w:r>
      <w:r w:rsidR="007E05A3">
        <w:rPr>
          <w:lang w:val="en-GB"/>
        </w:rPr>
        <w:t xml:space="preserve"> supported</w:t>
      </w:r>
      <w:r>
        <w:rPr>
          <w:lang w:val="en-GB"/>
        </w:rPr>
        <w:t xml:space="preserve">, </w:t>
      </w:r>
      <w:r w:rsidR="007E05A3">
        <w:rPr>
          <w:lang w:val="en-GB"/>
        </w:rPr>
        <w:t xml:space="preserve">through agreeing </w:t>
      </w:r>
      <w:r>
        <w:rPr>
          <w:lang w:val="en-GB"/>
        </w:rPr>
        <w:t xml:space="preserve">governance and partnership structures as well as </w:t>
      </w:r>
      <w:r w:rsidR="007E05A3">
        <w:rPr>
          <w:lang w:val="en-GB"/>
        </w:rPr>
        <w:t xml:space="preserve">developing </w:t>
      </w:r>
      <w:r>
        <w:rPr>
          <w:lang w:val="en-GB"/>
        </w:rPr>
        <w:t xml:space="preserve">communication </w:t>
      </w:r>
      <w:r w:rsidR="007E05A3">
        <w:rPr>
          <w:lang w:val="en-GB"/>
        </w:rPr>
        <w:t xml:space="preserve">tools </w:t>
      </w:r>
      <w:r>
        <w:rPr>
          <w:lang w:val="en-GB"/>
        </w:rPr>
        <w:t xml:space="preserve">and </w:t>
      </w:r>
      <w:r w:rsidR="007E05A3">
        <w:rPr>
          <w:lang w:val="en-GB"/>
        </w:rPr>
        <w:t xml:space="preserve">building </w:t>
      </w:r>
      <w:r>
        <w:rPr>
          <w:lang w:val="en-GB"/>
        </w:rPr>
        <w:t>technical capacity.</w:t>
      </w:r>
    </w:p>
    <w:p w:rsidR="004F0DC9" w:rsidRPr="00495741" w:rsidRDefault="0079283B" w:rsidP="0079283B">
      <w:pPr>
        <w:pStyle w:val="Heading3"/>
        <w:numPr>
          <w:ilvl w:val="0"/>
          <w:numId w:val="10"/>
        </w:numPr>
        <w:rPr>
          <w:rFonts w:ascii="Arial" w:hAnsi="Arial" w:cs="Arial"/>
          <w:sz w:val="22"/>
          <w:szCs w:val="22"/>
          <w:lang w:val="en-GB"/>
        </w:rPr>
      </w:pPr>
      <w:r w:rsidRPr="007E2DC2">
        <w:rPr>
          <w:rFonts w:ascii="Arial" w:hAnsi="Arial" w:cs="Arial"/>
          <w:sz w:val="22"/>
          <w:szCs w:val="22"/>
          <w:lang w:val="en-GB"/>
        </w:rPr>
        <w:t>Duration and key milestones</w:t>
      </w:r>
    </w:p>
    <w:p w:rsidR="00495741" w:rsidRDefault="00495741" w:rsidP="0079283B">
      <w:pPr>
        <w:rPr>
          <w:iCs/>
          <w:sz w:val="18"/>
          <w:szCs w:val="18"/>
          <w:lang w:val="en-GB"/>
        </w:rPr>
      </w:pPr>
    </w:p>
    <w:p w:rsidR="004F0DC9" w:rsidRDefault="004F0DC9" w:rsidP="0079283B">
      <w:pPr>
        <w:rPr>
          <w:iCs/>
          <w:sz w:val="18"/>
          <w:szCs w:val="18"/>
          <w:lang w:val="en-GB"/>
        </w:rPr>
      </w:pPr>
      <w:r>
        <w:rPr>
          <w:iCs/>
          <w:sz w:val="18"/>
          <w:szCs w:val="18"/>
          <w:lang w:val="en-GB"/>
        </w:rPr>
        <w:t xml:space="preserve">The IPC took 10 years to reach its current level of maturity, however with a blueprint available the aim is to adapt the system for the shelter sector </w:t>
      </w:r>
      <w:r w:rsidR="00400347">
        <w:rPr>
          <w:iCs/>
          <w:sz w:val="18"/>
          <w:szCs w:val="18"/>
          <w:lang w:val="en-GB"/>
        </w:rPr>
        <w:t>with</w:t>
      </w:r>
      <w:r w:rsidR="00FA29DD">
        <w:rPr>
          <w:iCs/>
          <w:sz w:val="18"/>
          <w:szCs w:val="18"/>
          <w:lang w:val="en-GB"/>
        </w:rPr>
        <w:t>in a first 2</w:t>
      </w:r>
      <w:r w:rsidR="00364DA9">
        <w:rPr>
          <w:iCs/>
          <w:sz w:val="18"/>
          <w:szCs w:val="18"/>
          <w:lang w:val="en-GB"/>
        </w:rPr>
        <w:t xml:space="preserve"> year phase. Further activities, such as development and roll-out of training </w:t>
      </w:r>
      <w:r w:rsidR="00364DA9" w:rsidRPr="00E87EFF">
        <w:rPr>
          <w:iCs/>
          <w:szCs w:val="20"/>
          <w:lang w:val="en-GB"/>
        </w:rPr>
        <w:t>and</w:t>
      </w:r>
      <w:r w:rsidR="00364DA9">
        <w:rPr>
          <w:iCs/>
          <w:sz w:val="18"/>
          <w:szCs w:val="18"/>
          <w:lang w:val="en-GB"/>
        </w:rPr>
        <w:t xml:space="preserve"> piloting in different countries and contexts</w:t>
      </w:r>
      <w:r w:rsidR="00D52CCC">
        <w:rPr>
          <w:iCs/>
          <w:sz w:val="18"/>
          <w:szCs w:val="18"/>
          <w:lang w:val="en-GB"/>
        </w:rPr>
        <w:t xml:space="preserve"> (including refugee responses)</w:t>
      </w:r>
      <w:r w:rsidR="00364DA9">
        <w:rPr>
          <w:iCs/>
          <w:sz w:val="18"/>
          <w:szCs w:val="18"/>
          <w:lang w:val="en-GB"/>
        </w:rPr>
        <w:t>, can be done in a second phase of another 2 years</w:t>
      </w:r>
      <w:r>
        <w:rPr>
          <w:iCs/>
          <w:sz w:val="18"/>
          <w:szCs w:val="18"/>
          <w:lang w:val="en-GB"/>
        </w:rPr>
        <w:t>.</w:t>
      </w:r>
    </w:p>
    <w:p w:rsidR="00AB7110" w:rsidRDefault="00AB7110" w:rsidP="0079283B">
      <w:pPr>
        <w:rPr>
          <w:iCs/>
          <w:sz w:val="18"/>
          <w:szCs w:val="18"/>
          <w:lang w:val="en-GB"/>
        </w:rPr>
      </w:pPr>
    </w:p>
    <w:tbl>
      <w:tblPr>
        <w:tblStyle w:val="TableGrid"/>
        <w:tblW w:w="9359" w:type="dxa"/>
        <w:tblLook w:val="04A0" w:firstRow="1" w:lastRow="0" w:firstColumn="1" w:lastColumn="0" w:noHBand="0" w:noVBand="1"/>
      </w:tblPr>
      <w:tblGrid>
        <w:gridCol w:w="1129"/>
        <w:gridCol w:w="5103"/>
        <w:gridCol w:w="3127"/>
      </w:tblGrid>
      <w:tr w:rsidR="00AB7110" w:rsidRPr="00E87EFF" w:rsidTr="008F2D0F">
        <w:tc>
          <w:tcPr>
            <w:tcW w:w="1129" w:type="dxa"/>
          </w:tcPr>
          <w:p w:rsidR="00AB7110" w:rsidRPr="00E87EFF" w:rsidRDefault="00AB7110" w:rsidP="0079283B">
            <w:pPr>
              <w:rPr>
                <w:b/>
                <w:iCs/>
                <w:szCs w:val="20"/>
                <w:lang w:val="en-GB"/>
              </w:rPr>
            </w:pPr>
            <w:r w:rsidRPr="00E87EFF">
              <w:rPr>
                <w:b/>
                <w:iCs/>
                <w:szCs w:val="20"/>
                <w:lang w:val="en-GB"/>
              </w:rPr>
              <w:t>Period</w:t>
            </w:r>
          </w:p>
        </w:tc>
        <w:tc>
          <w:tcPr>
            <w:tcW w:w="5103" w:type="dxa"/>
          </w:tcPr>
          <w:p w:rsidR="00AB7110" w:rsidRPr="00E87EFF" w:rsidRDefault="00AB7110" w:rsidP="002461E6">
            <w:pPr>
              <w:rPr>
                <w:b/>
                <w:iCs/>
                <w:szCs w:val="20"/>
                <w:lang w:val="en-GB"/>
              </w:rPr>
            </w:pPr>
            <w:r w:rsidRPr="00E87EFF">
              <w:rPr>
                <w:b/>
                <w:iCs/>
                <w:szCs w:val="20"/>
                <w:lang w:val="en-GB"/>
              </w:rPr>
              <w:t xml:space="preserve">Work stream 1: </w:t>
            </w:r>
            <w:r w:rsidR="002461E6" w:rsidRPr="00E87EFF">
              <w:rPr>
                <w:b/>
                <w:iCs/>
                <w:szCs w:val="20"/>
                <w:lang w:val="en-GB"/>
              </w:rPr>
              <w:t>technical level</w:t>
            </w:r>
          </w:p>
        </w:tc>
        <w:tc>
          <w:tcPr>
            <w:tcW w:w="3127" w:type="dxa"/>
          </w:tcPr>
          <w:p w:rsidR="00AB7110" w:rsidRPr="00E87EFF" w:rsidRDefault="00AB7110" w:rsidP="002461E6">
            <w:pPr>
              <w:rPr>
                <w:b/>
                <w:iCs/>
                <w:szCs w:val="20"/>
                <w:lang w:val="en-GB"/>
              </w:rPr>
            </w:pPr>
            <w:r w:rsidRPr="00E87EFF">
              <w:rPr>
                <w:b/>
                <w:iCs/>
                <w:szCs w:val="20"/>
                <w:lang w:val="en-GB"/>
              </w:rPr>
              <w:t xml:space="preserve">Work stream 2: </w:t>
            </w:r>
            <w:r w:rsidR="002461E6" w:rsidRPr="00E87EFF">
              <w:rPr>
                <w:b/>
                <w:iCs/>
                <w:szCs w:val="20"/>
                <w:lang w:val="en-GB"/>
              </w:rPr>
              <w:t>strategic level</w:t>
            </w:r>
          </w:p>
        </w:tc>
      </w:tr>
      <w:tr w:rsidR="00AB7110" w:rsidRPr="00E87EFF" w:rsidTr="008F2D0F">
        <w:tc>
          <w:tcPr>
            <w:tcW w:w="1129" w:type="dxa"/>
          </w:tcPr>
          <w:p w:rsidR="00AB7110" w:rsidRPr="00E87EFF" w:rsidRDefault="00AB7110" w:rsidP="0079283B">
            <w:pPr>
              <w:rPr>
                <w:iCs/>
                <w:szCs w:val="20"/>
                <w:lang w:val="en-GB"/>
              </w:rPr>
            </w:pPr>
            <w:r w:rsidRPr="00E87EFF">
              <w:rPr>
                <w:iCs/>
                <w:szCs w:val="20"/>
                <w:lang w:val="en-GB"/>
              </w:rPr>
              <w:t>March 2018</w:t>
            </w:r>
          </w:p>
        </w:tc>
        <w:tc>
          <w:tcPr>
            <w:tcW w:w="5103" w:type="dxa"/>
          </w:tcPr>
          <w:p w:rsidR="00AB7110" w:rsidRPr="00E87EFF" w:rsidRDefault="00AB7110" w:rsidP="0079283B">
            <w:pPr>
              <w:rPr>
                <w:iCs/>
                <w:szCs w:val="20"/>
                <w:lang w:val="en-GB"/>
              </w:rPr>
            </w:pPr>
          </w:p>
        </w:tc>
        <w:tc>
          <w:tcPr>
            <w:tcW w:w="3127" w:type="dxa"/>
          </w:tcPr>
          <w:p w:rsidR="00AB7110" w:rsidRPr="00E87EFF" w:rsidRDefault="00AB7110" w:rsidP="0079283B">
            <w:pPr>
              <w:rPr>
                <w:iCs/>
                <w:szCs w:val="20"/>
                <w:lang w:val="en-GB"/>
              </w:rPr>
            </w:pPr>
            <w:r w:rsidRPr="00E87EFF">
              <w:rPr>
                <w:iCs/>
                <w:szCs w:val="20"/>
                <w:lang w:val="en-GB"/>
              </w:rPr>
              <w:t>Presentation of activity proposal to SAG.</w:t>
            </w:r>
          </w:p>
        </w:tc>
      </w:tr>
      <w:tr w:rsidR="00AB7110" w:rsidRPr="00E87EFF" w:rsidTr="008F2D0F">
        <w:tc>
          <w:tcPr>
            <w:tcW w:w="1129" w:type="dxa"/>
          </w:tcPr>
          <w:p w:rsidR="00AB7110" w:rsidRPr="00E87EFF" w:rsidRDefault="00AB7110" w:rsidP="0079283B">
            <w:pPr>
              <w:rPr>
                <w:iCs/>
                <w:szCs w:val="20"/>
                <w:lang w:val="en-GB"/>
              </w:rPr>
            </w:pPr>
            <w:r w:rsidRPr="00E87EFF">
              <w:rPr>
                <w:iCs/>
                <w:szCs w:val="20"/>
                <w:lang w:val="en-GB"/>
              </w:rPr>
              <w:t>Q2 2018</w:t>
            </w:r>
          </w:p>
        </w:tc>
        <w:tc>
          <w:tcPr>
            <w:tcW w:w="5103" w:type="dxa"/>
          </w:tcPr>
          <w:p w:rsidR="00AB7110" w:rsidRPr="00E87EFF" w:rsidRDefault="00AB7110" w:rsidP="0079283B">
            <w:pPr>
              <w:rPr>
                <w:iCs/>
                <w:szCs w:val="20"/>
                <w:lang w:val="en-GB"/>
              </w:rPr>
            </w:pPr>
            <w:r w:rsidRPr="00E87EFF">
              <w:rPr>
                <w:iCs/>
                <w:szCs w:val="20"/>
                <w:lang w:val="en-GB"/>
              </w:rPr>
              <w:t>Building technical consensus: launch WG, agree on composition, hold first meeting, adapt Technical Working Group Matrix and agree on steps for implementation of the process in-country.</w:t>
            </w:r>
          </w:p>
        </w:tc>
        <w:tc>
          <w:tcPr>
            <w:tcW w:w="3127" w:type="dxa"/>
          </w:tcPr>
          <w:p w:rsidR="00AB7110" w:rsidRPr="00E87EFF" w:rsidRDefault="00AB7110" w:rsidP="0079283B">
            <w:pPr>
              <w:rPr>
                <w:iCs/>
                <w:szCs w:val="20"/>
                <w:lang w:val="en-GB"/>
              </w:rPr>
            </w:pPr>
            <w:r w:rsidRPr="00E87EFF">
              <w:rPr>
                <w:iCs/>
                <w:szCs w:val="20"/>
                <w:lang w:val="en-GB"/>
              </w:rPr>
              <w:t>Activity proposal approved by SAG.</w:t>
            </w:r>
          </w:p>
        </w:tc>
      </w:tr>
      <w:tr w:rsidR="00AB7110" w:rsidRPr="00E87EFF" w:rsidTr="008F2D0F">
        <w:tc>
          <w:tcPr>
            <w:tcW w:w="1129" w:type="dxa"/>
          </w:tcPr>
          <w:p w:rsidR="00AB7110" w:rsidRPr="00E87EFF" w:rsidRDefault="00AB7110" w:rsidP="0079283B">
            <w:pPr>
              <w:rPr>
                <w:iCs/>
                <w:szCs w:val="20"/>
                <w:lang w:val="en-GB"/>
              </w:rPr>
            </w:pPr>
            <w:r w:rsidRPr="00E87EFF">
              <w:rPr>
                <w:iCs/>
                <w:szCs w:val="20"/>
                <w:lang w:val="en-GB"/>
              </w:rPr>
              <w:t xml:space="preserve">Q3 </w:t>
            </w:r>
            <w:r w:rsidR="00EB6179" w:rsidRPr="00E87EFF">
              <w:rPr>
                <w:iCs/>
                <w:szCs w:val="20"/>
                <w:lang w:val="en-GB"/>
              </w:rPr>
              <w:t>2018-</w:t>
            </w:r>
          </w:p>
          <w:p w:rsidR="00EB6179" w:rsidRPr="00E87EFF" w:rsidRDefault="00EB6179" w:rsidP="0079283B">
            <w:pPr>
              <w:rPr>
                <w:iCs/>
                <w:szCs w:val="20"/>
                <w:lang w:val="en-GB"/>
              </w:rPr>
            </w:pPr>
            <w:r w:rsidRPr="00E87EFF">
              <w:rPr>
                <w:iCs/>
                <w:szCs w:val="20"/>
                <w:lang w:val="en-GB"/>
              </w:rPr>
              <w:t>Q4 2018</w:t>
            </w:r>
          </w:p>
        </w:tc>
        <w:tc>
          <w:tcPr>
            <w:tcW w:w="5103" w:type="dxa"/>
          </w:tcPr>
          <w:p w:rsidR="00AB7110" w:rsidRPr="00E87EFF" w:rsidRDefault="00AB7110" w:rsidP="0079283B">
            <w:pPr>
              <w:rPr>
                <w:iCs/>
                <w:szCs w:val="20"/>
                <w:lang w:val="en-GB"/>
              </w:rPr>
            </w:pPr>
            <w:r w:rsidRPr="00E87EFF">
              <w:rPr>
                <w:iCs/>
                <w:szCs w:val="20"/>
                <w:lang w:val="en-GB"/>
              </w:rPr>
              <w:t>Classifying severity and causes: agree on analytical approaches (meta-analysis, ‘convergence of evidence’ vs. mathematical modelling, levels of severity etc.) and adapt analytical framework.</w:t>
            </w:r>
          </w:p>
        </w:tc>
        <w:tc>
          <w:tcPr>
            <w:tcW w:w="3127" w:type="dxa"/>
          </w:tcPr>
          <w:p w:rsidR="00AB7110" w:rsidRPr="00E87EFF" w:rsidRDefault="00AB7110" w:rsidP="0079283B">
            <w:pPr>
              <w:rPr>
                <w:iCs/>
                <w:szCs w:val="20"/>
                <w:lang w:val="en-GB"/>
              </w:rPr>
            </w:pPr>
            <w:r w:rsidRPr="00E87EFF">
              <w:rPr>
                <w:iCs/>
                <w:szCs w:val="20"/>
                <w:lang w:val="en-GB"/>
              </w:rPr>
              <w:t>Adaptation of governance</w:t>
            </w:r>
            <w:r w:rsidR="00FA003D" w:rsidRPr="00E87EFF">
              <w:rPr>
                <w:iCs/>
                <w:szCs w:val="20"/>
                <w:lang w:val="en-GB"/>
              </w:rPr>
              <w:t xml:space="preserve"> and partnership</w:t>
            </w:r>
            <w:r w:rsidRPr="00E87EFF">
              <w:rPr>
                <w:iCs/>
                <w:szCs w:val="20"/>
                <w:lang w:val="en-GB"/>
              </w:rPr>
              <w:t xml:space="preserve"> structure.</w:t>
            </w:r>
          </w:p>
        </w:tc>
      </w:tr>
      <w:tr w:rsidR="00AB7110" w:rsidRPr="00E87EFF" w:rsidTr="008F2D0F">
        <w:tc>
          <w:tcPr>
            <w:tcW w:w="1129" w:type="dxa"/>
          </w:tcPr>
          <w:p w:rsidR="00AB7110" w:rsidRPr="00E87EFF" w:rsidRDefault="00AB7110" w:rsidP="0079283B">
            <w:pPr>
              <w:rPr>
                <w:iCs/>
                <w:szCs w:val="20"/>
                <w:lang w:val="en-GB"/>
              </w:rPr>
            </w:pPr>
            <w:r w:rsidRPr="00E87EFF">
              <w:rPr>
                <w:iCs/>
                <w:szCs w:val="20"/>
                <w:lang w:val="en-GB"/>
              </w:rPr>
              <w:t>Q1 2019</w:t>
            </w:r>
          </w:p>
        </w:tc>
        <w:tc>
          <w:tcPr>
            <w:tcW w:w="5103" w:type="dxa"/>
          </w:tcPr>
          <w:p w:rsidR="00AB7110" w:rsidRPr="00E87EFF" w:rsidRDefault="00AB7110" w:rsidP="0079283B">
            <w:pPr>
              <w:rPr>
                <w:iCs/>
                <w:szCs w:val="20"/>
                <w:lang w:val="en-GB"/>
              </w:rPr>
            </w:pPr>
            <w:r w:rsidRPr="00E87EFF">
              <w:rPr>
                <w:iCs/>
                <w:szCs w:val="20"/>
                <w:lang w:val="en-GB"/>
              </w:rPr>
              <w:t>Communicating for action and quality assurance: adapt templates for information products, adapt self-assessment tool and agree on procedure for requesting a technical peer review.</w:t>
            </w:r>
          </w:p>
        </w:tc>
        <w:tc>
          <w:tcPr>
            <w:tcW w:w="3127" w:type="dxa"/>
          </w:tcPr>
          <w:p w:rsidR="00AB7110" w:rsidRPr="00E87EFF" w:rsidRDefault="00AB7110" w:rsidP="0079283B">
            <w:pPr>
              <w:rPr>
                <w:iCs/>
                <w:szCs w:val="20"/>
                <w:lang w:val="en-GB"/>
              </w:rPr>
            </w:pPr>
            <w:r w:rsidRPr="00E87EFF">
              <w:rPr>
                <w:iCs/>
                <w:szCs w:val="20"/>
                <w:lang w:val="en-GB"/>
              </w:rPr>
              <w:t xml:space="preserve">Draft of governance </w:t>
            </w:r>
            <w:r w:rsidR="00FA003D" w:rsidRPr="00E87EFF">
              <w:rPr>
                <w:iCs/>
                <w:szCs w:val="20"/>
                <w:lang w:val="en-GB"/>
              </w:rPr>
              <w:t xml:space="preserve">and partnership </w:t>
            </w:r>
            <w:r w:rsidRPr="00E87EFF">
              <w:rPr>
                <w:iCs/>
                <w:szCs w:val="20"/>
                <w:lang w:val="en-GB"/>
              </w:rPr>
              <w:t>structure approved by SAG.</w:t>
            </w:r>
          </w:p>
        </w:tc>
      </w:tr>
      <w:tr w:rsidR="00FA29DD" w:rsidRPr="00E87EFF" w:rsidTr="008F2D0F">
        <w:tc>
          <w:tcPr>
            <w:tcW w:w="1129" w:type="dxa"/>
          </w:tcPr>
          <w:p w:rsidR="00FA29DD" w:rsidRPr="00E87EFF" w:rsidRDefault="00546721" w:rsidP="0079283B">
            <w:pPr>
              <w:rPr>
                <w:iCs/>
                <w:szCs w:val="20"/>
                <w:lang w:val="en-GB"/>
              </w:rPr>
            </w:pPr>
            <w:r w:rsidRPr="00E87EFF">
              <w:rPr>
                <w:iCs/>
                <w:szCs w:val="20"/>
                <w:lang w:val="en-GB"/>
              </w:rPr>
              <w:t>Q2</w:t>
            </w:r>
            <w:r w:rsidR="00FA29DD" w:rsidRPr="00E87EFF">
              <w:rPr>
                <w:iCs/>
                <w:szCs w:val="20"/>
                <w:lang w:val="en-GB"/>
              </w:rPr>
              <w:t xml:space="preserve"> 2019- </w:t>
            </w:r>
            <w:r w:rsidRPr="00E87EFF">
              <w:rPr>
                <w:iCs/>
                <w:szCs w:val="20"/>
                <w:lang w:val="en-GB"/>
              </w:rPr>
              <w:t>Q1 2020</w:t>
            </w:r>
          </w:p>
        </w:tc>
        <w:tc>
          <w:tcPr>
            <w:tcW w:w="5103" w:type="dxa"/>
          </w:tcPr>
          <w:p w:rsidR="00FA29DD" w:rsidRPr="00E87EFF" w:rsidRDefault="00FA29DD" w:rsidP="0079283B">
            <w:pPr>
              <w:rPr>
                <w:iCs/>
                <w:szCs w:val="20"/>
                <w:lang w:val="en-GB"/>
              </w:rPr>
            </w:pPr>
            <w:r w:rsidRPr="00E87EFF">
              <w:rPr>
                <w:iCs/>
                <w:szCs w:val="20"/>
                <w:lang w:val="en-GB"/>
              </w:rPr>
              <w:t>Pilot the data analysis framework on any upcoming Shelter Cluster needs assessments to test its capacity to generate findings on vulnerabilities and needs.</w:t>
            </w:r>
          </w:p>
        </w:tc>
        <w:tc>
          <w:tcPr>
            <w:tcW w:w="3127" w:type="dxa"/>
          </w:tcPr>
          <w:p w:rsidR="00FA29DD" w:rsidRPr="00E87EFF" w:rsidRDefault="00FA29DD" w:rsidP="0079283B">
            <w:pPr>
              <w:rPr>
                <w:iCs/>
                <w:szCs w:val="20"/>
                <w:lang w:val="en-GB"/>
              </w:rPr>
            </w:pPr>
          </w:p>
        </w:tc>
      </w:tr>
    </w:tbl>
    <w:p w:rsidR="0079283B" w:rsidRDefault="00CD0D74" w:rsidP="00CD0D74">
      <w:pPr>
        <w:pStyle w:val="Heading3"/>
        <w:numPr>
          <w:ilvl w:val="0"/>
          <w:numId w:val="10"/>
        </w:numPr>
        <w:rPr>
          <w:rFonts w:ascii="Arial" w:hAnsi="Arial" w:cs="Arial"/>
          <w:sz w:val="22"/>
          <w:szCs w:val="22"/>
          <w:lang w:val="en-GB"/>
        </w:rPr>
      </w:pPr>
      <w:r>
        <w:rPr>
          <w:rFonts w:ascii="Arial" w:hAnsi="Arial" w:cs="Arial"/>
          <w:sz w:val="22"/>
          <w:szCs w:val="22"/>
          <w:lang w:val="en-GB"/>
        </w:rPr>
        <w:t>Contributory r</w:t>
      </w:r>
      <w:r w:rsidR="00E35EF0">
        <w:rPr>
          <w:rFonts w:ascii="Arial" w:hAnsi="Arial" w:cs="Arial"/>
          <w:sz w:val="22"/>
          <w:szCs w:val="22"/>
          <w:lang w:val="en-GB"/>
        </w:rPr>
        <w:t>esource requirements</w:t>
      </w:r>
    </w:p>
    <w:p w:rsidR="00F3260B" w:rsidRDefault="00F3260B" w:rsidP="00E35EF0">
      <w:pPr>
        <w:rPr>
          <w:i/>
          <w:iCs/>
          <w:sz w:val="18"/>
          <w:szCs w:val="18"/>
          <w:lang w:val="en-GB"/>
        </w:rPr>
      </w:pPr>
    </w:p>
    <w:tbl>
      <w:tblPr>
        <w:tblStyle w:val="TableGrid"/>
        <w:tblW w:w="0" w:type="auto"/>
        <w:tblLook w:val="04A0" w:firstRow="1" w:lastRow="0" w:firstColumn="1" w:lastColumn="0" w:noHBand="0" w:noVBand="1"/>
      </w:tblPr>
      <w:tblGrid>
        <w:gridCol w:w="3256"/>
        <w:gridCol w:w="2750"/>
        <w:gridCol w:w="3004"/>
      </w:tblGrid>
      <w:tr w:rsidR="005228BD" w:rsidRPr="00E87EFF" w:rsidTr="008F2D0F">
        <w:tc>
          <w:tcPr>
            <w:tcW w:w="3256" w:type="dxa"/>
          </w:tcPr>
          <w:p w:rsidR="005228BD" w:rsidRPr="00E87EFF" w:rsidRDefault="005228BD" w:rsidP="00E35EF0">
            <w:pPr>
              <w:rPr>
                <w:b/>
                <w:iCs/>
                <w:szCs w:val="20"/>
                <w:lang w:val="en-GB"/>
              </w:rPr>
            </w:pPr>
            <w:r w:rsidRPr="00E87EFF">
              <w:rPr>
                <w:b/>
                <w:iCs/>
                <w:szCs w:val="20"/>
                <w:lang w:val="en-GB"/>
              </w:rPr>
              <w:t>Item</w:t>
            </w:r>
          </w:p>
        </w:tc>
        <w:tc>
          <w:tcPr>
            <w:tcW w:w="2750" w:type="dxa"/>
          </w:tcPr>
          <w:p w:rsidR="005228BD" w:rsidRPr="00E87EFF" w:rsidRDefault="005228BD" w:rsidP="00E35EF0">
            <w:pPr>
              <w:rPr>
                <w:b/>
                <w:iCs/>
                <w:szCs w:val="20"/>
                <w:lang w:val="en-GB"/>
              </w:rPr>
            </w:pPr>
            <w:r w:rsidRPr="00E87EFF">
              <w:rPr>
                <w:b/>
                <w:iCs/>
                <w:szCs w:val="20"/>
                <w:lang w:val="en-GB"/>
              </w:rPr>
              <w:t>Unit cost</w:t>
            </w:r>
          </w:p>
        </w:tc>
        <w:tc>
          <w:tcPr>
            <w:tcW w:w="3004" w:type="dxa"/>
          </w:tcPr>
          <w:p w:rsidR="005228BD" w:rsidRPr="00E87EFF" w:rsidRDefault="005228BD" w:rsidP="00E35EF0">
            <w:pPr>
              <w:rPr>
                <w:b/>
                <w:iCs/>
                <w:szCs w:val="20"/>
                <w:lang w:val="en-GB"/>
              </w:rPr>
            </w:pPr>
            <w:r w:rsidRPr="00E87EFF">
              <w:rPr>
                <w:b/>
                <w:iCs/>
                <w:szCs w:val="20"/>
                <w:lang w:val="en-GB"/>
              </w:rPr>
              <w:t>Total</w:t>
            </w:r>
          </w:p>
        </w:tc>
      </w:tr>
      <w:tr w:rsidR="00D52CCC" w:rsidRPr="00E87EFF" w:rsidTr="008F2D0F">
        <w:tc>
          <w:tcPr>
            <w:tcW w:w="3256" w:type="dxa"/>
          </w:tcPr>
          <w:p w:rsidR="00D52CCC" w:rsidRPr="00E87EFF" w:rsidRDefault="00D52CCC" w:rsidP="00E35EF0">
            <w:pPr>
              <w:rPr>
                <w:iCs/>
                <w:szCs w:val="20"/>
                <w:lang w:val="en-GB"/>
              </w:rPr>
            </w:pPr>
            <w:r w:rsidRPr="00E87EFF">
              <w:rPr>
                <w:iCs/>
                <w:szCs w:val="20"/>
                <w:lang w:val="en-GB"/>
              </w:rPr>
              <w:t>Core team members (3)</w:t>
            </w:r>
          </w:p>
        </w:tc>
        <w:tc>
          <w:tcPr>
            <w:tcW w:w="2750" w:type="dxa"/>
          </w:tcPr>
          <w:p w:rsidR="00D52CCC" w:rsidRPr="00E87EFF" w:rsidRDefault="00D52CCC" w:rsidP="00E35EF0">
            <w:pPr>
              <w:rPr>
                <w:b/>
                <w:iCs/>
                <w:szCs w:val="20"/>
                <w:lang w:val="en-GB"/>
              </w:rPr>
            </w:pPr>
            <w:r w:rsidRPr="00E87EFF">
              <w:rPr>
                <w:iCs/>
                <w:szCs w:val="20"/>
                <w:lang w:val="en-GB"/>
              </w:rPr>
              <w:t>In-kind (1 meeting / 2 hours)</w:t>
            </w:r>
          </w:p>
        </w:tc>
        <w:tc>
          <w:tcPr>
            <w:tcW w:w="3004" w:type="dxa"/>
          </w:tcPr>
          <w:p w:rsidR="00D52CCC" w:rsidRPr="00E87EFF" w:rsidRDefault="00D52CCC" w:rsidP="00E35EF0">
            <w:pPr>
              <w:rPr>
                <w:b/>
                <w:iCs/>
                <w:szCs w:val="20"/>
                <w:lang w:val="en-GB"/>
              </w:rPr>
            </w:pPr>
            <w:r w:rsidRPr="00E87EFF">
              <w:rPr>
                <w:iCs/>
                <w:szCs w:val="20"/>
                <w:lang w:val="en-GB"/>
              </w:rPr>
              <w:t>In-kind (18 meetings / 36 hours)</w:t>
            </w:r>
            <w:r w:rsidR="0082057D">
              <w:rPr>
                <w:iCs/>
                <w:szCs w:val="20"/>
                <w:lang w:val="en-GB"/>
              </w:rPr>
              <w:t xml:space="preserve"> + work (c. 80 hours)</w:t>
            </w:r>
          </w:p>
        </w:tc>
      </w:tr>
      <w:tr w:rsidR="004F2F69" w:rsidRPr="00E87EFF" w:rsidTr="008F2D0F">
        <w:tc>
          <w:tcPr>
            <w:tcW w:w="3256" w:type="dxa"/>
          </w:tcPr>
          <w:p w:rsidR="004F2F69" w:rsidRPr="00E87EFF" w:rsidRDefault="004F2F69" w:rsidP="00E35EF0">
            <w:pPr>
              <w:rPr>
                <w:iCs/>
                <w:szCs w:val="20"/>
                <w:lang w:val="en-GB"/>
              </w:rPr>
            </w:pPr>
            <w:r w:rsidRPr="00E87EFF">
              <w:rPr>
                <w:iCs/>
                <w:szCs w:val="20"/>
                <w:lang w:val="en-GB"/>
              </w:rPr>
              <w:t>Technical shelter specialists (2)</w:t>
            </w:r>
          </w:p>
        </w:tc>
        <w:tc>
          <w:tcPr>
            <w:tcW w:w="2750" w:type="dxa"/>
          </w:tcPr>
          <w:p w:rsidR="004F2F69" w:rsidRPr="00E87EFF" w:rsidRDefault="004F2F69" w:rsidP="00C55D7B">
            <w:pPr>
              <w:rPr>
                <w:iCs/>
                <w:szCs w:val="20"/>
                <w:lang w:val="en-GB"/>
              </w:rPr>
            </w:pPr>
            <w:r w:rsidRPr="00E87EFF">
              <w:rPr>
                <w:iCs/>
                <w:szCs w:val="20"/>
                <w:lang w:val="en-GB"/>
              </w:rPr>
              <w:t>In-kind</w:t>
            </w:r>
            <w:r w:rsidR="00C55D7B" w:rsidRPr="00E87EFF">
              <w:rPr>
                <w:iCs/>
                <w:szCs w:val="20"/>
                <w:lang w:val="en-GB"/>
              </w:rPr>
              <w:t xml:space="preserve"> (1 meeting / 2 hours)</w:t>
            </w:r>
          </w:p>
        </w:tc>
        <w:tc>
          <w:tcPr>
            <w:tcW w:w="3004" w:type="dxa"/>
          </w:tcPr>
          <w:p w:rsidR="004F2F69" w:rsidRPr="00E87EFF" w:rsidRDefault="004F2F69" w:rsidP="00C55D7B">
            <w:pPr>
              <w:rPr>
                <w:iCs/>
                <w:szCs w:val="20"/>
                <w:lang w:val="en-GB"/>
              </w:rPr>
            </w:pPr>
            <w:r w:rsidRPr="00E87EFF">
              <w:rPr>
                <w:iCs/>
                <w:szCs w:val="20"/>
                <w:lang w:val="en-GB"/>
              </w:rPr>
              <w:t>In-kind</w:t>
            </w:r>
            <w:r w:rsidR="00C55D7B" w:rsidRPr="00E87EFF">
              <w:rPr>
                <w:iCs/>
                <w:szCs w:val="20"/>
                <w:lang w:val="en-GB"/>
              </w:rPr>
              <w:t xml:space="preserve"> (</w:t>
            </w:r>
            <w:r w:rsidR="009F674C" w:rsidRPr="00E87EFF">
              <w:rPr>
                <w:iCs/>
                <w:szCs w:val="20"/>
                <w:lang w:val="en-GB"/>
              </w:rPr>
              <w:t>9</w:t>
            </w:r>
            <w:r w:rsidR="00C55D7B" w:rsidRPr="00E87EFF">
              <w:rPr>
                <w:iCs/>
                <w:szCs w:val="20"/>
                <w:lang w:val="en-GB"/>
              </w:rPr>
              <w:t xml:space="preserve"> meeting</w:t>
            </w:r>
            <w:r w:rsidR="009F674C" w:rsidRPr="00E87EFF">
              <w:rPr>
                <w:iCs/>
                <w:szCs w:val="20"/>
                <w:lang w:val="en-GB"/>
              </w:rPr>
              <w:t>s / 18</w:t>
            </w:r>
            <w:r w:rsidR="00C55D7B" w:rsidRPr="00E87EFF">
              <w:rPr>
                <w:iCs/>
                <w:szCs w:val="20"/>
                <w:lang w:val="en-GB"/>
              </w:rPr>
              <w:t xml:space="preserve"> hours)</w:t>
            </w:r>
          </w:p>
        </w:tc>
      </w:tr>
      <w:tr w:rsidR="004F2F69" w:rsidRPr="00E87EFF" w:rsidTr="008F2D0F">
        <w:tc>
          <w:tcPr>
            <w:tcW w:w="3256" w:type="dxa"/>
          </w:tcPr>
          <w:p w:rsidR="004F2F69" w:rsidRPr="00E87EFF" w:rsidRDefault="004F2F69" w:rsidP="00E35EF0">
            <w:pPr>
              <w:rPr>
                <w:iCs/>
                <w:szCs w:val="20"/>
                <w:lang w:val="en-GB"/>
              </w:rPr>
            </w:pPr>
            <w:r w:rsidRPr="00E87EFF">
              <w:rPr>
                <w:iCs/>
                <w:szCs w:val="20"/>
                <w:lang w:val="en-GB"/>
              </w:rPr>
              <w:t>Analysis expert / data scientist (2)</w:t>
            </w:r>
          </w:p>
        </w:tc>
        <w:tc>
          <w:tcPr>
            <w:tcW w:w="2750" w:type="dxa"/>
          </w:tcPr>
          <w:p w:rsidR="004F2F69" w:rsidRPr="00E87EFF" w:rsidRDefault="004F2F69" w:rsidP="00C55D7B">
            <w:pPr>
              <w:rPr>
                <w:iCs/>
                <w:szCs w:val="20"/>
                <w:lang w:val="en-GB"/>
              </w:rPr>
            </w:pPr>
            <w:r w:rsidRPr="00E87EFF">
              <w:rPr>
                <w:iCs/>
                <w:szCs w:val="20"/>
                <w:lang w:val="en-GB"/>
              </w:rPr>
              <w:t>In-kind</w:t>
            </w:r>
            <w:r w:rsidR="00C55D7B" w:rsidRPr="00E87EFF">
              <w:rPr>
                <w:iCs/>
                <w:szCs w:val="20"/>
                <w:lang w:val="en-GB"/>
              </w:rPr>
              <w:t xml:space="preserve"> (1 meeting / 2 hours)</w:t>
            </w:r>
          </w:p>
        </w:tc>
        <w:tc>
          <w:tcPr>
            <w:tcW w:w="3004" w:type="dxa"/>
          </w:tcPr>
          <w:p w:rsidR="004F2F69" w:rsidRPr="00E87EFF" w:rsidRDefault="004F2F69" w:rsidP="00C55D7B">
            <w:pPr>
              <w:rPr>
                <w:iCs/>
                <w:szCs w:val="20"/>
                <w:lang w:val="en-GB"/>
              </w:rPr>
            </w:pPr>
            <w:r w:rsidRPr="00E87EFF">
              <w:rPr>
                <w:iCs/>
                <w:szCs w:val="20"/>
                <w:lang w:val="en-GB"/>
              </w:rPr>
              <w:t>In-kind</w:t>
            </w:r>
            <w:r w:rsidR="00C55D7B" w:rsidRPr="00E87EFF">
              <w:rPr>
                <w:iCs/>
                <w:szCs w:val="20"/>
                <w:lang w:val="en-GB"/>
              </w:rPr>
              <w:t xml:space="preserve"> (</w:t>
            </w:r>
            <w:r w:rsidR="009F674C" w:rsidRPr="00E87EFF">
              <w:rPr>
                <w:iCs/>
                <w:szCs w:val="20"/>
                <w:lang w:val="en-GB"/>
              </w:rPr>
              <w:t>9</w:t>
            </w:r>
            <w:r w:rsidR="00C55D7B" w:rsidRPr="00E87EFF">
              <w:rPr>
                <w:iCs/>
                <w:szCs w:val="20"/>
                <w:lang w:val="en-GB"/>
              </w:rPr>
              <w:t xml:space="preserve"> meetings</w:t>
            </w:r>
            <w:r w:rsidR="009F674C" w:rsidRPr="00E87EFF">
              <w:rPr>
                <w:iCs/>
                <w:szCs w:val="20"/>
                <w:lang w:val="en-GB"/>
              </w:rPr>
              <w:t xml:space="preserve"> / 18</w:t>
            </w:r>
            <w:r w:rsidR="00C55D7B" w:rsidRPr="00E87EFF">
              <w:rPr>
                <w:iCs/>
                <w:szCs w:val="20"/>
                <w:lang w:val="en-GB"/>
              </w:rPr>
              <w:t xml:space="preserve"> hours)</w:t>
            </w:r>
          </w:p>
        </w:tc>
      </w:tr>
      <w:tr w:rsidR="00D52CCC" w:rsidRPr="00E87EFF" w:rsidTr="008F2D0F">
        <w:tc>
          <w:tcPr>
            <w:tcW w:w="3256" w:type="dxa"/>
          </w:tcPr>
          <w:p w:rsidR="00D52CCC" w:rsidRPr="00E87EFF" w:rsidRDefault="00D52CCC" w:rsidP="00EA588E">
            <w:pPr>
              <w:rPr>
                <w:iCs/>
                <w:szCs w:val="20"/>
                <w:lang w:val="en-GB"/>
              </w:rPr>
            </w:pPr>
            <w:r w:rsidRPr="00E87EFF">
              <w:rPr>
                <w:iCs/>
                <w:szCs w:val="20"/>
                <w:lang w:val="en-GB"/>
              </w:rPr>
              <w:t>GSC SAG members (2)</w:t>
            </w:r>
          </w:p>
        </w:tc>
        <w:tc>
          <w:tcPr>
            <w:tcW w:w="2750" w:type="dxa"/>
          </w:tcPr>
          <w:p w:rsidR="00D52CCC" w:rsidRPr="00E87EFF" w:rsidRDefault="00D52CCC" w:rsidP="00EA588E">
            <w:pPr>
              <w:rPr>
                <w:iCs/>
                <w:szCs w:val="20"/>
                <w:lang w:val="en-GB"/>
              </w:rPr>
            </w:pPr>
            <w:r w:rsidRPr="00E87EFF">
              <w:rPr>
                <w:iCs/>
                <w:szCs w:val="20"/>
                <w:lang w:val="en-GB"/>
              </w:rPr>
              <w:t>In-kind (1 meeting / 1 hours)</w:t>
            </w:r>
          </w:p>
        </w:tc>
        <w:tc>
          <w:tcPr>
            <w:tcW w:w="3004" w:type="dxa"/>
          </w:tcPr>
          <w:p w:rsidR="00D52CCC" w:rsidRPr="00E87EFF" w:rsidRDefault="00D52CCC" w:rsidP="00EA588E">
            <w:pPr>
              <w:rPr>
                <w:iCs/>
                <w:szCs w:val="20"/>
                <w:lang w:val="en-GB"/>
              </w:rPr>
            </w:pPr>
            <w:r w:rsidRPr="00E87EFF">
              <w:rPr>
                <w:iCs/>
                <w:szCs w:val="20"/>
                <w:lang w:val="en-GB"/>
              </w:rPr>
              <w:t xml:space="preserve">In-kind (3 meetings / 3 hours) </w:t>
            </w:r>
          </w:p>
        </w:tc>
      </w:tr>
      <w:tr w:rsidR="005228BD" w:rsidRPr="00E87EFF" w:rsidTr="008F2D0F">
        <w:tc>
          <w:tcPr>
            <w:tcW w:w="3256" w:type="dxa"/>
          </w:tcPr>
          <w:p w:rsidR="005228BD" w:rsidRPr="00E87EFF" w:rsidRDefault="004F2F69" w:rsidP="00C957BF">
            <w:pPr>
              <w:rPr>
                <w:iCs/>
                <w:szCs w:val="20"/>
                <w:lang w:val="en-GB"/>
              </w:rPr>
            </w:pPr>
            <w:r w:rsidRPr="00E87EFF">
              <w:rPr>
                <w:iCs/>
                <w:szCs w:val="20"/>
                <w:lang w:val="en-GB"/>
              </w:rPr>
              <w:t>Lay-out</w:t>
            </w:r>
            <w:r w:rsidR="00C957BF" w:rsidRPr="00E87EFF">
              <w:rPr>
                <w:iCs/>
                <w:szCs w:val="20"/>
                <w:lang w:val="en-GB"/>
              </w:rPr>
              <w:t xml:space="preserve"> of t</w:t>
            </w:r>
            <w:r w:rsidR="005228BD" w:rsidRPr="00E87EFF">
              <w:rPr>
                <w:iCs/>
                <w:szCs w:val="20"/>
                <w:lang w:val="en-GB"/>
              </w:rPr>
              <w:t xml:space="preserve">echnical </w:t>
            </w:r>
            <w:r w:rsidR="00C957BF" w:rsidRPr="00E87EFF">
              <w:rPr>
                <w:iCs/>
                <w:szCs w:val="20"/>
                <w:lang w:val="en-GB"/>
              </w:rPr>
              <w:t>m</w:t>
            </w:r>
            <w:r w:rsidR="005228BD" w:rsidRPr="00E87EFF">
              <w:rPr>
                <w:iCs/>
                <w:szCs w:val="20"/>
                <w:lang w:val="en-GB"/>
              </w:rPr>
              <w:t>anual</w:t>
            </w:r>
          </w:p>
        </w:tc>
        <w:tc>
          <w:tcPr>
            <w:tcW w:w="2750" w:type="dxa"/>
          </w:tcPr>
          <w:p w:rsidR="005228BD" w:rsidRPr="00E87EFF" w:rsidRDefault="005228BD" w:rsidP="00E35EF0">
            <w:pPr>
              <w:rPr>
                <w:iCs/>
                <w:szCs w:val="20"/>
                <w:lang w:val="en-GB"/>
              </w:rPr>
            </w:pPr>
            <w:r w:rsidRPr="00E87EFF">
              <w:rPr>
                <w:iCs/>
                <w:szCs w:val="20"/>
                <w:lang w:val="en-GB"/>
              </w:rPr>
              <w:t>1,000 USD</w:t>
            </w:r>
            <w:r w:rsidR="004F2F69" w:rsidRPr="00E87EFF">
              <w:rPr>
                <w:iCs/>
                <w:szCs w:val="20"/>
                <w:lang w:val="en-GB"/>
              </w:rPr>
              <w:t xml:space="preserve"> or in-kind</w:t>
            </w:r>
          </w:p>
        </w:tc>
        <w:tc>
          <w:tcPr>
            <w:tcW w:w="3004" w:type="dxa"/>
          </w:tcPr>
          <w:p w:rsidR="005228BD" w:rsidRPr="00E87EFF" w:rsidRDefault="005228BD" w:rsidP="00E35EF0">
            <w:pPr>
              <w:rPr>
                <w:iCs/>
                <w:szCs w:val="20"/>
                <w:lang w:val="en-GB"/>
              </w:rPr>
            </w:pPr>
            <w:r w:rsidRPr="00E87EFF">
              <w:rPr>
                <w:iCs/>
                <w:szCs w:val="20"/>
                <w:lang w:val="en-GB"/>
              </w:rPr>
              <w:t>1,000 USD</w:t>
            </w:r>
            <w:r w:rsidR="004F2F69" w:rsidRPr="00E87EFF">
              <w:rPr>
                <w:iCs/>
                <w:szCs w:val="20"/>
                <w:lang w:val="en-GB"/>
              </w:rPr>
              <w:t xml:space="preserve"> or in-kind</w:t>
            </w:r>
          </w:p>
        </w:tc>
      </w:tr>
      <w:tr w:rsidR="005228BD" w:rsidRPr="00E87EFF" w:rsidTr="008F2D0F">
        <w:tc>
          <w:tcPr>
            <w:tcW w:w="3256" w:type="dxa"/>
          </w:tcPr>
          <w:p w:rsidR="005228BD" w:rsidRPr="00E87EFF" w:rsidRDefault="005228BD" w:rsidP="00C957BF">
            <w:pPr>
              <w:rPr>
                <w:iCs/>
                <w:szCs w:val="20"/>
                <w:lang w:val="en-GB"/>
              </w:rPr>
            </w:pPr>
            <w:r w:rsidRPr="00E87EFF">
              <w:rPr>
                <w:iCs/>
                <w:szCs w:val="20"/>
                <w:lang w:val="en-GB"/>
              </w:rPr>
              <w:t xml:space="preserve">Printing of </w:t>
            </w:r>
            <w:r w:rsidR="00C957BF" w:rsidRPr="00E87EFF">
              <w:rPr>
                <w:iCs/>
                <w:szCs w:val="20"/>
                <w:lang w:val="en-GB"/>
              </w:rPr>
              <w:t>t</w:t>
            </w:r>
            <w:r w:rsidRPr="00E87EFF">
              <w:rPr>
                <w:iCs/>
                <w:szCs w:val="20"/>
                <w:lang w:val="en-GB"/>
              </w:rPr>
              <w:t xml:space="preserve">echnical </w:t>
            </w:r>
            <w:r w:rsidR="00C957BF" w:rsidRPr="00E87EFF">
              <w:rPr>
                <w:iCs/>
                <w:szCs w:val="20"/>
                <w:lang w:val="en-GB"/>
              </w:rPr>
              <w:t>m</w:t>
            </w:r>
            <w:r w:rsidRPr="00E87EFF">
              <w:rPr>
                <w:iCs/>
                <w:szCs w:val="20"/>
                <w:lang w:val="en-GB"/>
              </w:rPr>
              <w:t>anual (100x)</w:t>
            </w:r>
          </w:p>
        </w:tc>
        <w:tc>
          <w:tcPr>
            <w:tcW w:w="2750" w:type="dxa"/>
          </w:tcPr>
          <w:p w:rsidR="005228BD" w:rsidRPr="00E87EFF" w:rsidRDefault="005228BD" w:rsidP="00E35EF0">
            <w:pPr>
              <w:rPr>
                <w:iCs/>
                <w:szCs w:val="20"/>
                <w:lang w:val="en-GB"/>
              </w:rPr>
            </w:pPr>
            <w:r w:rsidRPr="00E87EFF">
              <w:rPr>
                <w:iCs/>
                <w:szCs w:val="20"/>
                <w:lang w:val="en-GB"/>
              </w:rPr>
              <w:t>5 USD</w:t>
            </w:r>
            <w:r w:rsidR="004F2F69" w:rsidRPr="00E87EFF">
              <w:rPr>
                <w:iCs/>
                <w:szCs w:val="20"/>
                <w:lang w:val="en-GB"/>
              </w:rPr>
              <w:t xml:space="preserve"> or in-kind</w:t>
            </w:r>
          </w:p>
        </w:tc>
        <w:tc>
          <w:tcPr>
            <w:tcW w:w="3004" w:type="dxa"/>
          </w:tcPr>
          <w:p w:rsidR="005228BD" w:rsidRPr="00E87EFF" w:rsidRDefault="005228BD" w:rsidP="00E35EF0">
            <w:pPr>
              <w:rPr>
                <w:iCs/>
                <w:szCs w:val="20"/>
                <w:lang w:val="en-GB"/>
              </w:rPr>
            </w:pPr>
            <w:r w:rsidRPr="00E87EFF">
              <w:rPr>
                <w:iCs/>
                <w:szCs w:val="20"/>
                <w:lang w:val="en-GB"/>
              </w:rPr>
              <w:t>500 USD</w:t>
            </w:r>
            <w:r w:rsidR="004F2F69" w:rsidRPr="00E87EFF">
              <w:rPr>
                <w:iCs/>
                <w:szCs w:val="20"/>
                <w:lang w:val="en-GB"/>
              </w:rPr>
              <w:t xml:space="preserve"> or in-kind</w:t>
            </w:r>
          </w:p>
        </w:tc>
      </w:tr>
      <w:tr w:rsidR="00136E9C" w:rsidRPr="00E87EFF" w:rsidTr="008F2D0F">
        <w:tc>
          <w:tcPr>
            <w:tcW w:w="3256" w:type="dxa"/>
          </w:tcPr>
          <w:p w:rsidR="00136E9C" w:rsidRPr="00E87EFF" w:rsidRDefault="004F2F69" w:rsidP="00E35EF0">
            <w:pPr>
              <w:rPr>
                <w:b/>
                <w:iCs/>
                <w:szCs w:val="20"/>
                <w:lang w:val="en-GB"/>
              </w:rPr>
            </w:pPr>
            <w:r w:rsidRPr="00E87EFF">
              <w:rPr>
                <w:b/>
                <w:iCs/>
                <w:szCs w:val="20"/>
                <w:lang w:val="en-GB"/>
              </w:rPr>
              <w:t>Total</w:t>
            </w:r>
          </w:p>
        </w:tc>
        <w:tc>
          <w:tcPr>
            <w:tcW w:w="2750" w:type="dxa"/>
          </w:tcPr>
          <w:p w:rsidR="00136E9C" w:rsidRPr="00E87EFF" w:rsidRDefault="00136E9C" w:rsidP="00E35EF0">
            <w:pPr>
              <w:rPr>
                <w:b/>
                <w:iCs/>
                <w:szCs w:val="20"/>
                <w:lang w:val="en-GB"/>
              </w:rPr>
            </w:pPr>
          </w:p>
        </w:tc>
        <w:tc>
          <w:tcPr>
            <w:tcW w:w="3004" w:type="dxa"/>
          </w:tcPr>
          <w:p w:rsidR="00136E9C" w:rsidRPr="00E87EFF" w:rsidRDefault="00364DA9" w:rsidP="00E35EF0">
            <w:pPr>
              <w:rPr>
                <w:b/>
                <w:iCs/>
                <w:szCs w:val="20"/>
                <w:lang w:val="en-GB"/>
              </w:rPr>
            </w:pPr>
            <w:r w:rsidRPr="00E87EFF">
              <w:rPr>
                <w:b/>
                <w:iCs/>
                <w:szCs w:val="20"/>
                <w:lang w:val="en-GB"/>
              </w:rPr>
              <w:t>1</w:t>
            </w:r>
            <w:r w:rsidR="004F2F69" w:rsidRPr="00E87EFF">
              <w:rPr>
                <w:b/>
                <w:iCs/>
                <w:szCs w:val="20"/>
                <w:lang w:val="en-GB"/>
              </w:rPr>
              <w:t>,500 USD</w:t>
            </w:r>
          </w:p>
        </w:tc>
      </w:tr>
    </w:tbl>
    <w:p w:rsidR="00E91263" w:rsidRPr="007E2DC2" w:rsidRDefault="00762862" w:rsidP="00CD0D74">
      <w:pPr>
        <w:pStyle w:val="Heading3"/>
        <w:numPr>
          <w:ilvl w:val="0"/>
          <w:numId w:val="10"/>
        </w:numPr>
        <w:rPr>
          <w:rFonts w:ascii="Arial" w:hAnsi="Arial" w:cs="Arial"/>
          <w:sz w:val="22"/>
          <w:szCs w:val="22"/>
          <w:lang w:val="en-GB"/>
        </w:rPr>
      </w:pPr>
      <w:r w:rsidRPr="007E2DC2">
        <w:rPr>
          <w:rFonts w:ascii="Arial" w:hAnsi="Arial" w:cs="Arial"/>
          <w:sz w:val="22"/>
          <w:szCs w:val="22"/>
          <w:lang w:val="en-GB"/>
        </w:rPr>
        <w:t>P</w:t>
      </w:r>
      <w:r w:rsidR="000C2ECE" w:rsidRPr="007E2DC2">
        <w:rPr>
          <w:rFonts w:ascii="Arial" w:hAnsi="Arial" w:cs="Arial"/>
          <w:sz w:val="22"/>
          <w:szCs w:val="22"/>
          <w:lang w:val="en-GB"/>
        </w:rPr>
        <w:t>rocess</w:t>
      </w:r>
      <w:r w:rsidR="00E91263" w:rsidRPr="007E2DC2">
        <w:rPr>
          <w:rFonts w:ascii="Arial" w:hAnsi="Arial" w:cs="Arial"/>
          <w:sz w:val="22"/>
          <w:szCs w:val="22"/>
          <w:lang w:val="en-GB"/>
        </w:rPr>
        <w:t xml:space="preserve"> </w:t>
      </w:r>
    </w:p>
    <w:p w:rsidR="00065DA6" w:rsidRPr="001043E1" w:rsidRDefault="00065DA6" w:rsidP="00CD0D74">
      <w:pPr>
        <w:rPr>
          <w:iCs/>
          <w:sz w:val="18"/>
          <w:szCs w:val="18"/>
          <w:lang w:val="en-GB"/>
        </w:rPr>
      </w:pPr>
    </w:p>
    <w:p w:rsidR="009F674C" w:rsidRPr="00E87EFF" w:rsidRDefault="004F2F69" w:rsidP="00CD0D74">
      <w:pPr>
        <w:rPr>
          <w:iCs/>
          <w:szCs w:val="20"/>
          <w:lang w:val="en-GB"/>
        </w:rPr>
      </w:pPr>
      <w:r w:rsidRPr="00E87EFF">
        <w:rPr>
          <w:iCs/>
          <w:szCs w:val="20"/>
          <w:lang w:val="en-GB"/>
        </w:rPr>
        <w:t>The activity has been informed by participation in the Joint Inter-sectoral Analysis Group</w:t>
      </w:r>
      <w:r w:rsidR="001043E1" w:rsidRPr="00E87EFF">
        <w:rPr>
          <w:iCs/>
          <w:szCs w:val="20"/>
          <w:lang w:val="en-GB"/>
        </w:rPr>
        <w:t xml:space="preserve"> (which held a workshop in Rome in January 2018 to advance on the development of an inter-sectoral analysis framework), a desk review on monitoring and evaluation undertaken for UNHCR (which outlines the most common approaches for measuring the adequacy of shelter) and good practices with regards to measuring shelter vulnerability as observed in the field (e.g. </w:t>
      </w:r>
      <w:r w:rsidR="001043E1" w:rsidRPr="00E87EFF">
        <w:rPr>
          <w:szCs w:val="20"/>
          <w:lang w:val="en-GB"/>
        </w:rPr>
        <w:t>Democratic Republic of Congo</w:t>
      </w:r>
      <w:r w:rsidR="00D52CCC" w:rsidRPr="00E87EFF">
        <w:rPr>
          <w:iCs/>
          <w:szCs w:val="20"/>
          <w:lang w:val="en-GB"/>
        </w:rPr>
        <w:t>).</w:t>
      </w:r>
      <w:r w:rsidR="007E05A3" w:rsidRPr="00E87EFF">
        <w:rPr>
          <w:iCs/>
          <w:szCs w:val="20"/>
          <w:lang w:val="en-GB"/>
        </w:rPr>
        <w:t xml:space="preserve"> </w:t>
      </w:r>
    </w:p>
    <w:p w:rsidR="00283277" w:rsidRPr="007E2DC2" w:rsidRDefault="00283277" w:rsidP="00CD0D74">
      <w:pPr>
        <w:pStyle w:val="Heading3"/>
        <w:numPr>
          <w:ilvl w:val="0"/>
          <w:numId w:val="10"/>
        </w:numPr>
        <w:rPr>
          <w:rFonts w:ascii="Arial" w:hAnsi="Arial" w:cs="Arial"/>
          <w:sz w:val="22"/>
          <w:szCs w:val="22"/>
          <w:lang w:val="en-GB"/>
        </w:rPr>
      </w:pPr>
      <w:r w:rsidRPr="007E2DC2">
        <w:rPr>
          <w:rFonts w:ascii="Arial" w:hAnsi="Arial" w:cs="Arial"/>
          <w:sz w:val="22"/>
          <w:szCs w:val="22"/>
          <w:lang w:val="en-GB"/>
        </w:rPr>
        <w:t xml:space="preserve">Outputs </w:t>
      </w:r>
    </w:p>
    <w:p w:rsidR="00053B76" w:rsidRDefault="00053B76" w:rsidP="00053B76">
      <w:pPr>
        <w:rPr>
          <w:sz w:val="22"/>
          <w:szCs w:val="22"/>
          <w:highlight w:val="lightGray"/>
          <w:lang w:val="en-GB"/>
        </w:rPr>
      </w:pPr>
    </w:p>
    <w:p w:rsidR="002A1000" w:rsidRPr="00E87EFF" w:rsidRDefault="002A1000" w:rsidP="002A1000">
      <w:pPr>
        <w:pStyle w:val="ListParagraph"/>
        <w:numPr>
          <w:ilvl w:val="0"/>
          <w:numId w:val="17"/>
        </w:numPr>
        <w:rPr>
          <w:rFonts w:ascii="Arial" w:hAnsi="Arial"/>
          <w:szCs w:val="20"/>
        </w:rPr>
      </w:pPr>
      <w:r w:rsidRPr="00E87EFF">
        <w:rPr>
          <w:rFonts w:ascii="Arial" w:hAnsi="Arial"/>
          <w:szCs w:val="20"/>
        </w:rPr>
        <w:t>Overview of lessons learned from pilot</w:t>
      </w:r>
      <w:r w:rsidR="00C957BF" w:rsidRPr="00E87EFF">
        <w:rPr>
          <w:rFonts w:ascii="Arial" w:hAnsi="Arial"/>
          <w:szCs w:val="20"/>
        </w:rPr>
        <w:t xml:space="preserve"> </w:t>
      </w:r>
    </w:p>
    <w:p w:rsidR="00C957BF" w:rsidRPr="00E87EFF" w:rsidRDefault="00C957BF" w:rsidP="002A1000">
      <w:pPr>
        <w:pStyle w:val="ListParagraph"/>
        <w:numPr>
          <w:ilvl w:val="0"/>
          <w:numId w:val="17"/>
        </w:numPr>
        <w:rPr>
          <w:rFonts w:ascii="Arial" w:hAnsi="Arial"/>
          <w:szCs w:val="20"/>
        </w:rPr>
      </w:pPr>
      <w:r w:rsidRPr="00E87EFF">
        <w:rPr>
          <w:rFonts w:ascii="Arial" w:hAnsi="Arial"/>
          <w:szCs w:val="20"/>
        </w:rPr>
        <w:t>Technical manual</w:t>
      </w:r>
    </w:p>
    <w:p w:rsidR="002A1000" w:rsidRPr="00E87EFF" w:rsidRDefault="00C957BF" w:rsidP="002A1000">
      <w:pPr>
        <w:pStyle w:val="ListParagraph"/>
        <w:numPr>
          <w:ilvl w:val="0"/>
          <w:numId w:val="17"/>
        </w:numPr>
        <w:rPr>
          <w:rFonts w:ascii="Arial" w:hAnsi="Arial"/>
          <w:szCs w:val="20"/>
        </w:rPr>
      </w:pPr>
      <w:r w:rsidRPr="00E87EFF">
        <w:rPr>
          <w:rFonts w:ascii="Arial" w:hAnsi="Arial"/>
          <w:szCs w:val="20"/>
        </w:rPr>
        <w:t>Tools for analysis</w:t>
      </w:r>
    </w:p>
    <w:p w:rsidR="00EF50DD" w:rsidRDefault="00EF50DD" w:rsidP="009807A3">
      <w:pPr>
        <w:rPr>
          <w:rFonts w:cs="Times New Roman"/>
        </w:rPr>
      </w:pPr>
    </w:p>
    <w:sectPr w:rsidR="00EF50DD" w:rsidSect="00EF50DD">
      <w:headerReference w:type="default" r:id="rId8"/>
      <w:footerReference w:type="default" r:id="rId9"/>
      <w:headerReference w:type="first" r:id="rId10"/>
      <w:pgSz w:w="11900" w:h="16840" w:code="9"/>
      <w:pgMar w:top="1440" w:right="1440" w:bottom="1440" w:left="1440" w:header="709"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0C42" w:rsidRDefault="00310C42">
      <w:pPr>
        <w:rPr>
          <w:rFonts w:cs="Times New Roman"/>
        </w:rPr>
      </w:pPr>
      <w:r>
        <w:rPr>
          <w:rFonts w:cs="Times New Roman"/>
        </w:rPr>
        <w:separator/>
      </w:r>
    </w:p>
  </w:endnote>
  <w:endnote w:type="continuationSeparator" w:id="0">
    <w:p w:rsidR="00310C42" w:rsidRDefault="00310C42">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
    <w:altName w:val="Arial Unicode MS"/>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Lucida Grande">
    <w:altName w:val="Arial"/>
    <w:charset w:val="00"/>
    <w:family w:val="auto"/>
    <w:pitch w:val="variable"/>
    <w:sig w:usb0="E1001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FrutigerLTStd-Light">
    <w:altName w:val="MS Gothic"/>
    <w:panose1 w:val="00000000000000000000"/>
    <w:charset w:val="80"/>
    <w:family w:val="swiss"/>
    <w:notTrueType/>
    <w:pitch w:val="default"/>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FE8" w:rsidRDefault="00760FE8" w:rsidP="00904889">
    <w:pPr>
      <w:pStyle w:val="Footer"/>
      <w:jc w:val="center"/>
      <w:rPr>
        <w:color w:val="7F1416"/>
        <w:sz w:val="18"/>
        <w:szCs w:val="18"/>
      </w:rPr>
    </w:pPr>
  </w:p>
  <w:p w:rsidR="00760FE8" w:rsidRDefault="00760FE8" w:rsidP="00904889">
    <w:pPr>
      <w:pStyle w:val="Footer"/>
      <w:jc w:val="center"/>
      <w:rPr>
        <w:color w:val="7F1416"/>
        <w:sz w:val="18"/>
        <w:szCs w:val="18"/>
      </w:rPr>
    </w:pPr>
    <w:r>
      <w:rPr>
        <w:color w:val="7F1416"/>
        <w:sz w:val="18"/>
        <w:szCs w:val="18"/>
      </w:rPr>
      <w:t>__________________________________________________________________________________________</w:t>
    </w:r>
  </w:p>
  <w:p w:rsidR="00760FE8" w:rsidRDefault="00760FE8" w:rsidP="00904889">
    <w:pPr>
      <w:pStyle w:val="Footer"/>
      <w:jc w:val="center"/>
      <w:rPr>
        <w:color w:val="7F1416"/>
        <w:sz w:val="18"/>
        <w:szCs w:val="18"/>
      </w:rPr>
    </w:pPr>
  </w:p>
  <w:p w:rsidR="003D45EB" w:rsidRPr="00904889" w:rsidRDefault="00760FE8" w:rsidP="00904889">
    <w:pPr>
      <w:pStyle w:val="Footer"/>
      <w:jc w:val="center"/>
      <w:rPr>
        <w:rFonts w:cs="Times New Roman"/>
        <w:sz w:val="16"/>
        <w:szCs w:val="16"/>
      </w:rPr>
    </w:pPr>
    <w:r w:rsidRPr="00B2499F">
      <w:rPr>
        <w:color w:val="7F1416"/>
        <w:sz w:val="18"/>
        <w:szCs w:val="18"/>
      </w:rPr>
      <w:t>www.sheltercluster.org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0C42" w:rsidRDefault="00310C42">
      <w:pPr>
        <w:rPr>
          <w:rFonts w:cs="Times New Roman"/>
        </w:rPr>
      </w:pPr>
      <w:r>
        <w:rPr>
          <w:rFonts w:cs="Times New Roman"/>
        </w:rPr>
        <w:separator/>
      </w:r>
    </w:p>
  </w:footnote>
  <w:footnote w:type="continuationSeparator" w:id="0">
    <w:p w:rsidR="00310C42" w:rsidRDefault="00310C42">
      <w:pPr>
        <w:rPr>
          <w:rFonts w:cs="Times New Roman"/>
        </w:rPr>
      </w:pPr>
      <w:r>
        <w:rPr>
          <w:rFonts w:cs="Times New Roman"/>
        </w:rPr>
        <w:continuationSeparator/>
      </w:r>
    </w:p>
  </w:footnote>
  <w:footnote w:id="1">
    <w:p w:rsidR="00F90B0D" w:rsidRPr="00E87EFF" w:rsidRDefault="00F90B0D">
      <w:pPr>
        <w:pStyle w:val="FootnoteText"/>
        <w:rPr>
          <w:sz w:val="16"/>
          <w:szCs w:val="16"/>
        </w:rPr>
      </w:pPr>
      <w:r w:rsidRPr="00E87EFF">
        <w:rPr>
          <w:rStyle w:val="FootnoteReference"/>
          <w:sz w:val="16"/>
          <w:szCs w:val="16"/>
        </w:rPr>
        <w:footnoteRef/>
      </w:r>
      <w:r w:rsidRPr="00E87EFF">
        <w:rPr>
          <w:sz w:val="16"/>
          <w:szCs w:val="16"/>
        </w:rPr>
        <w:t xml:space="preserve"> According to a recent </w:t>
      </w:r>
      <w:r w:rsidR="007C307E" w:rsidRPr="00E87EFF">
        <w:rPr>
          <w:sz w:val="16"/>
          <w:szCs w:val="16"/>
        </w:rPr>
        <w:t>review of 30 analysis frameworks</w:t>
      </w:r>
      <w:r w:rsidRPr="00E87EFF">
        <w:rPr>
          <w:sz w:val="16"/>
          <w:szCs w:val="16"/>
        </w:rPr>
        <w:t xml:space="preserve"> done for the J</w:t>
      </w:r>
      <w:r w:rsidR="004F0DC9" w:rsidRPr="00E87EFF">
        <w:rPr>
          <w:sz w:val="16"/>
          <w:szCs w:val="16"/>
        </w:rPr>
        <w:t xml:space="preserve">oint </w:t>
      </w:r>
      <w:r w:rsidRPr="00E87EFF">
        <w:rPr>
          <w:sz w:val="16"/>
          <w:szCs w:val="16"/>
        </w:rPr>
        <w:t>I</w:t>
      </w:r>
      <w:r w:rsidR="004F0DC9" w:rsidRPr="00E87EFF">
        <w:rPr>
          <w:sz w:val="16"/>
          <w:szCs w:val="16"/>
        </w:rPr>
        <w:t xml:space="preserve">nter-sectoral </w:t>
      </w:r>
      <w:r w:rsidRPr="00E87EFF">
        <w:rPr>
          <w:sz w:val="16"/>
          <w:szCs w:val="16"/>
        </w:rPr>
        <w:t>A</w:t>
      </w:r>
      <w:r w:rsidR="004F0DC9" w:rsidRPr="00E87EFF">
        <w:rPr>
          <w:sz w:val="16"/>
          <w:szCs w:val="16"/>
        </w:rPr>
        <w:t xml:space="preserve">nalysis </w:t>
      </w:r>
      <w:r w:rsidRPr="00E87EFF">
        <w:rPr>
          <w:sz w:val="16"/>
          <w:szCs w:val="16"/>
        </w:rPr>
        <w:t>G</w:t>
      </w:r>
      <w:r w:rsidR="004F0DC9" w:rsidRPr="00E87EFF">
        <w:rPr>
          <w:sz w:val="16"/>
          <w:szCs w:val="16"/>
        </w:rPr>
        <w:t>roup</w:t>
      </w:r>
    </w:p>
  </w:footnote>
  <w:footnote w:id="2">
    <w:p w:rsidR="00EC630B" w:rsidRDefault="00EC630B">
      <w:pPr>
        <w:pStyle w:val="FootnoteText"/>
      </w:pPr>
      <w:r w:rsidRPr="00E87EFF">
        <w:rPr>
          <w:rStyle w:val="FootnoteReference"/>
          <w:sz w:val="16"/>
          <w:szCs w:val="16"/>
        </w:rPr>
        <w:footnoteRef/>
      </w:r>
      <w:r w:rsidRPr="00E87EFF">
        <w:rPr>
          <w:sz w:val="16"/>
          <w:szCs w:val="16"/>
        </w:rPr>
        <w:t xml:space="preserve"> IPC </w:t>
      </w:r>
      <w:r w:rsidR="004F0DC9" w:rsidRPr="00E87EFF">
        <w:rPr>
          <w:sz w:val="16"/>
          <w:szCs w:val="16"/>
        </w:rPr>
        <w:t xml:space="preserve">Technical </w:t>
      </w:r>
      <w:r w:rsidRPr="00E87EFF">
        <w:rPr>
          <w:sz w:val="16"/>
          <w:szCs w:val="16"/>
        </w:rPr>
        <w:t xml:space="preserve">Manual </w:t>
      </w:r>
      <w:r w:rsidR="004F0DC9" w:rsidRPr="00E87EFF">
        <w:rPr>
          <w:sz w:val="16"/>
          <w:szCs w:val="16"/>
        </w:rPr>
        <w:t>(</w:t>
      </w:r>
      <w:r w:rsidRPr="00E87EFF">
        <w:rPr>
          <w:sz w:val="16"/>
          <w:szCs w:val="16"/>
        </w:rPr>
        <w:t>version 2</w:t>
      </w:r>
      <w:r w:rsidR="004F0DC9" w:rsidRPr="00E87EFF">
        <w:rPr>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5EB" w:rsidRPr="00A8035D" w:rsidRDefault="00A8035D" w:rsidP="00A8035D">
    <w:pPr>
      <w:pStyle w:val="Header"/>
      <w:rPr>
        <w:rFonts w:ascii="Verdana" w:hAnsi="Verdana"/>
        <w:szCs w:val="20"/>
      </w:rPr>
    </w:pPr>
    <w:r>
      <w:rPr>
        <w:rFonts w:ascii="Verdana" w:hAnsi="Verdana"/>
        <w:b/>
        <w:noProof/>
        <w:color w:val="7F1416"/>
        <w:szCs w:val="20"/>
        <w:lang w:val="en-GB" w:eastAsia="en-GB"/>
      </w:rPr>
      <w:drawing>
        <wp:inline distT="0" distB="0" distL="0" distR="0" wp14:anchorId="06B5654A" wp14:editId="77FB7091">
          <wp:extent cx="2775385" cy="36000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SC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75385" cy="360000"/>
                  </a:xfrm>
                  <a:prstGeom prst="rect">
                    <a:avLst/>
                  </a:prstGeom>
                </pic:spPr>
              </pic:pic>
            </a:graphicData>
          </a:graphic>
        </wp:inline>
      </w:drawing>
    </w:r>
    <w:r w:rsidR="00310C42">
      <w:rPr>
        <w:rFonts w:ascii="Verdana" w:hAnsi="Verdana"/>
        <w:b/>
        <w:noProof/>
        <w:color w:val="7F1416"/>
        <w:szCs w:val="20"/>
        <w:lang w:eastAsia="zh-TW"/>
      </w:rPr>
      <w:pict w14:anchorId="669493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Pr>
        <w:rFonts w:ascii="Verdana" w:hAnsi="Verdana"/>
        <w:b/>
        <w:color w:val="7F1416"/>
        <w:szCs w:val="20"/>
      </w:rPr>
      <w:tab/>
    </w:r>
    <w:r>
      <w:rPr>
        <w:rFonts w:ascii="Verdana" w:hAnsi="Verdana"/>
        <w:b/>
        <w:szCs w:val="20"/>
      </w:rPr>
      <w:t>Annex A</w:t>
    </w:r>
  </w:p>
  <w:p w:rsidR="003D45EB" w:rsidRDefault="003D45EB" w:rsidP="00904889">
    <w:pPr>
      <w:pStyle w:val="Header"/>
      <w:jc w:val="center"/>
      <w:rPr>
        <w:rFonts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0DD" w:rsidRDefault="00A8035D" w:rsidP="00EF50DD">
    <w:pPr>
      <w:pStyle w:val="Header"/>
    </w:pPr>
    <w:r>
      <w:rPr>
        <w:noProof/>
        <w:lang w:val="en-GB" w:eastAsia="en-GB"/>
      </w:rPr>
      <w:drawing>
        <wp:inline distT="0" distB="0" distL="0" distR="0" wp14:anchorId="62DDD473" wp14:editId="6BFA4311">
          <wp:extent cx="2775385" cy="36000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SC logo.png"/>
                  <pic:cNvPicPr/>
                </pic:nvPicPr>
                <pic:blipFill>
                  <a:blip r:embed="rId1">
                    <a:extLst>
                      <a:ext uri="{28A0092B-C50C-407E-A947-70E740481C1C}">
                        <a14:useLocalDpi xmlns:a14="http://schemas.microsoft.com/office/drawing/2010/main" val="0"/>
                      </a:ext>
                    </a:extLst>
                  </a:blip>
                  <a:stretch>
                    <a:fillRect/>
                  </a:stretch>
                </pic:blipFill>
                <pic:spPr>
                  <a:xfrm>
                    <a:off x="0" y="0"/>
                    <a:ext cx="2775385" cy="360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0DE5"/>
    <w:multiLevelType w:val="hybridMultilevel"/>
    <w:tmpl w:val="5E66D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3F57B3"/>
    <w:multiLevelType w:val="hybridMultilevel"/>
    <w:tmpl w:val="6B842B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0A36DD"/>
    <w:multiLevelType w:val="hybridMultilevel"/>
    <w:tmpl w:val="F9303D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B6D0FB9"/>
    <w:multiLevelType w:val="hybridMultilevel"/>
    <w:tmpl w:val="90F458B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B91C36"/>
    <w:multiLevelType w:val="hybridMultilevel"/>
    <w:tmpl w:val="FBA458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E2F3246"/>
    <w:multiLevelType w:val="hybridMultilevel"/>
    <w:tmpl w:val="DEA88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0B2CFF"/>
    <w:multiLevelType w:val="hybridMultilevel"/>
    <w:tmpl w:val="E256A3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E1E6656"/>
    <w:multiLevelType w:val="hybridMultilevel"/>
    <w:tmpl w:val="4CAA72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8458DD"/>
    <w:multiLevelType w:val="hybridMultilevel"/>
    <w:tmpl w:val="A2401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ED050B"/>
    <w:multiLevelType w:val="multilevel"/>
    <w:tmpl w:val="865CD692"/>
    <w:styleLink w:val="Style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3C31F47"/>
    <w:multiLevelType w:val="multilevel"/>
    <w:tmpl w:val="60982A2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6B0A2E80"/>
    <w:multiLevelType w:val="hybridMultilevel"/>
    <w:tmpl w:val="8DA80A4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EBC6542"/>
    <w:multiLevelType w:val="hybridMultilevel"/>
    <w:tmpl w:val="B6485B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76C52687"/>
    <w:multiLevelType w:val="hybridMultilevel"/>
    <w:tmpl w:val="73FE5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B245FC6"/>
    <w:multiLevelType w:val="hybridMultilevel"/>
    <w:tmpl w:val="DDB052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5"/>
  </w:num>
  <w:num w:numId="4">
    <w:abstractNumId w:val="7"/>
  </w:num>
  <w:num w:numId="5">
    <w:abstractNumId w:val="6"/>
  </w:num>
  <w:num w:numId="6">
    <w:abstractNumId w:val="2"/>
  </w:num>
  <w:num w:numId="7">
    <w:abstractNumId w:val="0"/>
  </w:num>
  <w:num w:numId="8">
    <w:abstractNumId w:val="3"/>
  </w:num>
  <w:num w:numId="9">
    <w:abstractNumId w:val="10"/>
  </w:num>
  <w:num w:numId="10">
    <w:abstractNumId w:val="1"/>
  </w:num>
  <w:num w:numId="11">
    <w:abstractNumId w:val="11"/>
  </w:num>
  <w:num w:numId="12">
    <w:abstractNumId w:val="12"/>
  </w:num>
  <w:num w:numId="13">
    <w:abstractNumId w:val="14"/>
  </w:num>
  <w:num w:numId="14">
    <w:abstractNumId w:val="4"/>
  </w:num>
  <w:num w:numId="15">
    <w:abstractNumId w:val="12"/>
  </w:num>
  <w:num w:numId="16">
    <w:abstractNumId w:val="14"/>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proofState w:spelling="clean" w:grammar="clean"/>
  <w:defaultTabStop w:val="720"/>
  <w:doNotHyphenateCaps/>
  <w:drawingGridHorizontalSpacing w:val="360"/>
  <w:drawingGridVerticalSpacing w:val="360"/>
  <w:displayHorizontalDrawingGridEvery w:val="0"/>
  <w:displayVerticalDrawingGridEvery w:val="0"/>
  <w:characterSpacingControl w:val="doNotCompress"/>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3E9"/>
    <w:rsid w:val="000254C1"/>
    <w:rsid w:val="00030F67"/>
    <w:rsid w:val="0003253A"/>
    <w:rsid w:val="00043C2F"/>
    <w:rsid w:val="00053B76"/>
    <w:rsid w:val="00057CBD"/>
    <w:rsid w:val="00065DA6"/>
    <w:rsid w:val="00092BFC"/>
    <w:rsid w:val="000C2ECE"/>
    <w:rsid w:val="00102CD1"/>
    <w:rsid w:val="001043E1"/>
    <w:rsid w:val="00111F14"/>
    <w:rsid w:val="001162A4"/>
    <w:rsid w:val="00136E9C"/>
    <w:rsid w:val="00144A02"/>
    <w:rsid w:val="00157935"/>
    <w:rsid w:val="00163E4E"/>
    <w:rsid w:val="001912F0"/>
    <w:rsid w:val="001A0E1A"/>
    <w:rsid w:val="001A72AC"/>
    <w:rsid w:val="001D2730"/>
    <w:rsid w:val="001E0E66"/>
    <w:rsid w:val="001E1078"/>
    <w:rsid w:val="001F2C1F"/>
    <w:rsid w:val="001F4F10"/>
    <w:rsid w:val="002011EC"/>
    <w:rsid w:val="00206E6C"/>
    <w:rsid w:val="00220BA1"/>
    <w:rsid w:val="0024190E"/>
    <w:rsid w:val="002461E6"/>
    <w:rsid w:val="00270A58"/>
    <w:rsid w:val="00283277"/>
    <w:rsid w:val="002A1000"/>
    <w:rsid w:val="002C4F14"/>
    <w:rsid w:val="00310C42"/>
    <w:rsid w:val="00321B32"/>
    <w:rsid w:val="00330359"/>
    <w:rsid w:val="00331AAC"/>
    <w:rsid w:val="00341A93"/>
    <w:rsid w:val="00351B70"/>
    <w:rsid w:val="00360647"/>
    <w:rsid w:val="00364DA9"/>
    <w:rsid w:val="003721A8"/>
    <w:rsid w:val="00377CF7"/>
    <w:rsid w:val="00385DDC"/>
    <w:rsid w:val="003C6729"/>
    <w:rsid w:val="003D45EB"/>
    <w:rsid w:val="00400347"/>
    <w:rsid w:val="00430AA5"/>
    <w:rsid w:val="00436A96"/>
    <w:rsid w:val="00452349"/>
    <w:rsid w:val="00495741"/>
    <w:rsid w:val="004A58E5"/>
    <w:rsid w:val="004A610D"/>
    <w:rsid w:val="004C33AA"/>
    <w:rsid w:val="004D2C59"/>
    <w:rsid w:val="004F0DC9"/>
    <w:rsid w:val="004F25FE"/>
    <w:rsid w:val="004F2F69"/>
    <w:rsid w:val="005228BD"/>
    <w:rsid w:val="00541ECC"/>
    <w:rsid w:val="00546721"/>
    <w:rsid w:val="005525CA"/>
    <w:rsid w:val="00557470"/>
    <w:rsid w:val="005C6E08"/>
    <w:rsid w:val="005D433D"/>
    <w:rsid w:val="005E23E9"/>
    <w:rsid w:val="005E74AE"/>
    <w:rsid w:val="006000C6"/>
    <w:rsid w:val="0062321F"/>
    <w:rsid w:val="0065085E"/>
    <w:rsid w:val="006520E8"/>
    <w:rsid w:val="00662470"/>
    <w:rsid w:val="006C15D7"/>
    <w:rsid w:val="006C40E5"/>
    <w:rsid w:val="006C5B94"/>
    <w:rsid w:val="006F0BB7"/>
    <w:rsid w:val="00715288"/>
    <w:rsid w:val="00724095"/>
    <w:rsid w:val="00754E9D"/>
    <w:rsid w:val="00760FE8"/>
    <w:rsid w:val="00762862"/>
    <w:rsid w:val="0076426C"/>
    <w:rsid w:val="007678E0"/>
    <w:rsid w:val="00781262"/>
    <w:rsid w:val="0079283B"/>
    <w:rsid w:val="007C307E"/>
    <w:rsid w:val="007E05A3"/>
    <w:rsid w:val="007E2DC2"/>
    <w:rsid w:val="00802DB1"/>
    <w:rsid w:val="00815E7F"/>
    <w:rsid w:val="00817B5C"/>
    <w:rsid w:val="0082057D"/>
    <w:rsid w:val="008412FC"/>
    <w:rsid w:val="00850221"/>
    <w:rsid w:val="00874101"/>
    <w:rsid w:val="008A3CCD"/>
    <w:rsid w:val="008C0EA7"/>
    <w:rsid w:val="008D0D5D"/>
    <w:rsid w:val="008E0F67"/>
    <w:rsid w:val="008E0FCC"/>
    <w:rsid w:val="008E50B2"/>
    <w:rsid w:val="008F2D0F"/>
    <w:rsid w:val="00904889"/>
    <w:rsid w:val="009139CE"/>
    <w:rsid w:val="009164B3"/>
    <w:rsid w:val="00926E31"/>
    <w:rsid w:val="0092766D"/>
    <w:rsid w:val="0094301C"/>
    <w:rsid w:val="009459A1"/>
    <w:rsid w:val="00947DB6"/>
    <w:rsid w:val="00952BDB"/>
    <w:rsid w:val="00962D20"/>
    <w:rsid w:val="009807A3"/>
    <w:rsid w:val="009A759F"/>
    <w:rsid w:val="009B56D0"/>
    <w:rsid w:val="009C0B48"/>
    <w:rsid w:val="009C1129"/>
    <w:rsid w:val="009E26F1"/>
    <w:rsid w:val="009F2F2F"/>
    <w:rsid w:val="009F674C"/>
    <w:rsid w:val="009F78C6"/>
    <w:rsid w:val="00A11E91"/>
    <w:rsid w:val="00A2213B"/>
    <w:rsid w:val="00A24A19"/>
    <w:rsid w:val="00A27A93"/>
    <w:rsid w:val="00A42F72"/>
    <w:rsid w:val="00A54562"/>
    <w:rsid w:val="00A8035D"/>
    <w:rsid w:val="00AA2713"/>
    <w:rsid w:val="00AA3D57"/>
    <w:rsid w:val="00AB7110"/>
    <w:rsid w:val="00AE5068"/>
    <w:rsid w:val="00AE7063"/>
    <w:rsid w:val="00B02D7F"/>
    <w:rsid w:val="00B0379E"/>
    <w:rsid w:val="00B230DA"/>
    <w:rsid w:val="00B44098"/>
    <w:rsid w:val="00B9198E"/>
    <w:rsid w:val="00B9325E"/>
    <w:rsid w:val="00BC5EC2"/>
    <w:rsid w:val="00C05694"/>
    <w:rsid w:val="00C17341"/>
    <w:rsid w:val="00C31CA4"/>
    <w:rsid w:val="00C407B0"/>
    <w:rsid w:val="00C55D7B"/>
    <w:rsid w:val="00C61641"/>
    <w:rsid w:val="00C643E5"/>
    <w:rsid w:val="00C82660"/>
    <w:rsid w:val="00C87235"/>
    <w:rsid w:val="00C938C5"/>
    <w:rsid w:val="00C957BF"/>
    <w:rsid w:val="00CD0D74"/>
    <w:rsid w:val="00CD1880"/>
    <w:rsid w:val="00D11045"/>
    <w:rsid w:val="00D13017"/>
    <w:rsid w:val="00D34A29"/>
    <w:rsid w:val="00D52CCC"/>
    <w:rsid w:val="00D55BE4"/>
    <w:rsid w:val="00D63E01"/>
    <w:rsid w:val="00D71AE3"/>
    <w:rsid w:val="00D9511A"/>
    <w:rsid w:val="00DA2749"/>
    <w:rsid w:val="00DA711A"/>
    <w:rsid w:val="00DC09A1"/>
    <w:rsid w:val="00DC0E1C"/>
    <w:rsid w:val="00DF2692"/>
    <w:rsid w:val="00E02F24"/>
    <w:rsid w:val="00E04A96"/>
    <w:rsid w:val="00E04C86"/>
    <w:rsid w:val="00E148D2"/>
    <w:rsid w:val="00E35EF0"/>
    <w:rsid w:val="00E65438"/>
    <w:rsid w:val="00E87EFF"/>
    <w:rsid w:val="00E91263"/>
    <w:rsid w:val="00EB6179"/>
    <w:rsid w:val="00EC2EDF"/>
    <w:rsid w:val="00EC630B"/>
    <w:rsid w:val="00ED62AA"/>
    <w:rsid w:val="00EF50DD"/>
    <w:rsid w:val="00F02D73"/>
    <w:rsid w:val="00F0656D"/>
    <w:rsid w:val="00F3260B"/>
    <w:rsid w:val="00F33793"/>
    <w:rsid w:val="00F34D5D"/>
    <w:rsid w:val="00F76940"/>
    <w:rsid w:val="00F81D80"/>
    <w:rsid w:val="00F86084"/>
    <w:rsid w:val="00F90B0D"/>
    <w:rsid w:val="00F9148D"/>
    <w:rsid w:val="00FA003D"/>
    <w:rsid w:val="00FA29DD"/>
    <w:rsid w:val="00FA7877"/>
    <w:rsid w:val="00FC4D94"/>
    <w:rsid w:val="00FE1F47"/>
    <w:rsid w:val="00FE3A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6101684C"/>
  <w15:docId w15:val="{7A491CE4-6986-4FE7-813C-6BD8F1174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 w:hAnsi="Cambria"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0E1A"/>
    <w:pPr>
      <w:jc w:val="both"/>
    </w:pPr>
    <w:rPr>
      <w:rFonts w:ascii="Arial" w:hAnsi="Arial" w:cs="Arial"/>
      <w:szCs w:val="24"/>
      <w:lang w:val="en-US" w:eastAsia="en-US"/>
    </w:rPr>
  </w:style>
  <w:style w:type="paragraph" w:styleId="Heading1">
    <w:name w:val="heading 1"/>
    <w:basedOn w:val="Normal"/>
    <w:next w:val="Normal"/>
    <w:link w:val="Heading1Char"/>
    <w:qFormat/>
    <w:locked/>
    <w:rsid w:val="00270A58"/>
    <w:pPr>
      <w:keepNext/>
      <w:spacing w:before="240" w:after="60"/>
      <w:outlineLvl w:val="0"/>
    </w:pPr>
    <w:rPr>
      <w:rFonts w:ascii="Calibri Light" w:eastAsia="Times New Roman" w:hAnsi="Calibri Light" w:cs="Times New Roman"/>
      <w:b/>
      <w:bCs/>
      <w:kern w:val="32"/>
      <w:sz w:val="32"/>
      <w:szCs w:val="32"/>
    </w:rPr>
  </w:style>
  <w:style w:type="paragraph" w:styleId="Heading2">
    <w:name w:val="heading 2"/>
    <w:basedOn w:val="Normal"/>
    <w:next w:val="Normal"/>
    <w:link w:val="Heading2Char"/>
    <w:unhideWhenUsed/>
    <w:qFormat/>
    <w:locked/>
    <w:rsid w:val="00270A58"/>
    <w:pPr>
      <w:keepNext/>
      <w:spacing w:before="240" w:after="60"/>
      <w:outlineLvl w:val="1"/>
    </w:pPr>
    <w:rPr>
      <w:rFonts w:ascii="Calibri Light" w:eastAsia="Times New Roman" w:hAnsi="Calibri Light" w:cs="Times New Roman"/>
      <w:b/>
      <w:bCs/>
      <w:i/>
      <w:iCs/>
      <w:sz w:val="28"/>
      <w:szCs w:val="28"/>
    </w:rPr>
  </w:style>
  <w:style w:type="paragraph" w:styleId="Heading3">
    <w:name w:val="heading 3"/>
    <w:basedOn w:val="Normal"/>
    <w:next w:val="Normal"/>
    <w:link w:val="Heading3Char"/>
    <w:unhideWhenUsed/>
    <w:qFormat/>
    <w:locked/>
    <w:rsid w:val="00270A58"/>
    <w:pPr>
      <w:keepNext/>
      <w:spacing w:before="240" w:after="60"/>
      <w:outlineLvl w:val="2"/>
    </w:pPr>
    <w:rPr>
      <w:rFonts w:ascii="Calibri Light" w:eastAsia="Times New Roman"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164B3"/>
    <w:pPr>
      <w:jc w:val="left"/>
    </w:pPr>
    <w:rPr>
      <w:rFonts w:ascii="Lucida Grande" w:hAnsi="Lucida Grande" w:cs="Lucida Grande"/>
      <w:sz w:val="18"/>
      <w:szCs w:val="18"/>
      <w:lang w:val="en-GB" w:eastAsia="ja-JP"/>
    </w:rPr>
  </w:style>
  <w:style w:type="character" w:customStyle="1" w:styleId="BalloonTextChar">
    <w:name w:val="Balloon Text Char"/>
    <w:link w:val="BalloonText"/>
    <w:uiPriority w:val="99"/>
    <w:semiHidden/>
    <w:locked/>
    <w:rsid w:val="009164B3"/>
    <w:rPr>
      <w:rFonts w:ascii="Lucida Grande" w:hAnsi="Lucida Grande" w:cs="Lucida Grande"/>
      <w:sz w:val="18"/>
      <w:szCs w:val="18"/>
      <w:lang w:val="en-GB" w:eastAsia="x-none"/>
    </w:rPr>
  </w:style>
  <w:style w:type="character" w:styleId="CommentReference">
    <w:name w:val="annotation reference"/>
    <w:uiPriority w:val="99"/>
    <w:semiHidden/>
    <w:rsid w:val="005E23E9"/>
    <w:rPr>
      <w:sz w:val="16"/>
      <w:szCs w:val="16"/>
    </w:rPr>
  </w:style>
  <w:style w:type="paragraph" w:styleId="CommentText">
    <w:name w:val="annotation text"/>
    <w:basedOn w:val="Normal"/>
    <w:link w:val="CommentTextChar"/>
    <w:uiPriority w:val="99"/>
    <w:semiHidden/>
    <w:rsid w:val="005E23E9"/>
  </w:style>
  <w:style w:type="character" w:customStyle="1" w:styleId="CommentTextChar">
    <w:name w:val="Comment Text Char"/>
    <w:link w:val="CommentText"/>
    <w:uiPriority w:val="99"/>
    <w:semiHidden/>
    <w:locked/>
    <w:rsid w:val="005E23E9"/>
    <w:rPr>
      <w:rFonts w:ascii="Arial" w:hAnsi="Arial" w:cs="Arial"/>
      <w:sz w:val="20"/>
      <w:szCs w:val="20"/>
      <w:lang w:val="x-none" w:eastAsia="en-US"/>
    </w:rPr>
  </w:style>
  <w:style w:type="paragraph" w:styleId="Header">
    <w:name w:val="header"/>
    <w:basedOn w:val="Normal"/>
    <w:link w:val="HeaderChar"/>
    <w:uiPriority w:val="99"/>
    <w:rsid w:val="00904889"/>
    <w:pPr>
      <w:tabs>
        <w:tab w:val="center" w:pos="4153"/>
        <w:tab w:val="right" w:pos="8306"/>
      </w:tabs>
    </w:pPr>
  </w:style>
  <w:style w:type="character" w:customStyle="1" w:styleId="HeaderChar">
    <w:name w:val="Header Char"/>
    <w:link w:val="Header"/>
    <w:uiPriority w:val="99"/>
    <w:locked/>
    <w:rPr>
      <w:rFonts w:ascii="Arial" w:hAnsi="Arial" w:cs="Arial"/>
      <w:sz w:val="24"/>
      <w:szCs w:val="24"/>
    </w:rPr>
  </w:style>
  <w:style w:type="paragraph" w:styleId="Footer">
    <w:name w:val="footer"/>
    <w:basedOn w:val="Normal"/>
    <w:link w:val="FooterChar"/>
    <w:uiPriority w:val="99"/>
    <w:rsid w:val="00904889"/>
    <w:pPr>
      <w:tabs>
        <w:tab w:val="center" w:pos="4153"/>
        <w:tab w:val="right" w:pos="8306"/>
      </w:tabs>
    </w:pPr>
  </w:style>
  <w:style w:type="character" w:customStyle="1" w:styleId="FooterChar">
    <w:name w:val="Footer Char"/>
    <w:link w:val="Footer"/>
    <w:uiPriority w:val="99"/>
    <w:semiHidden/>
    <w:locked/>
    <w:rPr>
      <w:rFonts w:ascii="Arial" w:hAnsi="Arial" w:cs="Arial"/>
      <w:sz w:val="24"/>
      <w:szCs w:val="24"/>
    </w:rPr>
  </w:style>
  <w:style w:type="character" w:styleId="PageNumber">
    <w:name w:val="page number"/>
    <w:basedOn w:val="DefaultParagraphFont"/>
    <w:uiPriority w:val="99"/>
    <w:rsid w:val="00904889"/>
  </w:style>
  <w:style w:type="numbering" w:customStyle="1" w:styleId="Style1">
    <w:name w:val="Style1"/>
    <w:rsid w:val="00E94B73"/>
    <w:pPr>
      <w:numPr>
        <w:numId w:val="1"/>
      </w:numPr>
    </w:pPr>
  </w:style>
  <w:style w:type="paragraph" w:styleId="Quote">
    <w:name w:val="Quote"/>
    <w:basedOn w:val="Normal"/>
    <w:next w:val="Normal"/>
    <w:link w:val="QuoteChar"/>
    <w:uiPriority w:val="29"/>
    <w:qFormat/>
    <w:rsid w:val="00C643E5"/>
    <w:pPr>
      <w:spacing w:after="200" w:line="276" w:lineRule="auto"/>
      <w:jc w:val="left"/>
    </w:pPr>
    <w:rPr>
      <w:rFonts w:ascii="Calibri" w:eastAsia="MS Mincho" w:hAnsi="Calibri"/>
      <w:i/>
      <w:iCs/>
      <w:color w:val="000000"/>
      <w:sz w:val="22"/>
      <w:szCs w:val="22"/>
      <w:lang w:eastAsia="ja-JP"/>
    </w:rPr>
  </w:style>
  <w:style w:type="character" w:customStyle="1" w:styleId="QuoteChar">
    <w:name w:val="Quote Char"/>
    <w:link w:val="Quote"/>
    <w:uiPriority w:val="29"/>
    <w:rsid w:val="00C643E5"/>
    <w:rPr>
      <w:rFonts w:ascii="Calibri" w:eastAsia="MS Mincho" w:hAnsi="Calibri" w:cs="Arial"/>
      <w:i/>
      <w:iCs/>
      <w:color w:val="000000"/>
      <w:sz w:val="22"/>
      <w:szCs w:val="22"/>
      <w:lang w:eastAsia="ja-JP"/>
    </w:rPr>
  </w:style>
  <w:style w:type="character" w:customStyle="1" w:styleId="Heading1Char">
    <w:name w:val="Heading 1 Char"/>
    <w:link w:val="Heading1"/>
    <w:rsid w:val="00270A58"/>
    <w:rPr>
      <w:rFonts w:ascii="Calibri Light" w:eastAsia="Times New Roman" w:hAnsi="Calibri Light" w:cs="Times New Roman"/>
      <w:b/>
      <w:bCs/>
      <w:kern w:val="32"/>
      <w:sz w:val="32"/>
      <w:szCs w:val="32"/>
    </w:rPr>
  </w:style>
  <w:style w:type="character" w:customStyle="1" w:styleId="Heading2Char">
    <w:name w:val="Heading 2 Char"/>
    <w:link w:val="Heading2"/>
    <w:rsid w:val="00270A58"/>
    <w:rPr>
      <w:rFonts w:ascii="Calibri Light" w:eastAsia="Times New Roman" w:hAnsi="Calibri Light" w:cs="Times New Roman"/>
      <w:b/>
      <w:bCs/>
      <w:i/>
      <w:iCs/>
      <w:sz w:val="28"/>
      <w:szCs w:val="28"/>
    </w:rPr>
  </w:style>
  <w:style w:type="character" w:customStyle="1" w:styleId="Heading3Char">
    <w:name w:val="Heading 3 Char"/>
    <w:link w:val="Heading3"/>
    <w:rsid w:val="00270A58"/>
    <w:rPr>
      <w:rFonts w:ascii="Calibri Light" w:eastAsia="Times New Roman" w:hAnsi="Calibri Light" w:cs="Times New Roman"/>
      <w:b/>
      <w:bCs/>
      <w:sz w:val="26"/>
      <w:szCs w:val="26"/>
    </w:rPr>
  </w:style>
  <w:style w:type="paragraph" w:styleId="Title">
    <w:name w:val="Title"/>
    <w:basedOn w:val="Normal"/>
    <w:next w:val="Normal"/>
    <w:link w:val="TitleChar"/>
    <w:uiPriority w:val="10"/>
    <w:qFormat/>
    <w:locked/>
    <w:rsid w:val="007678E0"/>
    <w:pPr>
      <w:spacing w:after="60" w:line="276" w:lineRule="auto"/>
      <w:jc w:val="left"/>
    </w:pPr>
    <w:rPr>
      <w:rFonts w:ascii="Verdana" w:eastAsia="Times New Roman" w:hAnsi="Verdana"/>
      <w:b/>
      <w:color w:val="04314C"/>
      <w:sz w:val="44"/>
      <w:szCs w:val="44"/>
      <w:lang w:eastAsia="ja-JP"/>
    </w:rPr>
  </w:style>
  <w:style w:type="character" w:customStyle="1" w:styleId="TitleChar">
    <w:name w:val="Title Char"/>
    <w:link w:val="Title"/>
    <w:uiPriority w:val="10"/>
    <w:rsid w:val="007678E0"/>
    <w:rPr>
      <w:rFonts w:ascii="Verdana" w:eastAsia="Times New Roman" w:hAnsi="Verdana" w:cs="Arial"/>
      <w:b/>
      <w:color w:val="04314C"/>
      <w:sz w:val="44"/>
      <w:szCs w:val="44"/>
      <w:lang w:val="en-US" w:eastAsia="ja-JP"/>
    </w:rPr>
  </w:style>
  <w:style w:type="paragraph" w:styleId="FootnoteText">
    <w:name w:val="footnote text"/>
    <w:basedOn w:val="Normal"/>
    <w:link w:val="FootnoteTextChar"/>
    <w:uiPriority w:val="99"/>
    <w:semiHidden/>
    <w:unhideWhenUsed/>
    <w:rsid w:val="007678E0"/>
    <w:pPr>
      <w:jc w:val="left"/>
    </w:pPr>
    <w:rPr>
      <w:rFonts w:ascii="Arial Narrow" w:eastAsia="Times New Roman" w:hAnsi="Arial Narrow"/>
      <w:szCs w:val="20"/>
      <w:lang w:eastAsia="ja-JP"/>
    </w:rPr>
  </w:style>
  <w:style w:type="character" w:customStyle="1" w:styleId="FootnoteTextChar">
    <w:name w:val="Footnote Text Char"/>
    <w:link w:val="FootnoteText"/>
    <w:uiPriority w:val="99"/>
    <w:semiHidden/>
    <w:rsid w:val="007678E0"/>
    <w:rPr>
      <w:rFonts w:ascii="Arial Narrow" w:eastAsia="Times New Roman" w:hAnsi="Arial Narrow" w:cs="Arial"/>
      <w:lang w:val="en-US" w:eastAsia="ja-JP"/>
    </w:rPr>
  </w:style>
  <w:style w:type="character" w:styleId="FootnoteReference">
    <w:name w:val="footnote reference"/>
    <w:uiPriority w:val="99"/>
    <w:semiHidden/>
    <w:unhideWhenUsed/>
    <w:rsid w:val="007678E0"/>
    <w:rPr>
      <w:vertAlign w:val="superscript"/>
    </w:rPr>
  </w:style>
  <w:style w:type="paragraph" w:styleId="ListParagraph">
    <w:name w:val="List Paragraph"/>
    <w:basedOn w:val="Normal"/>
    <w:uiPriority w:val="34"/>
    <w:qFormat/>
    <w:rsid w:val="00E04A96"/>
    <w:pPr>
      <w:spacing w:after="60" w:line="276" w:lineRule="auto"/>
      <w:ind w:left="720"/>
      <w:contextualSpacing/>
      <w:jc w:val="left"/>
    </w:pPr>
    <w:rPr>
      <w:rFonts w:ascii="Arial Narrow" w:eastAsia="Times New Roman" w:hAnsi="Arial Narrow"/>
      <w:szCs w:val="22"/>
      <w:lang w:eastAsia="ja-JP"/>
    </w:rPr>
  </w:style>
  <w:style w:type="paragraph" w:styleId="CommentSubject">
    <w:name w:val="annotation subject"/>
    <w:basedOn w:val="CommentText"/>
    <w:next w:val="CommentText"/>
    <w:link w:val="CommentSubjectChar"/>
    <w:uiPriority w:val="99"/>
    <w:semiHidden/>
    <w:unhideWhenUsed/>
    <w:rsid w:val="00D71AE3"/>
    <w:rPr>
      <w:b/>
      <w:bCs/>
      <w:szCs w:val="20"/>
    </w:rPr>
  </w:style>
  <w:style w:type="character" w:customStyle="1" w:styleId="CommentSubjectChar">
    <w:name w:val="Comment Subject Char"/>
    <w:link w:val="CommentSubject"/>
    <w:uiPriority w:val="99"/>
    <w:semiHidden/>
    <w:rsid w:val="00D71AE3"/>
    <w:rPr>
      <w:rFonts w:ascii="Arial" w:hAnsi="Arial" w:cs="Arial"/>
      <w:b/>
      <w:bCs/>
      <w:sz w:val="20"/>
      <w:szCs w:val="20"/>
      <w:lang w:val="en-US" w:eastAsia="en-US"/>
    </w:rPr>
  </w:style>
  <w:style w:type="paragraph" w:styleId="NoSpacing">
    <w:name w:val="No Spacing"/>
    <w:basedOn w:val="Normal"/>
    <w:uiPriority w:val="1"/>
    <w:qFormat/>
    <w:rsid w:val="00043C2F"/>
    <w:pPr>
      <w:jc w:val="left"/>
    </w:pPr>
    <w:rPr>
      <w:rFonts w:ascii="Calibri" w:eastAsiaTheme="minorHAnsi" w:hAnsi="Calibri" w:cs="Times New Roman"/>
      <w:sz w:val="22"/>
      <w:szCs w:val="22"/>
      <w:lang w:val="en-GB" w:eastAsia="en-GB"/>
    </w:rPr>
  </w:style>
  <w:style w:type="paragraph" w:styleId="NormalWeb">
    <w:name w:val="Normal (Web)"/>
    <w:basedOn w:val="Normal"/>
    <w:uiPriority w:val="99"/>
    <w:semiHidden/>
    <w:unhideWhenUsed/>
    <w:rsid w:val="004C33AA"/>
    <w:pPr>
      <w:spacing w:before="100" w:beforeAutospacing="1" w:after="100" w:afterAutospacing="1"/>
      <w:jc w:val="left"/>
    </w:pPr>
    <w:rPr>
      <w:rFonts w:ascii="Times New Roman" w:eastAsiaTheme="minorEastAsia" w:hAnsi="Times New Roman" w:cs="Times New Roman"/>
      <w:sz w:val="24"/>
      <w:lang w:val="en-GB" w:eastAsia="en-GB"/>
    </w:rPr>
  </w:style>
  <w:style w:type="table" w:styleId="TableGrid">
    <w:name w:val="Table Grid"/>
    <w:basedOn w:val="TableNormal"/>
    <w:locked/>
    <w:rsid w:val="00AB71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555971">
      <w:bodyDiv w:val="1"/>
      <w:marLeft w:val="0"/>
      <w:marRight w:val="0"/>
      <w:marTop w:val="0"/>
      <w:marBottom w:val="0"/>
      <w:divBdr>
        <w:top w:val="none" w:sz="0" w:space="0" w:color="auto"/>
        <w:left w:val="none" w:sz="0" w:space="0" w:color="auto"/>
        <w:bottom w:val="none" w:sz="0" w:space="0" w:color="auto"/>
        <w:right w:val="none" w:sz="0" w:space="0" w:color="auto"/>
      </w:divBdr>
    </w:div>
    <w:div w:id="419260238">
      <w:bodyDiv w:val="1"/>
      <w:marLeft w:val="0"/>
      <w:marRight w:val="0"/>
      <w:marTop w:val="0"/>
      <w:marBottom w:val="0"/>
      <w:divBdr>
        <w:top w:val="none" w:sz="0" w:space="0" w:color="auto"/>
        <w:left w:val="none" w:sz="0" w:space="0" w:color="auto"/>
        <w:bottom w:val="none" w:sz="0" w:space="0" w:color="auto"/>
        <w:right w:val="none" w:sz="0" w:space="0" w:color="auto"/>
      </w:divBdr>
    </w:div>
    <w:div w:id="668800225">
      <w:bodyDiv w:val="1"/>
      <w:marLeft w:val="0"/>
      <w:marRight w:val="0"/>
      <w:marTop w:val="0"/>
      <w:marBottom w:val="0"/>
      <w:divBdr>
        <w:top w:val="none" w:sz="0" w:space="0" w:color="auto"/>
        <w:left w:val="none" w:sz="0" w:space="0" w:color="auto"/>
        <w:bottom w:val="none" w:sz="0" w:space="0" w:color="auto"/>
        <w:right w:val="none" w:sz="0" w:space="0" w:color="auto"/>
      </w:divBdr>
    </w:div>
    <w:div w:id="1463037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EF632-D3F8-4B5F-9A33-1362E478E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864</Words>
  <Characters>4930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Annex 1</vt:lpstr>
    </vt:vector>
  </TitlesOfParts>
  <Company>IOM</Company>
  <LinksUpToDate>false</LinksUpToDate>
  <CharactersWithSpaces>5783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1</dc:title>
  <dc:creator>Heather Komenda</dc:creator>
  <cp:lastModifiedBy>Bo Hurkmans</cp:lastModifiedBy>
  <cp:revision>5</cp:revision>
  <cp:lastPrinted>2018-03-20T15:06:00Z</cp:lastPrinted>
  <dcterms:created xsi:type="dcterms:W3CDTF">2018-03-23T09:11:00Z</dcterms:created>
  <dcterms:modified xsi:type="dcterms:W3CDTF">2018-03-23T09:29:00Z</dcterms:modified>
</cp:coreProperties>
</file>