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FF3" w:rsidRDefault="00B96FF3" w:rsidP="00B96FF3">
      <w:pPr>
        <w:pStyle w:val="Heading3"/>
        <w:spacing w:before="0"/>
        <w:jc w:val="center"/>
      </w:pPr>
      <w:bookmarkStart w:id="0" w:name="_Hlk528578152"/>
      <w:r>
        <w:t>Global Shelter Cluster Meeting 2018</w:t>
      </w:r>
    </w:p>
    <w:p w:rsidR="00B96FF3" w:rsidRDefault="00B96FF3" w:rsidP="00B96FF3">
      <w:pPr>
        <w:pStyle w:val="Heading3"/>
        <w:spacing w:before="0"/>
        <w:jc w:val="center"/>
      </w:pPr>
      <w:r w:rsidRPr="00B96FF3">
        <w:t>Urban Settlements Working Group</w:t>
      </w:r>
      <w:r>
        <w:t xml:space="preserve"> break-out Session</w:t>
      </w:r>
      <w:r w:rsidRPr="00B600D7">
        <w:t xml:space="preserve"> </w:t>
      </w:r>
    </w:p>
    <w:bookmarkEnd w:id="0"/>
    <w:p w:rsidR="00B96FF3" w:rsidRPr="00D46FC5" w:rsidRDefault="00B96FF3" w:rsidP="00B96FF3">
      <w:pPr>
        <w:spacing w:after="0" w:line="240" w:lineRule="auto"/>
        <w:jc w:val="both"/>
        <w:rPr>
          <w:color w:val="000000" w:themeColor="text1"/>
          <w:lang w:val="en-US"/>
        </w:rPr>
      </w:pPr>
    </w:p>
    <w:p w:rsidR="00566B2B" w:rsidRPr="00B96FF3" w:rsidRDefault="008B316F" w:rsidP="00B96FF3">
      <w:pPr>
        <w:pStyle w:val="Heading3"/>
        <w:rPr>
          <w:b w:val="0"/>
          <w:lang w:val="en-US"/>
        </w:rPr>
      </w:pPr>
      <w:r w:rsidRPr="00B96FF3">
        <w:rPr>
          <w:b w:val="0"/>
          <w:lang w:val="en-US"/>
        </w:rPr>
        <w:t>Title of session</w:t>
      </w:r>
      <w:r w:rsidR="00566B2B" w:rsidRPr="00B96FF3">
        <w:rPr>
          <w:b w:val="0"/>
          <w:lang w:val="en-US"/>
        </w:rPr>
        <w:t xml:space="preserve">: </w:t>
      </w:r>
      <w:proofErr w:type="spellStart"/>
      <w:r w:rsidR="00566B2B" w:rsidRPr="00B96FF3">
        <w:rPr>
          <w:b w:val="0"/>
          <w:lang w:val="en-US"/>
        </w:rPr>
        <w:t>Operationalising</w:t>
      </w:r>
      <w:proofErr w:type="spellEnd"/>
      <w:r w:rsidR="00566B2B" w:rsidRPr="00B96FF3">
        <w:rPr>
          <w:b w:val="0"/>
          <w:lang w:val="en-US"/>
        </w:rPr>
        <w:t xml:space="preserve"> a geographically based, multi-sectoral approach (2 sessions)</w:t>
      </w:r>
    </w:p>
    <w:p w:rsidR="008B316F" w:rsidRPr="00B96FF3" w:rsidRDefault="00566B2B" w:rsidP="00566B2B">
      <w:pPr>
        <w:spacing w:after="0" w:line="240" w:lineRule="auto"/>
        <w:jc w:val="both"/>
        <w:rPr>
          <w:rFonts w:eastAsia="MS Mincho"/>
          <w:color w:val="C00000"/>
          <w:sz w:val="24"/>
          <w:szCs w:val="24"/>
        </w:rPr>
      </w:pPr>
      <w:r>
        <w:rPr>
          <w:rFonts w:eastAsia="MS Mincho"/>
          <w:color w:val="C00000"/>
          <w:sz w:val="24"/>
          <w:szCs w:val="24"/>
        </w:rPr>
        <w:tab/>
      </w:r>
    </w:p>
    <w:p w:rsidR="008B316F" w:rsidRPr="00B96FF3" w:rsidRDefault="008B316F" w:rsidP="00566B2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</w:pPr>
      <w:r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 xml:space="preserve">3 things we’ve learned/ </w:t>
      </w:r>
      <w:r w:rsidRPr="00742974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discov</w:t>
      </w:r>
      <w:bookmarkStart w:id="1" w:name="_GoBack"/>
      <w:bookmarkEnd w:id="1"/>
      <w:r w:rsidRPr="00742974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ered</w:t>
      </w:r>
      <w:r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:</w:t>
      </w:r>
    </w:p>
    <w:p w:rsidR="008B316F" w:rsidRDefault="008B316F" w:rsidP="00566B2B">
      <w:pPr>
        <w:spacing w:after="0" w:line="240" w:lineRule="auto"/>
        <w:ind w:left="-359"/>
        <w:jc w:val="both"/>
        <w:rPr>
          <w:rFonts w:ascii="Times" w:eastAsia="MS Mincho" w:hAnsi="Times"/>
          <w:sz w:val="24"/>
          <w:szCs w:val="24"/>
        </w:rPr>
      </w:pPr>
    </w:p>
    <w:p w:rsidR="008B316F" w:rsidRPr="00566B2B" w:rsidRDefault="00927566" w:rsidP="00566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 xml:space="preserve">This approach </w:t>
      </w:r>
      <w:r w:rsidR="008B316F" w:rsidRPr="00566B2B">
        <w:rPr>
          <w:rFonts w:asciiTheme="minorHAnsi" w:eastAsia="MS Mincho" w:hAnsiTheme="minorHAnsi" w:cstheme="minorHAnsi"/>
          <w:szCs w:val="24"/>
        </w:rPr>
        <w:t>is occurring</w:t>
      </w:r>
      <w:r w:rsidR="003F0710" w:rsidRPr="00566B2B">
        <w:rPr>
          <w:rFonts w:asciiTheme="minorHAnsi" w:eastAsia="MS Mincho" w:hAnsiTheme="minorHAnsi" w:cstheme="minorHAnsi"/>
          <w:szCs w:val="24"/>
        </w:rPr>
        <w:t>- it is not new</w:t>
      </w:r>
      <w:r>
        <w:rPr>
          <w:rFonts w:asciiTheme="minorHAnsi" w:eastAsia="MS Mincho" w:hAnsiTheme="minorHAnsi" w:cstheme="minorHAnsi"/>
          <w:szCs w:val="24"/>
        </w:rPr>
        <w:t xml:space="preserve">. It is being </w:t>
      </w:r>
      <w:r w:rsidR="008B316F" w:rsidRPr="00566B2B">
        <w:rPr>
          <w:rFonts w:asciiTheme="minorHAnsi" w:eastAsia="MS Mincho" w:hAnsiTheme="minorHAnsi" w:cstheme="minorHAnsi"/>
          <w:szCs w:val="24"/>
        </w:rPr>
        <w:t xml:space="preserve">piloted, rolled out at numerous </w:t>
      </w:r>
      <w:r>
        <w:rPr>
          <w:rFonts w:asciiTheme="minorHAnsi" w:eastAsia="MS Mincho" w:hAnsiTheme="minorHAnsi" w:cstheme="minorHAnsi"/>
          <w:szCs w:val="24"/>
        </w:rPr>
        <w:t xml:space="preserve">projects and </w:t>
      </w:r>
      <w:r w:rsidR="003F0710" w:rsidRPr="00566B2B">
        <w:rPr>
          <w:rFonts w:asciiTheme="minorHAnsi" w:eastAsia="MS Mincho" w:hAnsiTheme="minorHAnsi" w:cstheme="minorHAnsi"/>
          <w:szCs w:val="24"/>
        </w:rPr>
        <w:t xml:space="preserve">programs at </w:t>
      </w:r>
      <w:r w:rsidR="008B316F" w:rsidRPr="00566B2B">
        <w:rPr>
          <w:rFonts w:asciiTheme="minorHAnsi" w:eastAsia="MS Mincho" w:hAnsiTheme="minorHAnsi" w:cstheme="minorHAnsi"/>
          <w:szCs w:val="24"/>
        </w:rPr>
        <w:t>country levels.</w:t>
      </w:r>
      <w:r w:rsidR="003F0710" w:rsidRPr="00566B2B">
        <w:rPr>
          <w:rFonts w:asciiTheme="minorHAnsi" w:eastAsia="MS Mincho" w:hAnsiTheme="minorHAnsi" w:cstheme="minorHAnsi"/>
          <w:szCs w:val="24"/>
        </w:rPr>
        <w:t xml:space="preserve"> This is t</w:t>
      </w:r>
      <w:r>
        <w:rPr>
          <w:rFonts w:asciiTheme="minorHAnsi" w:eastAsia="MS Mincho" w:hAnsiTheme="minorHAnsi" w:cstheme="minorHAnsi"/>
          <w:szCs w:val="24"/>
        </w:rPr>
        <w:t xml:space="preserve">estament to over 30 case studies </w:t>
      </w:r>
      <w:r w:rsidR="008B316F" w:rsidRPr="00566B2B">
        <w:rPr>
          <w:rFonts w:asciiTheme="minorHAnsi" w:eastAsia="MS Mincho" w:hAnsiTheme="minorHAnsi" w:cstheme="minorHAnsi"/>
          <w:szCs w:val="24"/>
        </w:rPr>
        <w:t>co</w:t>
      </w:r>
      <w:r w:rsidR="003F0710" w:rsidRPr="00566B2B">
        <w:rPr>
          <w:rFonts w:asciiTheme="minorHAnsi" w:eastAsia="MS Mincho" w:hAnsiTheme="minorHAnsi" w:cstheme="minorHAnsi"/>
          <w:szCs w:val="24"/>
        </w:rPr>
        <w:t>llected</w:t>
      </w:r>
      <w:r w:rsidR="008B316F" w:rsidRPr="00566B2B">
        <w:rPr>
          <w:rFonts w:asciiTheme="minorHAnsi" w:eastAsia="MS Mincho" w:hAnsiTheme="minorHAnsi" w:cstheme="minorHAnsi"/>
          <w:szCs w:val="24"/>
        </w:rPr>
        <w:t xml:space="preserve"> so far, just within </w:t>
      </w:r>
      <w:r w:rsidR="003F0710" w:rsidRPr="00566B2B">
        <w:rPr>
          <w:rFonts w:asciiTheme="minorHAnsi" w:eastAsia="MS Mincho" w:hAnsiTheme="minorHAnsi" w:cstheme="minorHAnsi"/>
          <w:szCs w:val="24"/>
        </w:rPr>
        <w:t>the parameters</w:t>
      </w:r>
      <w:r w:rsidR="008B316F" w:rsidRPr="00566B2B">
        <w:rPr>
          <w:rFonts w:asciiTheme="minorHAnsi" w:eastAsia="MS Mincho" w:hAnsiTheme="minorHAnsi" w:cstheme="minorHAnsi"/>
          <w:szCs w:val="24"/>
        </w:rPr>
        <w:t xml:space="preserve"> of the GSC.</w:t>
      </w:r>
    </w:p>
    <w:p w:rsidR="003F0710" w:rsidRPr="00566B2B" w:rsidRDefault="003F0710" w:rsidP="00566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proofErr w:type="gramStart"/>
      <w:r w:rsidRPr="00566B2B">
        <w:rPr>
          <w:rFonts w:asciiTheme="minorHAnsi" w:eastAsia="MS Mincho" w:hAnsiTheme="minorHAnsi" w:cstheme="minorHAnsi"/>
          <w:szCs w:val="24"/>
        </w:rPr>
        <w:t>A k</w:t>
      </w:r>
      <w:r w:rsidR="00927566">
        <w:rPr>
          <w:rFonts w:asciiTheme="minorHAnsi" w:eastAsia="MS Mincho" w:hAnsiTheme="minorHAnsi" w:cstheme="minorHAnsi"/>
          <w:szCs w:val="24"/>
        </w:rPr>
        <w:t>ey</w:t>
      </w:r>
      <w:r w:rsidR="003766B0">
        <w:rPr>
          <w:rFonts w:asciiTheme="minorHAnsi" w:eastAsia="MS Mincho" w:hAnsiTheme="minorHAnsi" w:cstheme="minorHAnsi"/>
          <w:szCs w:val="24"/>
        </w:rPr>
        <w:t xml:space="preserve"> </w:t>
      </w:r>
      <w:r w:rsidR="008B316F" w:rsidRPr="00566B2B">
        <w:rPr>
          <w:rFonts w:asciiTheme="minorHAnsi" w:eastAsia="MS Mincho" w:hAnsiTheme="minorHAnsi" w:cstheme="minorHAnsi"/>
          <w:szCs w:val="24"/>
        </w:rPr>
        <w:t>questions</w:t>
      </w:r>
      <w:proofErr w:type="gramEnd"/>
      <w:r w:rsidR="008B316F" w:rsidRPr="00566B2B">
        <w:rPr>
          <w:rFonts w:asciiTheme="minorHAnsi" w:eastAsia="MS Mincho" w:hAnsiTheme="minorHAnsi" w:cstheme="minorHAnsi"/>
          <w:szCs w:val="24"/>
        </w:rPr>
        <w:t xml:space="preserve"> and focus </w:t>
      </w:r>
      <w:r w:rsidRPr="00566B2B">
        <w:rPr>
          <w:rFonts w:asciiTheme="minorHAnsi" w:eastAsia="MS Mincho" w:hAnsiTheme="minorHAnsi" w:cstheme="minorHAnsi"/>
          <w:szCs w:val="24"/>
        </w:rPr>
        <w:t xml:space="preserve">area now it to </w:t>
      </w:r>
      <w:r w:rsidR="00927566">
        <w:rPr>
          <w:rFonts w:asciiTheme="minorHAnsi" w:eastAsia="MS Mincho" w:hAnsiTheme="minorHAnsi" w:cstheme="minorHAnsi"/>
          <w:szCs w:val="24"/>
        </w:rPr>
        <w:t xml:space="preserve">further identify what </w:t>
      </w:r>
      <w:r w:rsidRPr="00566B2B">
        <w:rPr>
          <w:rFonts w:asciiTheme="minorHAnsi" w:eastAsia="MS Mincho" w:hAnsiTheme="minorHAnsi" w:cstheme="minorHAnsi"/>
          <w:szCs w:val="24"/>
        </w:rPr>
        <w:t>steps</w:t>
      </w:r>
      <w:r w:rsidR="00927566">
        <w:rPr>
          <w:rFonts w:asciiTheme="minorHAnsi" w:eastAsia="MS Mincho" w:hAnsiTheme="minorHAnsi" w:cstheme="minorHAnsi"/>
          <w:szCs w:val="24"/>
        </w:rPr>
        <w:t xml:space="preserve"> need</w:t>
      </w:r>
      <w:r w:rsidR="008B316F" w:rsidRPr="00566B2B">
        <w:rPr>
          <w:rFonts w:asciiTheme="minorHAnsi" w:eastAsia="MS Mincho" w:hAnsiTheme="minorHAnsi" w:cstheme="minorHAnsi"/>
          <w:szCs w:val="24"/>
        </w:rPr>
        <w:t xml:space="preserve"> to </w:t>
      </w:r>
      <w:r w:rsidRPr="00566B2B">
        <w:rPr>
          <w:rFonts w:asciiTheme="minorHAnsi" w:eastAsia="MS Mincho" w:hAnsiTheme="minorHAnsi" w:cstheme="minorHAnsi"/>
          <w:szCs w:val="24"/>
        </w:rPr>
        <w:t xml:space="preserve">be </w:t>
      </w:r>
      <w:r w:rsidR="008B316F" w:rsidRPr="00566B2B">
        <w:rPr>
          <w:rFonts w:asciiTheme="minorHAnsi" w:eastAsia="MS Mincho" w:hAnsiTheme="minorHAnsi" w:cstheme="minorHAnsi"/>
          <w:szCs w:val="24"/>
        </w:rPr>
        <w:t>take</w:t>
      </w:r>
      <w:r w:rsidRPr="00566B2B">
        <w:rPr>
          <w:rFonts w:asciiTheme="minorHAnsi" w:eastAsia="MS Mincho" w:hAnsiTheme="minorHAnsi" w:cstheme="minorHAnsi"/>
          <w:szCs w:val="24"/>
        </w:rPr>
        <w:t>n</w:t>
      </w:r>
      <w:r w:rsidR="008B316F" w:rsidRPr="00566B2B">
        <w:rPr>
          <w:rFonts w:asciiTheme="minorHAnsi" w:eastAsia="MS Mincho" w:hAnsiTheme="minorHAnsi" w:cstheme="minorHAnsi"/>
          <w:szCs w:val="24"/>
        </w:rPr>
        <w:t xml:space="preserve"> to operationalise this</w:t>
      </w:r>
      <w:r w:rsidR="00927566">
        <w:rPr>
          <w:rFonts w:asciiTheme="minorHAnsi" w:eastAsia="MS Mincho" w:hAnsiTheme="minorHAnsi" w:cstheme="minorHAnsi"/>
          <w:szCs w:val="24"/>
        </w:rPr>
        <w:t xml:space="preserve"> approach. ‘How does it change your programming, coordination, </w:t>
      </w:r>
      <w:r w:rsidRPr="00566B2B">
        <w:rPr>
          <w:rFonts w:asciiTheme="minorHAnsi" w:eastAsia="MS Mincho" w:hAnsiTheme="minorHAnsi" w:cstheme="minorHAnsi"/>
          <w:szCs w:val="24"/>
        </w:rPr>
        <w:t>assessment etc.</w:t>
      </w:r>
    </w:p>
    <w:p w:rsidR="008B316F" w:rsidRPr="00566B2B" w:rsidRDefault="00927566" w:rsidP="00566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Despite the WG being open and</w:t>
      </w:r>
      <w:r w:rsidR="003F0710" w:rsidRPr="00566B2B">
        <w:rPr>
          <w:rFonts w:asciiTheme="minorHAnsi" w:eastAsia="MS Mincho" w:hAnsiTheme="minorHAnsi" w:cstheme="minorHAnsi"/>
          <w:szCs w:val="24"/>
        </w:rPr>
        <w:t xml:space="preserve"> encouraging to other clusters / sectors, there is a need to be more explicit and proactive to </w:t>
      </w:r>
      <w:r>
        <w:rPr>
          <w:rFonts w:asciiTheme="minorHAnsi" w:eastAsia="MS Mincho" w:hAnsiTheme="minorHAnsi" w:cstheme="minorHAnsi"/>
          <w:szCs w:val="24"/>
        </w:rPr>
        <w:t xml:space="preserve">engage </w:t>
      </w:r>
      <w:proofErr w:type="gramStart"/>
      <w:r w:rsidR="003F0710" w:rsidRPr="00566B2B">
        <w:rPr>
          <w:rFonts w:asciiTheme="minorHAnsi" w:eastAsia="MS Mincho" w:hAnsiTheme="minorHAnsi" w:cstheme="minorHAnsi"/>
          <w:szCs w:val="24"/>
        </w:rPr>
        <w:t>other</w:t>
      </w:r>
      <w:proofErr w:type="gramEnd"/>
      <w:r w:rsidR="003F0710" w:rsidRPr="00566B2B">
        <w:rPr>
          <w:rFonts w:asciiTheme="minorHAnsi" w:eastAsia="MS Mincho" w:hAnsiTheme="minorHAnsi" w:cstheme="minorHAnsi"/>
          <w:szCs w:val="24"/>
        </w:rPr>
        <w:t xml:space="preserve"> cluster/sector involvement. </w:t>
      </w:r>
    </w:p>
    <w:p w:rsidR="008B316F" w:rsidRPr="00C840C0" w:rsidRDefault="008B316F" w:rsidP="00566B2B">
      <w:pPr>
        <w:spacing w:after="0" w:line="240" w:lineRule="auto"/>
        <w:ind w:left="-359"/>
        <w:jc w:val="both"/>
        <w:rPr>
          <w:rFonts w:ascii="Times" w:eastAsia="MS Mincho" w:hAnsi="Times"/>
          <w:sz w:val="24"/>
          <w:szCs w:val="24"/>
        </w:rPr>
      </w:pPr>
    </w:p>
    <w:p w:rsidR="008B316F" w:rsidRPr="00B96FF3" w:rsidRDefault="008B316F" w:rsidP="00566B2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</w:pPr>
      <w:r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The 3 (or more) actions for 2018/19 (</w:t>
      </w:r>
      <w:r w:rsidR="00140015"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e.g.</w:t>
      </w:r>
      <w:r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 xml:space="preserve"> stop doing/ do differently / expand)</w:t>
      </w:r>
    </w:p>
    <w:p w:rsidR="008B316F" w:rsidRDefault="008B316F" w:rsidP="00566B2B">
      <w:pPr>
        <w:spacing w:after="0" w:line="240" w:lineRule="auto"/>
        <w:ind w:left="-359"/>
        <w:jc w:val="both"/>
        <w:rPr>
          <w:rFonts w:ascii="Times" w:eastAsia="MS Mincho" w:hAnsi="Times"/>
          <w:sz w:val="24"/>
          <w:szCs w:val="24"/>
        </w:rPr>
      </w:pPr>
    </w:p>
    <w:p w:rsidR="00140015" w:rsidRPr="00566B2B" w:rsidRDefault="00140015" w:rsidP="00566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r w:rsidRPr="00566B2B">
        <w:rPr>
          <w:rFonts w:asciiTheme="minorHAnsi" w:eastAsia="MS Mincho" w:hAnsiTheme="minorHAnsi" w:cstheme="minorHAnsi"/>
          <w:szCs w:val="24"/>
        </w:rPr>
        <w:t>There is a need to m</w:t>
      </w:r>
      <w:r w:rsidR="008B316F" w:rsidRPr="00566B2B">
        <w:rPr>
          <w:rFonts w:asciiTheme="minorHAnsi" w:eastAsia="MS Mincho" w:hAnsiTheme="minorHAnsi" w:cstheme="minorHAnsi"/>
          <w:szCs w:val="24"/>
        </w:rPr>
        <w:t xml:space="preserve">ore </w:t>
      </w:r>
      <w:r w:rsidRPr="00566B2B">
        <w:rPr>
          <w:rFonts w:asciiTheme="minorHAnsi" w:eastAsia="MS Mincho" w:hAnsiTheme="minorHAnsi" w:cstheme="minorHAnsi"/>
          <w:szCs w:val="24"/>
        </w:rPr>
        <w:t>explicitly promote the approach at country levels, engaging with operational actors, HCT, UNCTs etc to demystify and support the appli</w:t>
      </w:r>
      <w:r w:rsidR="00927566">
        <w:rPr>
          <w:rFonts w:asciiTheme="minorHAnsi" w:eastAsia="MS Mincho" w:hAnsiTheme="minorHAnsi" w:cstheme="minorHAnsi"/>
          <w:szCs w:val="24"/>
        </w:rPr>
        <w:t xml:space="preserve">cation of the approach in both </w:t>
      </w:r>
      <w:r w:rsidRPr="00566B2B">
        <w:rPr>
          <w:rFonts w:asciiTheme="minorHAnsi" w:eastAsia="MS Mincho" w:hAnsiTheme="minorHAnsi" w:cstheme="minorHAnsi"/>
          <w:szCs w:val="24"/>
        </w:rPr>
        <w:t xml:space="preserve">contexts of crisis and in preparedness / recovery contexts. </w:t>
      </w:r>
    </w:p>
    <w:p w:rsidR="00140015" w:rsidRPr="00566B2B" w:rsidRDefault="00140015" w:rsidP="00566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r w:rsidRPr="00566B2B">
        <w:rPr>
          <w:rFonts w:asciiTheme="minorHAnsi" w:eastAsia="MS Mincho" w:hAnsiTheme="minorHAnsi" w:cstheme="minorHAnsi"/>
          <w:szCs w:val="24"/>
        </w:rPr>
        <w:t>Over the coming year, the</w:t>
      </w:r>
      <w:r w:rsidR="00927566">
        <w:rPr>
          <w:rFonts w:asciiTheme="minorHAnsi" w:eastAsia="MS Mincho" w:hAnsiTheme="minorHAnsi" w:cstheme="minorHAnsi"/>
          <w:szCs w:val="24"/>
        </w:rPr>
        <w:t xml:space="preserve"> WG aims to develop / identify </w:t>
      </w:r>
      <w:r w:rsidRPr="00566B2B">
        <w:rPr>
          <w:rFonts w:asciiTheme="minorHAnsi" w:eastAsia="MS Mincho" w:hAnsiTheme="minorHAnsi" w:cstheme="minorHAnsi"/>
          <w:szCs w:val="24"/>
        </w:rPr>
        <w:t xml:space="preserve">clear skills and support to deploy in support of country teams and clusters. </w:t>
      </w:r>
    </w:p>
    <w:p w:rsidR="008B316F" w:rsidRPr="00566B2B" w:rsidRDefault="00927566" w:rsidP="00566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 xml:space="preserve">Over the coming 2 years, the WG will develop </w:t>
      </w:r>
      <w:r w:rsidR="00140015" w:rsidRPr="00566B2B">
        <w:rPr>
          <w:rFonts w:asciiTheme="minorHAnsi" w:eastAsia="MS Mincho" w:hAnsiTheme="minorHAnsi" w:cstheme="minorHAnsi"/>
          <w:szCs w:val="24"/>
        </w:rPr>
        <w:t xml:space="preserve">a settlements guidance </w:t>
      </w:r>
      <w:proofErr w:type="gramStart"/>
      <w:r w:rsidR="00140015" w:rsidRPr="00566B2B">
        <w:rPr>
          <w:rFonts w:asciiTheme="minorHAnsi" w:eastAsia="MS Mincho" w:hAnsiTheme="minorHAnsi" w:cstheme="minorHAnsi"/>
          <w:szCs w:val="24"/>
        </w:rPr>
        <w:t>note,  bringing</w:t>
      </w:r>
      <w:proofErr w:type="gramEnd"/>
      <w:r w:rsidR="00140015" w:rsidRPr="00566B2B">
        <w:rPr>
          <w:rFonts w:asciiTheme="minorHAnsi" w:eastAsia="MS Mincho" w:hAnsiTheme="minorHAnsi" w:cstheme="minorHAnsi"/>
          <w:szCs w:val="24"/>
        </w:rPr>
        <w:t xml:space="preserve"> together numerous clusters and working in partnership  with other similar initiatives (</w:t>
      </w:r>
      <w:proofErr w:type="spellStart"/>
      <w:r w:rsidR="00140015" w:rsidRPr="00566B2B">
        <w:rPr>
          <w:rFonts w:asciiTheme="minorHAnsi" w:eastAsia="MS Mincho" w:hAnsiTheme="minorHAnsi" w:cstheme="minorHAnsi"/>
          <w:szCs w:val="24"/>
        </w:rPr>
        <w:t>eg</w:t>
      </w:r>
      <w:proofErr w:type="spellEnd"/>
      <w:r w:rsidR="00140015" w:rsidRPr="00566B2B">
        <w:rPr>
          <w:rFonts w:asciiTheme="minorHAnsi" w:eastAsia="MS Mincho" w:hAnsiTheme="minorHAnsi" w:cstheme="minorHAnsi"/>
          <w:szCs w:val="24"/>
        </w:rPr>
        <w:t xml:space="preserve"> PCI settlements  programming guidance).  </w:t>
      </w:r>
    </w:p>
    <w:p w:rsidR="00140015" w:rsidRPr="00566B2B" w:rsidRDefault="00140015" w:rsidP="00566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MS Mincho" w:hAnsiTheme="minorHAnsi" w:cstheme="minorHAnsi"/>
          <w:szCs w:val="24"/>
        </w:rPr>
      </w:pPr>
      <w:r w:rsidRPr="00566B2B">
        <w:rPr>
          <w:rFonts w:asciiTheme="minorHAnsi" w:eastAsia="MS Mincho" w:hAnsiTheme="minorHAnsi" w:cstheme="minorHAnsi"/>
          <w:szCs w:val="24"/>
        </w:rPr>
        <w:t xml:space="preserve">Further actions are listed in the attached corresponding document. </w:t>
      </w:r>
    </w:p>
    <w:p w:rsidR="00140015" w:rsidRPr="00140015" w:rsidRDefault="00140015" w:rsidP="00566B2B">
      <w:pPr>
        <w:pStyle w:val="ListParagraph"/>
        <w:spacing w:after="0" w:line="240" w:lineRule="auto"/>
        <w:ind w:left="361"/>
        <w:jc w:val="both"/>
        <w:rPr>
          <w:rFonts w:ascii="Times" w:eastAsia="MS Mincho" w:hAnsi="Times"/>
          <w:sz w:val="24"/>
          <w:szCs w:val="24"/>
        </w:rPr>
      </w:pPr>
    </w:p>
    <w:p w:rsidR="008B316F" w:rsidRPr="00B96FF3" w:rsidRDefault="008B316F" w:rsidP="00566B2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</w:pPr>
      <w:r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An emerging question or issue:</w:t>
      </w:r>
    </w:p>
    <w:p w:rsidR="008B316F" w:rsidRPr="00C840C0" w:rsidRDefault="008B316F" w:rsidP="00566B2B">
      <w:pPr>
        <w:spacing w:after="0" w:line="240" w:lineRule="auto"/>
        <w:ind w:left="-359"/>
        <w:jc w:val="both"/>
        <w:rPr>
          <w:rFonts w:ascii="Times" w:eastAsia="MS Mincho" w:hAnsi="Times"/>
          <w:sz w:val="24"/>
          <w:szCs w:val="24"/>
        </w:rPr>
      </w:pPr>
    </w:p>
    <w:p w:rsidR="00140015" w:rsidRPr="00566B2B" w:rsidRDefault="00927566" w:rsidP="00B96FF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="MS Mincho" w:hAnsiTheme="minorHAnsi" w:cstheme="minorHAnsi"/>
          <w:szCs w:val="24"/>
        </w:rPr>
      </w:pPr>
      <w:proofErr w:type="gramStart"/>
      <w:r>
        <w:rPr>
          <w:rFonts w:asciiTheme="minorHAnsi" w:eastAsia="MS Mincho" w:hAnsiTheme="minorHAnsi" w:cstheme="minorHAnsi"/>
          <w:szCs w:val="24"/>
        </w:rPr>
        <w:t>A key</w:t>
      </w:r>
      <w:r w:rsidR="00875505">
        <w:rPr>
          <w:rFonts w:asciiTheme="minorHAnsi" w:eastAsia="MS Mincho" w:hAnsiTheme="minorHAnsi" w:cstheme="minorHAnsi"/>
          <w:szCs w:val="24"/>
        </w:rPr>
        <w:t xml:space="preserve"> </w:t>
      </w:r>
      <w:r w:rsidR="00140015" w:rsidRPr="00566B2B">
        <w:rPr>
          <w:rFonts w:asciiTheme="minorHAnsi" w:eastAsia="MS Mincho" w:hAnsiTheme="minorHAnsi" w:cstheme="minorHAnsi"/>
          <w:szCs w:val="24"/>
        </w:rPr>
        <w:t>questions</w:t>
      </w:r>
      <w:proofErr w:type="gramEnd"/>
      <w:r w:rsidR="00140015" w:rsidRPr="00566B2B">
        <w:rPr>
          <w:rFonts w:asciiTheme="minorHAnsi" w:eastAsia="MS Mincho" w:hAnsiTheme="minorHAnsi" w:cstheme="minorHAnsi"/>
          <w:szCs w:val="24"/>
        </w:rPr>
        <w:t xml:space="preserve"> and focus area n</w:t>
      </w:r>
      <w:r>
        <w:rPr>
          <w:rFonts w:asciiTheme="minorHAnsi" w:eastAsia="MS Mincho" w:hAnsiTheme="minorHAnsi" w:cstheme="minorHAnsi"/>
          <w:szCs w:val="24"/>
        </w:rPr>
        <w:t>ow it to further identify what steps need to be taken</w:t>
      </w:r>
      <w:r w:rsidR="00140015" w:rsidRPr="00566B2B">
        <w:rPr>
          <w:rFonts w:asciiTheme="minorHAnsi" w:eastAsia="MS Mincho" w:hAnsiTheme="minorHAnsi" w:cstheme="minorHAnsi"/>
          <w:szCs w:val="24"/>
        </w:rPr>
        <w:t xml:space="preserve"> to operation</w:t>
      </w:r>
      <w:r>
        <w:rPr>
          <w:rFonts w:asciiTheme="minorHAnsi" w:eastAsia="MS Mincho" w:hAnsiTheme="minorHAnsi" w:cstheme="minorHAnsi"/>
          <w:szCs w:val="24"/>
        </w:rPr>
        <w:t>alise this approach. ‘How does it change your programming, coordination,</w:t>
      </w:r>
      <w:r w:rsidR="00140015" w:rsidRPr="00566B2B">
        <w:rPr>
          <w:rFonts w:asciiTheme="minorHAnsi" w:eastAsia="MS Mincho" w:hAnsiTheme="minorHAnsi" w:cstheme="minorHAnsi"/>
          <w:szCs w:val="24"/>
        </w:rPr>
        <w:t xml:space="preserve"> assessment </w:t>
      </w:r>
      <w:proofErr w:type="gramStart"/>
      <w:r w:rsidR="00140015" w:rsidRPr="00566B2B">
        <w:rPr>
          <w:rFonts w:asciiTheme="minorHAnsi" w:eastAsia="MS Mincho" w:hAnsiTheme="minorHAnsi" w:cstheme="minorHAnsi"/>
          <w:szCs w:val="24"/>
        </w:rPr>
        <w:t>etc..</w:t>
      </w:r>
      <w:proofErr w:type="gramEnd"/>
    </w:p>
    <w:p w:rsidR="008B316F" w:rsidRPr="00140015" w:rsidRDefault="008B316F" w:rsidP="00566B2B">
      <w:pPr>
        <w:pStyle w:val="ListParagraph"/>
        <w:spacing w:after="0" w:line="240" w:lineRule="auto"/>
        <w:ind w:left="361"/>
        <w:jc w:val="both"/>
        <w:rPr>
          <w:rFonts w:ascii="Times" w:eastAsia="MS Mincho" w:hAnsi="Times"/>
          <w:sz w:val="24"/>
          <w:szCs w:val="24"/>
        </w:rPr>
      </w:pPr>
    </w:p>
    <w:p w:rsidR="008B316F" w:rsidRPr="00B96FF3" w:rsidRDefault="008B316F" w:rsidP="00566B2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</w:pPr>
      <w:r w:rsidRPr="00B96FF3">
        <w:rPr>
          <w:rFonts w:asciiTheme="minorHAnsi" w:eastAsiaTheme="minorHAnsi" w:hAnsiTheme="minorHAnsi" w:cstheme="minorHAnsi"/>
          <w:b/>
          <w:color w:val="7F1416"/>
          <w:sz w:val="24"/>
          <w:szCs w:val="24"/>
        </w:rPr>
        <w:t>This working group’s contribution to strategy outcomes is:</w:t>
      </w:r>
    </w:p>
    <w:p w:rsidR="008B316F" w:rsidRDefault="00566B2B" w:rsidP="00566B2B">
      <w:pPr>
        <w:jc w:val="both"/>
      </w:pPr>
      <w:r>
        <w:t>This WG specifically contributes to the GSC strategy, specifically:</w:t>
      </w:r>
    </w:p>
    <w:p w:rsidR="00566B2B" w:rsidRPr="00566B2B" w:rsidRDefault="00566B2B" w:rsidP="00566B2B">
      <w:pPr>
        <w:pStyle w:val="ListParagraph"/>
        <w:numPr>
          <w:ilvl w:val="0"/>
          <w:numId w:val="5"/>
        </w:numPr>
        <w:jc w:val="both"/>
        <w:rPr>
          <w:b/>
        </w:rPr>
      </w:pPr>
      <w:r w:rsidRPr="00566B2B">
        <w:rPr>
          <w:u w:val="single"/>
        </w:rPr>
        <w:t>1.2 (Coordination):</w:t>
      </w:r>
      <w:r>
        <w:t xml:space="preserve"> Localised and Area Based: Strengthening </w:t>
      </w:r>
      <w:r w:rsidR="00927566">
        <w:rPr>
          <w:b/>
        </w:rPr>
        <w:t>area-based coordination</w:t>
      </w:r>
      <w:r w:rsidRPr="00566B2B">
        <w:rPr>
          <w:b/>
        </w:rPr>
        <w:t xml:space="preserve"> and promoting settlement approaches</w:t>
      </w:r>
    </w:p>
    <w:p w:rsidR="00566B2B" w:rsidRDefault="00566B2B" w:rsidP="00566B2B">
      <w:pPr>
        <w:pStyle w:val="ListParagraph"/>
        <w:numPr>
          <w:ilvl w:val="0"/>
          <w:numId w:val="5"/>
        </w:numPr>
        <w:jc w:val="both"/>
      </w:pPr>
      <w:r w:rsidRPr="00566B2B">
        <w:rPr>
          <w:u w:val="single"/>
        </w:rPr>
        <w:t>2.4 (Advocacy):</w:t>
      </w:r>
      <w:r>
        <w:t xml:space="preserve"> Influencing:  Engaging others: </w:t>
      </w:r>
      <w:r w:rsidRPr="00566B2B">
        <w:rPr>
          <w:b/>
        </w:rPr>
        <w:t>appropriate urban assistance</w:t>
      </w:r>
      <w:r w:rsidR="00927566">
        <w:t xml:space="preserve">, cash and </w:t>
      </w:r>
      <w:proofErr w:type="spellStart"/>
      <w:r w:rsidR="00927566">
        <w:t>markets</w:t>
      </w:r>
      <w:r>
        <w:t>based</w:t>
      </w:r>
      <w:proofErr w:type="spellEnd"/>
      <w:r>
        <w:t xml:space="preserve"> programming, </w:t>
      </w:r>
      <w:proofErr w:type="gramStart"/>
      <w:r w:rsidRPr="00566B2B">
        <w:rPr>
          <w:b/>
        </w:rPr>
        <w:t>area based</w:t>
      </w:r>
      <w:proofErr w:type="gramEnd"/>
      <w:r w:rsidRPr="00566B2B">
        <w:rPr>
          <w:b/>
        </w:rPr>
        <w:t xml:space="preserve"> approaches</w:t>
      </w:r>
      <w:r>
        <w:t xml:space="preserve">. </w:t>
      </w:r>
    </w:p>
    <w:sectPr w:rsidR="00566B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4F" w:rsidRDefault="00501F4F" w:rsidP="00B96FF3">
      <w:pPr>
        <w:spacing w:after="0" w:line="240" w:lineRule="auto"/>
      </w:pPr>
      <w:r>
        <w:separator/>
      </w:r>
    </w:p>
  </w:endnote>
  <w:endnote w:type="continuationSeparator" w:id="0">
    <w:p w:rsidR="00501F4F" w:rsidRDefault="00501F4F" w:rsidP="00B9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4F" w:rsidRDefault="00501F4F" w:rsidP="00B96FF3">
      <w:pPr>
        <w:spacing w:after="0" w:line="240" w:lineRule="auto"/>
      </w:pPr>
      <w:r>
        <w:separator/>
      </w:r>
    </w:p>
  </w:footnote>
  <w:footnote w:type="continuationSeparator" w:id="0">
    <w:p w:rsidR="00501F4F" w:rsidRDefault="00501F4F" w:rsidP="00B9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FF3" w:rsidRDefault="00B96FF3" w:rsidP="00B96FF3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19885D" wp14:editId="6A9110E1">
          <wp:simplePos x="0" y="0"/>
          <wp:positionH relativeFrom="margin">
            <wp:posOffset>-22860</wp:posOffset>
          </wp:positionH>
          <wp:positionV relativeFrom="paragraph">
            <wp:posOffset>-635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:rsidR="00B96FF3" w:rsidRDefault="00B96FF3" w:rsidP="00B96FF3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B96FF3" w:rsidRDefault="00B96FF3" w:rsidP="00B96FF3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:rsidR="00B96FF3" w:rsidRDefault="00B96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4146"/>
    <w:multiLevelType w:val="hybridMultilevel"/>
    <w:tmpl w:val="D0F0187E"/>
    <w:lvl w:ilvl="0" w:tplc="E488C21A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E2E4C320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2FCE69AA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3030F50C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8E9A1B6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F2344E54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6CE282F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9FBC78C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A7726178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1" w15:restartNumberingAfterBreak="0">
    <w:nsid w:val="492E2576"/>
    <w:multiLevelType w:val="hybridMultilevel"/>
    <w:tmpl w:val="A434F5E0"/>
    <w:lvl w:ilvl="0" w:tplc="FFA6200E">
      <w:numFmt w:val="bullet"/>
      <w:lvlText w:val="-"/>
      <w:lvlJc w:val="left"/>
      <w:pPr>
        <w:ind w:left="720" w:hanging="360"/>
      </w:pPr>
      <w:rPr>
        <w:rFonts w:ascii="Calibri" w:eastAsia="Calibri" w:hAnsi="Calibri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30B21"/>
    <w:multiLevelType w:val="hybridMultilevel"/>
    <w:tmpl w:val="406E3534"/>
    <w:lvl w:ilvl="0" w:tplc="FFA6200E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343602"/>
    <w:multiLevelType w:val="hybridMultilevel"/>
    <w:tmpl w:val="5718C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D29F5"/>
    <w:multiLevelType w:val="hybridMultilevel"/>
    <w:tmpl w:val="B76641B8"/>
    <w:lvl w:ilvl="0" w:tplc="FFA6200E">
      <w:numFmt w:val="bullet"/>
      <w:lvlText w:val="-"/>
      <w:lvlJc w:val="left"/>
      <w:pPr>
        <w:ind w:left="361" w:hanging="360"/>
      </w:pPr>
      <w:rPr>
        <w:rFonts w:ascii="Calibri" w:eastAsia="Calibri" w:hAnsi="Calibri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6F"/>
    <w:rsid w:val="00140015"/>
    <w:rsid w:val="003766B0"/>
    <w:rsid w:val="003F0710"/>
    <w:rsid w:val="00501F4F"/>
    <w:rsid w:val="00566B2B"/>
    <w:rsid w:val="00742974"/>
    <w:rsid w:val="00752D3A"/>
    <w:rsid w:val="00875505"/>
    <w:rsid w:val="008B316F"/>
    <w:rsid w:val="00927566"/>
    <w:rsid w:val="00B45D8C"/>
    <w:rsid w:val="00B5459D"/>
    <w:rsid w:val="00B96FF3"/>
    <w:rsid w:val="00C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71492-36B1-494F-A21B-03F9C90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B31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F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96F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40" w:lineRule="auto"/>
      <w:jc w:val="both"/>
      <w:outlineLvl w:val="2"/>
    </w:pPr>
    <w:rPr>
      <w:rFonts w:ascii="Verdana" w:hAnsi="Verdana"/>
      <w:b/>
      <w:bCs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B3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6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F3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96FF3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F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Shirin NARYMBAEVA</cp:lastModifiedBy>
  <cp:revision>6</cp:revision>
  <dcterms:created xsi:type="dcterms:W3CDTF">2018-10-26T17:57:00Z</dcterms:created>
  <dcterms:modified xsi:type="dcterms:W3CDTF">2018-10-29T11:09:00Z</dcterms:modified>
</cp:coreProperties>
</file>