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A1253" w14:textId="189F0725" w:rsidR="00C5036E" w:rsidRDefault="00C5036E">
      <w:pPr>
        <w:rPr>
          <w:b/>
        </w:rPr>
      </w:pPr>
      <w:r w:rsidRPr="00C5036E">
        <w:rPr>
          <w:b/>
          <w:noProof/>
          <w:lang w:val="en-IE" w:eastAsia="en-IE"/>
        </w:rPr>
        <w:drawing>
          <wp:inline distT="0" distB="0" distL="0" distR="0" wp14:anchorId="29050FAA" wp14:editId="4850BEC1">
            <wp:extent cx="3327711" cy="583809"/>
            <wp:effectExtent l="0" t="0" r="0" b="0"/>
            <wp:docPr id="1" name="Picture 1" descr="C:\Users\bmcdonald\Documents\Mozambique - offline\Shelter\Logo - Moz gene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mcdonald\Documents\Mozambique - offline\Shelter\Logo - Moz gener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391" cy="60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D24D5" w14:textId="2C648398" w:rsidR="002C3A54" w:rsidRPr="00DA1258" w:rsidRDefault="00662E62" w:rsidP="00DA1258">
      <w:pPr>
        <w:spacing w:after="0"/>
        <w:jc w:val="center"/>
        <w:rPr>
          <w:rFonts w:cstheme="minorHAnsi"/>
          <w:b/>
          <w:sz w:val="28"/>
          <w:szCs w:val="28"/>
        </w:rPr>
      </w:pPr>
      <w:r w:rsidRPr="00DA1258">
        <w:rPr>
          <w:rFonts w:cstheme="minorHAnsi"/>
          <w:b/>
          <w:sz w:val="28"/>
          <w:szCs w:val="28"/>
        </w:rPr>
        <w:t>S</w:t>
      </w:r>
      <w:r w:rsidR="008D2136" w:rsidRPr="00DA1258">
        <w:rPr>
          <w:rFonts w:cstheme="minorHAnsi"/>
          <w:b/>
          <w:sz w:val="28"/>
          <w:szCs w:val="28"/>
        </w:rPr>
        <w:t xml:space="preserve">C </w:t>
      </w:r>
      <w:r w:rsidR="002C3A54" w:rsidRPr="00DA1258">
        <w:rPr>
          <w:rFonts w:cstheme="minorHAnsi"/>
          <w:b/>
          <w:sz w:val="28"/>
          <w:szCs w:val="28"/>
        </w:rPr>
        <w:t xml:space="preserve">IEC Technical Working Group </w:t>
      </w:r>
      <w:r w:rsidR="008D2136" w:rsidRPr="00DA1258">
        <w:rPr>
          <w:rFonts w:cstheme="minorHAnsi"/>
          <w:b/>
          <w:sz w:val="28"/>
          <w:szCs w:val="28"/>
        </w:rPr>
        <w:t xml:space="preserve">meeting, </w:t>
      </w:r>
      <w:r w:rsidR="002C3A54" w:rsidRPr="00DA1258">
        <w:rPr>
          <w:rFonts w:cstheme="minorHAnsi"/>
          <w:b/>
          <w:sz w:val="28"/>
          <w:szCs w:val="28"/>
        </w:rPr>
        <w:t>Beira</w:t>
      </w:r>
    </w:p>
    <w:p w14:paraId="4DD3CF5F" w14:textId="59FA34E1" w:rsidR="002C3A54" w:rsidRPr="00DA1258" w:rsidRDefault="007538E1" w:rsidP="00DA1258">
      <w:pPr>
        <w:spacing w:after="0"/>
        <w:jc w:val="center"/>
        <w:rPr>
          <w:rFonts w:cstheme="minorHAnsi"/>
          <w:b/>
          <w:sz w:val="28"/>
          <w:szCs w:val="28"/>
          <w:lang w:val="fr-CA"/>
        </w:rPr>
      </w:pPr>
      <w:r>
        <w:rPr>
          <w:rFonts w:cstheme="minorHAnsi"/>
          <w:b/>
          <w:sz w:val="28"/>
          <w:szCs w:val="28"/>
        </w:rPr>
        <w:t>D</w:t>
      </w:r>
      <w:r w:rsidR="002C3A54" w:rsidRPr="00DA1258">
        <w:rPr>
          <w:rFonts w:cstheme="minorHAnsi"/>
          <w:b/>
          <w:sz w:val="28"/>
          <w:szCs w:val="28"/>
        </w:rPr>
        <w:t>iscussion on</w:t>
      </w:r>
      <w:r w:rsidR="00DA1258" w:rsidRPr="00DA1258">
        <w:rPr>
          <w:rFonts w:cstheme="minorHAnsi"/>
          <w:b/>
          <w:sz w:val="28"/>
          <w:szCs w:val="28"/>
        </w:rPr>
        <w:t xml:space="preserve"> initial IEC</w:t>
      </w:r>
      <w:r w:rsidR="002C3A54" w:rsidRPr="00DA1258">
        <w:rPr>
          <w:rFonts w:cstheme="minorHAnsi"/>
          <w:b/>
          <w:sz w:val="28"/>
          <w:szCs w:val="28"/>
        </w:rPr>
        <w:t xml:space="preserve"> </w:t>
      </w:r>
      <w:r w:rsidR="00DA1258" w:rsidRPr="00DA1258">
        <w:rPr>
          <w:rFonts w:cstheme="minorHAnsi"/>
          <w:b/>
          <w:sz w:val="28"/>
          <w:szCs w:val="28"/>
        </w:rPr>
        <w:t>messages.</w:t>
      </w:r>
    </w:p>
    <w:p w14:paraId="5274A8CA" w14:textId="0BCC0D07" w:rsidR="003B1C0E" w:rsidRDefault="00A47442" w:rsidP="00DA1258">
      <w:pPr>
        <w:spacing w:after="0"/>
        <w:jc w:val="center"/>
        <w:rPr>
          <w:rFonts w:cstheme="minorHAnsi"/>
          <w:b/>
          <w:sz w:val="28"/>
          <w:szCs w:val="28"/>
        </w:rPr>
      </w:pPr>
      <w:r w:rsidRPr="00DA1258">
        <w:rPr>
          <w:rFonts w:cstheme="minorHAnsi"/>
          <w:b/>
          <w:sz w:val="28"/>
          <w:szCs w:val="28"/>
        </w:rPr>
        <w:t>Monday</w:t>
      </w:r>
      <w:r w:rsidR="001450A9" w:rsidRPr="00DA1258">
        <w:rPr>
          <w:rFonts w:cstheme="minorHAnsi"/>
          <w:b/>
          <w:sz w:val="28"/>
          <w:szCs w:val="28"/>
        </w:rPr>
        <w:t>,</w:t>
      </w:r>
      <w:r w:rsidR="00662E62" w:rsidRPr="00DA1258">
        <w:rPr>
          <w:rFonts w:cstheme="minorHAnsi"/>
          <w:b/>
          <w:sz w:val="28"/>
          <w:szCs w:val="28"/>
        </w:rPr>
        <w:t xml:space="preserve"> April </w:t>
      </w:r>
      <w:r w:rsidRPr="00DA1258">
        <w:rPr>
          <w:rFonts w:cstheme="minorHAnsi"/>
          <w:b/>
          <w:sz w:val="28"/>
          <w:szCs w:val="28"/>
        </w:rPr>
        <w:t>2</w:t>
      </w:r>
      <w:r w:rsidR="003F76D7" w:rsidRPr="00DA1258">
        <w:rPr>
          <w:rFonts w:cstheme="minorHAnsi"/>
          <w:b/>
          <w:sz w:val="28"/>
          <w:szCs w:val="28"/>
        </w:rPr>
        <w:t>5</w:t>
      </w:r>
      <w:r w:rsidR="003F76D7" w:rsidRPr="00DA1258">
        <w:rPr>
          <w:rFonts w:cstheme="minorHAnsi"/>
          <w:b/>
          <w:sz w:val="28"/>
          <w:szCs w:val="28"/>
          <w:vertAlign w:val="superscript"/>
        </w:rPr>
        <w:t>th</w:t>
      </w:r>
      <w:r w:rsidR="00662E62" w:rsidRPr="00DA1258">
        <w:rPr>
          <w:rFonts w:cstheme="minorHAnsi"/>
          <w:b/>
          <w:sz w:val="28"/>
          <w:szCs w:val="28"/>
        </w:rPr>
        <w:t>2019</w:t>
      </w:r>
    </w:p>
    <w:p w14:paraId="798B941A" w14:textId="7ABD950A" w:rsidR="00BE3433" w:rsidRDefault="00BE3433" w:rsidP="00BE3433">
      <w:pPr>
        <w:spacing w:after="0"/>
        <w:rPr>
          <w:rFonts w:ascii="Verdana" w:hAnsi="Verdana"/>
          <w:b/>
          <w:sz w:val="28"/>
          <w:szCs w:val="28"/>
        </w:rPr>
      </w:pPr>
    </w:p>
    <w:tbl>
      <w:tblPr>
        <w:tblStyle w:val="TableGrid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513"/>
        <w:gridCol w:w="1701"/>
        <w:gridCol w:w="1276"/>
      </w:tblGrid>
      <w:tr w:rsidR="00910C25" w:rsidRPr="00F41133" w14:paraId="29B0A620" w14:textId="77777777" w:rsidTr="00BA69CF">
        <w:trPr>
          <w:trHeight w:val="394"/>
        </w:trPr>
        <w:tc>
          <w:tcPr>
            <w:tcW w:w="7513" w:type="dxa"/>
            <w:shd w:val="clear" w:color="auto" w:fill="800000"/>
          </w:tcPr>
          <w:p w14:paraId="4E230696" w14:textId="2E9C1960" w:rsidR="00910C25" w:rsidRPr="00D86EDE" w:rsidRDefault="00671C3A" w:rsidP="00910C25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cs="Arial"/>
                <w:color w:val="FFFFFF" w:themeColor="background1"/>
                <w:sz w:val="20"/>
                <w:szCs w:val="20"/>
                <w:lang w:val="en-US" w:eastAsia="fr-FR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 w:eastAsia="fr-FR"/>
              </w:rPr>
              <w:t>Discuss IEC developed by IFRC</w:t>
            </w:r>
          </w:p>
        </w:tc>
        <w:tc>
          <w:tcPr>
            <w:tcW w:w="1701" w:type="dxa"/>
            <w:shd w:val="clear" w:color="auto" w:fill="800000"/>
          </w:tcPr>
          <w:p w14:paraId="30C07BD0" w14:textId="77777777" w:rsidR="00910C25" w:rsidRPr="006550A4" w:rsidRDefault="00910C25" w:rsidP="00BA69C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276" w:type="dxa"/>
            <w:shd w:val="clear" w:color="auto" w:fill="800000"/>
          </w:tcPr>
          <w:p w14:paraId="635AB3CD" w14:textId="77777777" w:rsidR="00910C25" w:rsidRPr="006550A4" w:rsidRDefault="00910C25" w:rsidP="00BA69C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Responsible</w:t>
            </w:r>
            <w:r w:rsidRPr="006550A4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910C25" w:rsidRPr="00C056F0" w14:paraId="658CFA0A" w14:textId="77777777" w:rsidTr="00BA69CF">
        <w:trPr>
          <w:trHeight w:val="433"/>
        </w:trPr>
        <w:tc>
          <w:tcPr>
            <w:tcW w:w="7513" w:type="dxa"/>
          </w:tcPr>
          <w:p w14:paraId="5E97DEBC" w14:textId="486404D6" w:rsidR="00671C3A" w:rsidRPr="007538E1" w:rsidRDefault="00671C3A" w:rsidP="00671C3A">
            <w:pPr>
              <w:pStyle w:val="ListParagraph"/>
              <w:numPr>
                <w:ilvl w:val="1"/>
                <w:numId w:val="18"/>
              </w:numPr>
              <w:shd w:val="clear" w:color="auto" w:fill="FFFFFF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7538E1">
              <w:rPr>
                <w:rFonts w:cstheme="minorHAnsi"/>
                <w:b/>
                <w:i/>
                <w:sz w:val="20"/>
                <w:szCs w:val="20"/>
                <w:lang w:val="en-US"/>
              </w:rPr>
              <w:t>Presentation of collated IEC images</w:t>
            </w:r>
          </w:p>
          <w:p w14:paraId="7F5B07C9" w14:textId="5D061F4F" w:rsidR="00671C3A" w:rsidRDefault="00671C3A" w:rsidP="00671C3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671C3A">
              <w:rPr>
                <w:rFonts w:cstheme="minorHAnsi"/>
                <w:sz w:val="20"/>
                <w:szCs w:val="20"/>
              </w:rPr>
              <w:t>IFRC collated the images collated following the meeting on April 23</w:t>
            </w:r>
            <w:r w:rsidRPr="00671C3A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671C3A">
              <w:rPr>
                <w:rFonts w:cstheme="minorHAnsi"/>
                <w:sz w:val="20"/>
                <w:szCs w:val="20"/>
              </w:rPr>
              <w:t xml:space="preserve"> and brought for discussion. The</w:t>
            </w:r>
            <w:r w:rsidR="00F421A8">
              <w:rPr>
                <w:rFonts w:cstheme="minorHAnsi"/>
                <w:sz w:val="20"/>
                <w:szCs w:val="20"/>
              </w:rPr>
              <w:t xml:space="preserve"> images are schematic, aiming to </w:t>
            </w:r>
            <w:r w:rsidRPr="00671C3A">
              <w:rPr>
                <w:rFonts w:cstheme="minorHAnsi"/>
                <w:sz w:val="20"/>
                <w:szCs w:val="20"/>
              </w:rPr>
              <w:t xml:space="preserve">convey overarching principles to the most rapid self-builders through awareness campaigns planned </w:t>
            </w:r>
            <w:r w:rsidR="007538E1">
              <w:rPr>
                <w:rFonts w:cstheme="minorHAnsi"/>
                <w:sz w:val="20"/>
                <w:szCs w:val="20"/>
              </w:rPr>
              <w:t>to take place in</w:t>
            </w:r>
            <w:r w:rsidRPr="00671C3A">
              <w:rPr>
                <w:rFonts w:cstheme="minorHAnsi"/>
                <w:sz w:val="20"/>
                <w:szCs w:val="20"/>
              </w:rPr>
              <w:t xml:space="preserve"> </w:t>
            </w:r>
            <w:r w:rsidR="007538E1">
              <w:rPr>
                <w:rFonts w:cstheme="minorHAnsi"/>
                <w:sz w:val="20"/>
                <w:szCs w:val="20"/>
              </w:rPr>
              <w:t xml:space="preserve">two </w:t>
            </w:r>
            <w:r w:rsidRPr="00671C3A">
              <w:rPr>
                <w:rFonts w:cstheme="minorHAnsi"/>
                <w:sz w:val="20"/>
                <w:szCs w:val="20"/>
              </w:rPr>
              <w:t>weeks</w:t>
            </w:r>
            <w:r w:rsidR="00F421A8">
              <w:rPr>
                <w:rFonts w:cstheme="minorHAnsi"/>
                <w:sz w:val="20"/>
                <w:szCs w:val="20"/>
              </w:rPr>
              <w:t xml:space="preserve"> – rather than overburdening with technical princip</w:t>
            </w:r>
            <w:r w:rsidR="00453F7F">
              <w:rPr>
                <w:rFonts w:cstheme="minorHAnsi"/>
                <w:sz w:val="20"/>
                <w:szCs w:val="20"/>
              </w:rPr>
              <w:t>le</w:t>
            </w:r>
            <w:r w:rsidR="00F421A8">
              <w:rPr>
                <w:rFonts w:cstheme="minorHAnsi"/>
                <w:sz w:val="20"/>
                <w:szCs w:val="20"/>
              </w:rPr>
              <w:t>s</w:t>
            </w:r>
            <w:r w:rsidRPr="00671C3A">
              <w:rPr>
                <w:rFonts w:cstheme="minorHAnsi"/>
                <w:sz w:val="20"/>
                <w:szCs w:val="20"/>
              </w:rPr>
              <w:t>. The pictures have bee</w:t>
            </w:r>
            <w:r w:rsidRPr="00671C3A">
              <w:rPr>
                <w:rFonts w:cstheme="minorHAnsi"/>
                <w:sz w:val="20"/>
                <w:szCs w:val="20"/>
              </w:rPr>
              <w:t>n</w:t>
            </w:r>
            <w:r w:rsidRPr="00671C3A">
              <w:rPr>
                <w:rFonts w:cstheme="minorHAnsi"/>
                <w:sz w:val="20"/>
                <w:szCs w:val="20"/>
              </w:rPr>
              <w:t xml:space="preserve"> collated from various sources to try to convey </w:t>
            </w:r>
            <w:r w:rsidRPr="00671C3A">
              <w:rPr>
                <w:rFonts w:cstheme="minorHAnsi"/>
                <w:sz w:val="20"/>
                <w:szCs w:val="20"/>
              </w:rPr>
              <w:t>t</w:t>
            </w:r>
            <w:r w:rsidR="00F421A8">
              <w:rPr>
                <w:rFonts w:cstheme="minorHAnsi"/>
                <w:sz w:val="20"/>
                <w:szCs w:val="20"/>
              </w:rPr>
              <w:t>hese</w:t>
            </w:r>
            <w:r w:rsidRPr="00671C3A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7ED24EEE" w14:textId="77777777" w:rsidR="00671C3A" w:rsidRPr="00F421A8" w:rsidRDefault="00671C3A" w:rsidP="00671C3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  <w:p w14:paraId="7A4C17DA" w14:textId="77777777" w:rsidR="00671C3A" w:rsidRPr="00F421A8" w:rsidRDefault="00671C3A" w:rsidP="00671C3A">
            <w:pPr>
              <w:rPr>
                <w:rFonts w:cstheme="minorHAnsi"/>
                <w:sz w:val="20"/>
                <w:szCs w:val="20"/>
              </w:rPr>
            </w:pPr>
            <w:r w:rsidRPr="00F421A8">
              <w:rPr>
                <w:rFonts w:cstheme="minorHAnsi"/>
                <w:sz w:val="20"/>
                <w:szCs w:val="20"/>
              </w:rPr>
              <w:t>Partners gave feedback and agreed on the following:</w:t>
            </w:r>
          </w:p>
          <w:p w14:paraId="543BEFD7" w14:textId="77777777" w:rsidR="00671C3A" w:rsidRPr="00F421A8" w:rsidRDefault="00671C3A" w:rsidP="00671C3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F421A8">
              <w:rPr>
                <w:rFonts w:cstheme="minorHAnsi"/>
                <w:sz w:val="20"/>
                <w:szCs w:val="20"/>
              </w:rPr>
              <w:t xml:space="preserve">Text should be removed to reduce the quantity of information. </w:t>
            </w:r>
          </w:p>
          <w:p w14:paraId="133B7861" w14:textId="77777777" w:rsidR="00671C3A" w:rsidRPr="00F421A8" w:rsidRDefault="00671C3A" w:rsidP="000F72D2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cstheme="minorHAnsi"/>
                <w:sz w:val="20"/>
                <w:szCs w:val="20"/>
                <w:lang w:val="en-US"/>
              </w:rPr>
            </w:pPr>
            <w:r w:rsidRPr="00F421A8">
              <w:rPr>
                <w:rFonts w:cstheme="minorHAnsi"/>
                <w:sz w:val="20"/>
                <w:szCs w:val="20"/>
              </w:rPr>
              <w:t>Include a picture on foundation stabilisation</w:t>
            </w:r>
          </w:p>
          <w:p w14:paraId="0EA0956B" w14:textId="140981BB" w:rsidR="00671C3A" w:rsidRPr="00F421A8" w:rsidRDefault="00671C3A" w:rsidP="002774C3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cstheme="minorHAnsi"/>
                <w:sz w:val="20"/>
                <w:szCs w:val="20"/>
                <w:lang w:val="en-US"/>
              </w:rPr>
            </w:pPr>
            <w:r w:rsidRPr="00F421A8">
              <w:rPr>
                <w:rFonts w:cstheme="minorHAnsi"/>
                <w:sz w:val="20"/>
                <w:szCs w:val="20"/>
              </w:rPr>
              <w:t>Include a picture for connections</w:t>
            </w:r>
            <w:r w:rsidRPr="00F421A8">
              <w:rPr>
                <w:rFonts w:cstheme="minorHAnsi"/>
                <w:sz w:val="20"/>
                <w:szCs w:val="20"/>
              </w:rPr>
              <w:t xml:space="preserve">. </w:t>
            </w:r>
            <w:r w:rsidRPr="00F421A8">
              <w:rPr>
                <w:rFonts w:cstheme="minorHAnsi"/>
                <w:sz w:val="20"/>
                <w:szCs w:val="20"/>
                <w:lang w:val="en-US"/>
              </w:rPr>
              <w:t xml:space="preserve">In Mozambique there is the practice of using car </w:t>
            </w:r>
            <w:proofErr w:type="spellStart"/>
            <w:r w:rsidRPr="00F421A8">
              <w:rPr>
                <w:rFonts w:cstheme="minorHAnsi"/>
                <w:sz w:val="20"/>
                <w:szCs w:val="20"/>
                <w:lang w:val="en-US"/>
              </w:rPr>
              <w:t>tyre</w:t>
            </w:r>
            <w:proofErr w:type="spellEnd"/>
            <w:r w:rsidRPr="00F421A8">
              <w:rPr>
                <w:rFonts w:cstheme="minorHAnsi"/>
                <w:sz w:val="20"/>
                <w:szCs w:val="20"/>
                <w:lang w:val="en-US"/>
              </w:rPr>
              <w:t xml:space="preserve"> strips for these fixings – could be delivered as a message with the trainings.</w:t>
            </w:r>
          </w:p>
          <w:p w14:paraId="759A1792" w14:textId="0A635EC3" w:rsidR="00F421A8" w:rsidRDefault="00F421A8" w:rsidP="00F421A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F421A8">
              <w:rPr>
                <w:rFonts w:cstheme="minorHAnsi"/>
                <w:sz w:val="20"/>
                <w:szCs w:val="20"/>
              </w:rPr>
              <w:t xml:space="preserve">Bracing pictures may not be </w:t>
            </w:r>
            <w:r w:rsidRPr="00F421A8">
              <w:rPr>
                <w:rFonts w:cstheme="minorHAnsi"/>
                <w:sz w:val="20"/>
                <w:szCs w:val="20"/>
              </w:rPr>
              <w:t>relevant to this context</w:t>
            </w:r>
            <w:r w:rsidRPr="00F421A8">
              <w:rPr>
                <w:rFonts w:cstheme="minorHAnsi"/>
                <w:sz w:val="20"/>
                <w:szCs w:val="20"/>
              </w:rPr>
              <w:t xml:space="preserve"> as they have been taken from contexts which tend to make use of timber frames. Jim Kennedy may have an appropriate image. </w:t>
            </w:r>
          </w:p>
          <w:p w14:paraId="213726D9" w14:textId="75632C58" w:rsidR="00F421A8" w:rsidRDefault="00F421A8" w:rsidP="00F421A8">
            <w:pPr>
              <w:rPr>
                <w:rFonts w:cstheme="minorHAnsi"/>
                <w:sz w:val="20"/>
                <w:szCs w:val="20"/>
              </w:rPr>
            </w:pPr>
          </w:p>
          <w:p w14:paraId="5F333976" w14:textId="4A27D80C" w:rsidR="00F421A8" w:rsidRPr="00671C3A" w:rsidRDefault="00F421A8" w:rsidP="00E35A8B">
            <w:pPr>
              <w:shd w:val="clear" w:color="auto" w:fill="FFFFFF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3E56855" w14:textId="4EAD74D9" w:rsidR="00910C25" w:rsidRDefault="00910C25" w:rsidP="00BA69CF">
            <w:pPr>
              <w:ind w:right="3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671C3A">
              <w:rPr>
                <w:sz w:val="20"/>
                <w:szCs w:val="20"/>
                <w:lang w:val="en-US"/>
              </w:rPr>
              <w:t>Partners to find appropriate images and send to Pablo before Tuesday 30</w:t>
            </w:r>
            <w:r w:rsidR="00671C3A" w:rsidRPr="00671C3A">
              <w:rPr>
                <w:sz w:val="20"/>
                <w:szCs w:val="20"/>
                <w:vertAlign w:val="superscript"/>
                <w:lang w:val="en-US"/>
              </w:rPr>
              <w:t>th</w:t>
            </w:r>
            <w:r w:rsidR="00671C3A">
              <w:rPr>
                <w:sz w:val="20"/>
                <w:szCs w:val="20"/>
                <w:lang w:val="en-US"/>
              </w:rPr>
              <w:t xml:space="preserve"> </w:t>
            </w:r>
          </w:p>
          <w:p w14:paraId="6F687721" w14:textId="15AF2613" w:rsidR="00626372" w:rsidRDefault="00626372" w:rsidP="00BA69CF">
            <w:pPr>
              <w:ind w:right="35"/>
              <w:rPr>
                <w:sz w:val="20"/>
                <w:szCs w:val="20"/>
                <w:lang w:val="en-US"/>
              </w:rPr>
            </w:pPr>
          </w:p>
          <w:p w14:paraId="7B546EC1" w14:textId="633B8434" w:rsidR="00626372" w:rsidRDefault="00626372" w:rsidP="00BA69CF">
            <w:pPr>
              <w:ind w:right="3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Request pictures from Jim</w:t>
            </w:r>
          </w:p>
          <w:p w14:paraId="57FCC061" w14:textId="012FDAB1" w:rsidR="00671C3A" w:rsidRPr="00D86EDE" w:rsidRDefault="00671C3A" w:rsidP="00BA69CF">
            <w:pPr>
              <w:ind w:right="35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E6BB85F" w14:textId="58E3A14F" w:rsidR="00910C25" w:rsidRPr="006550A4" w:rsidRDefault="00671C3A" w:rsidP="00BA69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ALL</w:t>
            </w:r>
          </w:p>
        </w:tc>
      </w:tr>
      <w:tr w:rsidR="00910C25" w:rsidRPr="00F41133" w14:paraId="72521A5D" w14:textId="77777777" w:rsidTr="00BA69CF">
        <w:trPr>
          <w:trHeight w:val="208"/>
        </w:trPr>
        <w:tc>
          <w:tcPr>
            <w:tcW w:w="7513" w:type="dxa"/>
            <w:tcBorders>
              <w:bottom w:val="dotted" w:sz="4" w:space="0" w:color="auto"/>
            </w:tcBorders>
            <w:shd w:val="clear" w:color="auto" w:fill="800000"/>
          </w:tcPr>
          <w:p w14:paraId="43359745" w14:textId="0C12C5E6" w:rsidR="00910C25" w:rsidRPr="00776645" w:rsidRDefault="00F421A8" w:rsidP="00910C25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Roll out strategy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800000"/>
          </w:tcPr>
          <w:p w14:paraId="79F8FF64" w14:textId="730FED77" w:rsidR="00910C25" w:rsidRPr="006550A4" w:rsidRDefault="00910C25" w:rsidP="00BA69C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800000"/>
          </w:tcPr>
          <w:p w14:paraId="606A8A8D" w14:textId="091B3013" w:rsidR="00910C25" w:rsidRPr="006550A4" w:rsidRDefault="00910C25" w:rsidP="00BA69CF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910C25" w:rsidRPr="00DE042A" w14:paraId="5D024DCE" w14:textId="77777777" w:rsidTr="00BA69CF">
        <w:trPr>
          <w:trHeight w:val="530"/>
        </w:trPr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F38BB8" w14:textId="36CF3223" w:rsidR="00F421A8" w:rsidRDefault="00910C25" w:rsidP="00BA69CF">
            <w:pPr>
              <w:rPr>
                <w:b/>
                <w:i/>
                <w:sz w:val="20"/>
                <w:szCs w:val="20"/>
                <w:lang w:val="en-US"/>
              </w:rPr>
            </w:pPr>
            <w:r w:rsidRPr="00DE042A">
              <w:rPr>
                <w:b/>
                <w:i/>
                <w:sz w:val="20"/>
                <w:szCs w:val="20"/>
                <w:lang w:val="en-US"/>
              </w:rPr>
              <w:t xml:space="preserve">2.1 </w:t>
            </w:r>
            <w:r w:rsidR="00F421A8">
              <w:rPr>
                <w:b/>
                <w:i/>
                <w:sz w:val="20"/>
                <w:szCs w:val="20"/>
                <w:lang w:val="en-US"/>
              </w:rPr>
              <w:t>–</w:t>
            </w:r>
            <w:r w:rsidRPr="00DE042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F421A8">
              <w:rPr>
                <w:b/>
                <w:i/>
                <w:sz w:val="20"/>
                <w:szCs w:val="20"/>
                <w:lang w:val="en-US"/>
              </w:rPr>
              <w:t xml:space="preserve">IFRC to pilot messages in two weeks in several neighborhoods in </w:t>
            </w:r>
            <w:proofErr w:type="spellStart"/>
            <w:r w:rsidR="00F421A8">
              <w:rPr>
                <w:b/>
                <w:i/>
                <w:sz w:val="20"/>
                <w:szCs w:val="20"/>
                <w:lang w:val="en-US"/>
              </w:rPr>
              <w:t>Sofala</w:t>
            </w:r>
            <w:proofErr w:type="spellEnd"/>
            <w:r w:rsidR="00F421A8">
              <w:rPr>
                <w:b/>
                <w:i/>
                <w:sz w:val="20"/>
                <w:szCs w:val="20"/>
                <w:lang w:val="en-US"/>
              </w:rPr>
              <w:t xml:space="preserve">. </w:t>
            </w:r>
          </w:p>
          <w:p w14:paraId="53CE64BF" w14:textId="56A19086" w:rsidR="00F421A8" w:rsidRDefault="00F421A8" w:rsidP="00BA69CF">
            <w:pPr>
              <w:rPr>
                <w:sz w:val="20"/>
                <w:szCs w:val="20"/>
                <w:lang w:val="en-US"/>
              </w:rPr>
            </w:pPr>
            <w:r w:rsidRPr="00E35A8B">
              <w:rPr>
                <w:sz w:val="20"/>
                <w:szCs w:val="20"/>
                <w:lang w:val="en-US"/>
              </w:rPr>
              <w:t xml:space="preserve">This will be part of </w:t>
            </w:r>
            <w:r w:rsidR="00626372">
              <w:rPr>
                <w:sz w:val="20"/>
                <w:szCs w:val="20"/>
                <w:lang w:val="en-US"/>
              </w:rPr>
              <w:t xml:space="preserve">a pilot </w:t>
            </w:r>
            <w:r w:rsidRPr="00E35A8B">
              <w:rPr>
                <w:sz w:val="20"/>
                <w:szCs w:val="20"/>
                <w:lang w:val="en-US"/>
              </w:rPr>
              <w:t>awareness raising campaign</w:t>
            </w:r>
            <w:r w:rsidR="00E35A8B" w:rsidRPr="00E35A8B">
              <w:rPr>
                <w:sz w:val="20"/>
                <w:szCs w:val="20"/>
                <w:lang w:val="en-US"/>
              </w:rPr>
              <w:t xml:space="preserve"> o</w:t>
            </w:r>
            <w:r w:rsidRPr="00E35A8B">
              <w:rPr>
                <w:sz w:val="20"/>
                <w:szCs w:val="20"/>
                <w:lang w:val="en-US"/>
              </w:rPr>
              <w:t>n shelter reconstruction and WASH activities. IFRC volunteers will present initial key messages</w:t>
            </w:r>
            <w:r w:rsidR="00E35A8B">
              <w:rPr>
                <w:sz w:val="20"/>
                <w:szCs w:val="20"/>
                <w:lang w:val="en-US"/>
              </w:rPr>
              <w:t xml:space="preserve"> through various participatory methods still to be defined</w:t>
            </w:r>
            <w:r w:rsidR="00626372">
              <w:rPr>
                <w:sz w:val="20"/>
                <w:szCs w:val="20"/>
                <w:lang w:val="en-US"/>
              </w:rPr>
              <w:t>. T</w:t>
            </w:r>
            <w:r w:rsidR="00E35A8B">
              <w:rPr>
                <w:sz w:val="20"/>
                <w:szCs w:val="20"/>
                <w:lang w:val="en-US"/>
              </w:rPr>
              <w:t>hey</w:t>
            </w:r>
            <w:r w:rsidRPr="00E35A8B">
              <w:rPr>
                <w:sz w:val="20"/>
                <w:szCs w:val="20"/>
                <w:lang w:val="en-US"/>
              </w:rPr>
              <w:t xml:space="preserve"> hope to have a volunteer trained on some more technical issues incase people have questions on specific issues. </w:t>
            </w:r>
          </w:p>
          <w:p w14:paraId="6F747572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46AC350E" w14:textId="48EAB6D2" w:rsidR="00E35A8B" w:rsidRDefault="00E35A8B" w:rsidP="00BA69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Discussed the possibility of team collecting frequently asked questions as a means of collecting information on key information and knowledge gaps to inform subsequent phases of IEC production and dissemination. More information to follow. </w:t>
            </w:r>
          </w:p>
          <w:p w14:paraId="58612896" w14:textId="58317C8F" w:rsidR="00E35A8B" w:rsidRDefault="00E35A8B" w:rsidP="00BA69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Other partners still defining implementation areas. </w:t>
            </w:r>
          </w:p>
          <w:p w14:paraId="7D8466D1" w14:textId="5B695D34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742988B3" w14:textId="36280BC2" w:rsidR="00F770FF" w:rsidRDefault="00F770FF" w:rsidP="00BA69CF">
            <w:pPr>
              <w:rPr>
                <w:b/>
                <w:i/>
                <w:sz w:val="20"/>
                <w:szCs w:val="20"/>
                <w:lang w:val="en-US"/>
              </w:rPr>
            </w:pPr>
            <w:r w:rsidRPr="00F770FF">
              <w:rPr>
                <w:b/>
                <w:sz w:val="20"/>
                <w:szCs w:val="20"/>
                <w:lang w:val="en-US"/>
              </w:rPr>
              <w:t xml:space="preserve">2.2 – </w:t>
            </w:r>
            <w:r w:rsidRPr="00F770FF">
              <w:rPr>
                <w:b/>
                <w:i/>
                <w:sz w:val="20"/>
                <w:szCs w:val="20"/>
                <w:lang w:val="en-US"/>
              </w:rPr>
              <w:t>Community engagement</w:t>
            </w:r>
            <w:r>
              <w:rPr>
                <w:b/>
                <w:i/>
                <w:sz w:val="20"/>
                <w:szCs w:val="20"/>
                <w:lang w:val="en-US"/>
              </w:rPr>
              <w:t>/Comms strategies</w:t>
            </w:r>
          </w:p>
          <w:p w14:paraId="588CF1C2" w14:textId="77777777" w:rsidR="00F770FF" w:rsidRPr="00F770FF" w:rsidRDefault="00F770FF" w:rsidP="00F770FF">
            <w:pPr>
              <w:rPr>
                <w:sz w:val="20"/>
                <w:szCs w:val="20"/>
                <w:lang w:val="en-CA"/>
              </w:rPr>
            </w:pPr>
            <w:r w:rsidRPr="00F770FF">
              <w:rPr>
                <w:sz w:val="20"/>
                <w:szCs w:val="20"/>
                <w:lang w:val="en-CA"/>
              </w:rPr>
              <w:t xml:space="preserve">Three most common languages in </w:t>
            </w:r>
            <w:proofErr w:type="spellStart"/>
            <w:r w:rsidRPr="00F770FF">
              <w:rPr>
                <w:sz w:val="20"/>
                <w:szCs w:val="20"/>
                <w:lang w:val="en-CA"/>
              </w:rPr>
              <w:t>Sofala</w:t>
            </w:r>
            <w:proofErr w:type="spellEnd"/>
            <w:r w:rsidRPr="00F770FF">
              <w:rPr>
                <w:sz w:val="20"/>
                <w:szCs w:val="20"/>
                <w:lang w:val="en-CA"/>
              </w:rPr>
              <w:t>:</w:t>
            </w:r>
          </w:p>
          <w:p w14:paraId="322388E7" w14:textId="77777777" w:rsidR="00F770FF" w:rsidRPr="00F770FF" w:rsidRDefault="00F770FF" w:rsidP="00F770FF">
            <w:pPr>
              <w:numPr>
                <w:ilvl w:val="0"/>
                <w:numId w:val="15"/>
              </w:numPr>
              <w:rPr>
                <w:sz w:val="20"/>
                <w:szCs w:val="20"/>
                <w:lang w:val="en-CA"/>
              </w:rPr>
            </w:pPr>
            <w:proofErr w:type="spellStart"/>
            <w:r w:rsidRPr="00F770FF">
              <w:rPr>
                <w:sz w:val="20"/>
                <w:szCs w:val="20"/>
                <w:lang w:val="en-CA"/>
              </w:rPr>
              <w:t>Sena</w:t>
            </w:r>
            <w:proofErr w:type="spellEnd"/>
            <w:r w:rsidRPr="00F770FF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F770FF">
              <w:rPr>
                <w:sz w:val="20"/>
                <w:szCs w:val="20"/>
                <w:lang w:val="en-CA"/>
              </w:rPr>
              <w:t>Ndau</w:t>
            </w:r>
            <w:proofErr w:type="spellEnd"/>
            <w:r w:rsidRPr="00F770FF">
              <w:rPr>
                <w:sz w:val="20"/>
                <w:szCs w:val="20"/>
                <w:lang w:val="en-CA"/>
              </w:rPr>
              <w:t xml:space="preserve"> and Shona,</w:t>
            </w:r>
          </w:p>
          <w:p w14:paraId="1847CF33" w14:textId="77777777" w:rsidR="00F770FF" w:rsidRPr="00F770FF" w:rsidRDefault="00F770FF" w:rsidP="00F770FF">
            <w:pPr>
              <w:numPr>
                <w:ilvl w:val="0"/>
                <w:numId w:val="15"/>
              </w:numPr>
              <w:rPr>
                <w:sz w:val="20"/>
                <w:szCs w:val="20"/>
                <w:lang w:val="en-CA"/>
              </w:rPr>
            </w:pPr>
            <w:proofErr w:type="spellStart"/>
            <w:r w:rsidRPr="00F770FF">
              <w:rPr>
                <w:sz w:val="20"/>
                <w:szCs w:val="20"/>
                <w:lang w:val="en-CA"/>
              </w:rPr>
              <w:t>Sena</w:t>
            </w:r>
            <w:proofErr w:type="spellEnd"/>
            <w:r w:rsidRPr="00F770FF">
              <w:rPr>
                <w:sz w:val="20"/>
                <w:szCs w:val="20"/>
                <w:lang w:val="en-CA"/>
              </w:rPr>
              <w:t xml:space="preserve"> mostly in Beira and </w:t>
            </w:r>
            <w:proofErr w:type="spellStart"/>
            <w:r w:rsidRPr="00F770FF">
              <w:rPr>
                <w:sz w:val="20"/>
                <w:szCs w:val="20"/>
                <w:lang w:val="en-CA"/>
              </w:rPr>
              <w:t>Ndau</w:t>
            </w:r>
            <w:proofErr w:type="spellEnd"/>
            <w:r w:rsidRPr="00F770FF">
              <w:rPr>
                <w:sz w:val="20"/>
                <w:szCs w:val="20"/>
                <w:lang w:val="en-CA"/>
              </w:rPr>
              <w:t xml:space="preserve"> in </w:t>
            </w:r>
            <w:proofErr w:type="spellStart"/>
            <w:r w:rsidRPr="00F770FF">
              <w:rPr>
                <w:sz w:val="20"/>
                <w:szCs w:val="20"/>
                <w:lang w:val="en-CA"/>
              </w:rPr>
              <w:t>Buzi</w:t>
            </w:r>
            <w:proofErr w:type="spellEnd"/>
          </w:p>
          <w:p w14:paraId="128E41A4" w14:textId="77777777" w:rsidR="00F770FF" w:rsidRDefault="00F770FF" w:rsidP="00F770FF">
            <w:pPr>
              <w:rPr>
                <w:sz w:val="20"/>
                <w:szCs w:val="20"/>
                <w:lang w:val="en-CA"/>
              </w:rPr>
            </w:pPr>
          </w:p>
          <w:p w14:paraId="15E4A3BB" w14:textId="06226545" w:rsidR="00F770FF" w:rsidRPr="00F770FF" w:rsidRDefault="00F770FF" w:rsidP="00F770FF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F770FF">
              <w:rPr>
                <w:sz w:val="20"/>
                <w:szCs w:val="20"/>
                <w:lang w:val="en-CA"/>
              </w:rPr>
              <w:t>If we have basic message</w:t>
            </w:r>
            <w:r>
              <w:rPr>
                <w:sz w:val="20"/>
                <w:szCs w:val="20"/>
                <w:lang w:val="en-CA"/>
              </w:rPr>
              <w:t>s</w:t>
            </w:r>
            <w:r w:rsidRPr="00F770FF">
              <w:rPr>
                <w:sz w:val="20"/>
                <w:szCs w:val="20"/>
                <w:lang w:val="en-CA"/>
              </w:rPr>
              <w:t xml:space="preserve"> T</w:t>
            </w:r>
            <w:r>
              <w:rPr>
                <w:sz w:val="20"/>
                <w:szCs w:val="20"/>
                <w:lang w:val="en-CA"/>
              </w:rPr>
              <w:t xml:space="preserve">ranslators </w:t>
            </w:r>
            <w:r w:rsidRPr="00F770FF">
              <w:rPr>
                <w:sz w:val="20"/>
                <w:szCs w:val="20"/>
                <w:lang w:val="en-CA"/>
              </w:rPr>
              <w:t>W</w:t>
            </w:r>
            <w:r>
              <w:rPr>
                <w:sz w:val="20"/>
                <w:szCs w:val="20"/>
                <w:lang w:val="en-CA"/>
              </w:rPr>
              <w:t xml:space="preserve">ithout </w:t>
            </w:r>
            <w:r w:rsidRPr="00F770FF">
              <w:rPr>
                <w:sz w:val="20"/>
                <w:szCs w:val="20"/>
                <w:lang w:val="en-CA"/>
              </w:rPr>
              <w:t>B</w:t>
            </w:r>
            <w:r>
              <w:rPr>
                <w:sz w:val="20"/>
                <w:szCs w:val="20"/>
                <w:lang w:val="en-CA"/>
              </w:rPr>
              <w:t>orders</w:t>
            </w:r>
            <w:r w:rsidRPr="00F770FF">
              <w:rPr>
                <w:sz w:val="20"/>
                <w:szCs w:val="20"/>
                <w:lang w:val="en-CA"/>
              </w:rPr>
              <w:t xml:space="preserve"> can test these out without support </w:t>
            </w:r>
            <w:r w:rsidRPr="00F770FF">
              <w:rPr>
                <w:rFonts w:cstheme="minorHAnsi"/>
                <w:sz w:val="20"/>
                <w:szCs w:val="20"/>
                <w:lang w:val="en-CA"/>
              </w:rPr>
              <w:t xml:space="preserve">from partners and because these are community facing messages there is no charge. Details of the language comprehension assessments should be available soon. </w:t>
            </w:r>
          </w:p>
          <w:p w14:paraId="7332CB90" w14:textId="6CA4663C" w:rsidR="00E35A8B" w:rsidRPr="00F770FF" w:rsidRDefault="00E35A8B" w:rsidP="00BA69CF">
            <w:pPr>
              <w:rPr>
                <w:rFonts w:cstheme="minorHAnsi"/>
                <w:b/>
                <w:sz w:val="20"/>
                <w:szCs w:val="20"/>
                <w:lang w:val="en-CA"/>
              </w:rPr>
            </w:pPr>
          </w:p>
          <w:p w14:paraId="0B586C98" w14:textId="2FE6476A" w:rsidR="00F770FF" w:rsidRPr="00F770FF" w:rsidRDefault="00F770FF" w:rsidP="00F770FF">
            <w:pPr>
              <w:rPr>
                <w:rFonts w:cstheme="minorHAnsi"/>
                <w:sz w:val="20"/>
                <w:szCs w:val="20"/>
              </w:rPr>
            </w:pPr>
            <w:r w:rsidRPr="00F770FF">
              <w:rPr>
                <w:rFonts w:cstheme="minorHAnsi"/>
                <w:sz w:val="20"/>
                <w:szCs w:val="20"/>
                <w:lang w:val="en-CA"/>
              </w:rPr>
              <w:t>Community engagement Working group has negotiated</w:t>
            </w:r>
            <w:r w:rsidRPr="00F770FF">
              <w:rPr>
                <w:rFonts w:cstheme="minorHAnsi"/>
                <w:sz w:val="20"/>
                <w:szCs w:val="20"/>
              </w:rPr>
              <w:t xml:space="preserve"> 1 hour per week of free time</w:t>
            </w:r>
            <w:r w:rsidRPr="00F770FF">
              <w:rPr>
                <w:rFonts w:cstheme="minorHAnsi"/>
                <w:sz w:val="20"/>
                <w:szCs w:val="20"/>
              </w:rPr>
              <w:t xml:space="preserve"> on local radio stations across </w:t>
            </w:r>
            <w:proofErr w:type="spellStart"/>
            <w:r w:rsidRPr="00F770FF">
              <w:rPr>
                <w:rFonts w:cstheme="minorHAnsi"/>
                <w:sz w:val="20"/>
                <w:szCs w:val="20"/>
              </w:rPr>
              <w:t>Sofala</w:t>
            </w:r>
            <w:proofErr w:type="spellEnd"/>
            <w:r w:rsidRPr="00F770FF">
              <w:rPr>
                <w:rFonts w:cstheme="minorHAnsi"/>
                <w:sz w:val="20"/>
                <w:szCs w:val="20"/>
              </w:rPr>
              <w:t xml:space="preserve">. They can help to </w:t>
            </w:r>
            <w:r w:rsidRPr="00F770FF">
              <w:rPr>
                <w:rFonts w:cstheme="minorHAnsi"/>
                <w:sz w:val="20"/>
                <w:szCs w:val="20"/>
              </w:rPr>
              <w:t>organise radio shows in the areas we are working</w:t>
            </w:r>
            <w:r w:rsidRPr="00F770FF">
              <w:rPr>
                <w:rFonts w:cstheme="minorHAnsi"/>
                <w:sz w:val="20"/>
                <w:szCs w:val="20"/>
              </w:rPr>
              <w:t xml:space="preserve"> to discuss key issues. They also have a deal with </w:t>
            </w:r>
            <w:proofErr w:type="spellStart"/>
            <w:r w:rsidRPr="00F770FF">
              <w:rPr>
                <w:rFonts w:cstheme="minorHAnsi"/>
                <w:sz w:val="20"/>
                <w:szCs w:val="20"/>
              </w:rPr>
              <w:t>Vodcom</w:t>
            </w:r>
            <w:proofErr w:type="spellEnd"/>
            <w:r w:rsidRPr="00F770FF">
              <w:rPr>
                <w:rFonts w:cstheme="minorHAnsi"/>
                <w:sz w:val="20"/>
                <w:szCs w:val="20"/>
              </w:rPr>
              <w:t xml:space="preserve"> so that specific </w:t>
            </w:r>
            <w:r w:rsidRPr="00F770FF">
              <w:rPr>
                <w:rFonts w:cstheme="minorHAnsi"/>
                <w:sz w:val="20"/>
                <w:szCs w:val="20"/>
              </w:rPr>
              <w:lastRenderedPageBreak/>
              <w:t xml:space="preserve">messages can be disseminated to the population. </w:t>
            </w:r>
            <w:r>
              <w:rPr>
                <w:rFonts w:cstheme="minorHAnsi"/>
                <w:sz w:val="20"/>
                <w:szCs w:val="20"/>
              </w:rPr>
              <w:t xml:space="preserve">Also recommended to point local builders towards the </w:t>
            </w:r>
            <w:proofErr w:type="spellStart"/>
            <w:r>
              <w:rPr>
                <w:rFonts w:cstheme="minorHAnsi"/>
                <w:sz w:val="20"/>
                <w:szCs w:val="20"/>
              </w:rPr>
              <w:t>AIdai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 which has a shelter section. </w:t>
            </w:r>
          </w:p>
          <w:p w14:paraId="52C757C8" w14:textId="7678E8D9" w:rsidR="00E35A8B" w:rsidRPr="00F770FF" w:rsidRDefault="00E35A8B" w:rsidP="00BA69CF">
            <w:pPr>
              <w:rPr>
                <w:sz w:val="20"/>
                <w:szCs w:val="20"/>
                <w:lang w:val="en-CA"/>
              </w:rPr>
            </w:pPr>
          </w:p>
          <w:p w14:paraId="1789B67C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387CF5DD" w14:textId="0429A7DB" w:rsidR="00E35A8B" w:rsidRPr="00E35A8B" w:rsidRDefault="00E35A8B" w:rsidP="00E35A8B">
            <w:pPr>
              <w:pStyle w:val="ListParagraph"/>
              <w:numPr>
                <w:ilvl w:val="1"/>
                <w:numId w:val="20"/>
              </w:numPr>
              <w:rPr>
                <w:rFonts w:cstheme="minorHAnsi"/>
                <w:b/>
                <w:i/>
                <w:sz w:val="20"/>
                <w:szCs w:val="20"/>
              </w:rPr>
            </w:pPr>
            <w:r w:rsidRPr="00E35A8B">
              <w:rPr>
                <w:rFonts w:cstheme="minorHAnsi"/>
                <w:b/>
                <w:i/>
                <w:sz w:val="20"/>
                <w:szCs w:val="20"/>
              </w:rPr>
              <w:t xml:space="preserve">- </w:t>
            </w:r>
            <w:r w:rsidRPr="00E35A8B">
              <w:rPr>
                <w:rFonts w:cstheme="minorHAnsi"/>
                <w:b/>
                <w:i/>
                <w:sz w:val="20"/>
                <w:szCs w:val="20"/>
              </w:rPr>
              <w:t>Agency logos</w:t>
            </w:r>
          </w:p>
          <w:p w14:paraId="2CF10244" w14:textId="77777777" w:rsidR="00E35A8B" w:rsidRDefault="00E35A8B" w:rsidP="00E35A8B">
            <w:pPr>
              <w:shd w:val="clear" w:color="auto" w:fill="FFFFFF"/>
              <w:rPr>
                <w:rFonts w:cstheme="minorHAnsi"/>
                <w:sz w:val="20"/>
                <w:szCs w:val="20"/>
                <w:lang w:val="en-US"/>
              </w:rPr>
            </w:pPr>
          </w:p>
          <w:p w14:paraId="34F0C285" w14:textId="43CFEE21" w:rsidR="00E35A8B" w:rsidRDefault="00E35A8B" w:rsidP="00E35A8B">
            <w:pPr>
              <w:shd w:val="clear" w:color="auto" w:fill="FFFFFF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Agreed to limit the quantity of agency logos on the IEC once printed. Shelter Cluster Mozambique represents all partners, but individual agencies can print logos on their own dissemination material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if they wish. </w:t>
            </w:r>
          </w:p>
          <w:p w14:paraId="32F26FDA" w14:textId="22B59F9E" w:rsidR="00E35A8B" w:rsidRDefault="00E35A8B" w:rsidP="00E35A8B">
            <w:pPr>
              <w:shd w:val="clear" w:color="auto" w:fill="FFFFFF"/>
              <w:rPr>
                <w:rFonts w:cstheme="minorHAnsi"/>
                <w:sz w:val="20"/>
                <w:szCs w:val="20"/>
                <w:lang w:val="en-US"/>
              </w:rPr>
            </w:pPr>
          </w:p>
          <w:p w14:paraId="1AEF480D" w14:textId="03A692C8" w:rsidR="00E35A8B" w:rsidRDefault="00E35A8B" w:rsidP="00E35A8B">
            <w:pPr>
              <w:shd w:val="clear" w:color="auto" w:fill="FFFFFF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Although INGC have given initial acceptance of the images to be used – may need to re-confirm this once messages have been finalized. </w:t>
            </w:r>
          </w:p>
          <w:p w14:paraId="2859A55A" w14:textId="122924FF" w:rsidR="00E35A8B" w:rsidRDefault="00E35A8B" w:rsidP="00E35A8B">
            <w:pPr>
              <w:shd w:val="clear" w:color="auto" w:fill="FFFFFF"/>
              <w:rPr>
                <w:rFonts w:cstheme="minorHAnsi"/>
                <w:sz w:val="20"/>
                <w:szCs w:val="20"/>
                <w:lang w:val="en-US"/>
              </w:rPr>
            </w:pPr>
          </w:p>
          <w:p w14:paraId="6EFF7596" w14:textId="7F13B611" w:rsidR="00910C25" w:rsidRPr="00F770FF" w:rsidRDefault="00910C25" w:rsidP="00F770FF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168C50" w14:textId="77777777" w:rsidR="00910C25" w:rsidRDefault="00910C25" w:rsidP="00BA69CF">
            <w:pPr>
              <w:rPr>
                <w:sz w:val="20"/>
                <w:szCs w:val="20"/>
                <w:lang w:val="en-US"/>
              </w:rPr>
            </w:pPr>
          </w:p>
          <w:p w14:paraId="2EBA441C" w14:textId="77777777" w:rsidR="00910C25" w:rsidRDefault="00910C25" w:rsidP="00BA69CF">
            <w:pPr>
              <w:rPr>
                <w:sz w:val="20"/>
                <w:szCs w:val="20"/>
                <w:lang w:val="en-US"/>
              </w:rPr>
            </w:pPr>
          </w:p>
          <w:p w14:paraId="665D9D13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64C06D89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6E57C95E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628CDD2F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27C21EA8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0355BC83" w14:textId="18CF2339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5D86FFBF" w14:textId="1F0E2B83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7DA8145B" w14:textId="3421EA1C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141F022D" w14:textId="04A32F33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03566982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6F104BC9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10DC9E86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53A924C8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1292E32E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3ED2A8EB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4FACFC38" w14:textId="21DFB964" w:rsidR="00F770FF" w:rsidRDefault="00F770FF" w:rsidP="00BA69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Follow up when IEC </w:t>
            </w:r>
            <w:proofErr w:type="spellStart"/>
            <w:r>
              <w:rPr>
                <w:sz w:val="20"/>
                <w:szCs w:val="20"/>
                <w:lang w:val="en-US"/>
              </w:rPr>
              <w:t>finalised</w:t>
            </w:r>
            <w:proofErr w:type="spellEnd"/>
          </w:p>
          <w:p w14:paraId="6369ECE6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57AA2280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046D775A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68D51C0E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54B818BC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670BCBC8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6803FAE9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33DE1DBC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68BEF6F8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3043327E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77D4EF54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5211C363" w14:textId="1CF4D67B" w:rsidR="00E35A8B" w:rsidRPr="006550A4" w:rsidRDefault="00E35A8B" w:rsidP="00BA69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Approach INGC once messages are finalized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F0A70B" w14:textId="77777777" w:rsidR="00910C25" w:rsidRDefault="00910C25" w:rsidP="00BA69CF">
            <w:pPr>
              <w:rPr>
                <w:sz w:val="20"/>
                <w:szCs w:val="20"/>
                <w:lang w:val="en-US"/>
              </w:rPr>
            </w:pPr>
          </w:p>
          <w:p w14:paraId="1FF25023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4665717F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2A931ABE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08534C5E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2A0D5EBD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1837648F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0B2AEEBD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1A590498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2046A598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59B3AC31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59C67320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600CB13D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11A09FCA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6A4D1F3E" w14:textId="77777777" w:rsidR="00E35A8B" w:rsidRDefault="00E35A8B" w:rsidP="00BA69CF">
            <w:pPr>
              <w:rPr>
                <w:sz w:val="20"/>
                <w:szCs w:val="20"/>
                <w:lang w:val="en-US"/>
              </w:rPr>
            </w:pPr>
          </w:p>
          <w:p w14:paraId="36123747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5CDF0AA5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1B17DDCF" w14:textId="0D3636B6" w:rsidR="00F770FF" w:rsidRDefault="00F770FF" w:rsidP="00BA69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All partners</w:t>
            </w:r>
          </w:p>
          <w:p w14:paraId="3F468F9F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60BEFE60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784839F6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29EC5E6A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41411DA0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5D9EA1BB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4C60B1BB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770E130F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3DFB27F8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14B0FC31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5BAC664E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4BF97D8D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1EBB55A1" w14:textId="77777777" w:rsidR="00F770FF" w:rsidRDefault="00F770FF" w:rsidP="00BA69CF">
            <w:pPr>
              <w:rPr>
                <w:sz w:val="20"/>
                <w:szCs w:val="20"/>
                <w:lang w:val="en-US"/>
              </w:rPr>
            </w:pPr>
          </w:p>
          <w:p w14:paraId="600C9022" w14:textId="3D5270BA" w:rsidR="00E35A8B" w:rsidRPr="00DE042A" w:rsidRDefault="00E35A8B" w:rsidP="00BA69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IFRC</w:t>
            </w:r>
          </w:p>
        </w:tc>
      </w:tr>
      <w:tr w:rsidR="00453F7F" w:rsidRPr="00D26A18" w14:paraId="4979B3FB" w14:textId="77777777" w:rsidTr="00BA69CF">
        <w:trPr>
          <w:trHeight w:val="410"/>
        </w:trPr>
        <w:tc>
          <w:tcPr>
            <w:tcW w:w="7513" w:type="dxa"/>
            <w:shd w:val="clear" w:color="auto" w:fill="800000"/>
          </w:tcPr>
          <w:p w14:paraId="75D0C5B6" w14:textId="59E2F331" w:rsidR="00453F7F" w:rsidRDefault="00453F7F" w:rsidP="00910C25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Any other business</w:t>
            </w:r>
          </w:p>
        </w:tc>
        <w:tc>
          <w:tcPr>
            <w:tcW w:w="1701" w:type="dxa"/>
            <w:shd w:val="clear" w:color="auto" w:fill="800000"/>
          </w:tcPr>
          <w:p w14:paraId="653DD1D9" w14:textId="77777777" w:rsidR="00453F7F" w:rsidRDefault="00453F7F" w:rsidP="00BA69C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800000"/>
          </w:tcPr>
          <w:p w14:paraId="0FA8600E" w14:textId="77777777" w:rsidR="00453F7F" w:rsidRDefault="00453F7F" w:rsidP="00BA69CF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53F7F" w:rsidRPr="00D26A18" w14:paraId="4C3E847A" w14:textId="77777777" w:rsidTr="00453F7F">
        <w:trPr>
          <w:trHeight w:val="410"/>
        </w:trPr>
        <w:tc>
          <w:tcPr>
            <w:tcW w:w="7513" w:type="dxa"/>
            <w:shd w:val="clear" w:color="auto" w:fill="auto"/>
          </w:tcPr>
          <w:p w14:paraId="35E08399" w14:textId="2775CC40" w:rsidR="00453F7F" w:rsidRDefault="00453F7F" w:rsidP="00453F7F">
            <w:pPr>
              <w:rPr>
                <w:b/>
                <w:sz w:val="20"/>
                <w:szCs w:val="20"/>
                <w:lang w:val="en-US"/>
              </w:rPr>
            </w:pPr>
          </w:p>
          <w:p w14:paraId="6D297F4D" w14:textId="004B6171" w:rsidR="00453F7F" w:rsidRDefault="00453F7F" w:rsidP="00453F7F">
            <w:pPr>
              <w:rPr>
                <w:sz w:val="20"/>
                <w:szCs w:val="20"/>
                <w:lang w:val="en-US"/>
              </w:rPr>
            </w:pPr>
            <w:r w:rsidRPr="00453F7F">
              <w:rPr>
                <w:sz w:val="20"/>
                <w:szCs w:val="20"/>
                <w:lang w:val="en-US"/>
              </w:rPr>
              <w:t>Partners reminded to provide photographs of housing typologies, damage and coping mechanisms</w:t>
            </w:r>
            <w:r>
              <w:rPr>
                <w:sz w:val="20"/>
                <w:szCs w:val="20"/>
                <w:lang w:val="en-US"/>
              </w:rPr>
              <w:t xml:space="preserve"> observed whilst on visits</w:t>
            </w:r>
            <w:r w:rsidRPr="00453F7F">
              <w:rPr>
                <w:sz w:val="20"/>
                <w:szCs w:val="20"/>
                <w:lang w:val="en-US"/>
              </w:rPr>
              <w:t xml:space="preserve"> to shared drop box to be shared </w:t>
            </w:r>
            <w:r>
              <w:rPr>
                <w:sz w:val="20"/>
                <w:szCs w:val="20"/>
                <w:lang w:val="en-US"/>
              </w:rPr>
              <w:t xml:space="preserve">among partners </w:t>
            </w:r>
            <w:r w:rsidRPr="00453F7F">
              <w:rPr>
                <w:sz w:val="20"/>
                <w:szCs w:val="20"/>
                <w:lang w:val="en-US"/>
              </w:rPr>
              <w:t xml:space="preserve">by the </w:t>
            </w:r>
            <w:r>
              <w:rPr>
                <w:sz w:val="20"/>
                <w:szCs w:val="20"/>
                <w:lang w:val="en-US"/>
              </w:rPr>
              <w:t xml:space="preserve">coordination team. </w:t>
            </w:r>
            <w:r w:rsidRPr="00453F7F">
              <w:rPr>
                <w:sz w:val="20"/>
                <w:szCs w:val="20"/>
                <w:lang w:val="en-US"/>
              </w:rPr>
              <w:t xml:space="preserve"> </w:t>
            </w:r>
          </w:p>
          <w:p w14:paraId="4AC981E5" w14:textId="77777777" w:rsidR="00453F7F" w:rsidRDefault="00453F7F" w:rsidP="00453F7F">
            <w:pPr>
              <w:pStyle w:val="ListParagraph"/>
              <w:ind w:left="34"/>
              <w:rPr>
                <w:sz w:val="20"/>
                <w:szCs w:val="20"/>
                <w:lang w:val="en-US"/>
              </w:rPr>
            </w:pPr>
          </w:p>
          <w:p w14:paraId="2F8900B0" w14:textId="77777777" w:rsidR="00453F7F" w:rsidRDefault="00453F7F" w:rsidP="00453F7F">
            <w:pPr>
              <w:pStyle w:val="ListParagraph"/>
              <w:ind w:left="3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Links to upload useful IEC:</w:t>
            </w:r>
          </w:p>
          <w:p w14:paraId="35EC3941" w14:textId="77777777" w:rsidR="00453F7F" w:rsidRDefault="00453F7F" w:rsidP="00453F7F">
            <w:pPr>
              <w:pStyle w:val="ListParagraph"/>
              <w:ind w:left="34"/>
              <w:rPr>
                <w:sz w:val="20"/>
                <w:szCs w:val="20"/>
                <w:lang w:val="en-US"/>
              </w:rPr>
            </w:pPr>
            <w:hyperlink r:id="rId8" w:history="1">
              <w:r w:rsidRPr="00E1753B">
                <w:rPr>
                  <w:rStyle w:val="Hyperlink"/>
                  <w:sz w:val="20"/>
                  <w:szCs w:val="20"/>
                  <w:lang w:val="en-US"/>
                </w:rPr>
                <w:t>https://www.dropbox.com/sh/csq4z2pydt9s1vg/AABFgNXb9Dskr6_mFSxJudWpa?dl=0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6B5C779B" w14:textId="77777777" w:rsidR="00453F7F" w:rsidRDefault="00453F7F" w:rsidP="00453F7F">
            <w:pPr>
              <w:rPr>
                <w:b/>
                <w:sz w:val="20"/>
                <w:szCs w:val="20"/>
                <w:lang w:val="en-US"/>
              </w:rPr>
            </w:pPr>
          </w:p>
          <w:p w14:paraId="7B4B69CA" w14:textId="59213E36" w:rsidR="00453F7F" w:rsidRPr="00453F7F" w:rsidRDefault="00453F7F" w:rsidP="00453F7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3961980" w14:textId="77777777" w:rsidR="00453F7F" w:rsidRDefault="00453F7F" w:rsidP="00BA69CF">
            <w:pPr>
              <w:rPr>
                <w:b/>
                <w:sz w:val="20"/>
                <w:szCs w:val="20"/>
                <w:lang w:val="en-US"/>
              </w:rPr>
            </w:pPr>
          </w:p>
          <w:p w14:paraId="1726560F" w14:textId="6D165A46" w:rsidR="00453F7F" w:rsidRPr="00453F7F" w:rsidRDefault="00453F7F" w:rsidP="00BA69CF">
            <w:pPr>
              <w:rPr>
                <w:sz w:val="20"/>
                <w:szCs w:val="20"/>
                <w:lang w:val="en-US"/>
              </w:rPr>
            </w:pPr>
            <w:r w:rsidRPr="00453F7F">
              <w:rPr>
                <w:sz w:val="20"/>
                <w:szCs w:val="20"/>
                <w:lang w:val="en-US"/>
              </w:rPr>
              <w:t>Share link</w:t>
            </w:r>
          </w:p>
        </w:tc>
        <w:tc>
          <w:tcPr>
            <w:tcW w:w="1276" w:type="dxa"/>
            <w:shd w:val="clear" w:color="auto" w:fill="auto"/>
          </w:tcPr>
          <w:p w14:paraId="3C540A5C" w14:textId="77777777" w:rsidR="00453F7F" w:rsidRDefault="00453F7F" w:rsidP="00BA69CF">
            <w:pPr>
              <w:rPr>
                <w:b/>
                <w:i/>
                <w:sz w:val="20"/>
                <w:szCs w:val="20"/>
                <w:lang w:val="en-US"/>
              </w:rPr>
            </w:pPr>
          </w:p>
          <w:p w14:paraId="34C031AD" w14:textId="01A57B12" w:rsidR="00453F7F" w:rsidRPr="00453F7F" w:rsidRDefault="00453F7F" w:rsidP="00BA69CF">
            <w:pPr>
              <w:rPr>
                <w:sz w:val="20"/>
                <w:szCs w:val="20"/>
                <w:lang w:val="en-US"/>
              </w:rPr>
            </w:pPr>
            <w:r w:rsidRPr="00453F7F">
              <w:rPr>
                <w:sz w:val="20"/>
                <w:szCs w:val="20"/>
                <w:lang w:val="en-US"/>
              </w:rPr>
              <w:t>Coordination team</w:t>
            </w:r>
          </w:p>
        </w:tc>
      </w:tr>
      <w:tr w:rsidR="00910C25" w:rsidRPr="00D26A18" w14:paraId="65A467FB" w14:textId="77777777" w:rsidTr="00BA69CF">
        <w:trPr>
          <w:trHeight w:val="410"/>
        </w:trPr>
        <w:tc>
          <w:tcPr>
            <w:tcW w:w="7513" w:type="dxa"/>
            <w:shd w:val="clear" w:color="auto" w:fill="800000"/>
          </w:tcPr>
          <w:p w14:paraId="412375C7" w14:textId="5F3C2680" w:rsidR="00910C25" w:rsidRPr="003E791D" w:rsidRDefault="00F770FF" w:rsidP="00910C25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Next meeting</w:t>
            </w:r>
            <w:r w:rsidR="00910C25">
              <w:rPr>
                <w:b/>
                <w:sz w:val="20"/>
                <w:szCs w:val="20"/>
                <w:lang w:val="en-US"/>
              </w:rPr>
              <w:tab/>
            </w:r>
            <w:r w:rsidR="00910C25">
              <w:rPr>
                <w:b/>
                <w:sz w:val="20"/>
                <w:szCs w:val="20"/>
                <w:lang w:val="en-US"/>
              </w:rPr>
              <w:tab/>
            </w:r>
          </w:p>
        </w:tc>
        <w:tc>
          <w:tcPr>
            <w:tcW w:w="1701" w:type="dxa"/>
            <w:shd w:val="clear" w:color="auto" w:fill="800000"/>
          </w:tcPr>
          <w:p w14:paraId="086A39E0" w14:textId="77777777" w:rsidR="00910C25" w:rsidRPr="006550A4" w:rsidRDefault="00910C25" w:rsidP="00BA69CF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Action</w:t>
            </w:r>
            <w:r>
              <w:rPr>
                <w:b/>
                <w:i/>
                <w:sz w:val="20"/>
                <w:szCs w:val="20"/>
                <w:lang w:val="en-US"/>
              </w:rPr>
              <w:t> </w:t>
            </w:r>
            <w:r w:rsidRPr="006550A4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800000"/>
          </w:tcPr>
          <w:p w14:paraId="6E3AED09" w14:textId="77777777" w:rsidR="00910C25" w:rsidRPr="006550A4" w:rsidRDefault="00910C25" w:rsidP="00BA69CF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Responsible</w:t>
            </w:r>
            <w:r w:rsidRPr="006550A4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910C25" w:rsidRPr="00DE042A" w14:paraId="28AADB3D" w14:textId="77777777" w:rsidTr="00453F7F">
        <w:trPr>
          <w:trHeight w:val="1511"/>
        </w:trPr>
        <w:tc>
          <w:tcPr>
            <w:tcW w:w="7513" w:type="dxa"/>
          </w:tcPr>
          <w:p w14:paraId="0C501554" w14:textId="774EE704" w:rsidR="00910C25" w:rsidRDefault="00F770FF" w:rsidP="00BA69CF">
            <w:pPr>
              <w:pStyle w:val="ListParagraph"/>
              <w:ind w:left="3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Proposed date: May 2</w:t>
            </w:r>
            <w:r w:rsidRPr="00F770FF"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 xml:space="preserve"> – Location to be confirmed. </w:t>
            </w:r>
            <w:r w:rsidR="00910C25">
              <w:rPr>
                <w:sz w:val="20"/>
                <w:szCs w:val="20"/>
                <w:lang w:val="en-US"/>
              </w:rPr>
              <w:t xml:space="preserve"> </w:t>
            </w:r>
          </w:p>
          <w:p w14:paraId="29018ACD" w14:textId="40E93DEF" w:rsidR="00DA1258" w:rsidRDefault="00DA1258" w:rsidP="00BA69CF">
            <w:pPr>
              <w:pStyle w:val="ListParagraph"/>
              <w:ind w:left="34"/>
              <w:rPr>
                <w:sz w:val="20"/>
                <w:szCs w:val="20"/>
                <w:lang w:val="en-US"/>
              </w:rPr>
            </w:pPr>
          </w:p>
          <w:p w14:paraId="0F71A599" w14:textId="1CDAADF3" w:rsidR="00DA1258" w:rsidRDefault="00DA1258" w:rsidP="00BA69CF">
            <w:pPr>
              <w:pStyle w:val="ListParagraph"/>
              <w:ind w:left="34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5EAA7DE" w14:textId="3BC57C03" w:rsidR="00910C25" w:rsidRDefault="00DA1258" w:rsidP="00BA69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Find appropriate space</w:t>
            </w:r>
          </w:p>
          <w:p w14:paraId="22334E5E" w14:textId="775BEE87" w:rsidR="00DA1258" w:rsidRDefault="00DA1258" w:rsidP="00BA69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Update partners. </w:t>
            </w:r>
          </w:p>
          <w:p w14:paraId="7B327713" w14:textId="726C1C16" w:rsidR="00910C25" w:rsidRPr="006550A4" w:rsidRDefault="00910C25" w:rsidP="00BA69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8E93D9A" w14:textId="1C21123D" w:rsidR="00910C25" w:rsidRDefault="00DA1258" w:rsidP="00BA69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Holly</w:t>
            </w:r>
          </w:p>
          <w:p w14:paraId="26ED3B31" w14:textId="77777777" w:rsidR="00910C25" w:rsidRDefault="00910C25" w:rsidP="00BA69CF">
            <w:pPr>
              <w:rPr>
                <w:sz w:val="20"/>
                <w:szCs w:val="20"/>
                <w:lang w:val="en-US"/>
              </w:rPr>
            </w:pPr>
          </w:p>
          <w:p w14:paraId="760493E6" w14:textId="77777777" w:rsidR="00910C25" w:rsidRPr="006550A4" w:rsidRDefault="00910C25" w:rsidP="00BA69CF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0B73273D" w14:textId="5E5DE94C" w:rsidR="00910C25" w:rsidRDefault="00910C25" w:rsidP="00953917">
      <w:pPr>
        <w:spacing w:after="0"/>
        <w:ind w:left="360"/>
        <w:rPr>
          <w:rFonts w:ascii="Verdana" w:hAnsi="Verdana"/>
          <w:b/>
          <w:sz w:val="28"/>
          <w:szCs w:val="28"/>
        </w:rPr>
      </w:pPr>
    </w:p>
    <w:p w14:paraId="53CBDE8D" w14:textId="4F25AE2C" w:rsidR="00910C25" w:rsidRPr="00910C25" w:rsidRDefault="00910C25" w:rsidP="00953917">
      <w:pPr>
        <w:spacing w:after="0"/>
        <w:ind w:left="360"/>
        <w:rPr>
          <w:rFonts w:ascii="Verdana" w:hAnsi="Verdana"/>
          <w:b/>
          <w:sz w:val="28"/>
          <w:szCs w:val="28"/>
          <w:lang w:val="en-US"/>
        </w:rPr>
      </w:pPr>
      <w:bookmarkStart w:id="0" w:name="_GoBack"/>
      <w:bookmarkEnd w:id="0"/>
    </w:p>
    <w:sectPr w:rsidR="00910C25" w:rsidRPr="00910C25" w:rsidSect="002C3A5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AE609" w14:textId="77777777" w:rsidR="00233530" w:rsidRDefault="00233530" w:rsidP="002C3A54">
      <w:pPr>
        <w:spacing w:after="0" w:line="240" w:lineRule="auto"/>
      </w:pPr>
      <w:r>
        <w:separator/>
      </w:r>
    </w:p>
  </w:endnote>
  <w:endnote w:type="continuationSeparator" w:id="0">
    <w:p w14:paraId="18A3F759" w14:textId="77777777" w:rsidR="00233530" w:rsidRDefault="00233530" w:rsidP="002C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CBFB5" w14:textId="77777777" w:rsidR="00233530" w:rsidRDefault="00233530" w:rsidP="002C3A54">
      <w:pPr>
        <w:spacing w:after="0" w:line="240" w:lineRule="auto"/>
      </w:pPr>
      <w:r>
        <w:separator/>
      </w:r>
    </w:p>
  </w:footnote>
  <w:footnote w:type="continuationSeparator" w:id="0">
    <w:p w14:paraId="4218709A" w14:textId="77777777" w:rsidR="00233530" w:rsidRDefault="00233530" w:rsidP="002C3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4A09"/>
    <w:multiLevelType w:val="hybridMultilevel"/>
    <w:tmpl w:val="5F907A0C"/>
    <w:lvl w:ilvl="0" w:tplc="BD6A227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4888"/>
    <w:multiLevelType w:val="multilevel"/>
    <w:tmpl w:val="AC888D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4D137D"/>
    <w:multiLevelType w:val="hybridMultilevel"/>
    <w:tmpl w:val="AB789E4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A501E"/>
    <w:multiLevelType w:val="hybridMultilevel"/>
    <w:tmpl w:val="51D4B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146D"/>
    <w:multiLevelType w:val="hybridMultilevel"/>
    <w:tmpl w:val="90A0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B4BFC"/>
    <w:multiLevelType w:val="hybridMultilevel"/>
    <w:tmpl w:val="9B12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75FBA"/>
    <w:multiLevelType w:val="hybridMultilevel"/>
    <w:tmpl w:val="0DC6C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94DD4"/>
    <w:multiLevelType w:val="hybridMultilevel"/>
    <w:tmpl w:val="F436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852C7"/>
    <w:multiLevelType w:val="hybridMultilevel"/>
    <w:tmpl w:val="AE1013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F372D"/>
    <w:multiLevelType w:val="multilevel"/>
    <w:tmpl w:val="0E540B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73007B6"/>
    <w:multiLevelType w:val="hybridMultilevel"/>
    <w:tmpl w:val="C27A6CF4"/>
    <w:lvl w:ilvl="0" w:tplc="2F787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620FE"/>
    <w:multiLevelType w:val="hybridMultilevel"/>
    <w:tmpl w:val="2D964104"/>
    <w:lvl w:ilvl="0" w:tplc="5DD07A8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81FCA"/>
    <w:multiLevelType w:val="hybridMultilevel"/>
    <w:tmpl w:val="D6E6E984"/>
    <w:lvl w:ilvl="0" w:tplc="6C766C0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162AAB"/>
    <w:multiLevelType w:val="hybridMultilevel"/>
    <w:tmpl w:val="1A44E4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052BB"/>
    <w:multiLevelType w:val="hybridMultilevel"/>
    <w:tmpl w:val="F502FF86"/>
    <w:lvl w:ilvl="0" w:tplc="711240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93B5B"/>
    <w:multiLevelType w:val="hybridMultilevel"/>
    <w:tmpl w:val="AF003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23242"/>
    <w:multiLevelType w:val="hybridMultilevel"/>
    <w:tmpl w:val="B8B0BEF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84050E"/>
    <w:multiLevelType w:val="hybridMultilevel"/>
    <w:tmpl w:val="E97CF97E"/>
    <w:lvl w:ilvl="0" w:tplc="97F89544">
      <w:start w:val="15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796938"/>
    <w:multiLevelType w:val="hybridMultilevel"/>
    <w:tmpl w:val="0F4E936C"/>
    <w:lvl w:ilvl="0" w:tplc="A50E7D8E">
      <w:start w:val="4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B2F7C"/>
    <w:multiLevelType w:val="multilevel"/>
    <w:tmpl w:val="A98A8350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b/>
        <w:i/>
      </w:rPr>
    </w:lvl>
    <w:lvl w:ilvl="1">
      <w:start w:val="1"/>
      <w:numFmt w:val="decimal"/>
      <w:lvlText w:val="%1.%2-"/>
      <w:lvlJc w:val="left"/>
      <w:pPr>
        <w:ind w:left="372" w:hanging="372"/>
      </w:pPr>
      <w:rPr>
        <w:rFonts w:hint="default"/>
        <w:b/>
        <w:i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b/>
        <w:i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  <w:b/>
        <w:i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7"/>
  </w:num>
  <w:num w:numId="5">
    <w:abstractNumId w:val="16"/>
  </w:num>
  <w:num w:numId="6">
    <w:abstractNumId w:val="13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12"/>
  </w:num>
  <w:num w:numId="12">
    <w:abstractNumId w:val="15"/>
  </w:num>
  <w:num w:numId="13">
    <w:abstractNumId w:val="3"/>
  </w:num>
  <w:num w:numId="14">
    <w:abstractNumId w:val="6"/>
  </w:num>
  <w:num w:numId="15">
    <w:abstractNumId w:val="11"/>
  </w:num>
  <w:num w:numId="16">
    <w:abstractNumId w:val="0"/>
  </w:num>
  <w:num w:numId="17">
    <w:abstractNumId w:val="10"/>
  </w:num>
  <w:num w:numId="18">
    <w:abstractNumId w:val="19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E62"/>
    <w:rsid w:val="00031DC1"/>
    <w:rsid w:val="00067445"/>
    <w:rsid w:val="000C41FB"/>
    <w:rsid w:val="000F4C4D"/>
    <w:rsid w:val="001450A9"/>
    <w:rsid w:val="00186370"/>
    <w:rsid w:val="001A1A14"/>
    <w:rsid w:val="001B1A99"/>
    <w:rsid w:val="00233530"/>
    <w:rsid w:val="00235AA2"/>
    <w:rsid w:val="00274C37"/>
    <w:rsid w:val="002C3A54"/>
    <w:rsid w:val="002F21B5"/>
    <w:rsid w:val="00330384"/>
    <w:rsid w:val="003B1C0E"/>
    <w:rsid w:val="003C5577"/>
    <w:rsid w:val="003F043E"/>
    <w:rsid w:val="003F76D7"/>
    <w:rsid w:val="00445801"/>
    <w:rsid w:val="00453F7F"/>
    <w:rsid w:val="004A3C8B"/>
    <w:rsid w:val="004B2604"/>
    <w:rsid w:val="004E07D8"/>
    <w:rsid w:val="005416AB"/>
    <w:rsid w:val="005F477C"/>
    <w:rsid w:val="00626372"/>
    <w:rsid w:val="00662E62"/>
    <w:rsid w:val="00671C3A"/>
    <w:rsid w:val="006D095E"/>
    <w:rsid w:val="006D0EF3"/>
    <w:rsid w:val="007158B9"/>
    <w:rsid w:val="00715CCB"/>
    <w:rsid w:val="0073316B"/>
    <w:rsid w:val="00735BE4"/>
    <w:rsid w:val="007538E1"/>
    <w:rsid w:val="0077137E"/>
    <w:rsid w:val="007A11E0"/>
    <w:rsid w:val="007E1963"/>
    <w:rsid w:val="007F28DA"/>
    <w:rsid w:val="00800CE0"/>
    <w:rsid w:val="0080446A"/>
    <w:rsid w:val="008329E4"/>
    <w:rsid w:val="008D2136"/>
    <w:rsid w:val="00910C25"/>
    <w:rsid w:val="00953917"/>
    <w:rsid w:val="00981B9A"/>
    <w:rsid w:val="009D75AD"/>
    <w:rsid w:val="00A46028"/>
    <w:rsid w:val="00A47442"/>
    <w:rsid w:val="00AC55EA"/>
    <w:rsid w:val="00AE112D"/>
    <w:rsid w:val="00AF51C2"/>
    <w:rsid w:val="00B3399B"/>
    <w:rsid w:val="00B5209F"/>
    <w:rsid w:val="00BB6BC7"/>
    <w:rsid w:val="00BC51F5"/>
    <w:rsid w:val="00BD2EC6"/>
    <w:rsid w:val="00BE3433"/>
    <w:rsid w:val="00C00E78"/>
    <w:rsid w:val="00C5036E"/>
    <w:rsid w:val="00C83FED"/>
    <w:rsid w:val="00CA2DF3"/>
    <w:rsid w:val="00CC76A2"/>
    <w:rsid w:val="00D65FD6"/>
    <w:rsid w:val="00D82DF0"/>
    <w:rsid w:val="00D944B2"/>
    <w:rsid w:val="00DA1258"/>
    <w:rsid w:val="00DB57C3"/>
    <w:rsid w:val="00DF1643"/>
    <w:rsid w:val="00E35A8B"/>
    <w:rsid w:val="00E4392F"/>
    <w:rsid w:val="00E53F99"/>
    <w:rsid w:val="00E67A0C"/>
    <w:rsid w:val="00EB4772"/>
    <w:rsid w:val="00EF3B44"/>
    <w:rsid w:val="00F421A8"/>
    <w:rsid w:val="00F756C8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5E2C"/>
  <w15:chartTrackingRefBased/>
  <w15:docId w15:val="{F1C7A4E2-350B-4CA2-8590-28977AA3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54"/>
    <w:pPr>
      <w:autoSpaceDE w:val="0"/>
      <w:autoSpaceDN w:val="0"/>
      <w:adjustRightInd w:val="0"/>
      <w:spacing w:before="120" w:after="0" w:line="240" w:lineRule="auto"/>
      <w:ind w:right="-96"/>
      <w:outlineLvl w:val="2"/>
    </w:pPr>
    <w:rPr>
      <w:rFonts w:ascii="Arial" w:eastAsia="Times New Roman" w:hAnsi="Arial" w:cs="Times New Roman"/>
      <w:color w:val="595959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7D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7D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4392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4392F"/>
  </w:style>
  <w:style w:type="character" w:styleId="Hyperlink">
    <w:name w:val="Hyperlink"/>
    <w:basedOn w:val="DefaultParagraphFont"/>
    <w:uiPriority w:val="99"/>
    <w:unhideWhenUsed/>
    <w:rsid w:val="00E439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C0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54"/>
    <w:rPr>
      <w:rFonts w:ascii="Arial" w:eastAsia="Times New Roman" w:hAnsi="Arial" w:cs="Times New Roman"/>
      <w:color w:val="595959"/>
      <w:sz w:val="24"/>
      <w:szCs w:val="24"/>
      <w:lang w:val="en-US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3A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A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3A54"/>
    <w:rPr>
      <w:vertAlign w:val="superscript"/>
    </w:rPr>
  </w:style>
  <w:style w:type="table" w:styleId="TableGrid">
    <w:name w:val="Table Grid"/>
    <w:basedOn w:val="TableNormal"/>
    <w:uiPriority w:val="39"/>
    <w:rsid w:val="002C3A54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910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csq4z2pydt9s1vg/AABFgNXb9Dskr6_mFSxJudWpa?dl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Magirena</dc:creator>
  <cp:keywords/>
  <dc:description/>
  <cp:lastModifiedBy>Schofield, Holly</cp:lastModifiedBy>
  <cp:revision>3</cp:revision>
  <dcterms:created xsi:type="dcterms:W3CDTF">2019-04-26T07:53:00Z</dcterms:created>
  <dcterms:modified xsi:type="dcterms:W3CDTF">2019-04-26T07:54:00Z</dcterms:modified>
</cp:coreProperties>
</file>