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B1" w:rsidRPr="00A670B1" w:rsidRDefault="00A670B1" w:rsidP="00A670B1">
      <w:pPr>
        <w:pStyle w:val="Heading1"/>
        <w:spacing w:before="0"/>
        <w:jc w:val="both"/>
        <w:rPr>
          <w:rFonts w:asciiTheme="minorHAnsi" w:hAnsiTheme="minorHAnsi"/>
        </w:rPr>
      </w:pPr>
      <w:bookmarkStart w:id="0" w:name="_GoBack"/>
      <w:bookmarkEnd w:id="0"/>
    </w:p>
    <w:p w:rsidR="009B61A5" w:rsidRPr="00A670B1" w:rsidRDefault="009B61A5" w:rsidP="00A670B1">
      <w:pPr>
        <w:pStyle w:val="Heading1"/>
        <w:spacing w:before="0"/>
        <w:jc w:val="both"/>
        <w:rPr>
          <w:rFonts w:asciiTheme="minorHAnsi" w:hAnsiTheme="minorHAnsi"/>
        </w:rPr>
      </w:pPr>
      <w:r w:rsidRPr="00A670B1">
        <w:rPr>
          <w:rFonts w:asciiTheme="minorHAnsi" w:hAnsiTheme="minorHAnsi"/>
        </w:rPr>
        <w:t>SAG Meeting Notes</w:t>
      </w:r>
    </w:p>
    <w:p w:rsidR="009B61A5" w:rsidRPr="00A670B1" w:rsidRDefault="009B61A5" w:rsidP="00FB194B">
      <w:pPr>
        <w:jc w:val="both"/>
      </w:pPr>
    </w:p>
    <w:p w:rsidR="00C36A3B" w:rsidRPr="00A670B1" w:rsidRDefault="00C36A3B" w:rsidP="00FB194B">
      <w:pPr>
        <w:jc w:val="both"/>
      </w:pPr>
      <w:r w:rsidRPr="00A670B1">
        <w:rPr>
          <w:b/>
        </w:rPr>
        <w:t>Date</w:t>
      </w:r>
      <w:r w:rsidR="00C112F2" w:rsidRPr="00A670B1">
        <w:rPr>
          <w:b/>
        </w:rPr>
        <w:t xml:space="preserve"> and time</w:t>
      </w:r>
      <w:r w:rsidRPr="00A670B1">
        <w:rPr>
          <w:b/>
        </w:rPr>
        <w:t>:</w:t>
      </w:r>
      <w:r w:rsidRPr="00A670B1">
        <w:t xml:space="preserve"> </w:t>
      </w:r>
      <w:r w:rsidR="00C112F2" w:rsidRPr="00A670B1">
        <w:t>T</w:t>
      </w:r>
      <w:r w:rsidR="00E53215" w:rsidRPr="00A670B1">
        <w:t>hursday</w:t>
      </w:r>
      <w:r w:rsidRPr="00A670B1">
        <w:t xml:space="preserve">, </w:t>
      </w:r>
      <w:r w:rsidR="00804870" w:rsidRPr="00A670B1">
        <w:t>30</w:t>
      </w:r>
      <w:r w:rsidR="00E53215" w:rsidRPr="00A670B1">
        <w:t xml:space="preserve"> </w:t>
      </w:r>
      <w:r w:rsidR="00804870" w:rsidRPr="00A670B1">
        <w:t>April</w:t>
      </w:r>
      <w:r w:rsidRPr="00A670B1">
        <w:t>, 201</w:t>
      </w:r>
      <w:r w:rsidR="00C112F2" w:rsidRPr="00A670B1">
        <w:t>5</w:t>
      </w:r>
      <w:r w:rsidRPr="00A670B1">
        <w:t>.</w:t>
      </w:r>
      <w:r w:rsidR="00C112F2" w:rsidRPr="00A670B1">
        <w:t xml:space="preserve"> </w:t>
      </w:r>
      <w:r w:rsidRPr="00A670B1">
        <w:t>13h00-14h</w:t>
      </w:r>
      <w:r w:rsidR="007919EE" w:rsidRPr="00A670B1">
        <w:t>00</w:t>
      </w:r>
      <w:r w:rsidR="00C112F2" w:rsidRPr="00A670B1">
        <w:t xml:space="preserve"> Geneva time</w:t>
      </w:r>
    </w:p>
    <w:p w:rsidR="00A56606" w:rsidRPr="00A670B1" w:rsidRDefault="009B61A5" w:rsidP="00FB194B">
      <w:pPr>
        <w:jc w:val="both"/>
        <w:rPr>
          <w:lang w:val="en-GB"/>
        </w:rPr>
      </w:pPr>
      <w:r w:rsidRPr="00A670B1">
        <w:rPr>
          <w:b/>
          <w:lang w:val="en-GB"/>
        </w:rPr>
        <w:t>Participants</w:t>
      </w:r>
      <w:r w:rsidRPr="00A670B1">
        <w:rPr>
          <w:lang w:val="en-GB"/>
        </w:rPr>
        <w:t>:</w:t>
      </w:r>
      <w:r w:rsidR="00804870" w:rsidRPr="00A670B1">
        <w:rPr>
          <w:lang w:val="en-GB"/>
        </w:rPr>
        <w:t xml:space="preserve"> Australian Red Cross</w:t>
      </w:r>
      <w:r w:rsidR="00A56606" w:rsidRPr="00A670B1">
        <w:rPr>
          <w:lang w:val="en-GB"/>
        </w:rPr>
        <w:t xml:space="preserve">, IFRC, UNHCR, </w:t>
      </w:r>
      <w:r w:rsidR="007C450A" w:rsidRPr="00A670B1">
        <w:rPr>
          <w:lang w:val="en-GB"/>
        </w:rPr>
        <w:t>UN</w:t>
      </w:r>
      <w:r w:rsidR="009D2C82" w:rsidRPr="00A670B1">
        <w:rPr>
          <w:lang w:val="en-GB"/>
        </w:rPr>
        <w:t>HABITAT</w:t>
      </w:r>
      <w:r w:rsidR="007C450A" w:rsidRPr="00A670B1">
        <w:rPr>
          <w:lang w:val="en-GB"/>
        </w:rPr>
        <w:t xml:space="preserve">, Habitat for Humanity, </w:t>
      </w:r>
      <w:r w:rsidR="00804870" w:rsidRPr="00A670B1">
        <w:rPr>
          <w:lang w:val="en-GB"/>
        </w:rPr>
        <w:t>and Interaction</w:t>
      </w:r>
      <w:r w:rsidR="007C450A" w:rsidRPr="00A670B1">
        <w:rPr>
          <w:lang w:val="en-GB"/>
        </w:rPr>
        <w:t>.</w:t>
      </w:r>
    </w:p>
    <w:p w:rsidR="00A56606" w:rsidRPr="00A670B1" w:rsidRDefault="00A56606" w:rsidP="00FB194B">
      <w:pPr>
        <w:jc w:val="both"/>
        <w:rPr>
          <w:lang w:val="en-GB"/>
        </w:rPr>
      </w:pPr>
      <w:r w:rsidRPr="00A670B1">
        <w:rPr>
          <w:b/>
          <w:lang w:val="en-GB"/>
        </w:rPr>
        <w:t>Excused:</w:t>
      </w:r>
      <w:r w:rsidR="00804870" w:rsidRPr="00A670B1">
        <w:rPr>
          <w:b/>
          <w:lang w:val="en-GB"/>
        </w:rPr>
        <w:t xml:space="preserve"> </w:t>
      </w:r>
      <w:r w:rsidR="00804870" w:rsidRPr="00A670B1">
        <w:rPr>
          <w:lang w:val="en-GB"/>
        </w:rPr>
        <w:t xml:space="preserve"> ACTED, CARE, IOM, NRC, and </w:t>
      </w:r>
      <w:r w:rsidR="002D4A0C" w:rsidRPr="00A670B1">
        <w:rPr>
          <w:lang w:val="en-GB"/>
        </w:rPr>
        <w:t>World</w:t>
      </w:r>
      <w:r w:rsidR="00F827C6" w:rsidRPr="00A670B1">
        <w:rPr>
          <w:lang w:val="en-GB"/>
        </w:rPr>
        <w:t xml:space="preserve"> Vision International.</w:t>
      </w:r>
    </w:p>
    <w:p w:rsidR="00E3315E" w:rsidRPr="00A670B1" w:rsidRDefault="00E3315E" w:rsidP="00FB194B">
      <w:pPr>
        <w:pStyle w:val="Heading2"/>
        <w:numPr>
          <w:ilvl w:val="0"/>
          <w:numId w:val="17"/>
        </w:numPr>
        <w:jc w:val="both"/>
        <w:rPr>
          <w:rFonts w:asciiTheme="minorHAnsi" w:hAnsiTheme="minorHAnsi"/>
          <w:b/>
        </w:rPr>
      </w:pPr>
      <w:r w:rsidRPr="00A670B1">
        <w:rPr>
          <w:rFonts w:asciiTheme="minorHAnsi" w:hAnsiTheme="minorHAnsi"/>
          <w:b/>
        </w:rPr>
        <w:t>Welcome - Introductions - Revision of the agenda</w:t>
      </w:r>
    </w:p>
    <w:p w:rsidR="009B61A5" w:rsidRPr="00A670B1" w:rsidRDefault="00D02B44" w:rsidP="003A315A">
      <w:pPr>
        <w:pStyle w:val="ListParagraph"/>
        <w:numPr>
          <w:ilvl w:val="0"/>
          <w:numId w:val="26"/>
        </w:numPr>
        <w:jc w:val="both"/>
      </w:pPr>
      <w:r w:rsidRPr="00A670B1">
        <w:t>N</w:t>
      </w:r>
      <w:r w:rsidR="009B61A5" w:rsidRPr="00A670B1">
        <w:t>o comments</w:t>
      </w:r>
      <w:r w:rsidRPr="00A670B1">
        <w:t xml:space="preserve"> on the agenda</w:t>
      </w:r>
      <w:r w:rsidR="009B61A5" w:rsidRPr="00A670B1">
        <w:t>.</w:t>
      </w:r>
      <w:r w:rsidR="006A2BE2" w:rsidRPr="00A670B1">
        <w:t xml:space="preserve"> Approval of minutes from previous meeting.</w:t>
      </w:r>
      <w:r w:rsidR="009B61A5" w:rsidRPr="00A670B1">
        <w:t xml:space="preserve"> </w:t>
      </w:r>
    </w:p>
    <w:p w:rsidR="00EE1679" w:rsidRPr="00A670B1" w:rsidRDefault="00EE1679" w:rsidP="003A315A">
      <w:pPr>
        <w:pStyle w:val="ListParagraph"/>
        <w:numPr>
          <w:ilvl w:val="0"/>
          <w:numId w:val="26"/>
        </w:numPr>
        <w:jc w:val="both"/>
      </w:pPr>
      <w:r w:rsidRPr="00A670B1">
        <w:t xml:space="preserve">The </w:t>
      </w:r>
      <w:r w:rsidR="00804870" w:rsidRPr="00A670B1">
        <w:t>draft position paper on the recommendations from Environment Community of Practice will be shared with the SAG in the coming weeks</w:t>
      </w:r>
      <w:r w:rsidRPr="00A670B1">
        <w:t>.</w:t>
      </w:r>
    </w:p>
    <w:p w:rsidR="00A56606" w:rsidRPr="00A670B1" w:rsidRDefault="00804870" w:rsidP="00FB194B">
      <w:pPr>
        <w:pStyle w:val="Heading2"/>
        <w:numPr>
          <w:ilvl w:val="0"/>
          <w:numId w:val="17"/>
        </w:numPr>
        <w:jc w:val="both"/>
        <w:rPr>
          <w:rFonts w:asciiTheme="minorHAnsi" w:hAnsiTheme="minorHAnsi"/>
          <w:b/>
        </w:rPr>
      </w:pPr>
      <w:r w:rsidRPr="00A670B1">
        <w:rPr>
          <w:rFonts w:asciiTheme="minorHAnsi" w:hAnsiTheme="minorHAnsi"/>
          <w:b/>
        </w:rPr>
        <w:t>ECHO Proposal</w:t>
      </w:r>
      <w:r w:rsidR="00A56606" w:rsidRPr="00A670B1">
        <w:rPr>
          <w:rFonts w:asciiTheme="minorHAnsi" w:hAnsiTheme="minorHAnsi"/>
          <w:b/>
        </w:rPr>
        <w:t xml:space="preserve">: </w:t>
      </w:r>
    </w:p>
    <w:p w:rsidR="008B2581" w:rsidRPr="00A670B1" w:rsidRDefault="008B2581" w:rsidP="00A670B1">
      <w:pPr>
        <w:pStyle w:val="ListParagraph"/>
        <w:numPr>
          <w:ilvl w:val="0"/>
          <w:numId w:val="27"/>
        </w:numPr>
        <w:jc w:val="both"/>
      </w:pPr>
      <w:r w:rsidRPr="00A670B1">
        <w:t>The GSC has received positive feedback from ECHO on the proposal for 2015-2016. While nothing has been signed yet, the intention to contribute 1.5 million EUR towards t</w:t>
      </w:r>
      <w:r w:rsidR="00CA6468" w:rsidRPr="00A670B1">
        <w:t xml:space="preserve">he GSC </w:t>
      </w:r>
      <w:r w:rsidRPr="00A670B1">
        <w:t>plan for 2015-2016 was verbally confirmed. This amount is 0.5 million EUR less than the GSC initial proposal which was requesting 2 million EUR from ECHO.</w:t>
      </w:r>
    </w:p>
    <w:p w:rsidR="008B2581" w:rsidRPr="00A670B1" w:rsidRDefault="008B2581" w:rsidP="00A670B1">
      <w:pPr>
        <w:pStyle w:val="ListParagraph"/>
        <w:numPr>
          <w:ilvl w:val="0"/>
          <w:numId w:val="27"/>
        </w:numPr>
        <w:jc w:val="both"/>
      </w:pPr>
      <w:r w:rsidRPr="00A670B1">
        <w:t>Since the date when the proposal was submitted until today there have been important and unfavourable exchange rate differences between EUR, USD, and CHF which account for 20% increases in some cases. Since USD and CHF are key currencies for implementation and co-funding of the grant, most of the amounts of the proposal have had to be revised.</w:t>
      </w:r>
    </w:p>
    <w:p w:rsidR="00C87C10" w:rsidRPr="00A670B1" w:rsidRDefault="00905D3A" w:rsidP="00A670B1">
      <w:pPr>
        <w:pStyle w:val="ListParagraph"/>
        <w:numPr>
          <w:ilvl w:val="0"/>
          <w:numId w:val="27"/>
        </w:numPr>
        <w:jc w:val="both"/>
      </w:pPr>
      <w:r w:rsidRPr="00A670B1">
        <w:t>A revision has been done in the draft budget based on the criteria agreed during the SAG Retreat and the following activities have been removed from the ECHO proposal:</w:t>
      </w:r>
    </w:p>
    <w:p w:rsidR="00746B31" w:rsidRPr="00A670B1" w:rsidRDefault="00905D3A" w:rsidP="00A670B1">
      <w:pPr>
        <w:pStyle w:val="ListParagraph"/>
        <w:numPr>
          <w:ilvl w:val="1"/>
          <w:numId w:val="29"/>
        </w:numPr>
        <w:jc w:val="both"/>
      </w:pPr>
      <w:r w:rsidRPr="00A670B1">
        <w:rPr>
          <w:sz w:val="22"/>
          <w:szCs w:val="22"/>
          <w:lang w:val="en-GB"/>
        </w:rPr>
        <w:t>State of Humanitarian Shelter (</w:t>
      </w:r>
      <w:r w:rsidR="00CA6468" w:rsidRPr="00A670B1">
        <w:rPr>
          <w:sz w:val="22"/>
          <w:szCs w:val="22"/>
          <w:lang w:val="en-GB"/>
        </w:rPr>
        <w:t>A</w:t>
      </w:r>
      <w:r w:rsidRPr="00A670B1">
        <w:rPr>
          <w:sz w:val="22"/>
          <w:szCs w:val="22"/>
          <w:lang w:val="en-GB"/>
        </w:rPr>
        <w:t xml:space="preserve">ctivity 2.3); </w:t>
      </w:r>
    </w:p>
    <w:p w:rsidR="00746B31" w:rsidRPr="00A670B1" w:rsidRDefault="00746B31" w:rsidP="00A670B1">
      <w:pPr>
        <w:pStyle w:val="ListParagraph"/>
        <w:numPr>
          <w:ilvl w:val="1"/>
          <w:numId w:val="29"/>
        </w:numPr>
        <w:jc w:val="both"/>
      </w:pPr>
      <w:r w:rsidRPr="00A670B1">
        <w:rPr>
          <w:sz w:val="22"/>
          <w:szCs w:val="22"/>
          <w:lang w:val="en-GB"/>
        </w:rPr>
        <w:t>S</w:t>
      </w:r>
      <w:r w:rsidR="00905D3A" w:rsidRPr="00A670B1">
        <w:rPr>
          <w:sz w:val="22"/>
          <w:szCs w:val="22"/>
          <w:lang w:val="en-GB"/>
        </w:rPr>
        <w:t xml:space="preserve">upport to country level workshops (4 national workshops in </w:t>
      </w:r>
      <w:r w:rsidR="00CA6468" w:rsidRPr="00A670B1">
        <w:rPr>
          <w:sz w:val="22"/>
          <w:szCs w:val="22"/>
          <w:lang w:val="en-GB"/>
        </w:rPr>
        <w:t>A</w:t>
      </w:r>
      <w:r w:rsidR="00905D3A" w:rsidRPr="00A670B1">
        <w:rPr>
          <w:sz w:val="22"/>
          <w:szCs w:val="22"/>
          <w:lang w:val="en-GB"/>
        </w:rPr>
        <w:t xml:space="preserve">ctivity 1.4); </w:t>
      </w:r>
    </w:p>
    <w:p w:rsidR="00746B31" w:rsidRPr="00A670B1" w:rsidRDefault="00746B31" w:rsidP="00A670B1">
      <w:pPr>
        <w:pStyle w:val="ListParagraph"/>
        <w:numPr>
          <w:ilvl w:val="1"/>
          <w:numId w:val="29"/>
        </w:numPr>
        <w:jc w:val="both"/>
      </w:pPr>
      <w:r w:rsidRPr="00A670B1">
        <w:rPr>
          <w:sz w:val="22"/>
          <w:szCs w:val="22"/>
          <w:lang w:val="en-GB"/>
        </w:rPr>
        <w:t>F</w:t>
      </w:r>
      <w:r w:rsidR="00905D3A" w:rsidRPr="00A670B1">
        <w:rPr>
          <w:sz w:val="22"/>
          <w:szCs w:val="22"/>
          <w:lang w:val="en-GB"/>
        </w:rPr>
        <w:t xml:space="preserve">unding for technical meetings (2 technical meetings in </w:t>
      </w:r>
      <w:r w:rsidR="00CA6468" w:rsidRPr="00A670B1">
        <w:rPr>
          <w:sz w:val="22"/>
          <w:szCs w:val="22"/>
          <w:lang w:val="en-GB"/>
        </w:rPr>
        <w:t>A</w:t>
      </w:r>
      <w:r w:rsidR="00905D3A" w:rsidRPr="00A670B1">
        <w:rPr>
          <w:sz w:val="22"/>
          <w:szCs w:val="22"/>
          <w:lang w:val="en-GB"/>
        </w:rPr>
        <w:t xml:space="preserve">ctivity 1.3); </w:t>
      </w:r>
    </w:p>
    <w:p w:rsidR="00746B31" w:rsidRPr="00A670B1" w:rsidRDefault="00746B31" w:rsidP="00A670B1">
      <w:pPr>
        <w:pStyle w:val="ListParagraph"/>
        <w:numPr>
          <w:ilvl w:val="1"/>
          <w:numId w:val="29"/>
        </w:numPr>
        <w:jc w:val="both"/>
      </w:pPr>
      <w:r w:rsidRPr="00A670B1">
        <w:rPr>
          <w:sz w:val="22"/>
          <w:szCs w:val="22"/>
          <w:lang w:val="en-GB"/>
        </w:rPr>
        <w:t>T</w:t>
      </w:r>
      <w:r w:rsidR="00905D3A" w:rsidRPr="00A670B1">
        <w:rPr>
          <w:sz w:val="22"/>
          <w:szCs w:val="22"/>
          <w:lang w:val="en-GB"/>
        </w:rPr>
        <w:t>ranslation of materials (</w:t>
      </w:r>
      <w:r w:rsidR="00CA6468" w:rsidRPr="00A670B1">
        <w:rPr>
          <w:sz w:val="22"/>
          <w:szCs w:val="22"/>
          <w:lang w:val="en-GB"/>
        </w:rPr>
        <w:t>A</w:t>
      </w:r>
      <w:r w:rsidR="00905D3A" w:rsidRPr="00A670B1">
        <w:rPr>
          <w:sz w:val="22"/>
          <w:szCs w:val="22"/>
          <w:lang w:val="en-GB"/>
        </w:rPr>
        <w:t xml:space="preserve">ctivity 1.3); </w:t>
      </w:r>
    </w:p>
    <w:p w:rsidR="00905D3A" w:rsidRPr="00A670B1" w:rsidRDefault="00746B31" w:rsidP="00A670B1">
      <w:pPr>
        <w:pStyle w:val="ListParagraph"/>
        <w:numPr>
          <w:ilvl w:val="1"/>
          <w:numId w:val="29"/>
        </w:numPr>
        <w:jc w:val="both"/>
      </w:pPr>
      <w:r w:rsidRPr="00A670B1">
        <w:rPr>
          <w:sz w:val="22"/>
          <w:szCs w:val="22"/>
          <w:lang w:val="en-GB"/>
        </w:rPr>
        <w:t>G</w:t>
      </w:r>
      <w:r w:rsidR="00905D3A" w:rsidRPr="00A670B1">
        <w:rPr>
          <w:sz w:val="22"/>
          <w:szCs w:val="22"/>
          <w:lang w:val="en-GB"/>
        </w:rPr>
        <w:t>uidance material for national counterparts (</w:t>
      </w:r>
      <w:r w:rsidR="00CA6468" w:rsidRPr="00A670B1">
        <w:rPr>
          <w:sz w:val="22"/>
          <w:szCs w:val="22"/>
          <w:lang w:val="en-GB"/>
        </w:rPr>
        <w:t>A</w:t>
      </w:r>
      <w:r w:rsidR="00905D3A" w:rsidRPr="00A670B1">
        <w:rPr>
          <w:sz w:val="22"/>
          <w:szCs w:val="22"/>
          <w:lang w:val="en-GB"/>
        </w:rPr>
        <w:t>ct</w:t>
      </w:r>
      <w:r w:rsidR="00CA6468" w:rsidRPr="00A670B1">
        <w:rPr>
          <w:sz w:val="22"/>
          <w:szCs w:val="22"/>
          <w:lang w:val="en-GB"/>
        </w:rPr>
        <w:t>ivity</w:t>
      </w:r>
      <w:r w:rsidR="00905D3A" w:rsidRPr="00A670B1">
        <w:rPr>
          <w:sz w:val="22"/>
          <w:szCs w:val="22"/>
          <w:lang w:val="en-GB"/>
        </w:rPr>
        <w:t xml:space="preserve"> 1.3)</w:t>
      </w:r>
      <w:r w:rsidR="00CA6468" w:rsidRPr="00A670B1">
        <w:rPr>
          <w:sz w:val="22"/>
          <w:szCs w:val="22"/>
          <w:lang w:val="en-GB"/>
        </w:rPr>
        <w:t>;</w:t>
      </w:r>
    </w:p>
    <w:p w:rsidR="00CA6468" w:rsidRPr="00A670B1" w:rsidRDefault="00CA6468" w:rsidP="00A670B1">
      <w:pPr>
        <w:pStyle w:val="ListParagraph"/>
        <w:numPr>
          <w:ilvl w:val="1"/>
          <w:numId w:val="29"/>
        </w:numPr>
        <w:jc w:val="both"/>
        <w:rPr>
          <w:sz w:val="22"/>
          <w:szCs w:val="22"/>
          <w:lang w:val="en-GB"/>
        </w:rPr>
      </w:pPr>
      <w:r w:rsidRPr="00A670B1">
        <w:rPr>
          <w:sz w:val="22"/>
          <w:szCs w:val="22"/>
          <w:lang w:val="en-GB"/>
        </w:rPr>
        <w:t>Roster managed by Cluster partner (Activity 1.</w:t>
      </w:r>
      <w:r w:rsidR="00962227">
        <w:rPr>
          <w:sz w:val="22"/>
          <w:szCs w:val="22"/>
          <w:lang w:val="en-GB"/>
        </w:rPr>
        <w:t>2</w:t>
      </w:r>
      <w:r w:rsidRPr="00A670B1">
        <w:rPr>
          <w:sz w:val="22"/>
          <w:szCs w:val="22"/>
          <w:lang w:val="en-GB"/>
        </w:rPr>
        <w:t>)</w:t>
      </w:r>
    </w:p>
    <w:p w:rsidR="00FB194B" w:rsidRPr="00A670B1" w:rsidRDefault="00746B31" w:rsidP="00A670B1">
      <w:pPr>
        <w:pStyle w:val="ListParagraph"/>
        <w:numPr>
          <w:ilvl w:val="0"/>
          <w:numId w:val="27"/>
        </w:numPr>
        <w:jc w:val="both"/>
      </w:pPr>
      <w:r w:rsidRPr="00A670B1">
        <w:t>Additionally some activities have been reduced:</w:t>
      </w:r>
    </w:p>
    <w:p w:rsidR="00746B31" w:rsidRPr="00A670B1" w:rsidRDefault="00746B31" w:rsidP="00A670B1">
      <w:pPr>
        <w:numPr>
          <w:ilvl w:val="1"/>
          <w:numId w:val="34"/>
        </w:numPr>
        <w:spacing w:after="100" w:afterAutospacing="1"/>
        <w:jc w:val="both"/>
        <w:rPr>
          <w:sz w:val="22"/>
          <w:lang w:val="en-GB"/>
        </w:rPr>
      </w:pPr>
      <w:r w:rsidRPr="00A670B1">
        <w:rPr>
          <w:sz w:val="22"/>
          <w:lang w:val="en-GB"/>
        </w:rPr>
        <w:t>IFRC will also fully fund their Deputy Global Cluster Coordinator in addition to UNHCR.</w:t>
      </w:r>
    </w:p>
    <w:p w:rsidR="00746B31" w:rsidRPr="00A670B1" w:rsidRDefault="00746B31" w:rsidP="00A670B1">
      <w:pPr>
        <w:numPr>
          <w:ilvl w:val="1"/>
          <w:numId w:val="34"/>
        </w:numPr>
        <w:spacing w:before="100" w:beforeAutospacing="1" w:after="100" w:afterAutospacing="1"/>
        <w:jc w:val="both"/>
        <w:rPr>
          <w:sz w:val="22"/>
          <w:lang w:val="en-GB"/>
        </w:rPr>
      </w:pPr>
      <w:r w:rsidRPr="00A670B1">
        <w:rPr>
          <w:sz w:val="22"/>
          <w:lang w:val="en-GB"/>
        </w:rPr>
        <w:t xml:space="preserve">The advocacy and communications functions of one of the GFP hosted by UNHCR will disappear and the role will focus on IM. This role will continue to be fully funded by UNHCR. </w:t>
      </w:r>
    </w:p>
    <w:p w:rsidR="00773941" w:rsidRPr="00A670B1" w:rsidRDefault="00CA6468" w:rsidP="00A670B1">
      <w:pPr>
        <w:pStyle w:val="ListParagraph"/>
        <w:numPr>
          <w:ilvl w:val="1"/>
          <w:numId w:val="34"/>
        </w:numPr>
        <w:jc w:val="both"/>
        <w:rPr>
          <w:sz w:val="22"/>
        </w:rPr>
      </w:pPr>
      <w:r w:rsidRPr="00A670B1">
        <w:rPr>
          <w:sz w:val="22"/>
          <w:lang w:val="en-GB"/>
        </w:rPr>
        <w:t xml:space="preserve">Roving </w:t>
      </w:r>
      <w:r w:rsidR="00746B31" w:rsidRPr="00A670B1">
        <w:rPr>
          <w:sz w:val="22"/>
          <w:lang w:val="en-GB"/>
        </w:rPr>
        <w:t>Focal Points: one of them has been removed. The two other ones remain but the co-funding required has increased to 50%. Both appear with 100% dedication but this could be revised if needed.</w:t>
      </w:r>
    </w:p>
    <w:p w:rsidR="00FB194B" w:rsidRPr="00A670B1" w:rsidRDefault="00746B31" w:rsidP="00A670B1">
      <w:pPr>
        <w:pStyle w:val="ListParagraph"/>
        <w:numPr>
          <w:ilvl w:val="0"/>
          <w:numId w:val="27"/>
        </w:numPr>
        <w:jc w:val="both"/>
      </w:pPr>
      <w:r w:rsidRPr="00A670B1">
        <w:t>Given the above cancellations and reductions, two activities have been changed:</w:t>
      </w:r>
    </w:p>
    <w:p w:rsidR="00746B31" w:rsidRPr="00A670B1" w:rsidRDefault="00746B31" w:rsidP="00A670B1">
      <w:pPr>
        <w:numPr>
          <w:ilvl w:val="0"/>
          <w:numId w:val="43"/>
        </w:numPr>
        <w:spacing w:after="100" w:afterAutospacing="1"/>
        <w:jc w:val="both"/>
        <w:rPr>
          <w:sz w:val="22"/>
          <w:lang w:val="en-GB"/>
        </w:rPr>
      </w:pPr>
      <w:r w:rsidRPr="00A670B1">
        <w:rPr>
          <w:sz w:val="22"/>
          <w:lang w:val="en-GB"/>
        </w:rPr>
        <w:t xml:space="preserve">Activity 1.3 Enhanced participation of national actors: has been removed and the Cluster Coordinator in the Americas has been moved to </w:t>
      </w:r>
      <w:r w:rsidR="00CA6468" w:rsidRPr="00A670B1">
        <w:rPr>
          <w:sz w:val="22"/>
          <w:lang w:val="en-GB"/>
        </w:rPr>
        <w:t>A</w:t>
      </w:r>
      <w:r w:rsidRPr="00A670B1">
        <w:rPr>
          <w:sz w:val="22"/>
          <w:lang w:val="en-GB"/>
        </w:rPr>
        <w:t>ctivity 1.1 as part of the Roving Focal Points.</w:t>
      </w:r>
    </w:p>
    <w:p w:rsidR="00746B31" w:rsidRPr="00A670B1" w:rsidRDefault="00746B31" w:rsidP="00A670B1">
      <w:pPr>
        <w:numPr>
          <w:ilvl w:val="0"/>
          <w:numId w:val="43"/>
        </w:numPr>
        <w:spacing w:before="100" w:beforeAutospacing="1" w:after="100" w:afterAutospacing="1"/>
        <w:jc w:val="both"/>
        <w:rPr>
          <w:sz w:val="22"/>
          <w:lang w:val="en-GB"/>
        </w:rPr>
      </w:pPr>
      <w:r w:rsidRPr="00A670B1">
        <w:rPr>
          <w:sz w:val="22"/>
          <w:lang w:val="en-GB"/>
        </w:rPr>
        <w:t>Activity 2.2 Website has been merged into Activity 2.3 Evidence-based information is gathered and disseminated. This is to acknowledge that the website is actually a tool to disseminate information and advocate.</w:t>
      </w:r>
    </w:p>
    <w:p w:rsidR="00746B31" w:rsidRPr="00A670B1" w:rsidRDefault="00746B31" w:rsidP="003731DE">
      <w:pPr>
        <w:pStyle w:val="ListParagraph"/>
        <w:numPr>
          <w:ilvl w:val="0"/>
          <w:numId w:val="27"/>
        </w:numPr>
        <w:jc w:val="both"/>
      </w:pPr>
      <w:r w:rsidRPr="00A670B1">
        <w:lastRenderedPageBreak/>
        <w:t xml:space="preserve">All these changes and the revised detailed budget have been shared by email </w:t>
      </w:r>
      <w:r w:rsidR="00CA6468" w:rsidRPr="00A670B1">
        <w:t>with</w:t>
      </w:r>
      <w:r w:rsidRPr="00A670B1">
        <w:t xml:space="preserve"> SAG members. Please revise in detail and provide detail</w:t>
      </w:r>
      <w:r w:rsidR="00CA6468" w:rsidRPr="00A670B1">
        <w:t>ed</w:t>
      </w:r>
      <w:r w:rsidRPr="00A670B1">
        <w:t xml:space="preserve"> comments by 3 May. All changes will be consolidated on May </w:t>
      </w:r>
      <w:r w:rsidR="00A670B1" w:rsidRPr="00A670B1">
        <w:t xml:space="preserve">4, </w:t>
      </w:r>
      <w:r w:rsidRPr="00A670B1">
        <w:t>and a revised final budget and narrative will be shared with short turn-around for final revision before submission to ECHO that very week.</w:t>
      </w:r>
    </w:p>
    <w:p w:rsidR="009D5466" w:rsidRPr="00A670B1" w:rsidRDefault="009D5466" w:rsidP="003731DE">
      <w:pPr>
        <w:pStyle w:val="ListParagraph"/>
        <w:numPr>
          <w:ilvl w:val="0"/>
          <w:numId w:val="27"/>
        </w:numPr>
        <w:jc w:val="both"/>
      </w:pPr>
      <w:r w:rsidRPr="00A670B1">
        <w:t>A draft methodology for the selection of partners to implement the ECHO activities was shared with SAG members in the same email where the detailed budget was shared. This methodology is similar to the one used in 2013. Please also submit comments by May</w:t>
      </w:r>
      <w:r w:rsidR="00A670B1" w:rsidRPr="00A670B1">
        <w:t xml:space="preserve"> 3</w:t>
      </w:r>
      <w:r w:rsidRPr="00A670B1">
        <w:t xml:space="preserve">. </w:t>
      </w:r>
    </w:p>
    <w:p w:rsidR="009D5466" w:rsidRPr="00A670B1" w:rsidRDefault="009D5466" w:rsidP="003731DE">
      <w:pPr>
        <w:pStyle w:val="ListParagraph"/>
        <w:numPr>
          <w:ilvl w:val="0"/>
          <w:numId w:val="27"/>
        </w:numPr>
        <w:jc w:val="both"/>
      </w:pPr>
      <w:r w:rsidRPr="00A670B1">
        <w:t xml:space="preserve">It is important to note that the </w:t>
      </w:r>
      <w:r w:rsidR="00A670B1" w:rsidRPr="00A670B1">
        <w:t>C</w:t>
      </w:r>
      <w:r w:rsidRPr="00A670B1">
        <w:t xml:space="preserve">luster will still pursue all the activities included in its Plan 2015-2016 be they included in the ECHO proposal or not. Activities which are not included in the ECHO proposal should be fundraised for during the “Donor Roadshow” or </w:t>
      </w:r>
      <w:r w:rsidR="003A315A" w:rsidRPr="00A670B1">
        <w:t>self-</w:t>
      </w:r>
      <w:r w:rsidRPr="00A670B1">
        <w:t>resourced</w:t>
      </w:r>
      <w:r w:rsidR="003A315A" w:rsidRPr="00A670B1">
        <w:t xml:space="preserve"> by a consortium of agencies</w:t>
      </w:r>
      <w:r w:rsidRPr="00A670B1">
        <w:t>.</w:t>
      </w:r>
    </w:p>
    <w:p w:rsidR="00EE1679" w:rsidRPr="00A670B1" w:rsidRDefault="00EE1679" w:rsidP="00FB194B">
      <w:pPr>
        <w:pStyle w:val="ListParagraph"/>
        <w:jc w:val="both"/>
      </w:pPr>
    </w:p>
    <w:p w:rsidR="009E7B44" w:rsidRPr="00A670B1" w:rsidRDefault="00A56606" w:rsidP="00FB194B">
      <w:pPr>
        <w:shd w:val="clear" w:color="auto" w:fill="FFFFFF" w:themeFill="background1"/>
        <w:ind w:left="426"/>
        <w:jc w:val="both"/>
        <w:rPr>
          <w:rFonts w:eastAsia="Times New Roman" w:cs="Times New Roman"/>
          <w:b/>
        </w:rPr>
      </w:pPr>
      <w:r w:rsidRPr="00A670B1">
        <w:rPr>
          <w:rFonts w:eastAsia="Times New Roman" w:cs="Times New Roman"/>
          <w:b/>
        </w:rPr>
        <w:t>Action:</w:t>
      </w:r>
      <w:r w:rsidR="009E7B44" w:rsidRPr="00A670B1">
        <w:rPr>
          <w:rFonts w:eastAsia="Times New Roman" w:cs="Times New Roman"/>
          <w:b/>
        </w:rPr>
        <w:t xml:space="preserve"> </w:t>
      </w:r>
    </w:p>
    <w:p w:rsidR="00C87C10" w:rsidRPr="00A670B1" w:rsidRDefault="00E24FFC" w:rsidP="003731DE">
      <w:pPr>
        <w:pStyle w:val="ListParagraph"/>
        <w:numPr>
          <w:ilvl w:val="0"/>
          <w:numId w:val="38"/>
        </w:numPr>
        <w:shd w:val="clear" w:color="auto" w:fill="BFBFBF"/>
        <w:ind w:left="709"/>
        <w:jc w:val="both"/>
        <w:rPr>
          <w:rFonts w:eastAsia="Times New Roman" w:cs="Times New Roman"/>
        </w:rPr>
      </w:pPr>
      <w:r w:rsidRPr="00A670B1">
        <w:rPr>
          <w:rFonts w:eastAsia="Times New Roman" w:cs="Times New Roman"/>
        </w:rPr>
        <w:t>SAG members to revise the new ECHO detailed budget</w:t>
      </w:r>
      <w:r w:rsidR="009D5466" w:rsidRPr="00A670B1">
        <w:rPr>
          <w:rFonts w:eastAsia="Times New Roman" w:cs="Times New Roman"/>
        </w:rPr>
        <w:t xml:space="preserve"> and the methodology</w:t>
      </w:r>
      <w:r w:rsidRPr="00A670B1">
        <w:rPr>
          <w:rFonts w:eastAsia="Times New Roman" w:cs="Times New Roman"/>
        </w:rPr>
        <w:t xml:space="preserve"> </w:t>
      </w:r>
      <w:r w:rsidR="009D5466" w:rsidRPr="00A670B1">
        <w:rPr>
          <w:rFonts w:eastAsia="Times New Roman" w:cs="Times New Roman"/>
        </w:rPr>
        <w:t xml:space="preserve">for the selection of </w:t>
      </w:r>
      <w:r w:rsidR="00A670B1" w:rsidRPr="00A670B1">
        <w:rPr>
          <w:rFonts w:eastAsia="Times New Roman" w:cs="Times New Roman"/>
        </w:rPr>
        <w:t xml:space="preserve">implementing </w:t>
      </w:r>
      <w:r w:rsidR="009D5466" w:rsidRPr="00A670B1">
        <w:rPr>
          <w:rFonts w:eastAsia="Times New Roman" w:cs="Times New Roman"/>
        </w:rPr>
        <w:t>partner</w:t>
      </w:r>
      <w:r w:rsidR="00A670B1" w:rsidRPr="00A670B1">
        <w:rPr>
          <w:rFonts w:eastAsia="Times New Roman" w:cs="Times New Roman"/>
        </w:rPr>
        <w:t>s</w:t>
      </w:r>
      <w:r w:rsidR="009D5466" w:rsidRPr="00A670B1">
        <w:rPr>
          <w:rFonts w:eastAsia="Times New Roman" w:cs="Times New Roman"/>
        </w:rPr>
        <w:t xml:space="preserve">. Please </w:t>
      </w:r>
      <w:r w:rsidRPr="00A670B1">
        <w:rPr>
          <w:rFonts w:eastAsia="Times New Roman" w:cs="Times New Roman"/>
        </w:rPr>
        <w:t>provide comments by May</w:t>
      </w:r>
      <w:r w:rsidR="00A670B1" w:rsidRPr="00A670B1">
        <w:rPr>
          <w:rFonts w:eastAsia="Times New Roman" w:cs="Times New Roman"/>
        </w:rPr>
        <w:t xml:space="preserve"> 3</w:t>
      </w:r>
      <w:r w:rsidR="00C87C10" w:rsidRPr="00A670B1">
        <w:rPr>
          <w:rFonts w:eastAsia="Times New Roman" w:cs="Times New Roman"/>
        </w:rPr>
        <w:t>.</w:t>
      </w:r>
      <w:r w:rsidRPr="00A670B1">
        <w:rPr>
          <w:rFonts w:eastAsia="Times New Roman" w:cs="Times New Roman"/>
        </w:rPr>
        <w:t xml:space="preserve"> </w:t>
      </w:r>
      <w:r w:rsidR="009D5466" w:rsidRPr="00A670B1">
        <w:rPr>
          <w:rFonts w:eastAsia="Times New Roman" w:cs="Times New Roman"/>
        </w:rPr>
        <w:t>The Support Team will consolidate and prepare a new proposal for submission to ECHO.</w:t>
      </w:r>
    </w:p>
    <w:p w:rsidR="00A56606" w:rsidRPr="00A670B1" w:rsidRDefault="00A56606" w:rsidP="00FB194B">
      <w:pPr>
        <w:pStyle w:val="ListParagraph"/>
        <w:jc w:val="both"/>
        <w:rPr>
          <w:rFonts w:eastAsia="Times New Roman" w:cs="Times New Roman"/>
          <w:b/>
        </w:rPr>
      </w:pPr>
    </w:p>
    <w:p w:rsidR="00A56606" w:rsidRPr="00A670B1" w:rsidRDefault="009D5466" w:rsidP="00FB194B">
      <w:pPr>
        <w:pStyle w:val="Heading2"/>
        <w:numPr>
          <w:ilvl w:val="0"/>
          <w:numId w:val="17"/>
        </w:numPr>
        <w:jc w:val="both"/>
        <w:rPr>
          <w:rFonts w:asciiTheme="minorHAnsi" w:hAnsiTheme="minorHAnsi"/>
          <w:b/>
        </w:rPr>
      </w:pPr>
      <w:r w:rsidRPr="00A670B1">
        <w:rPr>
          <w:rFonts w:asciiTheme="minorHAnsi" w:hAnsiTheme="minorHAnsi"/>
          <w:b/>
        </w:rPr>
        <w:t xml:space="preserve">Donor Roadshow </w:t>
      </w:r>
      <w:r w:rsidR="00A56606" w:rsidRPr="00A670B1">
        <w:rPr>
          <w:rFonts w:asciiTheme="minorHAnsi" w:hAnsiTheme="minorHAnsi"/>
          <w:b/>
        </w:rPr>
        <w:t>Request from the Environment Community of Practice (CoP):</w:t>
      </w:r>
    </w:p>
    <w:p w:rsidR="003A315A" w:rsidRPr="00A670B1" w:rsidRDefault="003A315A" w:rsidP="003731DE">
      <w:pPr>
        <w:pStyle w:val="ListParagraph"/>
        <w:numPr>
          <w:ilvl w:val="0"/>
          <w:numId w:val="39"/>
        </w:numPr>
        <w:jc w:val="both"/>
      </w:pPr>
      <w:r w:rsidRPr="00A670B1">
        <w:t xml:space="preserve">Key talking points to guide agencies approaching donors during the Donor Roadshow were circulated. This document is not mandatory but serves as a common reference point. </w:t>
      </w:r>
      <w:r w:rsidR="0004373A" w:rsidRPr="00A670B1">
        <w:t xml:space="preserve"> </w:t>
      </w:r>
      <w:r w:rsidRPr="00A670B1">
        <w:t>SAG members approved the key talking points document.</w:t>
      </w:r>
    </w:p>
    <w:bookmarkStart w:id="1" w:name="_MON_1492954493"/>
    <w:bookmarkEnd w:id="1"/>
    <w:p w:rsidR="0004373A" w:rsidRPr="00A670B1" w:rsidRDefault="00A1556E" w:rsidP="003A315A">
      <w:pPr>
        <w:pStyle w:val="ListParagraph"/>
        <w:jc w:val="both"/>
      </w:pPr>
      <w: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9" o:title=""/>
          </v:shape>
          <o:OLEObject Type="Embed" ProgID="Word.Document.12" ShapeID="_x0000_i1025" DrawAspect="Icon" ObjectID="_1494660277" r:id="rId10">
            <o:FieldCodes>\s</o:FieldCodes>
          </o:OLEObject>
        </w:object>
      </w:r>
    </w:p>
    <w:p w:rsidR="0004373A" w:rsidRPr="00A670B1" w:rsidRDefault="0004373A" w:rsidP="0004373A">
      <w:pPr>
        <w:pStyle w:val="ListParagraph"/>
        <w:jc w:val="both"/>
      </w:pPr>
    </w:p>
    <w:p w:rsidR="00464409" w:rsidRPr="00A670B1" w:rsidRDefault="003A315A" w:rsidP="003731DE">
      <w:pPr>
        <w:pStyle w:val="ListParagraph"/>
        <w:numPr>
          <w:ilvl w:val="0"/>
          <w:numId w:val="39"/>
        </w:numPr>
        <w:jc w:val="both"/>
      </w:pPr>
      <w:r w:rsidRPr="00A670B1">
        <w:t xml:space="preserve">Additionally to the key talking points, it would be useful to </w:t>
      </w:r>
      <w:r w:rsidR="003731DE" w:rsidRPr="00A670B1">
        <w:t>have a budget with all the activities of the Plan 2015-2016 highlighting which ones are priorities for fundraising. They could be divided into an A list of core functions and a B list of additional activities.</w:t>
      </w:r>
    </w:p>
    <w:p w:rsidR="003A315A" w:rsidRPr="00A670B1" w:rsidRDefault="003A315A" w:rsidP="00464409">
      <w:pPr>
        <w:pStyle w:val="ListParagraph"/>
        <w:jc w:val="both"/>
      </w:pPr>
    </w:p>
    <w:p w:rsidR="009E7B44" w:rsidRPr="00A670B1" w:rsidRDefault="00FB6FFB" w:rsidP="00FB194B">
      <w:pPr>
        <w:shd w:val="clear" w:color="auto" w:fill="FFFFFF" w:themeFill="background1"/>
        <w:ind w:left="426"/>
        <w:jc w:val="both"/>
        <w:rPr>
          <w:rFonts w:eastAsia="Times New Roman" w:cs="Times New Roman"/>
          <w:b/>
        </w:rPr>
      </w:pPr>
      <w:r w:rsidRPr="00A670B1">
        <w:rPr>
          <w:rFonts w:eastAsia="Times New Roman" w:cs="Times New Roman"/>
          <w:b/>
        </w:rPr>
        <w:t>Action</w:t>
      </w:r>
      <w:r w:rsidR="00B75EFF" w:rsidRPr="00A670B1">
        <w:rPr>
          <w:rFonts w:eastAsia="Times New Roman" w:cs="Times New Roman"/>
          <w:b/>
        </w:rPr>
        <w:t>:</w:t>
      </w:r>
      <w:r w:rsidR="009E7B44" w:rsidRPr="00A670B1">
        <w:rPr>
          <w:rFonts w:eastAsia="Times New Roman" w:cs="Times New Roman"/>
          <w:b/>
        </w:rPr>
        <w:t xml:space="preserve"> </w:t>
      </w:r>
    </w:p>
    <w:p w:rsidR="003A315A" w:rsidRPr="00A670B1" w:rsidRDefault="003731DE" w:rsidP="00FB194B">
      <w:pPr>
        <w:shd w:val="clear" w:color="auto" w:fill="BFBFBF"/>
        <w:ind w:left="426"/>
        <w:jc w:val="both"/>
        <w:rPr>
          <w:rFonts w:eastAsia="Times New Roman" w:cs="Times New Roman"/>
        </w:rPr>
      </w:pPr>
      <w:r w:rsidRPr="00A670B1">
        <w:rPr>
          <w:rFonts w:eastAsia="Times New Roman" w:cs="Times New Roman"/>
        </w:rPr>
        <w:t xml:space="preserve">2. </w:t>
      </w:r>
      <w:r w:rsidR="003A315A" w:rsidRPr="00A670B1">
        <w:rPr>
          <w:rFonts w:eastAsia="Times New Roman" w:cs="Times New Roman"/>
        </w:rPr>
        <w:t>SAG members to use the Donor Roadshow key talking points when approaching donors.</w:t>
      </w:r>
    </w:p>
    <w:p w:rsidR="00B75EFF" w:rsidRPr="00A670B1" w:rsidRDefault="003731DE" w:rsidP="00FB194B">
      <w:pPr>
        <w:shd w:val="clear" w:color="auto" w:fill="BFBFBF"/>
        <w:ind w:left="426"/>
        <w:jc w:val="both"/>
        <w:rPr>
          <w:rFonts w:eastAsia="Times New Roman" w:cs="Times New Roman"/>
          <w:b/>
        </w:rPr>
      </w:pPr>
      <w:r w:rsidRPr="00A670B1">
        <w:rPr>
          <w:rFonts w:eastAsia="Times New Roman" w:cs="Times New Roman"/>
        </w:rPr>
        <w:t xml:space="preserve">3. </w:t>
      </w:r>
      <w:r w:rsidR="003A315A" w:rsidRPr="00A670B1">
        <w:rPr>
          <w:rFonts w:eastAsia="Times New Roman" w:cs="Times New Roman"/>
        </w:rPr>
        <w:t>S</w:t>
      </w:r>
      <w:r w:rsidR="009E7B44" w:rsidRPr="00A670B1">
        <w:rPr>
          <w:rFonts w:eastAsia="Times New Roman" w:cs="Times New Roman"/>
        </w:rPr>
        <w:t xml:space="preserve">upport Team will prepare an initial draft of </w:t>
      </w:r>
      <w:r w:rsidRPr="00A670B1">
        <w:rPr>
          <w:rFonts w:eastAsia="Times New Roman" w:cs="Times New Roman"/>
        </w:rPr>
        <w:t>list of prioritized activities.</w:t>
      </w:r>
    </w:p>
    <w:p w:rsidR="00A56606" w:rsidRPr="00A670B1" w:rsidRDefault="00A56606" w:rsidP="00FB194B">
      <w:pPr>
        <w:pStyle w:val="ListParagraph"/>
        <w:jc w:val="both"/>
        <w:rPr>
          <w:rFonts w:eastAsiaTheme="majorEastAsia" w:cstheme="majorBidi"/>
          <w:bCs/>
          <w:i/>
          <w:color w:val="04314C"/>
          <w:szCs w:val="26"/>
        </w:rPr>
      </w:pPr>
    </w:p>
    <w:p w:rsidR="00A56606" w:rsidRPr="00A670B1" w:rsidRDefault="003731DE" w:rsidP="00FB194B">
      <w:pPr>
        <w:pStyle w:val="ListParagraph"/>
        <w:numPr>
          <w:ilvl w:val="0"/>
          <w:numId w:val="17"/>
        </w:numPr>
        <w:jc w:val="both"/>
        <w:rPr>
          <w:rFonts w:eastAsiaTheme="majorEastAsia" w:cstheme="majorBidi"/>
          <w:b/>
          <w:bCs/>
          <w:i/>
          <w:color w:val="04314C"/>
          <w:szCs w:val="26"/>
        </w:rPr>
      </w:pPr>
      <w:r w:rsidRPr="00A670B1">
        <w:rPr>
          <w:rFonts w:eastAsiaTheme="majorEastAsia" w:cstheme="majorBidi"/>
          <w:b/>
          <w:bCs/>
          <w:i/>
          <w:color w:val="04314C"/>
          <w:szCs w:val="26"/>
        </w:rPr>
        <w:t>Improved global level coordination</w:t>
      </w:r>
    </w:p>
    <w:p w:rsidR="00A56606" w:rsidRPr="00A670B1" w:rsidRDefault="00535D81" w:rsidP="00535D81">
      <w:pPr>
        <w:pStyle w:val="ListParagraph"/>
        <w:numPr>
          <w:ilvl w:val="0"/>
          <w:numId w:val="41"/>
        </w:numPr>
        <w:jc w:val="both"/>
      </w:pPr>
      <w:r w:rsidRPr="00A670B1">
        <w:t xml:space="preserve">There is a need to enhance coordination of global level shelter activities to ensure that we are all well aware of these activities and adequate synergies are found. </w:t>
      </w:r>
    </w:p>
    <w:p w:rsidR="00535D81" w:rsidRPr="00A670B1" w:rsidRDefault="00535D81" w:rsidP="00535D81">
      <w:pPr>
        <w:pStyle w:val="ListParagraph"/>
        <w:numPr>
          <w:ilvl w:val="0"/>
          <w:numId w:val="41"/>
        </w:numPr>
        <w:jc w:val="both"/>
      </w:pPr>
      <w:r w:rsidRPr="00A670B1">
        <w:t>The sectoral news page in the website provides a platform for this so do the different working groups and the SAG meeting.</w:t>
      </w:r>
    </w:p>
    <w:p w:rsidR="00773941" w:rsidRPr="00A670B1" w:rsidRDefault="00773941" w:rsidP="00FB194B">
      <w:pPr>
        <w:pStyle w:val="ListParagraph"/>
        <w:jc w:val="both"/>
      </w:pPr>
    </w:p>
    <w:p w:rsidR="00880C0B" w:rsidRPr="00A670B1" w:rsidRDefault="00880C0B" w:rsidP="00FB194B">
      <w:pPr>
        <w:shd w:val="clear" w:color="auto" w:fill="FFFFFF" w:themeFill="background1"/>
        <w:ind w:left="426"/>
        <w:jc w:val="both"/>
        <w:rPr>
          <w:rFonts w:eastAsia="Times New Roman" w:cs="Times New Roman"/>
          <w:b/>
        </w:rPr>
      </w:pPr>
      <w:r w:rsidRPr="00A670B1">
        <w:rPr>
          <w:rFonts w:eastAsia="Times New Roman" w:cs="Times New Roman"/>
          <w:b/>
        </w:rPr>
        <w:t>Action:</w:t>
      </w:r>
    </w:p>
    <w:p w:rsidR="00DC26BD" w:rsidRPr="00A670B1" w:rsidRDefault="00535D81" w:rsidP="00E85B9C">
      <w:pPr>
        <w:pStyle w:val="ListParagraph"/>
        <w:numPr>
          <w:ilvl w:val="1"/>
          <w:numId w:val="34"/>
        </w:numPr>
        <w:shd w:val="clear" w:color="auto" w:fill="BFBFBF"/>
        <w:ind w:left="709"/>
        <w:jc w:val="both"/>
        <w:rPr>
          <w:rFonts w:eastAsia="Times New Roman" w:cs="Times New Roman"/>
        </w:rPr>
      </w:pPr>
      <w:r w:rsidRPr="00A670B1">
        <w:rPr>
          <w:rFonts w:eastAsia="Times New Roman" w:cs="Times New Roman"/>
        </w:rPr>
        <w:t>Include a running agenda point in SAG meetings on sectoral activities.</w:t>
      </w:r>
    </w:p>
    <w:p w:rsidR="003650BA" w:rsidRPr="00A670B1" w:rsidRDefault="003650BA" w:rsidP="00FB194B">
      <w:pPr>
        <w:pStyle w:val="ListParagraph"/>
        <w:jc w:val="both"/>
        <w:rPr>
          <w:rFonts w:eastAsiaTheme="majorEastAsia" w:cstheme="majorBidi"/>
          <w:bCs/>
          <w:i/>
          <w:color w:val="04314C"/>
          <w:szCs w:val="26"/>
        </w:rPr>
      </w:pPr>
    </w:p>
    <w:p w:rsidR="00A56606" w:rsidRPr="00A670B1" w:rsidRDefault="00535D81" w:rsidP="00FB194B">
      <w:pPr>
        <w:pStyle w:val="ListParagraph"/>
        <w:numPr>
          <w:ilvl w:val="0"/>
          <w:numId w:val="17"/>
        </w:numPr>
        <w:jc w:val="both"/>
        <w:rPr>
          <w:rFonts w:eastAsiaTheme="majorEastAsia" w:cstheme="majorBidi"/>
          <w:b/>
          <w:bCs/>
          <w:i/>
          <w:color w:val="04314C"/>
          <w:szCs w:val="26"/>
        </w:rPr>
      </w:pPr>
      <w:r w:rsidRPr="00A670B1">
        <w:rPr>
          <w:rFonts w:eastAsiaTheme="majorEastAsia" w:cstheme="majorBidi"/>
          <w:b/>
          <w:bCs/>
          <w:i/>
          <w:color w:val="04314C"/>
          <w:szCs w:val="26"/>
        </w:rPr>
        <w:t>Shelter Projects</w:t>
      </w:r>
    </w:p>
    <w:p w:rsidR="00535D81" w:rsidRPr="00A670B1" w:rsidRDefault="00535D81" w:rsidP="00535D81">
      <w:pPr>
        <w:pStyle w:val="ListParagraph"/>
        <w:numPr>
          <w:ilvl w:val="0"/>
          <w:numId w:val="42"/>
        </w:numPr>
        <w:jc w:val="both"/>
      </w:pPr>
      <w:r w:rsidRPr="00A670B1">
        <w:lastRenderedPageBreak/>
        <w:t>A Global Update will be sent soon to request expressions of interests from agencies to offer either cash or contributions in kind for this project. We need to identify who will resource this project as stakeholder, beyond the current three stakeholders who</w:t>
      </w:r>
      <w:r w:rsidR="00305FB8" w:rsidRPr="00A670B1">
        <w:t xml:space="preserve"> </w:t>
      </w:r>
      <w:r w:rsidRPr="00A670B1">
        <w:t xml:space="preserve">also need to declare their continuing interests (IFRC, UNHCR and UNHABITAT). The final stakeholders </w:t>
      </w:r>
      <w:r w:rsidR="00305FB8" w:rsidRPr="00A670B1">
        <w:t xml:space="preserve">will </w:t>
      </w:r>
      <w:r w:rsidRPr="00A670B1">
        <w:t xml:space="preserve">by default become a mini-management committee. The e-mail will elaborate on these issues in more detail. </w:t>
      </w:r>
    </w:p>
    <w:p w:rsidR="00773941" w:rsidRPr="00A670B1" w:rsidRDefault="00773941" w:rsidP="00FB194B">
      <w:pPr>
        <w:pStyle w:val="ListParagraph"/>
        <w:jc w:val="both"/>
      </w:pPr>
    </w:p>
    <w:p w:rsidR="00773941" w:rsidRPr="00A670B1" w:rsidRDefault="003650BA" w:rsidP="00FB194B">
      <w:pPr>
        <w:shd w:val="clear" w:color="auto" w:fill="FFFFFF" w:themeFill="background1"/>
        <w:ind w:left="426"/>
        <w:jc w:val="both"/>
        <w:rPr>
          <w:rFonts w:eastAsia="Times New Roman" w:cs="Times New Roman"/>
          <w:b/>
        </w:rPr>
      </w:pPr>
      <w:r w:rsidRPr="00A670B1">
        <w:rPr>
          <w:rFonts w:eastAsia="Times New Roman" w:cs="Times New Roman"/>
          <w:b/>
        </w:rPr>
        <w:t>Action:</w:t>
      </w:r>
      <w:r w:rsidR="00D46C1E" w:rsidRPr="00A670B1">
        <w:rPr>
          <w:rFonts w:eastAsia="Times New Roman" w:cs="Times New Roman"/>
          <w:b/>
        </w:rPr>
        <w:t xml:space="preserve"> </w:t>
      </w:r>
    </w:p>
    <w:p w:rsidR="003650BA" w:rsidRPr="00A670B1" w:rsidRDefault="00305FB8" w:rsidP="00E85B9C">
      <w:pPr>
        <w:pStyle w:val="ListParagraph"/>
        <w:numPr>
          <w:ilvl w:val="1"/>
          <w:numId w:val="34"/>
        </w:numPr>
        <w:shd w:val="clear" w:color="auto" w:fill="BFBFBF"/>
        <w:ind w:left="709"/>
        <w:jc w:val="both"/>
        <w:rPr>
          <w:rFonts w:eastAsia="Times New Roman" w:cs="Times New Roman"/>
        </w:rPr>
      </w:pPr>
      <w:r w:rsidRPr="00A670B1">
        <w:rPr>
          <w:rFonts w:eastAsia="Times New Roman" w:cs="Times New Roman"/>
        </w:rPr>
        <w:t>Support Team to send a Global Update on expressions of interest to resource Shelter Projects</w:t>
      </w:r>
      <w:r w:rsidR="00A670B1">
        <w:rPr>
          <w:rFonts w:eastAsia="Times New Roman" w:cs="Times New Roman"/>
        </w:rPr>
        <w:t>.</w:t>
      </w:r>
    </w:p>
    <w:p w:rsidR="00A56606" w:rsidRPr="00A670B1" w:rsidRDefault="00A56606" w:rsidP="00FB194B">
      <w:pPr>
        <w:pStyle w:val="ListParagraph"/>
        <w:jc w:val="both"/>
        <w:rPr>
          <w:rFonts w:eastAsiaTheme="majorEastAsia" w:cstheme="majorBidi"/>
          <w:bCs/>
          <w:i/>
          <w:color w:val="04314C"/>
          <w:szCs w:val="26"/>
        </w:rPr>
      </w:pPr>
    </w:p>
    <w:p w:rsidR="00A56606" w:rsidRPr="00A670B1" w:rsidRDefault="00305FB8" w:rsidP="00FB194B">
      <w:pPr>
        <w:pStyle w:val="ListParagraph"/>
        <w:numPr>
          <w:ilvl w:val="0"/>
          <w:numId w:val="17"/>
        </w:numPr>
        <w:jc w:val="both"/>
        <w:rPr>
          <w:rFonts w:eastAsiaTheme="majorEastAsia" w:cstheme="majorBidi"/>
          <w:b/>
          <w:bCs/>
          <w:i/>
          <w:color w:val="04314C"/>
          <w:szCs w:val="26"/>
        </w:rPr>
      </w:pPr>
      <w:r w:rsidRPr="00A670B1">
        <w:rPr>
          <w:rFonts w:eastAsiaTheme="majorEastAsia" w:cstheme="majorBidi"/>
          <w:b/>
          <w:bCs/>
          <w:i/>
          <w:color w:val="04314C"/>
          <w:szCs w:val="26"/>
        </w:rPr>
        <w:t>Nepal earthquake</w:t>
      </w:r>
    </w:p>
    <w:p w:rsidR="00305FB8" w:rsidRPr="00A670B1" w:rsidRDefault="00305FB8" w:rsidP="00E85B9C">
      <w:pPr>
        <w:pStyle w:val="ListParagraph"/>
        <w:numPr>
          <w:ilvl w:val="0"/>
          <w:numId w:val="44"/>
        </w:numPr>
        <w:jc w:val="both"/>
      </w:pPr>
      <w:r w:rsidRPr="00A670B1">
        <w:t xml:space="preserve">IFRC as </w:t>
      </w:r>
      <w:r w:rsidR="00A670B1" w:rsidRPr="00A670B1">
        <w:t>C</w:t>
      </w:r>
      <w:r w:rsidRPr="00A670B1">
        <w:t xml:space="preserve">luster </w:t>
      </w:r>
      <w:r w:rsidR="00A670B1" w:rsidRPr="00A670B1">
        <w:t>L</w:t>
      </w:r>
      <w:r w:rsidRPr="00A670B1">
        <w:t xml:space="preserve">ead of the Nepal Shelter Cluster provided an update of the situation. </w:t>
      </w:r>
      <w:r w:rsidR="00E85B9C" w:rsidRPr="00A670B1">
        <w:t xml:space="preserve">More information can be found in the </w:t>
      </w:r>
      <w:hyperlink r:id="rId11" w:history="1">
        <w:r w:rsidR="00E85B9C" w:rsidRPr="00A670B1">
          <w:rPr>
            <w:rStyle w:val="Hyperlink"/>
          </w:rPr>
          <w:t>website</w:t>
        </w:r>
      </w:hyperlink>
      <w:r w:rsidR="00E85B9C" w:rsidRPr="00A670B1">
        <w:t xml:space="preserve">. </w:t>
      </w:r>
      <w:r w:rsidRPr="00A670B1">
        <w:t>The main points are:</w:t>
      </w:r>
    </w:p>
    <w:p w:rsidR="00E85B9C" w:rsidRPr="00A670B1" w:rsidRDefault="00305FB8" w:rsidP="00305FB8">
      <w:pPr>
        <w:pStyle w:val="ListParagraph"/>
        <w:numPr>
          <w:ilvl w:val="1"/>
          <w:numId w:val="20"/>
        </w:numPr>
        <w:jc w:val="both"/>
        <w:rPr>
          <w:sz w:val="28"/>
        </w:rPr>
      </w:pPr>
      <w:r w:rsidRPr="00A670B1">
        <w:rPr>
          <w:rFonts w:cs="Arial"/>
          <w:sz w:val="22"/>
          <w:szCs w:val="20"/>
        </w:rPr>
        <w:t xml:space="preserve">The government’s position is that they will not engage in emergency shelter, they will focus on early recovery and reconstruction and will rely on humanitarian agencies to provide emergency shelter to the affected population. </w:t>
      </w:r>
    </w:p>
    <w:p w:rsidR="00D46C1E" w:rsidRPr="00A670B1" w:rsidRDefault="00E85B9C" w:rsidP="00305FB8">
      <w:pPr>
        <w:pStyle w:val="ListParagraph"/>
        <w:numPr>
          <w:ilvl w:val="1"/>
          <w:numId w:val="20"/>
        </w:numPr>
        <w:jc w:val="both"/>
        <w:rPr>
          <w:sz w:val="28"/>
        </w:rPr>
      </w:pPr>
      <w:r w:rsidRPr="00A670B1">
        <w:rPr>
          <w:rFonts w:cs="Arial"/>
          <w:sz w:val="22"/>
          <w:szCs w:val="20"/>
        </w:rPr>
        <w:t>C</w:t>
      </w:r>
      <w:r w:rsidR="00305FB8" w:rsidRPr="00A670B1">
        <w:rPr>
          <w:rFonts w:cs="Arial"/>
          <w:sz w:val="22"/>
          <w:szCs w:val="20"/>
        </w:rPr>
        <w:t xml:space="preserve">hallenges are around access, some of the roads and bridges have been affected, thus a huge logistics challenge. Also absorption capacity of the airport has been a challenge, which has already affected many aid workers themselves, but also supply of </w:t>
      </w:r>
      <w:r w:rsidRPr="00A670B1">
        <w:rPr>
          <w:rFonts w:cs="Arial"/>
          <w:sz w:val="22"/>
          <w:szCs w:val="20"/>
        </w:rPr>
        <w:t>materials coming from abroad.</w:t>
      </w:r>
    </w:p>
    <w:p w:rsidR="00E85B9C" w:rsidRPr="00A670B1" w:rsidRDefault="00E85B9C" w:rsidP="00305FB8">
      <w:pPr>
        <w:pStyle w:val="ListParagraph"/>
        <w:numPr>
          <w:ilvl w:val="1"/>
          <w:numId w:val="20"/>
        </w:numPr>
        <w:jc w:val="both"/>
        <w:rPr>
          <w:sz w:val="28"/>
        </w:rPr>
      </w:pPr>
      <w:r w:rsidRPr="00A670B1">
        <w:rPr>
          <w:rFonts w:cs="Arial"/>
          <w:sz w:val="22"/>
          <w:szCs w:val="20"/>
        </w:rPr>
        <w:t>The government is putting a lot pressure on agencies to deliver. Humanitarian Coordinator office sent a message that they will not be doing a MIRA at this stage the agencies should focus on responding first, and there might be a MIRA later in three weeks or so. Consequently, we are taking a different approach – assist and assess, which basically is putting together some standard harmonized form for agencies that are doing distributions to assess at the same time as they do distributions. Then we will compile that information and try to analyze and make sense of it. The focus remains on providing immediate assistance first.</w:t>
      </w:r>
    </w:p>
    <w:p w:rsidR="00773941" w:rsidRPr="00A670B1" w:rsidRDefault="00E85B9C" w:rsidP="00D9289F">
      <w:pPr>
        <w:pStyle w:val="ListParagraph"/>
        <w:numPr>
          <w:ilvl w:val="0"/>
          <w:numId w:val="44"/>
        </w:numPr>
        <w:jc w:val="both"/>
      </w:pPr>
      <w:r w:rsidRPr="00A670B1">
        <w:t xml:space="preserve">Learning from Haiti, it is important to reduce displacement. </w:t>
      </w:r>
      <w:r w:rsidR="00D9289F">
        <w:t>Provided it’s safe, h</w:t>
      </w:r>
      <w:r w:rsidR="00F17C83" w:rsidRPr="00A670B1">
        <w:t>umanitarian aid should be provided to the families on their site affected rather than in central spots or in camps.</w:t>
      </w:r>
      <w:r w:rsidR="00D9289F">
        <w:t xml:space="preserve"> The delivery of humanitarian assistance should support people’s own coping mechanisms.</w:t>
      </w:r>
    </w:p>
    <w:p w:rsidR="00F17C83" w:rsidRPr="00A670B1" w:rsidRDefault="00F17C83" w:rsidP="00F17C83">
      <w:pPr>
        <w:pStyle w:val="ListParagraph"/>
        <w:jc w:val="both"/>
      </w:pPr>
    </w:p>
    <w:p w:rsidR="00A56606" w:rsidRPr="00A670B1" w:rsidRDefault="00A56606" w:rsidP="00FB194B">
      <w:pPr>
        <w:shd w:val="clear" w:color="auto" w:fill="FFFFFF" w:themeFill="background1"/>
        <w:ind w:left="426"/>
        <w:jc w:val="both"/>
        <w:rPr>
          <w:rFonts w:eastAsia="Times New Roman" w:cs="Times New Roman"/>
          <w:b/>
        </w:rPr>
      </w:pPr>
      <w:r w:rsidRPr="00A670B1">
        <w:rPr>
          <w:rFonts w:eastAsia="Times New Roman" w:cs="Times New Roman"/>
          <w:b/>
        </w:rPr>
        <w:t>Action:</w:t>
      </w:r>
    </w:p>
    <w:p w:rsidR="00D46C1E" w:rsidRPr="00A670B1" w:rsidRDefault="00E85B9C" w:rsidP="00E85B9C">
      <w:pPr>
        <w:pStyle w:val="ListParagraph"/>
        <w:numPr>
          <w:ilvl w:val="1"/>
          <w:numId w:val="34"/>
        </w:numPr>
        <w:shd w:val="clear" w:color="auto" w:fill="BFBFBF"/>
        <w:ind w:left="709"/>
        <w:jc w:val="both"/>
        <w:rPr>
          <w:rFonts w:eastAsia="Times New Roman" w:cs="Times New Roman"/>
        </w:rPr>
      </w:pPr>
      <w:r w:rsidRPr="00A670B1">
        <w:rPr>
          <w:rFonts w:eastAsia="Times New Roman" w:cs="Times New Roman"/>
        </w:rPr>
        <w:t xml:space="preserve">SAG members are encouraged to share their plans in Nepal with IFRC </w:t>
      </w:r>
      <w:r w:rsidR="00F17C83" w:rsidRPr="00A670B1">
        <w:rPr>
          <w:rFonts w:eastAsia="Times New Roman" w:cs="Times New Roman"/>
        </w:rPr>
        <w:t>and</w:t>
      </w:r>
      <w:r w:rsidRPr="00A670B1">
        <w:rPr>
          <w:rFonts w:eastAsia="Times New Roman" w:cs="Times New Roman"/>
        </w:rPr>
        <w:t xml:space="preserve"> actively participate in the Nepal Shelter Cluster</w:t>
      </w:r>
      <w:r w:rsidR="00A670B1">
        <w:rPr>
          <w:rFonts w:eastAsia="Times New Roman" w:cs="Times New Roman"/>
        </w:rPr>
        <w:t>.</w:t>
      </w:r>
    </w:p>
    <w:sectPr w:rsidR="00D46C1E" w:rsidRPr="00A670B1" w:rsidSect="0019211E">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129" w:rsidRDefault="00C76129" w:rsidP="00584F10">
      <w:r>
        <w:separator/>
      </w:r>
    </w:p>
  </w:endnote>
  <w:endnote w:type="continuationSeparator" w:id="0">
    <w:p w:rsidR="00C76129" w:rsidRDefault="00C76129"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val="en-GB" w:eastAsia="en-GB"/>
      </w:rPr>
      <mc:AlternateContent>
        <mc:Choice Requires="wps">
          <w:drawing>
            <wp:anchor distT="0" distB="0" distL="114300" distR="114300" simplePos="0" relativeHeight="251659264" behindDoc="0" locked="0" layoutInCell="1" allowOverlap="1" wp14:anchorId="4728551B" wp14:editId="7155B928">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C36A3B">
      <w:rPr>
        <w:color w:val="7F1416"/>
        <w:sz w:val="18"/>
        <w:szCs w:val="18"/>
      </w:rPr>
      <w:t>SAG Meeting Minutes</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3660F1">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129" w:rsidRDefault="00C76129" w:rsidP="00584F10">
      <w:r>
        <w:separator/>
      </w:r>
    </w:p>
  </w:footnote>
  <w:footnote w:type="continuationSeparator" w:id="0">
    <w:p w:rsidR="00C76129" w:rsidRDefault="00C76129" w:rsidP="0058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8240" behindDoc="0" locked="0" layoutInCell="1" allowOverlap="1" wp14:anchorId="0611A9E2" wp14:editId="6EAEE8DD">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050"/>
    <w:multiLevelType w:val="hybridMultilevel"/>
    <w:tmpl w:val="021E783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56761A"/>
    <w:multiLevelType w:val="hybridMultilevel"/>
    <w:tmpl w:val="904658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4B2BD5"/>
    <w:multiLevelType w:val="hybridMultilevel"/>
    <w:tmpl w:val="8B14F3F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7F57EC"/>
    <w:multiLevelType w:val="hybridMultilevel"/>
    <w:tmpl w:val="901614CA"/>
    <w:lvl w:ilvl="0" w:tplc="DA3CADEE">
      <w:start w:val="1"/>
      <w:numFmt w:val="decimal"/>
      <w:lvlText w:val="%1)"/>
      <w:lvlJc w:val="left"/>
      <w:pPr>
        <w:ind w:left="360" w:hanging="360"/>
      </w:pPr>
      <w:rPr>
        <w:rFonts w:ascii="Verdana" w:hAnsi="Verdana" w:hint="default"/>
        <w:b w:val="0"/>
        <w:color w:val="1B2C37" w:themeColor="accent1" w:themeShade="8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BA48E3"/>
    <w:multiLevelType w:val="hybridMultilevel"/>
    <w:tmpl w:val="CFEAD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32324A"/>
    <w:multiLevelType w:val="hybridMultilevel"/>
    <w:tmpl w:val="23CA63D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
    <w:nsid w:val="134A3F3A"/>
    <w:multiLevelType w:val="hybridMultilevel"/>
    <w:tmpl w:val="11E2499C"/>
    <w:lvl w:ilvl="0" w:tplc="01F09A1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C163853"/>
    <w:multiLevelType w:val="hybridMultilevel"/>
    <w:tmpl w:val="021E783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783DA6"/>
    <w:multiLevelType w:val="hybridMultilevel"/>
    <w:tmpl w:val="9E4A1FB8"/>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DC2015"/>
    <w:multiLevelType w:val="hybridMultilevel"/>
    <w:tmpl w:val="07B63FF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872116"/>
    <w:multiLevelType w:val="hybridMultilevel"/>
    <w:tmpl w:val="4C640532"/>
    <w:lvl w:ilvl="0" w:tplc="CCA0AF30">
      <w:start w:val="31"/>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9753B7"/>
    <w:multiLevelType w:val="hybridMultilevel"/>
    <w:tmpl w:val="D90C4626"/>
    <w:lvl w:ilvl="0" w:tplc="01F09A12">
      <w:numFmt w:val="bullet"/>
      <w:lvlText w:val="-"/>
      <w:lvlJc w:val="left"/>
      <w:pPr>
        <w:ind w:left="360" w:hanging="360"/>
      </w:pPr>
      <w:rPr>
        <w:rFonts w:ascii="Calibri" w:eastAsia="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19C156D"/>
    <w:multiLevelType w:val="hybridMultilevel"/>
    <w:tmpl w:val="4266C9A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632F44"/>
    <w:multiLevelType w:val="hybridMultilevel"/>
    <w:tmpl w:val="36CA4D06"/>
    <w:lvl w:ilvl="0" w:tplc="E34C840C">
      <w:start w:val="5"/>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0">
    <w:nsid w:val="33C3792C"/>
    <w:multiLevelType w:val="hybridMultilevel"/>
    <w:tmpl w:val="5BFC5C90"/>
    <w:lvl w:ilvl="0" w:tplc="08090001">
      <w:start w:val="1"/>
      <w:numFmt w:val="bullet"/>
      <w:lvlText w:val=""/>
      <w:lvlJc w:val="left"/>
      <w:pPr>
        <w:ind w:left="720" w:hanging="360"/>
      </w:pPr>
      <w:rPr>
        <w:rFonts w:ascii="Symbol" w:hAnsi="Symbol" w:hint="default"/>
      </w:rPr>
    </w:lvl>
    <w:lvl w:ilvl="1" w:tplc="5CDCF3F0">
      <w:start w:val="1"/>
      <w:numFmt w:val="decimal"/>
      <w:lvlText w:val="%2."/>
      <w:lvlJc w:val="left"/>
      <w:pPr>
        <w:ind w:left="1440" w:hanging="360"/>
      </w:pPr>
      <w:rPr>
        <w:rFonts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3F0986"/>
    <w:multiLevelType w:val="hybridMultilevel"/>
    <w:tmpl w:val="13C6FA4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6329C7"/>
    <w:multiLevelType w:val="hybridMultilevel"/>
    <w:tmpl w:val="300476EC"/>
    <w:lvl w:ilvl="0" w:tplc="9072CCBE">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9762A7"/>
    <w:multiLevelType w:val="hybridMultilevel"/>
    <w:tmpl w:val="D656585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644"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5">
    <w:nsid w:val="42DF31AA"/>
    <w:multiLevelType w:val="hybridMultilevel"/>
    <w:tmpl w:val="8842D8A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F97EDA"/>
    <w:multiLevelType w:val="hybridMultilevel"/>
    <w:tmpl w:val="9130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4A63B3"/>
    <w:multiLevelType w:val="hybridMultilevel"/>
    <w:tmpl w:val="15B4F984"/>
    <w:lvl w:ilvl="0" w:tplc="08090017">
      <w:start w:val="1"/>
      <w:numFmt w:val="lowerLetter"/>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AE670D"/>
    <w:multiLevelType w:val="hybridMultilevel"/>
    <w:tmpl w:val="43208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5326D9"/>
    <w:multiLevelType w:val="hybridMultilevel"/>
    <w:tmpl w:val="EC540F2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B278E6"/>
    <w:multiLevelType w:val="hybridMultilevel"/>
    <w:tmpl w:val="A258AC0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A6E7C81"/>
    <w:multiLevelType w:val="hybridMultilevel"/>
    <w:tmpl w:val="64D49344"/>
    <w:lvl w:ilvl="0" w:tplc="2EBA183E">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0F1D61"/>
    <w:multiLevelType w:val="hybridMultilevel"/>
    <w:tmpl w:val="8374725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AC00D8"/>
    <w:multiLevelType w:val="hybridMultilevel"/>
    <w:tmpl w:val="5CB05DD8"/>
    <w:lvl w:ilvl="0" w:tplc="DEF87106">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nsid w:val="604D3619"/>
    <w:multiLevelType w:val="hybridMultilevel"/>
    <w:tmpl w:val="B0D2EAB0"/>
    <w:lvl w:ilvl="0" w:tplc="C03C7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1514A8"/>
    <w:multiLevelType w:val="multilevel"/>
    <w:tmpl w:val="2DBA8D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8E15054"/>
    <w:multiLevelType w:val="hybridMultilevel"/>
    <w:tmpl w:val="E58A5AD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081ADC"/>
    <w:multiLevelType w:val="hybridMultilevel"/>
    <w:tmpl w:val="645A565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D628F3"/>
    <w:multiLevelType w:val="hybridMultilevel"/>
    <w:tmpl w:val="5830C0B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76301B"/>
    <w:multiLevelType w:val="multilevel"/>
    <w:tmpl w:val="7396D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712F78"/>
    <w:multiLevelType w:val="multilevel"/>
    <w:tmpl w:val="A6548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F1808FF"/>
    <w:multiLevelType w:val="hybridMultilevel"/>
    <w:tmpl w:val="AADE8AC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9"/>
  </w:num>
  <w:num w:numId="4">
    <w:abstractNumId w:val="6"/>
  </w:num>
  <w:num w:numId="5">
    <w:abstractNumId w:val="41"/>
  </w:num>
  <w:num w:numId="6">
    <w:abstractNumId w:val="16"/>
  </w:num>
  <w:num w:numId="7">
    <w:abstractNumId w:val="31"/>
  </w:num>
  <w:num w:numId="8">
    <w:abstractNumId w:val="24"/>
  </w:num>
  <w:num w:numId="9">
    <w:abstractNumId w:val="13"/>
  </w:num>
  <w:num w:numId="10">
    <w:abstractNumId w:val="35"/>
  </w:num>
  <w:num w:numId="11">
    <w:abstractNumId w:val="22"/>
  </w:num>
  <w:num w:numId="12">
    <w:abstractNumId w:val="7"/>
  </w:num>
  <w:num w:numId="13">
    <w:abstractNumId w:val="32"/>
  </w:num>
  <w:num w:numId="14">
    <w:abstractNumId w:val="7"/>
  </w:num>
  <w:num w:numId="15">
    <w:abstractNumId w:val="14"/>
  </w:num>
  <w:num w:numId="16">
    <w:abstractNumId w:val="1"/>
  </w:num>
  <w:num w:numId="17">
    <w:abstractNumId w:val="3"/>
  </w:num>
  <w:num w:numId="18">
    <w:abstractNumId w:val="40"/>
  </w:num>
  <w:num w:numId="19">
    <w:abstractNumId w:val="18"/>
  </w:num>
  <w:num w:numId="20">
    <w:abstractNumId w:val="28"/>
  </w:num>
  <w:num w:numId="21">
    <w:abstractNumId w:val="4"/>
  </w:num>
  <w:num w:numId="22">
    <w:abstractNumId w:val="26"/>
  </w:num>
  <w:num w:numId="23">
    <w:abstractNumId w:val="12"/>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5"/>
  </w:num>
  <w:num w:numId="28">
    <w:abstractNumId w:val="30"/>
  </w:num>
  <w:num w:numId="29">
    <w:abstractNumId w:val="20"/>
  </w:num>
  <w:num w:numId="30">
    <w:abstractNumId w:val="10"/>
  </w:num>
  <w:num w:numId="31">
    <w:abstractNumId w:val="43"/>
  </w:num>
  <w:num w:numId="32">
    <w:abstractNumId w:val="9"/>
  </w:num>
  <w:num w:numId="33">
    <w:abstractNumId w:val="33"/>
  </w:num>
  <w:num w:numId="34">
    <w:abstractNumId w:val="27"/>
  </w:num>
  <w:num w:numId="35">
    <w:abstractNumId w:val="2"/>
  </w:num>
  <w:num w:numId="36">
    <w:abstractNumId w:val="23"/>
  </w:num>
  <w:num w:numId="37">
    <w:abstractNumId w:val="15"/>
  </w:num>
  <w:num w:numId="38">
    <w:abstractNumId w:val="34"/>
  </w:num>
  <w:num w:numId="39">
    <w:abstractNumId w:val="25"/>
  </w:num>
  <w:num w:numId="40">
    <w:abstractNumId w:val="38"/>
  </w:num>
  <w:num w:numId="41">
    <w:abstractNumId w:val="8"/>
  </w:num>
  <w:num w:numId="42">
    <w:abstractNumId w:val="0"/>
  </w:num>
  <w:num w:numId="43">
    <w:abstractNumId w:val="37"/>
  </w:num>
  <w:num w:numId="44">
    <w:abstractNumId w:val="2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5"/>
    <w:rsid w:val="00013D97"/>
    <w:rsid w:val="00020A25"/>
    <w:rsid w:val="00030530"/>
    <w:rsid w:val="00031C70"/>
    <w:rsid w:val="0004373A"/>
    <w:rsid w:val="00062558"/>
    <w:rsid w:val="00071D43"/>
    <w:rsid w:val="000874E5"/>
    <w:rsid w:val="00090A37"/>
    <w:rsid w:val="0009176F"/>
    <w:rsid w:val="000B4D19"/>
    <w:rsid w:val="000E7327"/>
    <w:rsid w:val="00110270"/>
    <w:rsid w:val="001171B8"/>
    <w:rsid w:val="001312DF"/>
    <w:rsid w:val="00142DDE"/>
    <w:rsid w:val="001518A8"/>
    <w:rsid w:val="00161C31"/>
    <w:rsid w:val="00163E2F"/>
    <w:rsid w:val="001767A4"/>
    <w:rsid w:val="0019211E"/>
    <w:rsid w:val="001A1321"/>
    <w:rsid w:val="001A2B03"/>
    <w:rsid w:val="001A7FC6"/>
    <w:rsid w:val="001D0831"/>
    <w:rsid w:val="001D67FC"/>
    <w:rsid w:val="001D7AD7"/>
    <w:rsid w:val="001E4389"/>
    <w:rsid w:val="001E5D1A"/>
    <w:rsid w:val="001F0799"/>
    <w:rsid w:val="001F18F1"/>
    <w:rsid w:val="00203D40"/>
    <w:rsid w:val="00205387"/>
    <w:rsid w:val="002154CA"/>
    <w:rsid w:val="00217E6B"/>
    <w:rsid w:val="0022126C"/>
    <w:rsid w:val="00241F07"/>
    <w:rsid w:val="00276798"/>
    <w:rsid w:val="002856C7"/>
    <w:rsid w:val="002A04AE"/>
    <w:rsid w:val="002B0591"/>
    <w:rsid w:val="002C2EE4"/>
    <w:rsid w:val="002D4A0C"/>
    <w:rsid w:val="002E28D1"/>
    <w:rsid w:val="002E64B5"/>
    <w:rsid w:val="002E6B43"/>
    <w:rsid w:val="002F0383"/>
    <w:rsid w:val="002F3F2F"/>
    <w:rsid w:val="00305FB8"/>
    <w:rsid w:val="00314435"/>
    <w:rsid w:val="00315C0F"/>
    <w:rsid w:val="00320565"/>
    <w:rsid w:val="00320A52"/>
    <w:rsid w:val="003232A2"/>
    <w:rsid w:val="003259A8"/>
    <w:rsid w:val="0036154E"/>
    <w:rsid w:val="003650BA"/>
    <w:rsid w:val="003660F1"/>
    <w:rsid w:val="003731DE"/>
    <w:rsid w:val="003738B6"/>
    <w:rsid w:val="003A315A"/>
    <w:rsid w:val="003A4B8D"/>
    <w:rsid w:val="003C0D47"/>
    <w:rsid w:val="003C43FC"/>
    <w:rsid w:val="003C582E"/>
    <w:rsid w:val="003D3B37"/>
    <w:rsid w:val="003F4219"/>
    <w:rsid w:val="003F639B"/>
    <w:rsid w:val="00400A3D"/>
    <w:rsid w:val="0041358D"/>
    <w:rsid w:val="00417510"/>
    <w:rsid w:val="004424C8"/>
    <w:rsid w:val="00446AC9"/>
    <w:rsid w:val="00464409"/>
    <w:rsid w:val="00477BB3"/>
    <w:rsid w:val="00483E5C"/>
    <w:rsid w:val="00485CDA"/>
    <w:rsid w:val="0049138E"/>
    <w:rsid w:val="004A2406"/>
    <w:rsid w:val="004A623D"/>
    <w:rsid w:val="004C20FE"/>
    <w:rsid w:val="004C7173"/>
    <w:rsid w:val="004E743A"/>
    <w:rsid w:val="004F3A77"/>
    <w:rsid w:val="0050377B"/>
    <w:rsid w:val="00510903"/>
    <w:rsid w:val="0051752C"/>
    <w:rsid w:val="00523A33"/>
    <w:rsid w:val="005260B4"/>
    <w:rsid w:val="0053049C"/>
    <w:rsid w:val="0053395D"/>
    <w:rsid w:val="00535D81"/>
    <w:rsid w:val="00537608"/>
    <w:rsid w:val="00567F7D"/>
    <w:rsid w:val="0057408E"/>
    <w:rsid w:val="00584F10"/>
    <w:rsid w:val="005B7B5E"/>
    <w:rsid w:val="005C324F"/>
    <w:rsid w:val="005D2A9A"/>
    <w:rsid w:val="005D6DF3"/>
    <w:rsid w:val="005E6B61"/>
    <w:rsid w:val="005F0D53"/>
    <w:rsid w:val="005F57A6"/>
    <w:rsid w:val="00606EE7"/>
    <w:rsid w:val="0063582F"/>
    <w:rsid w:val="00640275"/>
    <w:rsid w:val="00643791"/>
    <w:rsid w:val="00643BEE"/>
    <w:rsid w:val="00677930"/>
    <w:rsid w:val="00690722"/>
    <w:rsid w:val="00693569"/>
    <w:rsid w:val="006A2BE2"/>
    <w:rsid w:val="006B6B15"/>
    <w:rsid w:val="006C5FAB"/>
    <w:rsid w:val="006D19E1"/>
    <w:rsid w:val="006D744A"/>
    <w:rsid w:val="006F67D6"/>
    <w:rsid w:val="006F6CBD"/>
    <w:rsid w:val="00716660"/>
    <w:rsid w:val="00725A1F"/>
    <w:rsid w:val="00730CC2"/>
    <w:rsid w:val="007312A2"/>
    <w:rsid w:val="00733F2A"/>
    <w:rsid w:val="00746B31"/>
    <w:rsid w:val="00761A2C"/>
    <w:rsid w:val="00765564"/>
    <w:rsid w:val="00773941"/>
    <w:rsid w:val="00773FD9"/>
    <w:rsid w:val="00780BF8"/>
    <w:rsid w:val="00780EFE"/>
    <w:rsid w:val="007872D0"/>
    <w:rsid w:val="00790CB0"/>
    <w:rsid w:val="007919EE"/>
    <w:rsid w:val="007B7583"/>
    <w:rsid w:val="007C0752"/>
    <w:rsid w:val="007C450A"/>
    <w:rsid w:val="007C53DA"/>
    <w:rsid w:val="007D157E"/>
    <w:rsid w:val="00804870"/>
    <w:rsid w:val="00806D4E"/>
    <w:rsid w:val="00813A44"/>
    <w:rsid w:val="00821E17"/>
    <w:rsid w:val="00821E60"/>
    <w:rsid w:val="00825528"/>
    <w:rsid w:val="00827A7F"/>
    <w:rsid w:val="00832406"/>
    <w:rsid w:val="00832E7E"/>
    <w:rsid w:val="0084110A"/>
    <w:rsid w:val="008705EC"/>
    <w:rsid w:val="008769B9"/>
    <w:rsid w:val="00880C0B"/>
    <w:rsid w:val="00883E0D"/>
    <w:rsid w:val="008A7B34"/>
    <w:rsid w:val="008B14BE"/>
    <w:rsid w:val="008B2581"/>
    <w:rsid w:val="008B2895"/>
    <w:rsid w:val="008B37BC"/>
    <w:rsid w:val="008C06F0"/>
    <w:rsid w:val="008C4C6D"/>
    <w:rsid w:val="008C6C92"/>
    <w:rsid w:val="008C7872"/>
    <w:rsid w:val="008D3D2E"/>
    <w:rsid w:val="008F2572"/>
    <w:rsid w:val="00905D3A"/>
    <w:rsid w:val="00913C21"/>
    <w:rsid w:val="00920BC3"/>
    <w:rsid w:val="009242D0"/>
    <w:rsid w:val="00930F85"/>
    <w:rsid w:val="00944794"/>
    <w:rsid w:val="0095081B"/>
    <w:rsid w:val="00951CA1"/>
    <w:rsid w:val="00962227"/>
    <w:rsid w:val="0096584E"/>
    <w:rsid w:val="00987E70"/>
    <w:rsid w:val="009A4FE4"/>
    <w:rsid w:val="009B61A5"/>
    <w:rsid w:val="009B6AAE"/>
    <w:rsid w:val="009C0760"/>
    <w:rsid w:val="009D2C82"/>
    <w:rsid w:val="009D5466"/>
    <w:rsid w:val="009E54F7"/>
    <w:rsid w:val="009E7ABF"/>
    <w:rsid w:val="009E7B44"/>
    <w:rsid w:val="009F7204"/>
    <w:rsid w:val="00A00FCF"/>
    <w:rsid w:val="00A14BD6"/>
    <w:rsid w:val="00A1556E"/>
    <w:rsid w:val="00A16B69"/>
    <w:rsid w:val="00A22B22"/>
    <w:rsid w:val="00A23C02"/>
    <w:rsid w:val="00A34CC5"/>
    <w:rsid w:val="00A40FB0"/>
    <w:rsid w:val="00A56606"/>
    <w:rsid w:val="00A60668"/>
    <w:rsid w:val="00A60B2D"/>
    <w:rsid w:val="00A616DE"/>
    <w:rsid w:val="00A670B1"/>
    <w:rsid w:val="00A83E56"/>
    <w:rsid w:val="00A92B90"/>
    <w:rsid w:val="00A93075"/>
    <w:rsid w:val="00A977A9"/>
    <w:rsid w:val="00AA4074"/>
    <w:rsid w:val="00AB2AF8"/>
    <w:rsid w:val="00AC2D63"/>
    <w:rsid w:val="00AC7600"/>
    <w:rsid w:val="00AE23F4"/>
    <w:rsid w:val="00AE6B63"/>
    <w:rsid w:val="00B166BD"/>
    <w:rsid w:val="00B2499F"/>
    <w:rsid w:val="00B425DC"/>
    <w:rsid w:val="00B47014"/>
    <w:rsid w:val="00B55CBA"/>
    <w:rsid w:val="00B6564F"/>
    <w:rsid w:val="00B6591E"/>
    <w:rsid w:val="00B72373"/>
    <w:rsid w:val="00B737F0"/>
    <w:rsid w:val="00B74B7A"/>
    <w:rsid w:val="00B75EFF"/>
    <w:rsid w:val="00BA57D3"/>
    <w:rsid w:val="00BA6BB6"/>
    <w:rsid w:val="00BB0AFF"/>
    <w:rsid w:val="00BB4A12"/>
    <w:rsid w:val="00BC50CC"/>
    <w:rsid w:val="00BD6830"/>
    <w:rsid w:val="00BD6B11"/>
    <w:rsid w:val="00BE7BE0"/>
    <w:rsid w:val="00BF7281"/>
    <w:rsid w:val="00C060A8"/>
    <w:rsid w:val="00C112F2"/>
    <w:rsid w:val="00C23D0C"/>
    <w:rsid w:val="00C36A3B"/>
    <w:rsid w:val="00C4496D"/>
    <w:rsid w:val="00C75497"/>
    <w:rsid w:val="00C76129"/>
    <w:rsid w:val="00C81294"/>
    <w:rsid w:val="00C87C10"/>
    <w:rsid w:val="00C91470"/>
    <w:rsid w:val="00C92CF3"/>
    <w:rsid w:val="00C93F2E"/>
    <w:rsid w:val="00CA6468"/>
    <w:rsid w:val="00CB38E2"/>
    <w:rsid w:val="00CC360A"/>
    <w:rsid w:val="00CC7876"/>
    <w:rsid w:val="00CD3CC5"/>
    <w:rsid w:val="00CD7646"/>
    <w:rsid w:val="00CE5166"/>
    <w:rsid w:val="00CF564D"/>
    <w:rsid w:val="00D02B44"/>
    <w:rsid w:val="00D10E06"/>
    <w:rsid w:val="00D1203F"/>
    <w:rsid w:val="00D14A53"/>
    <w:rsid w:val="00D16ADE"/>
    <w:rsid w:val="00D265FC"/>
    <w:rsid w:val="00D35CA6"/>
    <w:rsid w:val="00D36FBF"/>
    <w:rsid w:val="00D41053"/>
    <w:rsid w:val="00D463F7"/>
    <w:rsid w:val="00D46C1E"/>
    <w:rsid w:val="00D650D3"/>
    <w:rsid w:val="00D66A6C"/>
    <w:rsid w:val="00D67D85"/>
    <w:rsid w:val="00D7148C"/>
    <w:rsid w:val="00D726F0"/>
    <w:rsid w:val="00D73ADD"/>
    <w:rsid w:val="00D81853"/>
    <w:rsid w:val="00D92430"/>
    <w:rsid w:val="00D9289F"/>
    <w:rsid w:val="00D928BC"/>
    <w:rsid w:val="00D93C8E"/>
    <w:rsid w:val="00D93E09"/>
    <w:rsid w:val="00DA79C9"/>
    <w:rsid w:val="00DB3DBA"/>
    <w:rsid w:val="00DB621A"/>
    <w:rsid w:val="00DC07F5"/>
    <w:rsid w:val="00DC26BD"/>
    <w:rsid w:val="00DD187F"/>
    <w:rsid w:val="00DD1A95"/>
    <w:rsid w:val="00DD6583"/>
    <w:rsid w:val="00DE357F"/>
    <w:rsid w:val="00DF2192"/>
    <w:rsid w:val="00DF24B9"/>
    <w:rsid w:val="00DF4E95"/>
    <w:rsid w:val="00DF72E1"/>
    <w:rsid w:val="00E132C3"/>
    <w:rsid w:val="00E17A2A"/>
    <w:rsid w:val="00E20F5B"/>
    <w:rsid w:val="00E24FFC"/>
    <w:rsid w:val="00E3315E"/>
    <w:rsid w:val="00E36C33"/>
    <w:rsid w:val="00E52E23"/>
    <w:rsid w:val="00E52F1D"/>
    <w:rsid w:val="00E53215"/>
    <w:rsid w:val="00E55792"/>
    <w:rsid w:val="00E567A1"/>
    <w:rsid w:val="00E64777"/>
    <w:rsid w:val="00E7333B"/>
    <w:rsid w:val="00E77C67"/>
    <w:rsid w:val="00E85B9C"/>
    <w:rsid w:val="00E86518"/>
    <w:rsid w:val="00E95676"/>
    <w:rsid w:val="00ED0E37"/>
    <w:rsid w:val="00ED3EEC"/>
    <w:rsid w:val="00ED7F52"/>
    <w:rsid w:val="00EE1679"/>
    <w:rsid w:val="00EE3557"/>
    <w:rsid w:val="00EF2574"/>
    <w:rsid w:val="00F128A4"/>
    <w:rsid w:val="00F17C83"/>
    <w:rsid w:val="00F41729"/>
    <w:rsid w:val="00F5045A"/>
    <w:rsid w:val="00F778AE"/>
    <w:rsid w:val="00F827C6"/>
    <w:rsid w:val="00F86E19"/>
    <w:rsid w:val="00F95A0C"/>
    <w:rsid w:val="00FA189D"/>
    <w:rsid w:val="00FA6D2A"/>
    <w:rsid w:val="00FA70D1"/>
    <w:rsid w:val="00FB194B"/>
    <w:rsid w:val="00FB6FFB"/>
    <w:rsid w:val="00FB7788"/>
    <w:rsid w:val="00FC1D54"/>
    <w:rsid w:val="00FC79F3"/>
    <w:rsid w:val="00FD35A2"/>
    <w:rsid w:val="00FD6274"/>
    <w:rsid w:val="00FF16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 w:type="character" w:styleId="CommentReference">
    <w:name w:val="annotation reference"/>
    <w:basedOn w:val="DefaultParagraphFont"/>
    <w:uiPriority w:val="99"/>
    <w:semiHidden/>
    <w:unhideWhenUsed/>
    <w:rsid w:val="00EE1679"/>
    <w:rPr>
      <w:sz w:val="16"/>
      <w:szCs w:val="16"/>
    </w:rPr>
  </w:style>
  <w:style w:type="paragraph" w:styleId="CommentText">
    <w:name w:val="annotation text"/>
    <w:basedOn w:val="Normal"/>
    <w:link w:val="CommentTextChar"/>
    <w:uiPriority w:val="99"/>
    <w:semiHidden/>
    <w:unhideWhenUsed/>
    <w:rsid w:val="00EE1679"/>
    <w:rPr>
      <w:sz w:val="20"/>
      <w:szCs w:val="20"/>
    </w:rPr>
  </w:style>
  <w:style w:type="character" w:customStyle="1" w:styleId="CommentTextChar">
    <w:name w:val="Comment Text Char"/>
    <w:basedOn w:val="DefaultParagraphFont"/>
    <w:link w:val="CommentText"/>
    <w:uiPriority w:val="99"/>
    <w:semiHidden/>
    <w:rsid w:val="00EE1679"/>
    <w:rPr>
      <w:sz w:val="20"/>
      <w:szCs w:val="20"/>
      <w:lang w:val="en-US"/>
    </w:rPr>
  </w:style>
  <w:style w:type="paragraph" w:styleId="CommentSubject">
    <w:name w:val="annotation subject"/>
    <w:basedOn w:val="CommentText"/>
    <w:next w:val="CommentText"/>
    <w:link w:val="CommentSubjectChar"/>
    <w:uiPriority w:val="99"/>
    <w:semiHidden/>
    <w:unhideWhenUsed/>
    <w:rsid w:val="00EE1679"/>
    <w:rPr>
      <w:b/>
      <w:bCs/>
    </w:rPr>
  </w:style>
  <w:style w:type="character" w:customStyle="1" w:styleId="CommentSubjectChar">
    <w:name w:val="Comment Subject Char"/>
    <w:basedOn w:val="CommentTextChar"/>
    <w:link w:val="CommentSubject"/>
    <w:uiPriority w:val="99"/>
    <w:semiHidden/>
    <w:rsid w:val="00EE1679"/>
    <w:rPr>
      <w:b/>
      <w:bCs/>
      <w:sz w:val="20"/>
      <w:szCs w:val="20"/>
      <w:lang w:val="en-US"/>
    </w:rPr>
  </w:style>
  <w:style w:type="paragraph" w:styleId="Revision">
    <w:name w:val="Revision"/>
    <w:hidden/>
    <w:uiPriority w:val="99"/>
    <w:semiHidden/>
    <w:rsid w:val="002D4A0C"/>
    <w:pPr>
      <w:spacing w:after="0" w:line="240" w:lineRule="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 w:type="character" w:styleId="CommentReference">
    <w:name w:val="annotation reference"/>
    <w:basedOn w:val="DefaultParagraphFont"/>
    <w:uiPriority w:val="99"/>
    <w:semiHidden/>
    <w:unhideWhenUsed/>
    <w:rsid w:val="00EE1679"/>
    <w:rPr>
      <w:sz w:val="16"/>
      <w:szCs w:val="16"/>
    </w:rPr>
  </w:style>
  <w:style w:type="paragraph" w:styleId="CommentText">
    <w:name w:val="annotation text"/>
    <w:basedOn w:val="Normal"/>
    <w:link w:val="CommentTextChar"/>
    <w:uiPriority w:val="99"/>
    <w:semiHidden/>
    <w:unhideWhenUsed/>
    <w:rsid w:val="00EE1679"/>
    <w:rPr>
      <w:sz w:val="20"/>
      <w:szCs w:val="20"/>
    </w:rPr>
  </w:style>
  <w:style w:type="character" w:customStyle="1" w:styleId="CommentTextChar">
    <w:name w:val="Comment Text Char"/>
    <w:basedOn w:val="DefaultParagraphFont"/>
    <w:link w:val="CommentText"/>
    <w:uiPriority w:val="99"/>
    <w:semiHidden/>
    <w:rsid w:val="00EE1679"/>
    <w:rPr>
      <w:sz w:val="20"/>
      <w:szCs w:val="20"/>
      <w:lang w:val="en-US"/>
    </w:rPr>
  </w:style>
  <w:style w:type="paragraph" w:styleId="CommentSubject">
    <w:name w:val="annotation subject"/>
    <w:basedOn w:val="CommentText"/>
    <w:next w:val="CommentText"/>
    <w:link w:val="CommentSubjectChar"/>
    <w:uiPriority w:val="99"/>
    <w:semiHidden/>
    <w:unhideWhenUsed/>
    <w:rsid w:val="00EE1679"/>
    <w:rPr>
      <w:b/>
      <w:bCs/>
    </w:rPr>
  </w:style>
  <w:style w:type="character" w:customStyle="1" w:styleId="CommentSubjectChar">
    <w:name w:val="Comment Subject Char"/>
    <w:basedOn w:val="CommentTextChar"/>
    <w:link w:val="CommentSubject"/>
    <w:uiPriority w:val="99"/>
    <w:semiHidden/>
    <w:rsid w:val="00EE1679"/>
    <w:rPr>
      <w:b/>
      <w:bCs/>
      <w:sz w:val="20"/>
      <w:szCs w:val="20"/>
      <w:lang w:val="en-US"/>
    </w:rPr>
  </w:style>
  <w:style w:type="paragraph" w:styleId="Revision">
    <w:name w:val="Revision"/>
    <w:hidden/>
    <w:uiPriority w:val="99"/>
    <w:semiHidden/>
    <w:rsid w:val="002D4A0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6389">
      <w:bodyDiv w:val="1"/>
      <w:marLeft w:val="0"/>
      <w:marRight w:val="0"/>
      <w:marTop w:val="0"/>
      <w:marBottom w:val="0"/>
      <w:divBdr>
        <w:top w:val="none" w:sz="0" w:space="0" w:color="auto"/>
        <w:left w:val="none" w:sz="0" w:space="0" w:color="auto"/>
        <w:bottom w:val="none" w:sz="0" w:space="0" w:color="auto"/>
        <w:right w:val="none" w:sz="0" w:space="0" w:color="auto"/>
      </w:divBdr>
    </w:div>
    <w:div w:id="283656492">
      <w:bodyDiv w:val="1"/>
      <w:marLeft w:val="0"/>
      <w:marRight w:val="0"/>
      <w:marTop w:val="0"/>
      <w:marBottom w:val="0"/>
      <w:divBdr>
        <w:top w:val="none" w:sz="0" w:space="0" w:color="auto"/>
        <w:left w:val="none" w:sz="0" w:space="0" w:color="auto"/>
        <w:bottom w:val="none" w:sz="0" w:space="0" w:color="auto"/>
        <w:right w:val="none" w:sz="0" w:space="0" w:color="auto"/>
      </w:divBdr>
    </w:div>
    <w:div w:id="751898532">
      <w:bodyDiv w:val="1"/>
      <w:marLeft w:val="0"/>
      <w:marRight w:val="0"/>
      <w:marTop w:val="0"/>
      <w:marBottom w:val="0"/>
      <w:divBdr>
        <w:top w:val="none" w:sz="0" w:space="0" w:color="auto"/>
        <w:left w:val="none" w:sz="0" w:space="0" w:color="auto"/>
        <w:bottom w:val="none" w:sz="0" w:space="0" w:color="auto"/>
        <w:right w:val="none" w:sz="0" w:space="0" w:color="auto"/>
      </w:divBdr>
    </w:div>
    <w:div w:id="1193424578">
      <w:bodyDiv w:val="1"/>
      <w:marLeft w:val="0"/>
      <w:marRight w:val="0"/>
      <w:marTop w:val="0"/>
      <w:marBottom w:val="0"/>
      <w:divBdr>
        <w:top w:val="none" w:sz="0" w:space="0" w:color="auto"/>
        <w:left w:val="none" w:sz="0" w:space="0" w:color="auto"/>
        <w:bottom w:val="none" w:sz="0" w:space="0" w:color="auto"/>
        <w:right w:val="none" w:sz="0" w:space="0" w:color="auto"/>
      </w:divBdr>
    </w:div>
    <w:div w:id="1465082881">
      <w:bodyDiv w:val="1"/>
      <w:marLeft w:val="0"/>
      <w:marRight w:val="0"/>
      <w:marTop w:val="0"/>
      <w:marBottom w:val="0"/>
      <w:divBdr>
        <w:top w:val="none" w:sz="0" w:space="0" w:color="auto"/>
        <w:left w:val="none" w:sz="0" w:space="0" w:color="auto"/>
        <w:bottom w:val="none" w:sz="0" w:space="0" w:color="auto"/>
        <w:right w:val="none" w:sz="0" w:space="0" w:color="auto"/>
      </w:divBdr>
    </w:div>
    <w:div w:id="1765612091">
      <w:bodyDiv w:val="1"/>
      <w:marLeft w:val="0"/>
      <w:marRight w:val="0"/>
      <w:marTop w:val="0"/>
      <w:marBottom w:val="0"/>
      <w:divBdr>
        <w:top w:val="none" w:sz="0" w:space="0" w:color="auto"/>
        <w:left w:val="none" w:sz="0" w:space="0" w:color="auto"/>
        <w:bottom w:val="none" w:sz="0" w:space="0" w:color="auto"/>
        <w:right w:val="none" w:sz="0" w:space="0" w:color="auto"/>
      </w:divBdr>
    </w:div>
    <w:div w:id="17743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eltercluster.org/response/nepal-earthquake-201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DCD3-8B45-42CC-AE0C-FB5F3927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Coelho Lemos</dc:creator>
  <cp:lastModifiedBy>Shirin NARYMBAEVA</cp:lastModifiedBy>
  <cp:revision>2</cp:revision>
  <cp:lastPrinted>2013-03-26T13:18:00Z</cp:lastPrinted>
  <dcterms:created xsi:type="dcterms:W3CDTF">2015-06-01T08:38:00Z</dcterms:created>
  <dcterms:modified xsi:type="dcterms:W3CDTF">2015-06-01T08:38:00Z</dcterms:modified>
</cp:coreProperties>
</file>