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FD" w:rsidRPr="00A8369C" w:rsidRDefault="00277BFD" w:rsidP="00277BFD">
      <w:pPr>
        <w:jc w:val="center"/>
        <w:rPr>
          <w:b/>
          <w:bCs/>
        </w:rPr>
      </w:pPr>
      <w:r w:rsidRPr="00A8369C">
        <w:rPr>
          <w:b/>
          <w:bCs/>
        </w:rPr>
        <w:t>Typhoon Haiyan</w:t>
      </w:r>
    </w:p>
    <w:p w:rsidR="00277BFD" w:rsidRDefault="00277BFD" w:rsidP="00277BFD">
      <w:pPr>
        <w:jc w:val="center"/>
        <w:rPr>
          <w:b/>
          <w:bCs/>
        </w:rPr>
      </w:pPr>
      <w:r w:rsidRPr="00A8369C">
        <w:rPr>
          <w:b/>
          <w:bCs/>
        </w:rPr>
        <w:t>Shelter</w:t>
      </w:r>
      <w:r>
        <w:rPr>
          <w:b/>
          <w:bCs/>
        </w:rPr>
        <w:t xml:space="preserve"> and CCCM Combined</w:t>
      </w:r>
      <w:r w:rsidRPr="00A8369C">
        <w:rPr>
          <w:b/>
          <w:bCs/>
        </w:rPr>
        <w:t xml:space="preserve"> Cluster Meeting</w:t>
      </w:r>
      <w:r>
        <w:rPr>
          <w:b/>
          <w:bCs/>
        </w:rPr>
        <w:t xml:space="preserve"> Minutes</w:t>
      </w:r>
    </w:p>
    <w:p w:rsidR="00277BFD" w:rsidRDefault="00277BFD" w:rsidP="00277BFD">
      <w:pPr>
        <w:jc w:val="center"/>
        <w:rPr>
          <w:b/>
          <w:bCs/>
        </w:rPr>
      </w:pPr>
      <w:r>
        <w:rPr>
          <w:b/>
          <w:bCs/>
        </w:rPr>
        <w:t>Tacloban Co-ordination Hub</w:t>
      </w:r>
    </w:p>
    <w:p w:rsidR="00277BFD" w:rsidRPr="00A8369C" w:rsidRDefault="00277BFD" w:rsidP="00277BFD">
      <w:pPr>
        <w:jc w:val="center"/>
        <w:rPr>
          <w:b/>
          <w:bCs/>
        </w:rPr>
      </w:pPr>
      <w:r>
        <w:rPr>
          <w:b/>
          <w:bCs/>
        </w:rPr>
        <w:t>2</w:t>
      </w:r>
      <w:r w:rsidR="00BE12B4">
        <w:rPr>
          <w:b/>
          <w:bCs/>
        </w:rPr>
        <w:t>2nd</w:t>
      </w:r>
      <w:r>
        <w:rPr>
          <w:b/>
          <w:bCs/>
        </w:rPr>
        <w:t xml:space="preserve"> Nov</w:t>
      </w:r>
    </w:p>
    <w:p w:rsidR="00277BFD" w:rsidRDefault="00277BFD" w:rsidP="00277BFD">
      <w:r w:rsidRPr="003C5F3A">
        <w:rPr>
          <w:b/>
        </w:rPr>
        <w:t>Hub:</w:t>
      </w:r>
      <w:r>
        <w:t xml:space="preserve"> Tacloban - Overall focus of the meeting was on shelter in region 8, and CCCM in Tacloban city.</w:t>
      </w:r>
    </w:p>
    <w:p w:rsidR="00277BFD" w:rsidRDefault="00277BFD" w:rsidP="00277BFD">
      <w:r w:rsidRPr="00CF65F0">
        <w:rPr>
          <w:b/>
          <w:bCs/>
        </w:rPr>
        <w:t>Chaired</w:t>
      </w:r>
      <w:r>
        <w:t xml:space="preserve">: DSWD/Shelter Cluster Co-ordination (IFRC) / CCCM Coordination (IOM)  </w:t>
      </w:r>
    </w:p>
    <w:p w:rsidR="003C5F3A" w:rsidRDefault="003C5F3A" w:rsidP="003C5F3A">
      <w:r w:rsidRPr="003C5F3A">
        <w:rPr>
          <w:b/>
        </w:rPr>
        <w:t>Hub:</w:t>
      </w:r>
      <w:r>
        <w:t xml:space="preserve"> Tacloban - Overall focus of the meeting was on shelter in district 8.</w:t>
      </w:r>
    </w:p>
    <w:p w:rsidR="00CF65F0" w:rsidRDefault="00CF65F0" w:rsidP="00CF65F0">
      <w:r w:rsidRPr="00CF65F0">
        <w:rPr>
          <w:b/>
          <w:bCs/>
        </w:rPr>
        <w:t>Chaired</w:t>
      </w:r>
      <w:r>
        <w:t>: DSWD/Shelter Cluster</w:t>
      </w:r>
      <w:r w:rsidR="004C7CE8">
        <w:t>/CCCM Cluster</w:t>
      </w:r>
    </w:p>
    <w:p w:rsidR="003C5F3A" w:rsidRDefault="00CF65F0" w:rsidP="00CF65F0">
      <w:r w:rsidRPr="00CF65F0">
        <w:rPr>
          <w:b/>
          <w:bCs/>
        </w:rPr>
        <w:t>Attended</w:t>
      </w:r>
      <w:r>
        <w:t>:  UNDAC,</w:t>
      </w:r>
      <w:r w:rsidR="00992B42">
        <w:t xml:space="preserve"> OCHA,</w:t>
      </w:r>
      <w:r>
        <w:t xml:space="preserve"> Save </w:t>
      </w:r>
      <w:r w:rsidRPr="00CF65F0">
        <w:t xml:space="preserve">the </w:t>
      </w:r>
      <w:r>
        <w:t>C</w:t>
      </w:r>
      <w:r w:rsidRPr="00CF65F0">
        <w:t>hildren</w:t>
      </w:r>
      <w:r>
        <w:t>,</w:t>
      </w:r>
      <w:r w:rsidR="004C7CE8">
        <w:t xml:space="preserve"> Goal, UNHCR, Plan International, Unicef, People in Need, </w:t>
      </w:r>
      <w:r>
        <w:t>A</w:t>
      </w:r>
      <w:r w:rsidRPr="00CF65F0">
        <w:t>cted,</w:t>
      </w:r>
      <w:r w:rsidR="004C7CE8">
        <w:t xml:space="preserve"> Oxfam, Samaritan</w:t>
      </w:r>
      <w:r w:rsidR="00321422">
        <w:t xml:space="preserve"> Purse</w:t>
      </w:r>
      <w:r w:rsidR="004C7CE8">
        <w:t xml:space="preserve">, </w:t>
      </w:r>
      <w:r w:rsidR="00A255AE">
        <w:t xml:space="preserve">Medair, WFP, Eastern Visayas Network, </w:t>
      </w:r>
      <w:r>
        <w:t>IOM</w:t>
      </w:r>
      <w:r w:rsidR="00321422">
        <w:t>, Intersos, World Vision, USAID</w:t>
      </w:r>
    </w:p>
    <w:p w:rsidR="004F0B56" w:rsidRDefault="004F0B56" w:rsidP="005D1AE2">
      <w:pPr>
        <w:pStyle w:val="Heading2"/>
      </w:pPr>
    </w:p>
    <w:p w:rsidR="00321422" w:rsidRDefault="00321422" w:rsidP="00321422">
      <w:pPr>
        <w:pStyle w:val="Heading2"/>
      </w:pPr>
      <w:r>
        <w:t>GAPS and OVERLAP</w:t>
      </w:r>
    </w:p>
    <w:p w:rsidR="00321422" w:rsidRPr="00321422" w:rsidRDefault="00321422" w:rsidP="00321422">
      <w:pPr>
        <w:rPr>
          <w:lang w:eastAsia="en-GB"/>
        </w:rPr>
      </w:pPr>
      <w:r>
        <w:rPr>
          <w:lang w:eastAsia="en-GB"/>
        </w:rPr>
        <w:t xml:space="preserve">For </w:t>
      </w:r>
      <w:r w:rsidRPr="00321422">
        <w:rPr>
          <w:i/>
          <w:lang w:eastAsia="en-GB"/>
        </w:rPr>
        <w:t>Tarpauline</w:t>
      </w:r>
      <w:r>
        <w:rPr>
          <w:lang w:eastAsia="en-GB"/>
        </w:rPr>
        <w:t xml:space="preserve"> only</w:t>
      </w:r>
    </w:p>
    <w:p w:rsidR="00321422" w:rsidRDefault="00321422" w:rsidP="00321422">
      <w:pPr>
        <w:pStyle w:val="ListParagraph"/>
        <w:numPr>
          <w:ilvl w:val="0"/>
          <w:numId w:val="48"/>
        </w:numPr>
        <w:rPr>
          <w:lang w:eastAsia="en-GB"/>
        </w:rPr>
      </w:pPr>
      <w:r>
        <w:rPr>
          <w:lang w:eastAsia="en-GB"/>
        </w:rPr>
        <w:t xml:space="preserve">Coverage (considering completed and planned by all actors) </w:t>
      </w:r>
      <w:r w:rsidR="00BC7D8E">
        <w:rPr>
          <w:lang w:eastAsia="en-GB"/>
        </w:rPr>
        <w:t xml:space="preserve">reletively </w:t>
      </w:r>
      <w:r>
        <w:rPr>
          <w:lang w:eastAsia="en-GB"/>
        </w:rPr>
        <w:t xml:space="preserve">good in Dulag, Mayorga, Tanauan Municipalities. </w:t>
      </w:r>
      <w:r w:rsidRPr="00BC7D8E">
        <w:rPr>
          <w:b/>
          <w:lang w:eastAsia="en-GB"/>
        </w:rPr>
        <w:t xml:space="preserve">Note this is only based on agencies </w:t>
      </w:r>
      <w:r w:rsidR="00BC7D8E" w:rsidRPr="00BC7D8E">
        <w:rPr>
          <w:b/>
          <w:lang w:eastAsia="en-GB"/>
        </w:rPr>
        <w:t>actually undertaking what they have indicated as planned</w:t>
      </w:r>
      <w:r w:rsidR="00BC7D8E">
        <w:rPr>
          <w:lang w:eastAsia="en-GB"/>
        </w:rPr>
        <w:t xml:space="preserve"> and at 1 tarp per household</w:t>
      </w:r>
    </w:p>
    <w:p w:rsidR="000414AD" w:rsidRDefault="00321422" w:rsidP="00321422">
      <w:pPr>
        <w:pStyle w:val="ListParagraph"/>
        <w:numPr>
          <w:ilvl w:val="0"/>
          <w:numId w:val="48"/>
        </w:numPr>
        <w:rPr>
          <w:lang w:eastAsia="en-GB"/>
        </w:rPr>
      </w:pPr>
      <w:r>
        <w:rPr>
          <w:lang w:eastAsia="en-GB"/>
        </w:rPr>
        <w:t xml:space="preserve">Significant gaps in </w:t>
      </w:r>
      <w:r w:rsidR="000414AD">
        <w:rPr>
          <w:lang w:eastAsia="en-GB"/>
        </w:rPr>
        <w:t xml:space="preserve">all other muncipalites especially: </w:t>
      </w:r>
    </w:p>
    <w:p w:rsidR="000414AD" w:rsidRDefault="000414AD" w:rsidP="000414AD">
      <w:pPr>
        <w:pStyle w:val="ListParagraph"/>
        <w:numPr>
          <w:ilvl w:val="1"/>
          <w:numId w:val="48"/>
        </w:numPr>
        <w:rPr>
          <w:lang w:eastAsia="en-GB"/>
        </w:rPr>
      </w:pPr>
      <w:r>
        <w:rPr>
          <w:lang w:eastAsia="en-GB"/>
        </w:rPr>
        <w:t>Marabut, Lawaan, Balangiga – but UNHCR and Acted now planning something here</w:t>
      </w:r>
    </w:p>
    <w:p w:rsidR="000414AD" w:rsidRDefault="000414AD" w:rsidP="000414AD">
      <w:pPr>
        <w:pStyle w:val="ListParagraph"/>
        <w:numPr>
          <w:ilvl w:val="1"/>
          <w:numId w:val="48"/>
        </w:numPr>
        <w:rPr>
          <w:lang w:eastAsia="en-GB"/>
        </w:rPr>
      </w:pPr>
      <w:r>
        <w:rPr>
          <w:lang w:eastAsia="en-GB"/>
        </w:rPr>
        <w:t>Javier</w:t>
      </w:r>
    </w:p>
    <w:p w:rsidR="00BC7D8E" w:rsidRDefault="000414AD" w:rsidP="000414AD">
      <w:pPr>
        <w:pStyle w:val="ListParagraph"/>
        <w:numPr>
          <w:ilvl w:val="1"/>
          <w:numId w:val="48"/>
        </w:numPr>
        <w:rPr>
          <w:lang w:eastAsia="en-GB"/>
        </w:rPr>
      </w:pPr>
      <w:r>
        <w:rPr>
          <w:lang w:eastAsia="en-GB"/>
        </w:rPr>
        <w:t>Buruan</w:t>
      </w:r>
      <w:r w:rsidR="000E0768">
        <w:rPr>
          <w:lang w:eastAsia="en-GB"/>
        </w:rPr>
        <w:t xml:space="preserve"> – Samiritans Purse now planning for tarps here as a result of this meeting</w:t>
      </w:r>
    </w:p>
    <w:p w:rsidR="00BC7D8E" w:rsidRDefault="00BC7D8E" w:rsidP="000414AD">
      <w:pPr>
        <w:pStyle w:val="ListParagraph"/>
        <w:numPr>
          <w:ilvl w:val="1"/>
          <w:numId w:val="48"/>
        </w:numPr>
        <w:rPr>
          <w:lang w:eastAsia="en-GB"/>
        </w:rPr>
      </w:pPr>
      <w:r>
        <w:rPr>
          <w:lang w:eastAsia="en-GB"/>
        </w:rPr>
        <w:t>Municpalities north of Tacloban</w:t>
      </w:r>
    </w:p>
    <w:p w:rsidR="00BC7D8E" w:rsidRDefault="00BC7D8E" w:rsidP="000414AD">
      <w:pPr>
        <w:pStyle w:val="ListParagraph"/>
        <w:numPr>
          <w:ilvl w:val="1"/>
          <w:numId w:val="48"/>
        </w:numPr>
        <w:rPr>
          <w:lang w:eastAsia="en-GB"/>
        </w:rPr>
      </w:pPr>
      <w:r>
        <w:rPr>
          <w:lang w:eastAsia="en-GB"/>
        </w:rPr>
        <w:t xml:space="preserve">Giporios, </w:t>
      </w:r>
    </w:p>
    <w:p w:rsidR="00BC7D8E" w:rsidRDefault="00BC7D8E" w:rsidP="000414AD">
      <w:pPr>
        <w:pStyle w:val="ListParagraph"/>
        <w:numPr>
          <w:ilvl w:val="1"/>
          <w:numId w:val="48"/>
        </w:numPr>
        <w:rPr>
          <w:lang w:eastAsia="en-GB"/>
        </w:rPr>
      </w:pPr>
      <w:r>
        <w:rPr>
          <w:lang w:eastAsia="en-GB"/>
        </w:rPr>
        <w:t>Salcedo</w:t>
      </w:r>
    </w:p>
    <w:p w:rsidR="00BC7D8E" w:rsidRDefault="00BC7D8E" w:rsidP="000E0768">
      <w:pPr>
        <w:pStyle w:val="ListParagraph"/>
        <w:numPr>
          <w:ilvl w:val="1"/>
          <w:numId w:val="48"/>
        </w:numPr>
        <w:rPr>
          <w:lang w:eastAsia="en-GB"/>
        </w:rPr>
      </w:pPr>
      <w:r>
        <w:rPr>
          <w:lang w:eastAsia="en-GB"/>
        </w:rPr>
        <w:t>Julita</w:t>
      </w:r>
      <w:r w:rsidR="000E0768">
        <w:rPr>
          <w:lang w:eastAsia="en-GB"/>
        </w:rPr>
        <w:t xml:space="preserve"> - – Samiritans Purse now planning for tarps here as a result of this meeting</w:t>
      </w:r>
    </w:p>
    <w:p w:rsidR="00BC7D8E" w:rsidRDefault="00BC7D8E" w:rsidP="000414AD">
      <w:pPr>
        <w:pStyle w:val="ListParagraph"/>
        <w:numPr>
          <w:ilvl w:val="1"/>
          <w:numId w:val="48"/>
        </w:numPr>
        <w:rPr>
          <w:lang w:eastAsia="en-GB"/>
        </w:rPr>
      </w:pPr>
      <w:r>
        <w:rPr>
          <w:lang w:eastAsia="en-GB"/>
        </w:rPr>
        <w:t>La Paz</w:t>
      </w:r>
    </w:p>
    <w:p w:rsidR="000E0768" w:rsidRDefault="000E0768" w:rsidP="000414AD">
      <w:pPr>
        <w:pStyle w:val="ListParagraph"/>
        <w:numPr>
          <w:ilvl w:val="1"/>
          <w:numId w:val="48"/>
        </w:numPr>
        <w:rPr>
          <w:lang w:eastAsia="en-GB"/>
        </w:rPr>
      </w:pPr>
      <w:r>
        <w:rPr>
          <w:lang w:eastAsia="en-GB"/>
        </w:rPr>
        <w:t>Babatngnon – Samiritans Purse now aiming for tarps here.</w:t>
      </w:r>
    </w:p>
    <w:p w:rsidR="00321422" w:rsidRDefault="00BC7D8E" w:rsidP="00BC7D8E">
      <w:pPr>
        <w:rPr>
          <w:lang w:eastAsia="en-GB"/>
        </w:rPr>
      </w:pPr>
      <w:r>
        <w:rPr>
          <w:lang w:eastAsia="en-GB"/>
        </w:rPr>
        <w:t xml:space="preserve"> </w:t>
      </w:r>
      <w:r w:rsidR="000414AD">
        <w:rPr>
          <w:lang w:eastAsia="en-GB"/>
        </w:rPr>
        <w:t xml:space="preserve"> </w:t>
      </w:r>
    </w:p>
    <w:p w:rsidR="00BC7D8E" w:rsidRDefault="00BC7D8E" w:rsidP="00BC7D8E">
      <w:pPr>
        <w:rPr>
          <w:lang w:eastAsia="en-GB"/>
        </w:rPr>
      </w:pPr>
      <w:r>
        <w:rPr>
          <w:lang w:eastAsia="en-GB"/>
        </w:rPr>
        <w:t xml:space="preserve">For </w:t>
      </w:r>
      <w:r w:rsidRPr="00BC7D8E">
        <w:rPr>
          <w:i/>
          <w:lang w:eastAsia="en-GB"/>
        </w:rPr>
        <w:t>Household Repair Kits + conditional Cash</w:t>
      </w:r>
      <w:r>
        <w:rPr>
          <w:lang w:eastAsia="en-GB"/>
        </w:rPr>
        <w:t xml:space="preserve"> – none started, but many actors are planning this for the next stage</w:t>
      </w:r>
    </w:p>
    <w:p w:rsidR="00BC7D8E" w:rsidRDefault="00BC7D8E" w:rsidP="00BC7D8E">
      <w:pPr>
        <w:rPr>
          <w:lang w:eastAsia="en-GB"/>
        </w:rPr>
      </w:pPr>
    </w:p>
    <w:p w:rsidR="00BC7D8E" w:rsidRDefault="00BC7D8E" w:rsidP="00BC7D8E">
      <w:pPr>
        <w:rPr>
          <w:lang w:eastAsia="en-GB"/>
        </w:rPr>
      </w:pPr>
      <w:proofErr w:type="gramStart"/>
      <w:r>
        <w:rPr>
          <w:lang w:eastAsia="en-GB"/>
        </w:rPr>
        <w:t xml:space="preserve">For </w:t>
      </w:r>
      <w:r w:rsidRPr="00BC7D8E">
        <w:rPr>
          <w:i/>
          <w:lang w:eastAsia="en-GB"/>
        </w:rPr>
        <w:t>Assistance to Host familes</w:t>
      </w:r>
      <w:r>
        <w:rPr>
          <w:lang w:eastAsia="en-GB"/>
        </w:rPr>
        <w:t xml:space="preserve"> – Only IOM working to assist.</w:t>
      </w:r>
      <w:proofErr w:type="gramEnd"/>
      <w:r>
        <w:rPr>
          <w:lang w:eastAsia="en-GB"/>
        </w:rPr>
        <w:t xml:space="preserve"> </w:t>
      </w:r>
      <w:proofErr w:type="gramStart"/>
      <w:r>
        <w:rPr>
          <w:lang w:eastAsia="en-GB"/>
        </w:rPr>
        <w:t>Only in Tacloban.</w:t>
      </w:r>
      <w:proofErr w:type="gramEnd"/>
    </w:p>
    <w:p w:rsidR="00BC7D8E" w:rsidRDefault="00BC7D8E" w:rsidP="00BC7D8E">
      <w:pPr>
        <w:rPr>
          <w:lang w:eastAsia="en-GB"/>
        </w:rPr>
      </w:pPr>
    </w:p>
    <w:p w:rsidR="00BC7D8E" w:rsidRPr="00321422" w:rsidRDefault="00BC7D8E" w:rsidP="00BC7D8E">
      <w:pPr>
        <w:rPr>
          <w:lang w:eastAsia="en-GB"/>
        </w:rPr>
      </w:pPr>
      <w:r>
        <w:rPr>
          <w:lang w:eastAsia="en-GB"/>
        </w:rPr>
        <w:t xml:space="preserve">For </w:t>
      </w:r>
      <w:r w:rsidRPr="00BC7D8E">
        <w:rPr>
          <w:i/>
          <w:lang w:eastAsia="en-GB"/>
        </w:rPr>
        <w:t xml:space="preserve">Engagement with </w:t>
      </w:r>
      <w:r>
        <w:rPr>
          <w:i/>
          <w:lang w:eastAsia="en-GB"/>
        </w:rPr>
        <w:t xml:space="preserve">Private section especially Construction </w:t>
      </w:r>
      <w:r w:rsidRPr="00BC7D8E">
        <w:rPr>
          <w:i/>
          <w:lang w:eastAsia="en-GB"/>
        </w:rPr>
        <w:t>Contractors</w:t>
      </w:r>
      <w:r>
        <w:rPr>
          <w:lang w:eastAsia="en-GB"/>
        </w:rPr>
        <w:t xml:space="preserve"> to assist with repair of Schools, and other significant structures such as municiple buildings – issued raised by Brett of WVI. David Dalgado to try to contact Tacloban chamber of commerce via </w:t>
      </w:r>
      <w:proofErr w:type="gramStart"/>
      <w:r>
        <w:rPr>
          <w:lang w:eastAsia="en-GB"/>
        </w:rPr>
        <w:t>mayors</w:t>
      </w:r>
      <w:proofErr w:type="gramEnd"/>
      <w:r>
        <w:rPr>
          <w:lang w:eastAsia="en-GB"/>
        </w:rPr>
        <w:t xml:space="preserve"> office.</w:t>
      </w:r>
    </w:p>
    <w:p w:rsidR="00321422" w:rsidRDefault="00321422" w:rsidP="005D1AE2">
      <w:pPr>
        <w:pStyle w:val="Heading2"/>
      </w:pPr>
    </w:p>
    <w:p w:rsidR="003C5F3A" w:rsidRPr="00277BFD" w:rsidRDefault="00772E91" w:rsidP="005D1AE2">
      <w:pPr>
        <w:pStyle w:val="Heading2"/>
      </w:pPr>
      <w:r>
        <w:t>DSWD</w:t>
      </w:r>
      <w:r w:rsidR="0061136B" w:rsidRPr="00277BFD">
        <w:t xml:space="preserve"> and </w:t>
      </w:r>
      <w:r w:rsidR="00B004E3" w:rsidRPr="00277BFD">
        <w:t>OCHA update</w:t>
      </w:r>
    </w:p>
    <w:p w:rsidR="00321422" w:rsidRDefault="00992B42" w:rsidP="00321422">
      <w:pPr>
        <w:pStyle w:val="ListParagraph"/>
        <w:numPr>
          <w:ilvl w:val="0"/>
          <w:numId w:val="45"/>
        </w:numPr>
        <w:rPr>
          <w:lang w:eastAsia="en-GB"/>
        </w:rPr>
      </w:pPr>
      <w:r w:rsidRPr="00277BFD">
        <w:rPr>
          <w:lang w:eastAsia="en-GB"/>
        </w:rPr>
        <w:t xml:space="preserve">MIRA </w:t>
      </w:r>
      <w:r w:rsidR="00321422">
        <w:rPr>
          <w:lang w:eastAsia="en-GB"/>
        </w:rPr>
        <w:t>completed. Workshop for 3 members per cluster tomorrow 9am OSOC tent area</w:t>
      </w:r>
    </w:p>
    <w:p w:rsidR="00772E91" w:rsidRDefault="00772E91" w:rsidP="00321422">
      <w:pPr>
        <w:pStyle w:val="ListParagraph"/>
        <w:numPr>
          <w:ilvl w:val="0"/>
          <w:numId w:val="45"/>
        </w:numPr>
        <w:rPr>
          <w:lang w:eastAsia="en-GB"/>
        </w:rPr>
      </w:pPr>
      <w:r>
        <w:rPr>
          <w:lang w:eastAsia="en-GB"/>
        </w:rPr>
        <w:t xml:space="preserve">DSWD has raised concern that people still require </w:t>
      </w:r>
    </w:p>
    <w:p w:rsidR="00772E91" w:rsidRDefault="00772E91" w:rsidP="00772E91">
      <w:pPr>
        <w:rPr>
          <w:lang w:eastAsia="en-GB"/>
        </w:rPr>
      </w:pPr>
    </w:p>
    <w:p w:rsidR="00321422" w:rsidRDefault="00321422" w:rsidP="00BC7D8E">
      <w:pPr>
        <w:pStyle w:val="ListParagraph"/>
        <w:ind w:left="405"/>
        <w:rPr>
          <w:lang w:eastAsia="en-GB"/>
        </w:rPr>
      </w:pPr>
    </w:p>
    <w:p w:rsidR="00277BFD" w:rsidRDefault="00277BFD" w:rsidP="00277BFD">
      <w:pPr>
        <w:rPr>
          <w:lang w:eastAsia="en-GB"/>
        </w:rPr>
      </w:pPr>
    </w:p>
    <w:p w:rsidR="00277BFD" w:rsidRDefault="00277BFD" w:rsidP="00277BFD">
      <w:pPr>
        <w:pStyle w:val="Heading2"/>
      </w:pPr>
      <w:r>
        <w:t xml:space="preserve">Shelter Cluster </w:t>
      </w:r>
      <w:r w:rsidR="000F1941">
        <w:t xml:space="preserve">Detailed </w:t>
      </w:r>
      <w:r>
        <w:t>Assessment</w:t>
      </w:r>
    </w:p>
    <w:p w:rsidR="00277BFD" w:rsidRDefault="00277BFD" w:rsidP="00277BFD">
      <w:pPr>
        <w:pStyle w:val="ListParagraph"/>
        <w:numPr>
          <w:ilvl w:val="0"/>
          <w:numId w:val="45"/>
        </w:numPr>
        <w:rPr>
          <w:lang w:eastAsia="en-GB"/>
        </w:rPr>
      </w:pPr>
      <w:r>
        <w:rPr>
          <w:lang w:eastAsia="en-GB"/>
        </w:rPr>
        <w:t>Working group to be formed around ACTED for detailed Shelter Cluster Assessment to start after MIRA completes</w:t>
      </w:r>
      <w:r w:rsidR="000F1941">
        <w:rPr>
          <w:lang w:eastAsia="en-GB"/>
        </w:rPr>
        <w:t>. This group will meet at noon 23</w:t>
      </w:r>
      <w:r w:rsidR="000F1941" w:rsidRPr="000F1941">
        <w:rPr>
          <w:vertAlign w:val="superscript"/>
          <w:lang w:eastAsia="en-GB"/>
        </w:rPr>
        <w:t>rd</w:t>
      </w:r>
      <w:r w:rsidR="000F1941">
        <w:rPr>
          <w:lang w:eastAsia="en-GB"/>
        </w:rPr>
        <w:t xml:space="preserve"> Nov 2013 (tomorrow).</w:t>
      </w:r>
    </w:p>
    <w:p w:rsidR="00277BFD" w:rsidRPr="00277BFD" w:rsidRDefault="00277BFD" w:rsidP="00277BFD">
      <w:pPr>
        <w:rPr>
          <w:lang w:eastAsia="en-GB"/>
        </w:rPr>
      </w:pPr>
    </w:p>
    <w:p w:rsidR="00AA7E23" w:rsidRPr="00277BFD" w:rsidRDefault="00AA7E23" w:rsidP="00AE7FBF">
      <w:pPr>
        <w:pStyle w:val="Heading2"/>
      </w:pPr>
    </w:p>
    <w:p w:rsidR="00277BFD" w:rsidRPr="00277BFD" w:rsidRDefault="00277BFD" w:rsidP="00277BFD">
      <w:pPr>
        <w:pStyle w:val="Heading2"/>
        <w:rPr>
          <w:b w:val="0"/>
        </w:rPr>
      </w:pPr>
      <w:r w:rsidRPr="00277BFD">
        <w:t xml:space="preserve">Bunkhouses and Temporary relocation sites around Tacloban: </w:t>
      </w:r>
    </w:p>
    <w:p w:rsidR="00277BFD" w:rsidRPr="00277BFD" w:rsidRDefault="00277BFD" w:rsidP="00277BFD">
      <w:pPr>
        <w:pStyle w:val="ListParagraph"/>
        <w:numPr>
          <w:ilvl w:val="0"/>
          <w:numId w:val="45"/>
        </w:numPr>
        <w:rPr>
          <w:lang w:eastAsia="en-GB"/>
        </w:rPr>
      </w:pPr>
      <w:r>
        <w:rPr>
          <w:lang w:eastAsia="en-GB"/>
        </w:rPr>
        <w:t>Agreed to have separate and smaller working group:</w:t>
      </w:r>
    </w:p>
    <w:p w:rsidR="00277BFD" w:rsidRDefault="00D4731C" w:rsidP="00277BFD">
      <w:pPr>
        <w:rPr>
          <w:lang w:eastAsia="en-GB"/>
        </w:rPr>
      </w:pPr>
      <w:r>
        <w:rPr>
          <w:lang w:eastAsia="en-GB"/>
        </w:rPr>
        <w:t xml:space="preserve">Key actions – </w:t>
      </w:r>
    </w:p>
    <w:p w:rsidR="00D4731C" w:rsidRDefault="00D4731C" w:rsidP="00277BFD">
      <w:pPr>
        <w:rPr>
          <w:lang w:eastAsia="en-GB"/>
        </w:rPr>
      </w:pPr>
      <w:r>
        <w:rPr>
          <w:lang w:eastAsia="en-GB"/>
        </w:rPr>
        <w:t xml:space="preserve">UNHCR to ask CHR to visit </w:t>
      </w:r>
      <w:proofErr w:type="gramStart"/>
      <w:r>
        <w:rPr>
          <w:lang w:eastAsia="en-GB"/>
        </w:rPr>
        <w:t>mayors</w:t>
      </w:r>
      <w:proofErr w:type="gramEnd"/>
      <w:r>
        <w:rPr>
          <w:lang w:eastAsia="en-GB"/>
        </w:rPr>
        <w:t xml:space="preserve"> office</w:t>
      </w:r>
    </w:p>
    <w:p w:rsidR="00D4731C" w:rsidRDefault="00D4731C" w:rsidP="00277BFD">
      <w:pPr>
        <w:rPr>
          <w:lang w:eastAsia="en-GB"/>
        </w:rPr>
      </w:pPr>
      <w:r>
        <w:rPr>
          <w:lang w:eastAsia="en-GB"/>
        </w:rPr>
        <w:t xml:space="preserve">Shelter Cluster Co-ord team to clarify with </w:t>
      </w:r>
      <w:proofErr w:type="gramStart"/>
      <w:r>
        <w:rPr>
          <w:lang w:eastAsia="en-GB"/>
        </w:rPr>
        <w:t>mayors</w:t>
      </w:r>
      <w:proofErr w:type="gramEnd"/>
      <w:r>
        <w:rPr>
          <w:lang w:eastAsia="en-GB"/>
        </w:rPr>
        <w:t xml:space="preserve"> office if Shelter Aid tents have ever been used before</w:t>
      </w:r>
    </w:p>
    <w:p w:rsidR="00D4731C" w:rsidRDefault="00D4731C" w:rsidP="00277BFD">
      <w:pPr>
        <w:rPr>
          <w:lang w:eastAsia="en-GB"/>
        </w:rPr>
      </w:pPr>
      <w:r>
        <w:rPr>
          <w:lang w:eastAsia="en-GB"/>
        </w:rPr>
        <w:t>IOM and Acted to work together to prioritise intention survey at evacuation centres</w:t>
      </w:r>
    </w:p>
    <w:p w:rsidR="004C4C17" w:rsidRDefault="004C4C17" w:rsidP="00277BFD">
      <w:pPr>
        <w:rPr>
          <w:lang w:eastAsia="en-GB"/>
        </w:rPr>
      </w:pPr>
      <w:r>
        <w:rPr>
          <w:lang w:eastAsia="en-GB"/>
        </w:rPr>
        <w:t>UNDP to be asked to assist with debris clearance related to these if required</w:t>
      </w:r>
    </w:p>
    <w:p w:rsidR="00D4731C" w:rsidRDefault="00D4731C" w:rsidP="00277BFD">
      <w:pPr>
        <w:rPr>
          <w:lang w:eastAsia="en-GB"/>
        </w:rPr>
      </w:pPr>
    </w:p>
    <w:p w:rsidR="00D4731C" w:rsidRPr="00277BFD" w:rsidRDefault="00D4731C" w:rsidP="00D4731C">
      <w:pPr>
        <w:pStyle w:val="Heading2"/>
        <w:rPr>
          <w:b w:val="0"/>
        </w:rPr>
      </w:pPr>
      <w:r>
        <w:t>House repair kit (CGI + package)</w:t>
      </w:r>
      <w:r w:rsidR="000F1941">
        <w:t xml:space="preserve"> Working Group</w:t>
      </w:r>
      <w:r w:rsidRPr="00277BFD">
        <w:t xml:space="preserve">: </w:t>
      </w:r>
    </w:p>
    <w:p w:rsidR="000F1941" w:rsidRDefault="000F1941" w:rsidP="00277BFD">
      <w:pPr>
        <w:rPr>
          <w:lang w:eastAsia="en-GB"/>
        </w:rPr>
      </w:pPr>
      <w:r>
        <w:rPr>
          <w:lang w:eastAsia="en-GB"/>
        </w:rPr>
        <w:t xml:space="preserve">Save, Medair, Acted, Samiritans Purse, IFRC, </w:t>
      </w:r>
      <w:proofErr w:type="gramStart"/>
      <w:r>
        <w:rPr>
          <w:lang w:eastAsia="en-GB"/>
        </w:rPr>
        <w:t>Plan  (</w:t>
      </w:r>
      <w:proofErr w:type="gramEnd"/>
      <w:r>
        <w:rPr>
          <w:lang w:eastAsia="en-GB"/>
        </w:rPr>
        <w:t xml:space="preserve">with some input from CRS via. Save, Goal via Shelter Cluster Co-ordination team) have met to look at house repair kit list, cost, </w:t>
      </w:r>
      <w:proofErr w:type="gramStart"/>
      <w:r>
        <w:rPr>
          <w:lang w:eastAsia="en-GB"/>
        </w:rPr>
        <w:t>spec</w:t>
      </w:r>
      <w:proofErr w:type="gramEnd"/>
      <w:r>
        <w:rPr>
          <w:lang w:eastAsia="en-GB"/>
        </w:rPr>
        <w:t>.</w:t>
      </w:r>
    </w:p>
    <w:p w:rsidR="000F1941" w:rsidRDefault="000F1941" w:rsidP="00277BFD">
      <w:pPr>
        <w:rPr>
          <w:lang w:eastAsia="en-GB"/>
        </w:rPr>
      </w:pPr>
      <w:r>
        <w:rPr>
          <w:lang w:eastAsia="en-GB"/>
        </w:rPr>
        <w:t xml:space="preserve">Some talk about combined procurement, rough estimate that between 750,000 to 1.5 million CGI sheets will be needed by the agencies </w:t>
      </w:r>
      <w:proofErr w:type="gramStart"/>
      <w:r>
        <w:rPr>
          <w:lang w:eastAsia="en-GB"/>
        </w:rPr>
        <w:t>who</w:t>
      </w:r>
      <w:proofErr w:type="gramEnd"/>
      <w:r>
        <w:rPr>
          <w:lang w:eastAsia="en-GB"/>
        </w:rPr>
        <w:t xml:space="preserve"> are planning to distribute these items (in the Municpalities co-ordinated by the Tacloban hub).</w:t>
      </w:r>
    </w:p>
    <w:p w:rsidR="004C4C17" w:rsidRDefault="004C4C17" w:rsidP="00277BFD">
      <w:pPr>
        <w:rPr>
          <w:lang w:eastAsia="en-GB"/>
        </w:rPr>
      </w:pPr>
    </w:p>
    <w:p w:rsidR="000F1941" w:rsidRDefault="000F1941" w:rsidP="00277BFD">
      <w:pPr>
        <w:rPr>
          <w:lang w:eastAsia="en-GB"/>
        </w:rPr>
      </w:pPr>
      <w:r>
        <w:rPr>
          <w:lang w:eastAsia="en-GB"/>
        </w:rPr>
        <w:t>Very draft summary list</w:t>
      </w:r>
      <w:r w:rsidR="004C4C17">
        <w:rPr>
          <w:lang w:eastAsia="en-GB"/>
        </w:rPr>
        <w:t xml:space="preserve"> still to be discussed and confirmed</w:t>
      </w:r>
      <w:r>
        <w:rPr>
          <w:lang w:eastAsia="en-GB"/>
        </w:rPr>
        <w:t>:</w:t>
      </w:r>
    </w:p>
    <w:tbl>
      <w:tblPr>
        <w:tblW w:w="5000" w:type="pct"/>
        <w:tblLook w:val="04A0"/>
      </w:tblPr>
      <w:tblGrid>
        <w:gridCol w:w="1600"/>
        <w:gridCol w:w="3442"/>
        <w:gridCol w:w="1008"/>
        <w:gridCol w:w="1179"/>
        <w:gridCol w:w="887"/>
        <w:gridCol w:w="1334"/>
        <w:gridCol w:w="830"/>
      </w:tblGrid>
      <w:tr w:rsidR="000F1941" w:rsidRPr="000F1941" w:rsidTr="000F1941">
        <w:trPr>
          <w:trHeight w:val="315"/>
        </w:trPr>
        <w:tc>
          <w:tcPr>
            <w:tcW w:w="668"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 </w:t>
            </w:r>
          </w:p>
        </w:tc>
        <w:tc>
          <w:tcPr>
            <w:tcW w:w="1694" w:type="pct"/>
            <w:tcBorders>
              <w:top w:val="single" w:sz="8" w:space="0" w:color="auto"/>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Description/Item</w:t>
            </w:r>
          </w:p>
        </w:tc>
        <w:tc>
          <w:tcPr>
            <w:tcW w:w="509" w:type="pct"/>
            <w:tcBorders>
              <w:top w:val="single" w:sz="8" w:space="0" w:color="auto"/>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center"/>
              <w:rPr>
                <w:rFonts w:ascii="Calibri" w:hAnsi="Calibri" w:cs="Times New Roman"/>
                <w:color w:val="000000"/>
                <w:lang w:eastAsia="en-GB"/>
              </w:rPr>
            </w:pPr>
            <w:r w:rsidRPr="000F1941">
              <w:rPr>
                <w:rFonts w:ascii="Calibri" w:hAnsi="Calibri" w:cs="Times New Roman"/>
                <w:color w:val="000000"/>
                <w:lang w:eastAsia="en-GB"/>
              </w:rPr>
              <w:t>Unit</w:t>
            </w:r>
          </w:p>
        </w:tc>
        <w:tc>
          <w:tcPr>
            <w:tcW w:w="593" w:type="pct"/>
            <w:tcBorders>
              <w:top w:val="single" w:sz="8" w:space="0" w:color="auto"/>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center"/>
              <w:rPr>
                <w:rFonts w:ascii="Calibri" w:hAnsi="Calibri" w:cs="Times New Roman"/>
                <w:color w:val="000000"/>
                <w:lang w:eastAsia="en-GB"/>
              </w:rPr>
            </w:pPr>
            <w:r w:rsidRPr="000F1941">
              <w:rPr>
                <w:rFonts w:ascii="Calibri" w:hAnsi="Calibri" w:cs="Times New Roman"/>
                <w:color w:val="000000"/>
                <w:lang w:eastAsia="en-GB"/>
              </w:rPr>
              <w:t>Unit Price [PHP]</w:t>
            </w:r>
          </w:p>
        </w:tc>
        <w:tc>
          <w:tcPr>
            <w:tcW w:w="451" w:type="pct"/>
            <w:tcBorders>
              <w:top w:val="single" w:sz="8" w:space="0" w:color="auto"/>
              <w:left w:val="nil"/>
              <w:bottom w:val="single" w:sz="8" w:space="0" w:color="auto"/>
              <w:right w:val="nil"/>
            </w:tcBorders>
            <w:shd w:val="clear" w:color="auto" w:fill="auto"/>
            <w:vAlign w:val="bottom"/>
            <w:hideMark/>
          </w:tcPr>
          <w:p w:rsidR="000F1941" w:rsidRPr="000F1941" w:rsidRDefault="000F1941" w:rsidP="000F1941">
            <w:pPr>
              <w:spacing w:after="0"/>
              <w:jc w:val="center"/>
              <w:rPr>
                <w:rFonts w:ascii="Calibri" w:hAnsi="Calibri" w:cs="Times New Roman"/>
                <w:color w:val="000000"/>
                <w:lang w:eastAsia="en-GB"/>
              </w:rPr>
            </w:pPr>
            <w:r w:rsidRPr="000F1941">
              <w:rPr>
                <w:rFonts w:ascii="Calibri" w:hAnsi="Calibri" w:cs="Times New Roman"/>
                <w:color w:val="000000"/>
                <w:lang w:eastAsia="en-GB"/>
              </w:rPr>
              <w:t>Qty / family</w:t>
            </w:r>
          </w:p>
        </w:tc>
        <w:tc>
          <w:tcPr>
            <w:tcW w:w="668"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jc w:val="center"/>
              <w:rPr>
                <w:rFonts w:ascii="Calibri" w:hAnsi="Calibri" w:cs="Times New Roman"/>
                <w:color w:val="000000"/>
                <w:lang w:eastAsia="en-GB"/>
              </w:rPr>
            </w:pPr>
            <w:r w:rsidRPr="000F1941">
              <w:rPr>
                <w:rFonts w:ascii="Calibri" w:hAnsi="Calibri" w:cs="Times New Roman"/>
                <w:color w:val="000000"/>
                <w:lang w:eastAsia="en-GB"/>
              </w:rPr>
              <w:t>Cost/Family [PHP]</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540"/>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Packaging</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Canvas Bag for Packing all but CGI sheets</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Piece</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60</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60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795"/>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000000" w:fill="FFFFFF"/>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 xml:space="preserve">CGI Sheet, lenth to be confirmed, </w:t>
            </w:r>
            <w:r w:rsidRPr="000F1941">
              <w:rPr>
                <w:rFonts w:ascii="Calibri" w:hAnsi="Calibri" w:cs="Times New Roman"/>
                <w:b/>
                <w:bCs/>
                <w:color w:val="000000"/>
                <w:lang w:eastAsia="en-GB"/>
              </w:rPr>
              <w:t>minimum 26 gage to international standards</w:t>
            </w:r>
            <w:r w:rsidRPr="000F1941">
              <w:rPr>
                <w:rFonts w:ascii="Calibri" w:hAnsi="Calibri" w:cs="Times New Roman"/>
                <w:color w:val="000000"/>
                <w:lang w:eastAsia="en-GB"/>
              </w:rPr>
              <w:t>, galvanized, painted</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Piece</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190</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20</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3800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540"/>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Nail (Umbrella), for roof sheets, twisted galvanised, 75mm + watertight washer</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Kg</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90</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3</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270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315"/>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Nail, iron, for wood, 75mm</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Kg</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65</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65</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315"/>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Nail, iron, for wood, 40mm</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Kg</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65</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65</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540"/>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 xml:space="preserve">Tie wire, galvanised, diam. </w:t>
            </w:r>
            <w:r w:rsidRPr="000F1941">
              <w:rPr>
                <w:rFonts w:ascii="Calibri" w:hAnsi="Calibri" w:cs="Times New Roman"/>
                <w:b/>
                <w:bCs/>
                <w:color w:val="000000"/>
                <w:lang w:eastAsia="en-GB"/>
              </w:rPr>
              <w:t>minimum 2.0 mm</w:t>
            </w:r>
            <w:r w:rsidRPr="000F1941">
              <w:rPr>
                <w:rFonts w:ascii="Calibri" w:hAnsi="Calibri" w:cs="Times New Roman"/>
                <w:color w:val="000000"/>
                <w:lang w:eastAsia="en-GB"/>
              </w:rPr>
              <w:t>, roll of 25m</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Roll</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120</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120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540"/>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Metal Strips, galvanized, 5cmX 30cm</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piece</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20</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10</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200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0F1941">
        <w:trPr>
          <w:trHeight w:val="540"/>
        </w:trPr>
        <w:tc>
          <w:tcPr>
            <w:tcW w:w="668" w:type="pct"/>
            <w:tcBorders>
              <w:top w:val="nil"/>
              <w:left w:val="single" w:sz="8" w:space="0" w:color="auto"/>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Material</w:t>
            </w:r>
          </w:p>
        </w:tc>
        <w:tc>
          <w:tcPr>
            <w:tcW w:w="1694"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 xml:space="preserve">Vulca seal or equivlent, can of 1 pint </w:t>
            </w:r>
            <w:r w:rsidRPr="000F1941">
              <w:rPr>
                <w:rFonts w:ascii="Calibri" w:hAnsi="Calibri" w:cs="Times New Roman"/>
                <w:b/>
                <w:bCs/>
                <w:color w:val="000000"/>
                <w:lang w:eastAsia="en-GB"/>
              </w:rPr>
              <w:t>(min. 500ml)</w:t>
            </w:r>
          </w:p>
        </w:tc>
        <w:tc>
          <w:tcPr>
            <w:tcW w:w="509"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rPr>
                <w:rFonts w:ascii="Calibri" w:hAnsi="Calibri" w:cs="Times New Roman"/>
                <w:color w:val="000000"/>
                <w:lang w:eastAsia="en-GB"/>
              </w:rPr>
            </w:pPr>
            <w:r w:rsidRPr="000F1941">
              <w:rPr>
                <w:rFonts w:ascii="Calibri" w:hAnsi="Calibri" w:cs="Times New Roman"/>
                <w:color w:val="000000"/>
                <w:lang w:eastAsia="en-GB"/>
              </w:rPr>
              <w:t>piece</w:t>
            </w:r>
          </w:p>
        </w:tc>
        <w:tc>
          <w:tcPr>
            <w:tcW w:w="593"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 </w:t>
            </w:r>
          </w:p>
        </w:tc>
        <w:tc>
          <w:tcPr>
            <w:tcW w:w="451" w:type="pct"/>
            <w:tcBorders>
              <w:top w:val="nil"/>
              <w:left w:val="nil"/>
              <w:bottom w:val="single" w:sz="8" w:space="0" w:color="auto"/>
              <w:right w:val="single" w:sz="8" w:space="0" w:color="auto"/>
            </w:tcBorders>
            <w:shd w:val="clear" w:color="auto" w:fill="auto"/>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10</w:t>
            </w:r>
          </w:p>
        </w:tc>
        <w:tc>
          <w:tcPr>
            <w:tcW w:w="668" w:type="pct"/>
            <w:tcBorders>
              <w:top w:val="nil"/>
              <w:left w:val="nil"/>
              <w:bottom w:val="single" w:sz="8"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nil"/>
              <w:left w:val="nil"/>
              <w:bottom w:val="single" w:sz="4" w:space="0" w:color="auto"/>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1694" w:type="pct"/>
            <w:tcBorders>
              <w:top w:val="nil"/>
              <w:left w:val="nil"/>
              <w:bottom w:val="single" w:sz="4" w:space="0" w:color="auto"/>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nil"/>
              <w:left w:val="nil"/>
              <w:bottom w:val="single" w:sz="4" w:space="0" w:color="auto"/>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nil"/>
              <w:left w:val="nil"/>
              <w:bottom w:val="single" w:sz="4" w:space="0" w:color="auto"/>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nil"/>
              <w:left w:val="nil"/>
              <w:bottom w:val="single" w:sz="4" w:space="0" w:color="auto"/>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Totals</w:t>
            </w:r>
          </w:p>
        </w:tc>
        <w:tc>
          <w:tcPr>
            <w:tcW w:w="668" w:type="pct"/>
            <w:tcBorders>
              <w:top w:val="nil"/>
              <w:left w:val="nil"/>
              <w:bottom w:val="single" w:sz="4" w:space="0" w:color="auto"/>
              <w:right w:val="single" w:sz="8"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lang w:eastAsia="en-GB"/>
              </w:rPr>
            </w:pPr>
            <w:r w:rsidRPr="000F1941">
              <w:rPr>
                <w:rFonts w:ascii="Calibri" w:hAnsi="Calibri" w:cs="Times New Roman"/>
                <w:color w:val="000000"/>
                <w:lang w:eastAsia="en-GB"/>
              </w:rPr>
              <w:t>4580</w:t>
            </w:r>
          </w:p>
        </w:tc>
        <w:tc>
          <w:tcPr>
            <w:tcW w:w="417" w:type="pct"/>
            <w:tcBorders>
              <w:top w:val="nil"/>
              <w:left w:val="nil"/>
              <w:bottom w:val="nil"/>
              <w:right w:val="nil"/>
            </w:tcBorders>
            <w:shd w:val="clear" w:color="auto" w:fill="auto"/>
            <w:noWrap/>
            <w:vAlign w:val="bottom"/>
            <w:hideMark/>
          </w:tcPr>
          <w:p w:rsidR="000F1941" w:rsidRPr="000F1941" w:rsidRDefault="000F1941" w:rsidP="000F1941">
            <w:pPr>
              <w:spacing w:after="0"/>
              <w:jc w:val="right"/>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107.76</w:t>
            </w:r>
          </w:p>
        </w:tc>
      </w:tr>
      <w:tr w:rsidR="000F1941" w:rsidRPr="000F1941" w:rsidTr="004C4C17">
        <w:trPr>
          <w:trHeight w:val="780"/>
        </w:trPr>
        <w:tc>
          <w:tcPr>
            <w:tcW w:w="6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F1941" w:rsidRPr="000F1941" w:rsidRDefault="000F1941" w:rsidP="000F1941">
            <w:pPr>
              <w:spacing w:after="0"/>
              <w:rPr>
                <w:rFonts w:ascii="Calibri" w:hAnsi="Calibri" w:cs="Times New Roman"/>
                <w:b/>
                <w:bCs/>
                <w:color w:val="000000"/>
                <w:lang w:eastAsia="en-GB"/>
              </w:rPr>
            </w:pPr>
            <w:r w:rsidRPr="000F1941">
              <w:rPr>
                <w:rFonts w:ascii="Calibri" w:hAnsi="Calibri" w:cs="Times New Roman"/>
                <w:b/>
                <w:bCs/>
                <w:color w:val="000000"/>
                <w:lang w:eastAsia="en-GB"/>
              </w:rPr>
              <w:t>Generally Agreed Spec. - For further discussion</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PHP</w:t>
            </w: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USD</w:t>
            </w: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Optional Tools</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For HH</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400 - 450 mm hand saw for timber</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1</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claw hammer</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1</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Tin snips</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jc w:val="right"/>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1</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For Community</w:t>
            </w:r>
          </w:p>
        </w:tc>
        <w:tc>
          <w:tcPr>
            <w:tcW w:w="22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Some spades, hoes, picks, wheelbarrow, level</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Optional Cash</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up to 4000 PHP</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for HH</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r w:rsidR="000F1941" w:rsidRPr="000F1941" w:rsidTr="004C4C17">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r w:rsidRPr="000F1941">
              <w:rPr>
                <w:rFonts w:ascii="Calibri" w:hAnsi="Calibri" w:cs="Times New Roman"/>
                <w:color w:val="000000"/>
                <w:sz w:val="22"/>
                <w:szCs w:val="22"/>
                <w:lang w:eastAsia="en-GB"/>
              </w:rPr>
              <w:t>per HH</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c>
          <w:tcPr>
            <w:tcW w:w="417" w:type="pct"/>
            <w:tcBorders>
              <w:top w:val="nil"/>
              <w:left w:val="single" w:sz="4" w:space="0" w:color="auto"/>
              <w:bottom w:val="nil"/>
              <w:right w:val="nil"/>
            </w:tcBorders>
            <w:shd w:val="clear" w:color="auto" w:fill="auto"/>
            <w:noWrap/>
            <w:vAlign w:val="bottom"/>
            <w:hideMark/>
          </w:tcPr>
          <w:p w:rsidR="000F1941" w:rsidRPr="000F1941" w:rsidRDefault="000F1941" w:rsidP="000F1941">
            <w:pPr>
              <w:spacing w:after="0"/>
              <w:rPr>
                <w:rFonts w:ascii="Calibri" w:hAnsi="Calibri" w:cs="Times New Roman"/>
                <w:color w:val="000000"/>
                <w:sz w:val="22"/>
                <w:szCs w:val="22"/>
                <w:lang w:eastAsia="en-GB"/>
              </w:rPr>
            </w:pPr>
          </w:p>
        </w:tc>
      </w:tr>
    </w:tbl>
    <w:p w:rsidR="000F1941" w:rsidRDefault="000F1941" w:rsidP="00277BFD">
      <w:pPr>
        <w:rPr>
          <w:lang w:eastAsia="en-GB"/>
        </w:rPr>
      </w:pPr>
    </w:p>
    <w:p w:rsidR="004C4C17" w:rsidRDefault="004C4C17" w:rsidP="004C4C17">
      <w:pPr>
        <w:pStyle w:val="ListParagraph"/>
        <w:numPr>
          <w:ilvl w:val="0"/>
          <w:numId w:val="45"/>
        </w:numPr>
        <w:rPr>
          <w:lang w:eastAsia="en-GB"/>
        </w:rPr>
      </w:pPr>
      <w:r>
        <w:rPr>
          <w:lang w:eastAsia="en-GB"/>
        </w:rPr>
        <w:t xml:space="preserve">Issue </w:t>
      </w:r>
      <w:proofErr w:type="gramStart"/>
      <w:r>
        <w:rPr>
          <w:lang w:eastAsia="en-GB"/>
        </w:rPr>
        <w:t>raised</w:t>
      </w:r>
      <w:proofErr w:type="gramEnd"/>
      <w:r>
        <w:rPr>
          <w:lang w:eastAsia="en-GB"/>
        </w:rPr>
        <w:t xml:space="preserve">. Can beneficiaries actually hammer through 26 guage International Standard CGI rather than 26 guage international </w:t>
      </w:r>
      <w:proofErr w:type="gramStart"/>
      <w:r>
        <w:rPr>
          <w:lang w:eastAsia="en-GB"/>
        </w:rPr>
        <w:t>standard</w:t>
      </w:r>
      <w:proofErr w:type="gramEnd"/>
      <w:r>
        <w:rPr>
          <w:lang w:eastAsia="en-GB"/>
        </w:rPr>
        <w:t xml:space="preserve"> CGI. David Dalgado trying to confirm with IOM who have international standard 26 guage sheets in Tacloban.</w:t>
      </w:r>
    </w:p>
    <w:p w:rsidR="000F1941" w:rsidRDefault="004C4C17" w:rsidP="004C4C17">
      <w:pPr>
        <w:pStyle w:val="ListParagraph"/>
        <w:numPr>
          <w:ilvl w:val="0"/>
          <w:numId w:val="45"/>
        </w:numPr>
        <w:rPr>
          <w:lang w:eastAsia="en-GB"/>
        </w:rPr>
      </w:pPr>
      <w:r>
        <w:rPr>
          <w:lang w:eastAsia="en-GB"/>
        </w:rPr>
        <w:t xml:space="preserve">Can anything be procured locally or will all need to be procured internationally. </w:t>
      </w:r>
    </w:p>
    <w:p w:rsidR="000F1941" w:rsidRDefault="000F1941" w:rsidP="00277BFD">
      <w:pPr>
        <w:rPr>
          <w:lang w:eastAsia="en-GB"/>
        </w:rPr>
      </w:pPr>
    </w:p>
    <w:p w:rsidR="004C4C17" w:rsidRPr="004C4C17" w:rsidRDefault="004C4C17" w:rsidP="004C4C17">
      <w:pPr>
        <w:pStyle w:val="Heading2"/>
      </w:pPr>
      <w:r w:rsidRPr="004C4C17">
        <w:t>Tents</w:t>
      </w:r>
    </w:p>
    <w:p w:rsidR="00D4731C" w:rsidRDefault="004C4C17" w:rsidP="00277BFD">
      <w:pPr>
        <w:rPr>
          <w:lang w:eastAsia="en-GB"/>
        </w:rPr>
      </w:pPr>
      <w:proofErr w:type="gramStart"/>
      <w:r>
        <w:rPr>
          <w:lang w:eastAsia="en-GB"/>
        </w:rPr>
        <w:t>Different people/agencies/government officals saying different things on whether tents are still required or not.</w:t>
      </w:r>
      <w:proofErr w:type="gramEnd"/>
      <w:r>
        <w:rPr>
          <w:lang w:eastAsia="en-GB"/>
        </w:rPr>
        <w:t xml:space="preserve"> </w:t>
      </w:r>
      <w:r w:rsidR="00D4731C">
        <w:rPr>
          <w:lang w:eastAsia="en-GB"/>
        </w:rPr>
        <w:t>Some concern that tents may not be appropriate ex</w:t>
      </w:r>
      <w:r>
        <w:rPr>
          <w:lang w:eastAsia="en-GB"/>
        </w:rPr>
        <w:t>cept for specific interventions, however some agencies reporting requests for tents, some reporting no need.</w:t>
      </w:r>
    </w:p>
    <w:p w:rsidR="00AE7FBF" w:rsidRDefault="00AE7FBF" w:rsidP="0061136B"/>
    <w:p w:rsidR="00D82454" w:rsidRPr="00FB7A59" w:rsidRDefault="00D82454" w:rsidP="00D82454">
      <w:pPr>
        <w:pStyle w:val="Heading2"/>
      </w:pPr>
      <w:r w:rsidRPr="00FB7A59">
        <w:t>DTM</w:t>
      </w:r>
    </w:p>
    <w:p w:rsidR="00D82454" w:rsidRDefault="00D82454" w:rsidP="00D82454">
      <w:r>
        <w:t>A DTM report has been produced (see attached) highlighting the large numbers of persons leaving typhoon affected areas through Tacloban airport and seaport, Baybay sea port and Ormoc. To better understand the relationship of this movement a short survey was carried out with 270 IDP households from the 3,199 identified by the DTM in various sites across Tacloban to map out separated families and intentions of migration and return. It revealed that only 18% are separated. Those that separated mentioned food security as trauma as the main reasons, and the relatives that left did so via the military flights.</w:t>
      </w:r>
    </w:p>
    <w:p w:rsidR="00D82454" w:rsidRDefault="00D82454" w:rsidP="00D82454">
      <w:bookmarkStart w:id="0" w:name="_GoBack"/>
      <w:bookmarkEnd w:id="0"/>
      <w:r>
        <w:t xml:space="preserve">Some figures reported: 18 IDP sites are located in schools, only 33% report having no form of management structure, 74% are located in publicly owned property, the majority of IPDs are living in rooms or classrooms, 31% in makeshift shelters and 2% in tents, the ratio of latrines is1 per 61 persons. </w:t>
      </w:r>
    </w:p>
    <w:p w:rsidR="00D82454" w:rsidRDefault="00D82454" w:rsidP="00D82454">
      <w:r>
        <w:t>As identified in cluster meetings no issues flagged in the DTM have been addressed so far, the DTM has set up info boards at the entrance of the Sites to display the major gaps per sector on that site.</w:t>
      </w:r>
    </w:p>
    <w:p w:rsidR="00D82454" w:rsidRDefault="00D82454" w:rsidP="00D82454">
      <w:r>
        <w:t>The DTM team will continue updating the DTM regularly until November 25</w:t>
      </w:r>
      <w:r w:rsidRPr="006139C3">
        <w:rPr>
          <w:vertAlign w:val="superscript"/>
        </w:rPr>
        <w:t>th</w:t>
      </w:r>
      <w:r>
        <w:t xml:space="preserve"> as the DSWD assumes its updating. </w:t>
      </w:r>
    </w:p>
    <w:p w:rsidR="00D82454" w:rsidRDefault="00D82454" w:rsidP="00D82454"/>
    <w:p w:rsidR="00D82454" w:rsidRDefault="00D82454" w:rsidP="00D82454">
      <w:pPr>
        <w:pStyle w:val="Heading2"/>
      </w:pPr>
      <w:r>
        <w:t>Migration Outflow Desk</w:t>
      </w:r>
    </w:p>
    <w:p w:rsidR="00D82454" w:rsidRDefault="00D82454" w:rsidP="00D82454">
      <w:r>
        <w:t xml:space="preserve">IOM and protection partners including UNHCR have set up since November 17 the Migration Outflow Desk (MOD) at Tacloban to screen for protection issues, trafficking in persons and other concerns. As of yesterday 1,051 persons were screened. 85% express the intention to live with family in final destination, 46% report no means of income at final destinations, </w:t>
      </w:r>
      <w:proofErr w:type="gramStart"/>
      <w:r>
        <w:t>70</w:t>
      </w:r>
      <w:proofErr w:type="gramEnd"/>
      <w:r>
        <w:t>% expressed the will to return to Leyte at some point in the future. Major destinations are Manil and the provinces of Cavite, Laguna, Bulacan and Rizal.</w:t>
      </w:r>
    </w:p>
    <w:p w:rsidR="00D82454" w:rsidRDefault="00D82454" w:rsidP="00D82454">
      <w:r>
        <w:t>Plans underway to expand the MOD at the port of Tacloban were vessels also transport persons out of Tacloban and in Ormoc as well.</w:t>
      </w:r>
    </w:p>
    <w:p w:rsidR="00D82454" w:rsidRDefault="00D82454" w:rsidP="00D82454">
      <w:pPr>
        <w:pStyle w:val="Heading2"/>
      </w:pPr>
    </w:p>
    <w:p w:rsidR="00D82454" w:rsidRDefault="00D82454" w:rsidP="00D82454">
      <w:pPr>
        <w:pStyle w:val="Heading2"/>
      </w:pPr>
      <w:r>
        <w:t>Facilitation of Return Assessments</w:t>
      </w:r>
    </w:p>
    <w:p w:rsidR="00D82454" w:rsidRDefault="00D82454" w:rsidP="00D82454">
      <w:pPr>
        <w:rPr>
          <w:lang w:eastAsia="en-GB"/>
        </w:rPr>
      </w:pPr>
      <w:r>
        <w:rPr>
          <w:lang w:eastAsia="en-GB"/>
        </w:rPr>
        <w:t>CCCM, Shelter and Early Recovery cluster partners are implementing a survey to map out households intentions of returning home, the level and type of assistance required. This will help design and provide assistance packages such as debris removal, cash for work, shelter repair kits, sheltering solutions among others, ultimately to determine the residual caseload that will require more targeted solutions.</w:t>
      </w:r>
    </w:p>
    <w:p w:rsidR="00D82454" w:rsidRDefault="00D82454" w:rsidP="00D82454">
      <w:pPr>
        <w:rPr>
          <w:lang w:eastAsia="en-GB"/>
        </w:rPr>
      </w:pPr>
    </w:p>
    <w:p w:rsidR="00D82454" w:rsidRPr="009138A8" w:rsidRDefault="00D82454" w:rsidP="00D82454">
      <w:pPr>
        <w:pStyle w:val="Heading2"/>
      </w:pPr>
      <w:r>
        <w:t>Relocation Sites</w:t>
      </w:r>
    </w:p>
    <w:p w:rsidR="00D82454" w:rsidRDefault="00D82454" w:rsidP="00D82454">
      <w:pPr>
        <w:rPr>
          <w:lang w:eastAsia="en-GB"/>
        </w:rPr>
      </w:pPr>
      <w:r>
        <w:rPr>
          <w:lang w:eastAsia="en-GB"/>
        </w:rPr>
        <w:t xml:space="preserve">CCCM, Shelter and Early Recovery Clusters met the City Mayor and Municipal Housing Officer to present the clusters position on relocation and enquire on the relocation strategy of the Municipality. </w:t>
      </w:r>
    </w:p>
    <w:p w:rsidR="00D82454" w:rsidRDefault="00D82454" w:rsidP="00D82454">
      <w:pPr>
        <w:rPr>
          <w:lang w:eastAsia="en-GB"/>
        </w:rPr>
      </w:pPr>
      <w:r>
        <w:rPr>
          <w:lang w:eastAsia="en-GB"/>
        </w:rPr>
        <w:t xml:space="preserve">The clusters perspective is basically to roll out other options of return and housing solutions prior to relocation to sites that are up to 18 km from the city centre. The Mayor expressed their priority being the informal settlers and specifically those located on the barangays along the shore. Their priority caseload is 7.600 households out of the over 36.000 affected families. They aim at starting relocation of </w:t>
      </w:r>
      <w:proofErr w:type="gramStart"/>
      <w:r>
        <w:rPr>
          <w:lang w:eastAsia="en-GB"/>
        </w:rPr>
        <w:t>idp</w:t>
      </w:r>
      <w:proofErr w:type="gramEnd"/>
      <w:r>
        <w:rPr>
          <w:lang w:eastAsia="en-GB"/>
        </w:rPr>
        <w:t xml:space="preserve"> families currently living along the rod to the airport on barangay 88 and move them into San Jose elementary school on that same Barangay. A field visit will be carried out tomorrow to assess on going debris removal carried out by the Early Cluster and identify solutions other than relocation. </w:t>
      </w:r>
    </w:p>
    <w:p w:rsidR="0061136B" w:rsidRDefault="0061136B" w:rsidP="0061136B"/>
    <w:p w:rsidR="0061136B" w:rsidRPr="0061136B" w:rsidRDefault="0061136B" w:rsidP="0061136B">
      <w:pPr>
        <w:pStyle w:val="Heading2"/>
      </w:pPr>
      <w:r w:rsidRPr="0061136B">
        <w:t>Useful definitions:</w:t>
      </w:r>
    </w:p>
    <w:p w:rsidR="0061136B" w:rsidRDefault="0061136B" w:rsidP="0061136B">
      <w:r w:rsidRPr="00521250">
        <w:rPr>
          <w:b/>
        </w:rPr>
        <w:t>Evacuation Centres</w:t>
      </w:r>
      <w:r>
        <w:t>: Sites identified by DSWD to evacuate persons at risk that have become temporary sites as Internally Displaced Persons residing in them cannot for the being return home.</w:t>
      </w:r>
    </w:p>
    <w:p w:rsidR="0061136B" w:rsidRDefault="0061136B" w:rsidP="0061136B">
      <w:r w:rsidRPr="00521250">
        <w:rPr>
          <w:b/>
        </w:rPr>
        <w:t>Spontaneous Sites</w:t>
      </w:r>
      <w:r>
        <w:t>:  infrastructure that resisted to the typhoon that people occupied after having lost their homes. Most are collective Centres meaning they are sheltered in existing infrastructure instead of makeshift shelters in vacant plots.</w:t>
      </w:r>
    </w:p>
    <w:p w:rsidR="0061136B" w:rsidRPr="0061136B" w:rsidRDefault="0061136B" w:rsidP="0061136B">
      <w:pPr>
        <w:pStyle w:val="Heading2"/>
      </w:pPr>
      <w:r w:rsidRPr="0061136B">
        <w:t>Humanitarian response webpage:</w:t>
      </w:r>
    </w:p>
    <w:p w:rsidR="0061136B" w:rsidRDefault="00B61AAE" w:rsidP="0061136B">
      <w:hyperlink r:id="rId11" w:history="1">
        <w:r w:rsidR="0061136B" w:rsidRPr="00E100BE">
          <w:rPr>
            <w:rStyle w:val="Hyperlink"/>
          </w:rPr>
          <w:t>https://philippines.humanitarianresponse.info/clusters/camp-coordination-management</w:t>
        </w:r>
      </w:hyperlink>
      <w:r w:rsidR="0061136B">
        <w:t xml:space="preserve"> </w:t>
      </w:r>
    </w:p>
    <w:p w:rsidR="004F0B56" w:rsidRDefault="004F0B56" w:rsidP="005D1AE2">
      <w:pPr>
        <w:pStyle w:val="Heading2"/>
      </w:pPr>
    </w:p>
    <w:p w:rsidR="001C5267" w:rsidRDefault="001C5267" w:rsidP="001C5267"/>
    <w:p w:rsidR="001C5267" w:rsidRPr="00737DE5" w:rsidRDefault="001C5267" w:rsidP="00737DE5">
      <w:pPr>
        <w:rPr>
          <w:lang w:eastAsia="en-GB"/>
        </w:rPr>
      </w:pPr>
      <w:r>
        <w:rPr>
          <w:rFonts w:cs="Arial"/>
          <w:b/>
          <w:bCs/>
          <w:sz w:val="26"/>
          <w:szCs w:val="26"/>
          <w:lang w:eastAsia="en-GB"/>
        </w:rPr>
        <w:t>Next Meeting</w:t>
      </w:r>
    </w:p>
    <w:p w:rsidR="002A220B" w:rsidRDefault="001C5267" w:rsidP="002A220B">
      <w:r>
        <w:t>Daily CCCM and Shelter meetings will continue to take place jointly in Tacloban at the OSOCC (Gr</w:t>
      </w:r>
      <w:r w:rsidR="004C4C17">
        <w:t>and Stand) next meeting 24</w:t>
      </w:r>
      <w:r w:rsidR="004C4C17">
        <w:rPr>
          <w:vertAlign w:val="superscript"/>
        </w:rPr>
        <w:t>th</w:t>
      </w:r>
      <w:r w:rsidR="00115486">
        <w:t xml:space="preserve"> Nov 2</w:t>
      </w:r>
      <w:r>
        <w:t>pm</w:t>
      </w:r>
      <w:r w:rsidR="004C4C17">
        <w:t>. Agreed once every 2 days now with TWIGs between.</w:t>
      </w:r>
    </w:p>
    <w:p w:rsidR="00413FCC" w:rsidRDefault="00413FCC" w:rsidP="002A220B">
      <w:r>
        <w:t>Early Recovery</w:t>
      </w:r>
      <w:r w:rsidR="004C4C17">
        <w:t xml:space="preserve"> will follow Shelter &amp; CCCM</w:t>
      </w:r>
    </w:p>
    <w:p w:rsidR="00A52DE9" w:rsidRDefault="00A52DE9" w:rsidP="002A220B"/>
    <w:p w:rsidR="00A52DE9" w:rsidRPr="0091202B" w:rsidRDefault="0035183C" w:rsidP="002A220B">
      <w:pPr>
        <w:rPr>
          <w:b/>
        </w:rPr>
      </w:pPr>
      <w:r w:rsidRPr="0091202B">
        <w:rPr>
          <w:b/>
        </w:rPr>
        <w:t>Key documents:</w:t>
      </w:r>
    </w:p>
    <w:p w:rsidR="00A52DE9" w:rsidRDefault="00A52DE9" w:rsidP="00A52DE9">
      <w:r>
        <w:t xml:space="preserve">Fixing tarps and emergency shelter: </w:t>
      </w:r>
    </w:p>
    <w:p w:rsidR="00A52DE9" w:rsidRDefault="00B61AAE" w:rsidP="00A52DE9">
      <w:hyperlink r:id="rId12" w:history="1">
        <w:r w:rsidR="00A52DE9">
          <w:rPr>
            <w:rStyle w:val="Hyperlink"/>
          </w:rPr>
          <w:t>https://www.sheltercluster.org/Asia/Philippines/Typhoon%20Haiyan%202013/Documents/131116%20IEC%20-%20Tarpaulines.pdf</w:t>
        </w:r>
      </w:hyperlink>
    </w:p>
    <w:p w:rsidR="00A52DE9" w:rsidRDefault="00A52DE9" w:rsidP="00A52DE9">
      <w:r>
        <w:t xml:space="preserve">Guidance from Shelter, CCCM, WASH and Protection Clusters - Transitory Tent Sites Guidelines illustrated: </w:t>
      </w:r>
    </w:p>
    <w:p w:rsidR="00A52DE9" w:rsidRDefault="00B61AAE" w:rsidP="00A52DE9">
      <w:hyperlink r:id="rId13" w:history="1">
        <w:r w:rsidR="00A52DE9">
          <w:rPr>
            <w:rStyle w:val="Hyperlink"/>
          </w:rPr>
          <w:t>https://www.sheltercluster.org/Asia/Philippines/Typhoon%20Haiyan%202013/Documents/131116%20IEC%20phillipines-Illustrated%20Tent%20Guidelines.pdf</w:t>
        </w:r>
      </w:hyperlink>
    </w:p>
    <w:p w:rsidR="0035183C" w:rsidRDefault="0035183C" w:rsidP="00A52DE9">
      <w:r>
        <w:t>Humanitarian response webpage:</w:t>
      </w:r>
    </w:p>
    <w:p w:rsidR="0035183C" w:rsidRDefault="00B61AAE" w:rsidP="00A52DE9">
      <w:hyperlink r:id="rId14" w:history="1">
        <w:r w:rsidR="0035183C" w:rsidRPr="00E100BE">
          <w:rPr>
            <w:rStyle w:val="Hyperlink"/>
          </w:rPr>
          <w:t>https://philippines.humanitarianresponse.info/clusters/camp-coordination-management</w:t>
        </w:r>
      </w:hyperlink>
      <w:r w:rsidR="0035183C">
        <w:t xml:space="preserve"> </w:t>
      </w:r>
    </w:p>
    <w:p w:rsidR="00A52DE9" w:rsidRDefault="00A52DE9" w:rsidP="00A52DE9">
      <w:r>
        <w:t>Two IEC on site planning and best practices, build back safer, for reconstruction/repair of transitional or core houses:</w:t>
      </w:r>
    </w:p>
    <w:p w:rsidR="00A52DE9" w:rsidRDefault="00B61AAE" w:rsidP="00A52DE9">
      <w:hyperlink r:id="rId15" w:history="1">
        <w:r w:rsidR="00A52DE9">
          <w:rPr>
            <w:rStyle w:val="Hyperlink"/>
          </w:rPr>
          <w:t>https://www.sheltercluster.org/Asia/Philippines/Typhoon%20Haiyan%202013/Documents/131116%20IEC%20-%20SIte%20Planning.pdf</w:t>
        </w:r>
      </w:hyperlink>
    </w:p>
    <w:p w:rsidR="00A52DE9" w:rsidRDefault="00B61AAE" w:rsidP="00A52DE9">
      <w:hyperlink r:id="rId16" w:history="1">
        <w:r w:rsidR="00A52DE9">
          <w:rPr>
            <w:rStyle w:val="Hyperlink"/>
          </w:rPr>
          <w:t>https://www.sheltercluster.org/Asia/Philippines/Typhoon%20Haiyan%202013/Documents/131116%20IEC%20-%20BB%20Safer.pdf</w:t>
        </w:r>
      </w:hyperlink>
    </w:p>
    <w:p w:rsidR="00115486" w:rsidRDefault="00115486" w:rsidP="00A52D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35183C" w:rsidTr="006002D6">
        <w:tc>
          <w:tcPr>
            <w:tcW w:w="5140" w:type="dxa"/>
          </w:tcPr>
          <w:p w:rsidR="0035183C" w:rsidRDefault="00A52DE9" w:rsidP="0035183C">
            <w:pPr>
              <w:rPr>
                <w:rFonts w:eastAsiaTheme="minorEastAsia"/>
                <w:noProof/>
                <w:color w:val="000000"/>
                <w:lang w:eastAsia="en-GB"/>
              </w:rPr>
            </w:pPr>
            <w:r>
              <w:t xml:space="preserve"> </w:t>
            </w:r>
            <w:bookmarkStart w:id="1" w:name="_MailAutoSig"/>
            <w:r w:rsidR="0035183C">
              <w:rPr>
                <w:rFonts w:eastAsiaTheme="minorEastAsia"/>
                <w:b/>
                <w:bCs/>
                <w:noProof/>
                <w:color w:val="000000"/>
                <w:lang w:eastAsia="en-GB"/>
              </w:rPr>
              <w:t>David Dalgado</w:t>
            </w:r>
          </w:p>
          <w:p w:rsidR="0035183C" w:rsidRDefault="0035183C" w:rsidP="0035183C">
            <w:pPr>
              <w:rPr>
                <w:rFonts w:eastAsiaTheme="minorEastAsia"/>
                <w:noProof/>
                <w:color w:val="404040"/>
                <w:lang w:eastAsia="en-GB"/>
              </w:rPr>
            </w:pPr>
            <w:r>
              <w:rPr>
                <w:rFonts w:eastAsiaTheme="minorEastAsia"/>
                <w:noProof/>
                <w:color w:val="404040"/>
                <w:lang w:eastAsia="en-GB"/>
              </w:rPr>
              <w:t xml:space="preserve">Technical Coordinator </w:t>
            </w:r>
          </w:p>
          <w:p w:rsidR="0035183C" w:rsidRDefault="0035183C" w:rsidP="0035183C">
            <w:pPr>
              <w:rPr>
                <w:rFonts w:eastAsiaTheme="minorEastAsia"/>
                <w:noProof/>
                <w:color w:val="000000"/>
                <w:lang w:eastAsia="en-GB"/>
              </w:rPr>
            </w:pPr>
            <w:r>
              <w:rPr>
                <w:rFonts w:eastAsiaTheme="minorEastAsia"/>
                <w:noProof/>
                <w:color w:val="000000"/>
                <w:lang w:eastAsia="en-GB"/>
              </w:rPr>
              <w:t>Philippines</w:t>
            </w:r>
            <w:r>
              <w:rPr>
                <w:rFonts w:eastAsiaTheme="minorEastAsia"/>
                <w:noProof/>
                <w:color w:val="404040"/>
                <w:lang w:eastAsia="en-GB"/>
              </w:rPr>
              <w:t xml:space="preserve"> Shelter Cluster</w:t>
            </w:r>
          </w:p>
          <w:p w:rsidR="0035183C" w:rsidRDefault="0035183C" w:rsidP="0035183C">
            <w:pPr>
              <w:rPr>
                <w:rFonts w:eastAsiaTheme="minorEastAsia"/>
                <w:noProof/>
                <w:color w:val="000000"/>
                <w:sz w:val="21"/>
                <w:szCs w:val="21"/>
                <w:lang w:val="fr-CH" w:eastAsia="en-GB"/>
              </w:rPr>
            </w:pPr>
            <w:r>
              <w:rPr>
                <w:rFonts w:eastAsiaTheme="minorEastAsia"/>
                <w:b/>
                <w:bCs/>
                <w:noProof/>
                <w:color w:val="000000"/>
                <w:sz w:val="21"/>
                <w:szCs w:val="21"/>
                <w:lang w:val="fr-CH" w:eastAsia="en-GB"/>
              </w:rPr>
              <w:t>Mob:</w:t>
            </w:r>
            <w:r>
              <w:rPr>
                <w:rFonts w:eastAsiaTheme="minorEastAsia"/>
                <w:noProof/>
                <w:color w:val="000000"/>
                <w:sz w:val="21"/>
                <w:szCs w:val="21"/>
                <w:lang w:val="fr-CH" w:eastAsia="en-GB"/>
              </w:rPr>
              <w:t> +63 (0)9289 048 422</w:t>
            </w:r>
          </w:p>
          <w:p w:rsidR="0035183C" w:rsidRDefault="0035183C" w:rsidP="0035183C">
            <w:pPr>
              <w:rPr>
                <w:rFonts w:eastAsiaTheme="minorEastAsia"/>
                <w:bCs/>
                <w:noProof/>
                <w:color w:val="000000"/>
                <w:sz w:val="21"/>
                <w:szCs w:val="21"/>
                <w:lang w:val="fr-CH" w:eastAsia="en-GB"/>
              </w:rPr>
            </w:pPr>
            <w:r>
              <w:rPr>
                <w:rFonts w:eastAsiaTheme="minorEastAsia"/>
                <w:b/>
                <w:bCs/>
                <w:noProof/>
                <w:color w:val="000000"/>
                <w:sz w:val="21"/>
                <w:szCs w:val="21"/>
                <w:lang w:val="fr-CH" w:eastAsia="en-GB"/>
              </w:rPr>
              <w:t xml:space="preserve">Email: </w:t>
            </w:r>
            <w:hyperlink r:id="rId17" w:history="1">
              <w:r w:rsidR="008A724D" w:rsidRPr="00E100BE">
                <w:rPr>
                  <w:rStyle w:val="Hyperlink"/>
                  <w:rFonts w:eastAsiaTheme="minorEastAsia"/>
                  <w:bCs/>
                  <w:noProof/>
                  <w:sz w:val="21"/>
                  <w:szCs w:val="21"/>
                  <w:lang w:val="fr-CH" w:eastAsia="en-GB"/>
                </w:rPr>
                <w:t>tech.phil@sheltercluster.org</w:t>
              </w:r>
            </w:hyperlink>
            <w:r w:rsidR="008A724D">
              <w:rPr>
                <w:rFonts w:eastAsiaTheme="minorEastAsia"/>
                <w:bCs/>
                <w:noProof/>
                <w:color w:val="000000"/>
                <w:sz w:val="21"/>
                <w:szCs w:val="21"/>
                <w:lang w:val="fr-CH" w:eastAsia="en-GB"/>
              </w:rPr>
              <w:t xml:space="preserve"> </w:t>
            </w:r>
          </w:p>
          <w:p w:rsidR="0035183C" w:rsidRDefault="0035183C" w:rsidP="0035183C">
            <w:pPr>
              <w:rPr>
                <w:rFonts w:ascii="Times New Roman" w:eastAsiaTheme="minorEastAsia" w:hAnsi="Times New Roman"/>
                <w:noProof/>
                <w:color w:val="000000"/>
                <w:sz w:val="24"/>
                <w:szCs w:val="24"/>
                <w:lang w:eastAsia="en-GB"/>
              </w:rPr>
            </w:pPr>
            <w:r>
              <w:rPr>
                <w:rFonts w:eastAsiaTheme="minorEastAsia"/>
                <w:b/>
                <w:bCs/>
                <w:noProof/>
                <w:color w:val="000000"/>
                <w:sz w:val="21"/>
                <w:szCs w:val="21"/>
                <w:lang w:val="fr-CH" w:eastAsia="en-GB"/>
              </w:rPr>
              <w:t>Web:</w:t>
            </w:r>
            <w:r>
              <w:rPr>
                <w:rFonts w:eastAsiaTheme="minorEastAsia"/>
                <w:noProof/>
                <w:color w:val="FF0000"/>
                <w:sz w:val="21"/>
                <w:szCs w:val="21"/>
                <w:lang w:val="fr-CH" w:eastAsia="en-GB"/>
              </w:rPr>
              <w:t> </w:t>
            </w:r>
            <w:hyperlink r:id="rId18" w:history="1">
              <w:r>
                <w:rPr>
                  <w:rStyle w:val="Hyperlink"/>
                  <w:rFonts w:eastAsiaTheme="minorEastAsia"/>
                  <w:noProof/>
                  <w:sz w:val="21"/>
                  <w:lang w:val="fr-CH" w:eastAsia="en-GB"/>
                </w:rPr>
                <w:t>www.sheltercluster.org</w:t>
              </w:r>
            </w:hyperlink>
          </w:p>
          <w:p w:rsidR="0035183C" w:rsidRDefault="0035183C" w:rsidP="0035183C">
            <w:pPr>
              <w:rPr>
                <w:rFonts w:asciiTheme="minorHAnsi" w:eastAsiaTheme="minorEastAsia" w:hAnsiTheme="minorHAnsi"/>
                <w:noProof/>
                <w:sz w:val="22"/>
                <w:szCs w:val="22"/>
                <w:lang w:eastAsia="en-GB"/>
              </w:rPr>
            </w:pPr>
            <w:r>
              <w:rPr>
                <w:rFonts w:eastAsiaTheme="minorEastAsia"/>
                <w:noProof/>
                <w:lang w:eastAsia="en-GB"/>
              </w:rPr>
              <w:drawing>
                <wp:inline distT="0" distB="0" distL="0" distR="0">
                  <wp:extent cx="1981200" cy="400957"/>
                  <wp:effectExtent l="0" t="0" r="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9" cstate="print"/>
                          <a:srcRect/>
                          <a:stretch>
                            <a:fillRect/>
                          </a:stretch>
                        </pic:blipFill>
                        <pic:spPr bwMode="auto">
                          <a:xfrm>
                            <a:off x="0" y="0"/>
                            <a:ext cx="1981200" cy="400957"/>
                          </a:xfrm>
                          <a:prstGeom prst="rect">
                            <a:avLst/>
                          </a:prstGeom>
                          <a:noFill/>
                          <a:ln w="9525">
                            <a:noFill/>
                            <a:miter lim="800000"/>
                            <a:headEnd/>
                            <a:tailEnd/>
                          </a:ln>
                        </pic:spPr>
                      </pic:pic>
                    </a:graphicData>
                  </a:graphic>
                </wp:inline>
              </w:drawing>
            </w:r>
          </w:p>
          <w:bookmarkEnd w:id="1"/>
          <w:p w:rsidR="0035183C" w:rsidRDefault="0035183C" w:rsidP="00A52DE9"/>
        </w:tc>
        <w:tc>
          <w:tcPr>
            <w:tcW w:w="5140" w:type="dxa"/>
          </w:tcPr>
          <w:p w:rsidR="0035183C" w:rsidRPr="006002D6" w:rsidRDefault="0035183C" w:rsidP="00A52DE9">
            <w:pPr>
              <w:rPr>
                <w:b/>
              </w:rPr>
            </w:pPr>
            <w:r w:rsidRPr="006002D6">
              <w:rPr>
                <w:b/>
              </w:rPr>
              <w:t>Jean-Philippe Antolin</w:t>
            </w:r>
          </w:p>
          <w:p w:rsidR="0035183C" w:rsidRDefault="0035183C" w:rsidP="00A52DE9">
            <w:r>
              <w:t>Tacloban Cluster Coordinator</w:t>
            </w:r>
          </w:p>
          <w:p w:rsidR="0035183C" w:rsidRDefault="006002D6" w:rsidP="00A52DE9">
            <w:r>
              <w:rPr>
                <w:b/>
              </w:rPr>
              <w:t>Mob</w:t>
            </w:r>
            <w:r w:rsidR="0035183C" w:rsidRPr="006002D6">
              <w:rPr>
                <w:b/>
              </w:rPr>
              <w:t xml:space="preserve"> </w:t>
            </w:r>
            <w:r w:rsidR="0035183C">
              <w:t>+63 0926724 5722</w:t>
            </w:r>
          </w:p>
          <w:p w:rsidR="0035183C" w:rsidRDefault="0035183C" w:rsidP="00A52DE9">
            <w:r w:rsidRPr="006002D6">
              <w:rPr>
                <w:b/>
              </w:rPr>
              <w:t>Email</w:t>
            </w:r>
            <w:r>
              <w:t xml:space="preserve"> </w:t>
            </w:r>
            <w:hyperlink r:id="rId20" w:history="1">
              <w:r w:rsidRPr="00E100BE">
                <w:rPr>
                  <w:rStyle w:val="Hyperlink"/>
                </w:rPr>
                <w:t>Jantolin@iom.int</w:t>
              </w:r>
            </w:hyperlink>
          </w:p>
          <w:p w:rsidR="0035183C" w:rsidRDefault="006002D6" w:rsidP="00A52DE9">
            <w:r>
              <w:t>CCCM Taclob</w:t>
            </w:r>
            <w:r w:rsidR="0035183C">
              <w:t xml:space="preserve">an email </w:t>
            </w:r>
          </w:p>
          <w:p w:rsidR="0035183C" w:rsidRDefault="00B61AAE" w:rsidP="00A52DE9">
            <w:hyperlink r:id="rId21" w:history="1">
              <w:r w:rsidR="008A724D" w:rsidRPr="00E100BE">
                <w:rPr>
                  <w:rStyle w:val="Hyperlink"/>
                </w:rPr>
                <w:t>cccmtacloban@iom.int</w:t>
              </w:r>
            </w:hyperlink>
            <w:r w:rsidR="006002D6">
              <w:t xml:space="preserve"> </w:t>
            </w:r>
          </w:p>
          <w:p w:rsidR="006002D6" w:rsidRDefault="006002D6" w:rsidP="00A52DE9">
            <w:r w:rsidRPr="006002D6">
              <w:rPr>
                <w:noProof/>
                <w:lang w:eastAsia="en-GB"/>
              </w:rPr>
              <w:drawing>
                <wp:inline distT="0" distB="0" distL="0" distR="0">
                  <wp:extent cx="497713" cy="400050"/>
                  <wp:effectExtent l="0" t="0" r="0" b="0"/>
                  <wp:docPr id="4"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613" cy="401577"/>
                          </a:xfrm>
                          <a:prstGeom prst="rect">
                            <a:avLst/>
                          </a:prstGeom>
                          <a:noFill/>
                          <a:ln>
                            <a:noFill/>
                          </a:ln>
                          <a:effectLst/>
                          <a:extLst/>
                        </pic:spPr>
                      </pic:pic>
                    </a:graphicData>
                  </a:graphic>
                </wp:inline>
              </w:drawing>
            </w:r>
          </w:p>
        </w:tc>
      </w:tr>
    </w:tbl>
    <w:p w:rsidR="00A52DE9" w:rsidRDefault="00A52DE9" w:rsidP="0091202B"/>
    <w:sectPr w:rsidR="00A52DE9" w:rsidSect="0091202B">
      <w:headerReference w:type="default" r:id="rId23"/>
      <w:pgSz w:w="11906" w:h="16838"/>
      <w:pgMar w:top="473" w:right="849" w:bottom="1417" w:left="993" w:header="270" w:footer="1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0EF" w:rsidRDefault="00D370EF">
      <w:r>
        <w:separator/>
      </w:r>
    </w:p>
  </w:endnote>
  <w:endnote w:type="continuationSeparator" w:id="0">
    <w:p w:rsidR="00D370EF" w:rsidRDefault="00D370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0EF" w:rsidRDefault="00D370EF">
      <w:r>
        <w:separator/>
      </w:r>
    </w:p>
  </w:footnote>
  <w:footnote w:type="continuationSeparator" w:id="0">
    <w:p w:rsidR="00D370EF" w:rsidRDefault="00D37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83" w:rsidRDefault="00924B83" w:rsidP="005D1706">
    <w:pPr>
      <w:pStyle w:val="Header"/>
      <w:tabs>
        <w:tab w:val="clear" w:pos="4320"/>
        <w:tab w:val="clear" w:pos="8640"/>
        <w:tab w:val="center" w:pos="4536"/>
      </w:tabs>
    </w:pPr>
    <w:r>
      <w:rPr>
        <w:noProof/>
        <w:lang w:eastAsia="en-GB"/>
      </w:rPr>
      <w:drawing>
        <wp:inline distT="0" distB="0" distL="0" distR="0">
          <wp:extent cx="2190750" cy="445132"/>
          <wp:effectExtent l="0" t="0" r="0" b="0"/>
          <wp:docPr id="1" name="Picture 1"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190750" cy="445132"/>
                  </a:xfrm>
                  <a:prstGeom prst="rect">
                    <a:avLst/>
                  </a:prstGeom>
                  <a:noFill/>
                  <a:ln w="9525">
                    <a:noFill/>
                    <a:miter lim="800000"/>
                    <a:headEnd/>
                    <a:tailEnd/>
                  </a:ln>
                </pic:spPr>
              </pic:pic>
            </a:graphicData>
          </a:graphic>
        </wp:inline>
      </w:drawing>
    </w:r>
    <w:r>
      <w:tab/>
    </w:r>
    <w:r w:rsidR="00413FCC">
      <w:tab/>
    </w:r>
    <w:r w:rsidR="00413FCC">
      <w:tab/>
    </w:r>
    <w:r w:rsidR="00413FCC">
      <w:tab/>
    </w:r>
    <w:r w:rsidR="00413FCC">
      <w:tab/>
    </w:r>
    <w:r w:rsidR="004C7CE8">
      <w:tab/>
    </w:r>
    <w:r w:rsidR="004C7CE8">
      <w:tab/>
    </w:r>
    <w:r w:rsidR="006002D6" w:rsidRPr="006002D6">
      <w:rPr>
        <w:noProof/>
        <w:lang w:eastAsia="en-GB"/>
      </w:rPr>
      <w:drawing>
        <wp:inline distT="0" distB="0" distL="0" distR="0">
          <wp:extent cx="752475" cy="604823"/>
          <wp:effectExtent l="0" t="0" r="0" b="0"/>
          <wp:docPr id="1026"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1686" cy="604189"/>
                  </a:xfrm>
                  <a:prstGeom prst="rect">
                    <a:avLst/>
                  </a:prstGeom>
                  <a:noFill/>
                  <a:ln>
                    <a:noFill/>
                  </a:ln>
                  <a:effectLst/>
                  <a:extLst/>
                </pic:spPr>
              </pic:pic>
            </a:graphicData>
          </a:graphic>
        </wp:inline>
      </w:drawing>
    </w:r>
  </w:p>
  <w:p w:rsidR="00924B83" w:rsidRDefault="00924B83" w:rsidP="005D1706">
    <w:pPr>
      <w:pStyle w:val="Header"/>
      <w:tabs>
        <w:tab w:val="clear" w:pos="4320"/>
        <w:tab w:val="clear" w:pos="8640"/>
        <w:tab w:val="center" w:pos="4536"/>
      </w:tabs>
    </w:pPr>
    <w:r>
      <w:t>___________________________________________________________________________</w:t>
    </w:r>
    <w:r w:rsidR="004C7CE8">
      <w:t>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3CB435F"/>
    <w:multiLevelType w:val="hybridMultilevel"/>
    <w:tmpl w:val="B2D0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09745594"/>
    <w:multiLevelType w:val="hybridMultilevel"/>
    <w:tmpl w:val="C090D24E"/>
    <w:lvl w:ilvl="0" w:tplc="FC94825E">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nsid w:val="13B821CB"/>
    <w:multiLevelType w:val="hybridMultilevel"/>
    <w:tmpl w:val="4C7EF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0A7CCD"/>
    <w:multiLevelType w:val="hybridMultilevel"/>
    <w:tmpl w:val="1C009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446899"/>
    <w:multiLevelType w:val="hybridMultilevel"/>
    <w:tmpl w:val="131A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2">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7DD499F"/>
    <w:multiLevelType w:val="hybridMultilevel"/>
    <w:tmpl w:val="4660203E"/>
    <w:lvl w:ilvl="0" w:tplc="62A264D8">
      <w:start w:val="1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2">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3CC74C41"/>
    <w:multiLevelType w:val="hybridMultilevel"/>
    <w:tmpl w:val="50FE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8">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B662D74"/>
    <w:multiLevelType w:val="hybridMultilevel"/>
    <w:tmpl w:val="565447F2"/>
    <w:lvl w:ilvl="0" w:tplc="6C8CCB36">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40">
    <w:nsid w:val="6CF40CDF"/>
    <w:multiLevelType w:val="hybridMultilevel"/>
    <w:tmpl w:val="10201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F84B3D"/>
    <w:multiLevelType w:val="hybridMultilevel"/>
    <w:tmpl w:val="3F4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5"/>
  </w:num>
  <w:num w:numId="7">
    <w:abstractNumId w:val="14"/>
  </w:num>
  <w:num w:numId="8">
    <w:abstractNumId w:val="16"/>
  </w:num>
  <w:num w:numId="9">
    <w:abstractNumId w:val="23"/>
  </w:num>
  <w:num w:numId="10">
    <w:abstractNumId w:val="12"/>
  </w:num>
  <w:num w:numId="11">
    <w:abstractNumId w:val="27"/>
  </w:num>
  <w:num w:numId="12">
    <w:abstractNumId w:val="39"/>
  </w:num>
  <w:num w:numId="13">
    <w:abstractNumId w:val="44"/>
  </w:num>
  <w:num w:numId="14">
    <w:abstractNumId w:val="45"/>
  </w:num>
  <w:num w:numId="15">
    <w:abstractNumId w:val="35"/>
  </w:num>
  <w:num w:numId="16">
    <w:abstractNumId w:val="28"/>
  </w:num>
  <w:num w:numId="17">
    <w:abstractNumId w:val="47"/>
  </w:num>
  <w:num w:numId="18">
    <w:abstractNumId w:val="19"/>
  </w:num>
  <w:num w:numId="19">
    <w:abstractNumId w:val="26"/>
  </w:num>
  <w:num w:numId="20">
    <w:abstractNumId w:val="43"/>
  </w:num>
  <w:num w:numId="21">
    <w:abstractNumId w:val="33"/>
  </w:num>
  <w:num w:numId="22">
    <w:abstractNumId w:val="37"/>
  </w:num>
  <w:num w:numId="23">
    <w:abstractNumId w:val="38"/>
  </w:num>
  <w:num w:numId="24">
    <w:abstractNumId w:val="32"/>
  </w:num>
  <w:num w:numId="25">
    <w:abstractNumId w:val="30"/>
  </w:num>
  <w:num w:numId="26">
    <w:abstractNumId w:val="6"/>
  </w:num>
  <w:num w:numId="27">
    <w:abstractNumId w:val="29"/>
  </w:num>
  <w:num w:numId="28">
    <w:abstractNumId w:val="11"/>
  </w:num>
  <w:num w:numId="29">
    <w:abstractNumId w:val="46"/>
  </w:num>
  <w:num w:numId="30">
    <w:abstractNumId w:val="21"/>
  </w:num>
  <w:num w:numId="31">
    <w:abstractNumId w:val="22"/>
  </w:num>
  <w:num w:numId="32">
    <w:abstractNumId w:val="34"/>
  </w:num>
  <w:num w:numId="33">
    <w:abstractNumId w:val="25"/>
  </w:num>
  <w:num w:numId="34">
    <w:abstractNumId w:val="18"/>
  </w:num>
  <w:num w:numId="35">
    <w:abstractNumId w:val="17"/>
  </w:num>
  <w:num w:numId="36">
    <w:abstractNumId w:val="41"/>
  </w:num>
  <w:num w:numId="37">
    <w:abstractNumId w:val="13"/>
  </w:num>
  <w:num w:numId="38">
    <w:abstractNumId w:val="31"/>
  </w:num>
  <w:num w:numId="39">
    <w:abstractNumId w:val="9"/>
  </w:num>
  <w:num w:numId="40">
    <w:abstractNumId w:val="36"/>
  </w:num>
  <w:num w:numId="41">
    <w:abstractNumId w:val="8"/>
  </w:num>
  <w:num w:numId="42">
    <w:abstractNumId w:val="10"/>
  </w:num>
  <w:num w:numId="43">
    <w:abstractNumId w:val="40"/>
  </w:num>
  <w:num w:numId="44">
    <w:abstractNumId w:val="42"/>
  </w:num>
  <w:num w:numId="45">
    <w:abstractNumId w:val="7"/>
  </w:num>
  <w:num w:numId="46">
    <w:abstractNumId w:val="24"/>
  </w:num>
  <w:num w:numId="47">
    <w:abstractNumId w:val="5"/>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16386"/>
  </w:hdrShapeDefaults>
  <w:footnotePr>
    <w:footnote w:id="-1"/>
    <w:footnote w:id="0"/>
  </w:footnotePr>
  <w:endnotePr>
    <w:endnote w:id="-1"/>
    <w:endnote w:id="0"/>
  </w:endnotePr>
  <w:compat/>
  <w:rsids>
    <w:rsidRoot w:val="00100A29"/>
    <w:rsid w:val="00000CFE"/>
    <w:rsid w:val="00002D78"/>
    <w:rsid w:val="0000692D"/>
    <w:rsid w:val="00020448"/>
    <w:rsid w:val="000259D0"/>
    <w:rsid w:val="000414AD"/>
    <w:rsid w:val="00044D91"/>
    <w:rsid w:val="00050DCC"/>
    <w:rsid w:val="0007215D"/>
    <w:rsid w:val="000A1C61"/>
    <w:rsid w:val="000C4113"/>
    <w:rsid w:val="000C606A"/>
    <w:rsid w:val="000D2834"/>
    <w:rsid w:val="000E0613"/>
    <w:rsid w:val="000E0768"/>
    <w:rsid w:val="000E2080"/>
    <w:rsid w:val="000F1941"/>
    <w:rsid w:val="000F1F09"/>
    <w:rsid w:val="000F5BD8"/>
    <w:rsid w:val="00100A29"/>
    <w:rsid w:val="00113414"/>
    <w:rsid w:val="00115486"/>
    <w:rsid w:val="001350BA"/>
    <w:rsid w:val="00144FE3"/>
    <w:rsid w:val="0014700D"/>
    <w:rsid w:val="00152943"/>
    <w:rsid w:val="00152EB6"/>
    <w:rsid w:val="001532B6"/>
    <w:rsid w:val="00153C39"/>
    <w:rsid w:val="00155296"/>
    <w:rsid w:val="00160A79"/>
    <w:rsid w:val="00164ABE"/>
    <w:rsid w:val="0017217D"/>
    <w:rsid w:val="001762C2"/>
    <w:rsid w:val="0019065E"/>
    <w:rsid w:val="001B068A"/>
    <w:rsid w:val="001B1991"/>
    <w:rsid w:val="001B64B2"/>
    <w:rsid w:val="001C0CFF"/>
    <w:rsid w:val="001C33AA"/>
    <w:rsid w:val="001C5267"/>
    <w:rsid w:val="001C77F0"/>
    <w:rsid w:val="001E173B"/>
    <w:rsid w:val="001E69BC"/>
    <w:rsid w:val="002120A0"/>
    <w:rsid w:val="002157EB"/>
    <w:rsid w:val="00220451"/>
    <w:rsid w:val="00242335"/>
    <w:rsid w:val="00244A55"/>
    <w:rsid w:val="00265B9E"/>
    <w:rsid w:val="00272F90"/>
    <w:rsid w:val="00277BFD"/>
    <w:rsid w:val="002857FC"/>
    <w:rsid w:val="002966E9"/>
    <w:rsid w:val="002A220B"/>
    <w:rsid w:val="002A27D9"/>
    <w:rsid w:val="002C0E31"/>
    <w:rsid w:val="002C230D"/>
    <w:rsid w:val="002C26F3"/>
    <w:rsid w:val="002C7560"/>
    <w:rsid w:val="002D43EB"/>
    <w:rsid w:val="002D5948"/>
    <w:rsid w:val="002E193C"/>
    <w:rsid w:val="002E31B2"/>
    <w:rsid w:val="002E7EBB"/>
    <w:rsid w:val="00305B43"/>
    <w:rsid w:val="00317339"/>
    <w:rsid w:val="00321422"/>
    <w:rsid w:val="00323633"/>
    <w:rsid w:val="00324409"/>
    <w:rsid w:val="003277BC"/>
    <w:rsid w:val="00333C08"/>
    <w:rsid w:val="0035183C"/>
    <w:rsid w:val="00356592"/>
    <w:rsid w:val="00356958"/>
    <w:rsid w:val="00373E4D"/>
    <w:rsid w:val="00374FD9"/>
    <w:rsid w:val="0037636D"/>
    <w:rsid w:val="00376F75"/>
    <w:rsid w:val="00386E52"/>
    <w:rsid w:val="00394B34"/>
    <w:rsid w:val="00395834"/>
    <w:rsid w:val="003A0F30"/>
    <w:rsid w:val="003A25E7"/>
    <w:rsid w:val="003A6B2B"/>
    <w:rsid w:val="003C0426"/>
    <w:rsid w:val="003C5F3A"/>
    <w:rsid w:val="003C61F1"/>
    <w:rsid w:val="003D5253"/>
    <w:rsid w:val="003F5F3B"/>
    <w:rsid w:val="0040587B"/>
    <w:rsid w:val="00413FCC"/>
    <w:rsid w:val="00423A5D"/>
    <w:rsid w:val="00423C08"/>
    <w:rsid w:val="0042508D"/>
    <w:rsid w:val="00425F42"/>
    <w:rsid w:val="00441C11"/>
    <w:rsid w:val="00462A95"/>
    <w:rsid w:val="0046588A"/>
    <w:rsid w:val="004816BA"/>
    <w:rsid w:val="00482D13"/>
    <w:rsid w:val="0048704F"/>
    <w:rsid w:val="0049774B"/>
    <w:rsid w:val="004B2E62"/>
    <w:rsid w:val="004C4C17"/>
    <w:rsid w:val="004C7CE8"/>
    <w:rsid w:val="004E6415"/>
    <w:rsid w:val="004F0B56"/>
    <w:rsid w:val="00502756"/>
    <w:rsid w:val="00507EB2"/>
    <w:rsid w:val="00527164"/>
    <w:rsid w:val="00534635"/>
    <w:rsid w:val="0054269C"/>
    <w:rsid w:val="00547563"/>
    <w:rsid w:val="0055402C"/>
    <w:rsid w:val="00557A51"/>
    <w:rsid w:val="0056737D"/>
    <w:rsid w:val="00577BC7"/>
    <w:rsid w:val="0059321E"/>
    <w:rsid w:val="0059515C"/>
    <w:rsid w:val="00595EF6"/>
    <w:rsid w:val="00596FF7"/>
    <w:rsid w:val="005A501D"/>
    <w:rsid w:val="005B6810"/>
    <w:rsid w:val="005B7A5D"/>
    <w:rsid w:val="005C73FC"/>
    <w:rsid w:val="005D00FE"/>
    <w:rsid w:val="005D08C1"/>
    <w:rsid w:val="005D1706"/>
    <w:rsid w:val="005D1AE2"/>
    <w:rsid w:val="005F3F3C"/>
    <w:rsid w:val="005F6AA7"/>
    <w:rsid w:val="006002D6"/>
    <w:rsid w:val="006018AA"/>
    <w:rsid w:val="00603F40"/>
    <w:rsid w:val="00604EB7"/>
    <w:rsid w:val="00610F12"/>
    <w:rsid w:val="0061136B"/>
    <w:rsid w:val="00611ACB"/>
    <w:rsid w:val="0061364D"/>
    <w:rsid w:val="00614720"/>
    <w:rsid w:val="00623EE5"/>
    <w:rsid w:val="00632E3C"/>
    <w:rsid w:val="00647396"/>
    <w:rsid w:val="00651BDF"/>
    <w:rsid w:val="00653101"/>
    <w:rsid w:val="0065414C"/>
    <w:rsid w:val="00667DB9"/>
    <w:rsid w:val="0067542D"/>
    <w:rsid w:val="00685EF7"/>
    <w:rsid w:val="006949B0"/>
    <w:rsid w:val="00696BE9"/>
    <w:rsid w:val="006B0BC9"/>
    <w:rsid w:val="006B2ED1"/>
    <w:rsid w:val="006B585C"/>
    <w:rsid w:val="006C2538"/>
    <w:rsid w:val="006D3071"/>
    <w:rsid w:val="006D72D5"/>
    <w:rsid w:val="006E0076"/>
    <w:rsid w:val="006E7A2F"/>
    <w:rsid w:val="006F011C"/>
    <w:rsid w:val="00700939"/>
    <w:rsid w:val="00704521"/>
    <w:rsid w:val="00705F46"/>
    <w:rsid w:val="00716695"/>
    <w:rsid w:val="00721F83"/>
    <w:rsid w:val="00724FF5"/>
    <w:rsid w:val="00737DE5"/>
    <w:rsid w:val="00761D90"/>
    <w:rsid w:val="0076518C"/>
    <w:rsid w:val="0077189D"/>
    <w:rsid w:val="007727C9"/>
    <w:rsid w:val="00772E91"/>
    <w:rsid w:val="00797908"/>
    <w:rsid w:val="007A0B21"/>
    <w:rsid w:val="007A205D"/>
    <w:rsid w:val="007A39DF"/>
    <w:rsid w:val="007B6CF2"/>
    <w:rsid w:val="007D11D3"/>
    <w:rsid w:val="007D5D27"/>
    <w:rsid w:val="007F1A18"/>
    <w:rsid w:val="008061EE"/>
    <w:rsid w:val="0081170E"/>
    <w:rsid w:val="00814691"/>
    <w:rsid w:val="0082207C"/>
    <w:rsid w:val="008247D3"/>
    <w:rsid w:val="00827D8A"/>
    <w:rsid w:val="008359F8"/>
    <w:rsid w:val="00852B25"/>
    <w:rsid w:val="00854304"/>
    <w:rsid w:val="008600FD"/>
    <w:rsid w:val="008779AB"/>
    <w:rsid w:val="00887FD2"/>
    <w:rsid w:val="00891B5C"/>
    <w:rsid w:val="00894F73"/>
    <w:rsid w:val="008A5A91"/>
    <w:rsid w:val="008A724D"/>
    <w:rsid w:val="008B6F96"/>
    <w:rsid w:val="008B7B8C"/>
    <w:rsid w:val="008C6FB9"/>
    <w:rsid w:val="008C7239"/>
    <w:rsid w:val="008C7F8C"/>
    <w:rsid w:val="008D695D"/>
    <w:rsid w:val="008E4616"/>
    <w:rsid w:val="008E62E9"/>
    <w:rsid w:val="008E7155"/>
    <w:rsid w:val="008F2611"/>
    <w:rsid w:val="0091202B"/>
    <w:rsid w:val="00924B83"/>
    <w:rsid w:val="00947A23"/>
    <w:rsid w:val="009504BE"/>
    <w:rsid w:val="009564EC"/>
    <w:rsid w:val="009674CF"/>
    <w:rsid w:val="00967694"/>
    <w:rsid w:val="00976755"/>
    <w:rsid w:val="00987E88"/>
    <w:rsid w:val="00991635"/>
    <w:rsid w:val="00992B42"/>
    <w:rsid w:val="009A1EE9"/>
    <w:rsid w:val="009B5D35"/>
    <w:rsid w:val="009B7F0A"/>
    <w:rsid w:val="009C293D"/>
    <w:rsid w:val="009C36EF"/>
    <w:rsid w:val="009D12D9"/>
    <w:rsid w:val="009D2085"/>
    <w:rsid w:val="009E0242"/>
    <w:rsid w:val="00A01BA4"/>
    <w:rsid w:val="00A10C6B"/>
    <w:rsid w:val="00A12109"/>
    <w:rsid w:val="00A1312B"/>
    <w:rsid w:val="00A255AE"/>
    <w:rsid w:val="00A30456"/>
    <w:rsid w:val="00A31FE8"/>
    <w:rsid w:val="00A3793F"/>
    <w:rsid w:val="00A466F9"/>
    <w:rsid w:val="00A52DE9"/>
    <w:rsid w:val="00A53473"/>
    <w:rsid w:val="00A54580"/>
    <w:rsid w:val="00A57453"/>
    <w:rsid w:val="00A66CAB"/>
    <w:rsid w:val="00A83CDF"/>
    <w:rsid w:val="00A8594A"/>
    <w:rsid w:val="00A91DEB"/>
    <w:rsid w:val="00A92734"/>
    <w:rsid w:val="00AA0CDD"/>
    <w:rsid w:val="00AA7E23"/>
    <w:rsid w:val="00AB4989"/>
    <w:rsid w:val="00AB58FD"/>
    <w:rsid w:val="00AC0344"/>
    <w:rsid w:val="00AD4F2E"/>
    <w:rsid w:val="00AE1661"/>
    <w:rsid w:val="00AE4181"/>
    <w:rsid w:val="00AE555A"/>
    <w:rsid w:val="00AE7FBF"/>
    <w:rsid w:val="00B004E3"/>
    <w:rsid w:val="00B06C8E"/>
    <w:rsid w:val="00B13B77"/>
    <w:rsid w:val="00B15FA8"/>
    <w:rsid w:val="00B163A6"/>
    <w:rsid w:val="00B21E43"/>
    <w:rsid w:val="00B25A59"/>
    <w:rsid w:val="00B34092"/>
    <w:rsid w:val="00B457EF"/>
    <w:rsid w:val="00B55412"/>
    <w:rsid w:val="00B61AAE"/>
    <w:rsid w:val="00B74C19"/>
    <w:rsid w:val="00B77ACF"/>
    <w:rsid w:val="00B846EF"/>
    <w:rsid w:val="00B8519E"/>
    <w:rsid w:val="00B863A5"/>
    <w:rsid w:val="00B9232A"/>
    <w:rsid w:val="00B96FD9"/>
    <w:rsid w:val="00BA2BD5"/>
    <w:rsid w:val="00BA57EC"/>
    <w:rsid w:val="00BC2BFA"/>
    <w:rsid w:val="00BC5D66"/>
    <w:rsid w:val="00BC6CC2"/>
    <w:rsid w:val="00BC7D8E"/>
    <w:rsid w:val="00BD0460"/>
    <w:rsid w:val="00BD4AE4"/>
    <w:rsid w:val="00BE12B4"/>
    <w:rsid w:val="00BE31C0"/>
    <w:rsid w:val="00BE602D"/>
    <w:rsid w:val="00BF024E"/>
    <w:rsid w:val="00BF4CD6"/>
    <w:rsid w:val="00C006EE"/>
    <w:rsid w:val="00C1669B"/>
    <w:rsid w:val="00C40B5A"/>
    <w:rsid w:val="00C4294B"/>
    <w:rsid w:val="00C517B4"/>
    <w:rsid w:val="00C650D5"/>
    <w:rsid w:val="00CB78F7"/>
    <w:rsid w:val="00CD4641"/>
    <w:rsid w:val="00CD6FCB"/>
    <w:rsid w:val="00CE3049"/>
    <w:rsid w:val="00CF2A2E"/>
    <w:rsid w:val="00CF65F0"/>
    <w:rsid w:val="00D05D4C"/>
    <w:rsid w:val="00D07268"/>
    <w:rsid w:val="00D33AD1"/>
    <w:rsid w:val="00D35466"/>
    <w:rsid w:val="00D370EF"/>
    <w:rsid w:val="00D4731C"/>
    <w:rsid w:val="00D54D4D"/>
    <w:rsid w:val="00D56801"/>
    <w:rsid w:val="00D60416"/>
    <w:rsid w:val="00D63AD5"/>
    <w:rsid w:val="00D6454D"/>
    <w:rsid w:val="00D64761"/>
    <w:rsid w:val="00D65825"/>
    <w:rsid w:val="00D721B2"/>
    <w:rsid w:val="00D802D2"/>
    <w:rsid w:val="00D82454"/>
    <w:rsid w:val="00D94D30"/>
    <w:rsid w:val="00DD2549"/>
    <w:rsid w:val="00DE3134"/>
    <w:rsid w:val="00DF5609"/>
    <w:rsid w:val="00E020D4"/>
    <w:rsid w:val="00E0698E"/>
    <w:rsid w:val="00E239AB"/>
    <w:rsid w:val="00E31BA1"/>
    <w:rsid w:val="00E33312"/>
    <w:rsid w:val="00E37EE9"/>
    <w:rsid w:val="00E54340"/>
    <w:rsid w:val="00E609E4"/>
    <w:rsid w:val="00E631B2"/>
    <w:rsid w:val="00E7146B"/>
    <w:rsid w:val="00E753A1"/>
    <w:rsid w:val="00E82ECA"/>
    <w:rsid w:val="00E83177"/>
    <w:rsid w:val="00E87E77"/>
    <w:rsid w:val="00E93814"/>
    <w:rsid w:val="00E94CA2"/>
    <w:rsid w:val="00EA09C5"/>
    <w:rsid w:val="00EA0C1D"/>
    <w:rsid w:val="00EA27DC"/>
    <w:rsid w:val="00EA7D26"/>
    <w:rsid w:val="00EB233A"/>
    <w:rsid w:val="00ED38E0"/>
    <w:rsid w:val="00ED73DA"/>
    <w:rsid w:val="00EE6E9E"/>
    <w:rsid w:val="00EF0B66"/>
    <w:rsid w:val="00EF37F2"/>
    <w:rsid w:val="00F00475"/>
    <w:rsid w:val="00F00CCD"/>
    <w:rsid w:val="00F02560"/>
    <w:rsid w:val="00F27F33"/>
    <w:rsid w:val="00F3117D"/>
    <w:rsid w:val="00F37D04"/>
    <w:rsid w:val="00F41044"/>
    <w:rsid w:val="00F44176"/>
    <w:rsid w:val="00F56ADB"/>
    <w:rsid w:val="00F6039C"/>
    <w:rsid w:val="00F62899"/>
    <w:rsid w:val="00F64E76"/>
    <w:rsid w:val="00F668F7"/>
    <w:rsid w:val="00F7355A"/>
    <w:rsid w:val="00F75D78"/>
    <w:rsid w:val="00F779D6"/>
    <w:rsid w:val="00F80BC5"/>
    <w:rsid w:val="00F91D85"/>
    <w:rsid w:val="00F932E4"/>
    <w:rsid w:val="00F959C8"/>
    <w:rsid w:val="00FA36C3"/>
    <w:rsid w:val="00FA5DF4"/>
    <w:rsid w:val="00FB0CB4"/>
    <w:rsid w:val="00FB11EB"/>
    <w:rsid w:val="00FB7A59"/>
    <w:rsid w:val="00FB7FCC"/>
    <w:rsid w:val="00FC7440"/>
    <w:rsid w:val="00FD0AD3"/>
    <w:rsid w:val="00FE0E14"/>
    <w:rsid w:val="00FF06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r="http://schemas.openxmlformats.org/officeDocument/2006/relationships" xmlns:w="http://schemas.openxmlformats.org/wordprocessingml/2006/main">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307369053">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146430832">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355769918">
      <w:bodyDiv w:val="1"/>
      <w:marLeft w:val="0"/>
      <w:marRight w:val="0"/>
      <w:marTop w:val="0"/>
      <w:marBottom w:val="0"/>
      <w:divBdr>
        <w:top w:val="none" w:sz="0" w:space="0" w:color="auto"/>
        <w:left w:val="none" w:sz="0" w:space="0" w:color="auto"/>
        <w:bottom w:val="none" w:sz="0" w:space="0" w:color="auto"/>
        <w:right w:val="none" w:sz="0" w:space="0" w:color="auto"/>
      </w:divBdr>
    </w:div>
    <w:div w:id="13822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ltercluster.org/Asia/Philippines/Typhoon%20Haiyan%202013/Documents/131116%20IEC%20phillipines-Illustrated%20Tent%20Guidelines.pdf" TargetMode="External"/><Relationship Id="rId18" Type="http://schemas.openxmlformats.org/officeDocument/2006/relationships/hyperlink" Target="http://www.sheltercluster.org/"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cccmtacloban@iom.int" TargetMode="External"/><Relationship Id="rId7" Type="http://schemas.openxmlformats.org/officeDocument/2006/relationships/settings" Target="settings.xml"/><Relationship Id="rId12" Type="http://schemas.openxmlformats.org/officeDocument/2006/relationships/hyperlink" Target="https://www.sheltercluster.org/Asia/Philippines/Typhoon%20Haiyan%202013/Documents/131116%20IEC%20-%20Tarpaulines.pdf" TargetMode="External"/><Relationship Id="rId17" Type="http://schemas.openxmlformats.org/officeDocument/2006/relationships/hyperlink" Target="mailto:tech.phil@sheltercluste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eltercluster.org/Asia/Philippines/Typhoon%20Haiyan%202013/Documents/131116%20IEC%20-%20BB%20Safer.pdf" TargetMode="External"/><Relationship Id="rId20" Type="http://schemas.openxmlformats.org/officeDocument/2006/relationships/hyperlink" Target="mailto:Jantolin@iom.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ilippines.humanitarianresponse.info/clusters/camp-coordination-manag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heltercluster.org/Asia/Philippines/Typhoon%20Haiyan%202013/Documents/131116%20IEC%20-%20SIte%20Plannin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ilippines.humanitarianresponse.info/clusters/camp-coordination-management"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Tacloban</TermName>
          <TermId xmlns="http://schemas.microsoft.com/office/infopath/2007/PartnerControls">301e470e-b941-41b0-8214-57ea379bda42</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class="ExternalClass946ED482D527425EA502C40B9AC52512"&gt;&lt;p&gt;​Tacloban Shelter Cluster/CCCM meeting minutes, 22 Nov&lt;/p&gt;&lt;/div&gt;</Document_x0020_Description>
    <Websio_x0020_Document_x0020_Preview xmlns="96664bca-06c0-4657-b6f9-0a997f5ff9b9">/Asia/Philippines/Typhoon Haiyan 2013/_layouts/WebsioPreviewField/preview.aspx?ID=75c680e2-cf22-4a09-a13e-c6937b2713be&amp;WebID=a1c0f9d5-aeb4-48da-a358-485900d4ba08&amp;SiteID=0e29c24b-3e6a-4c7c-8cc1-69b27805b55c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438</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317D7-86E2-495D-BD21-79FECD97DE22}"/>
</file>

<file path=customXml/itemProps2.xml><?xml version="1.0" encoding="utf-8"?>
<ds:datastoreItem xmlns:ds="http://schemas.openxmlformats.org/officeDocument/2006/customXml" ds:itemID="{40AE3C00-E38B-4994-8264-4C14CD96DEE6}"/>
</file>

<file path=customXml/itemProps3.xml><?xml version="1.0" encoding="utf-8"?>
<ds:datastoreItem xmlns:ds="http://schemas.openxmlformats.org/officeDocument/2006/customXml" ds:itemID="{48534105-4179-49D9-9303-A3B9C203A459}"/>
</file>

<file path=customXml/itemProps4.xml><?xml version="1.0" encoding="utf-8"?>
<ds:datastoreItem xmlns:ds="http://schemas.openxmlformats.org/officeDocument/2006/customXml" ds:itemID="{2376429B-526D-4DEF-9E60-A123831B81C3}"/>
</file>

<file path=docProps/app.xml><?xml version="1.0" encoding="utf-8"?>
<Properties xmlns="http://schemas.openxmlformats.org/officeDocument/2006/extended-properties" xmlns:vt="http://schemas.openxmlformats.org/officeDocument/2006/docPropsVTypes">
  <Template>Normal.dotm</Template>
  <TotalTime>137</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Tacloban</cp:keywords>
  <cp:lastModifiedBy>LTadmin</cp:lastModifiedBy>
  <cp:revision>6</cp:revision>
  <cp:lastPrinted>2006-08-01T09:44:00Z</cp:lastPrinted>
  <dcterms:created xsi:type="dcterms:W3CDTF">2013-11-22T11:38:00Z</dcterms:created>
  <dcterms:modified xsi:type="dcterms:W3CDTF">2013-11-23T00:17:00Z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438;#Tacloban|301e470e-b941-41b0-8214-57ea379bda42</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