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84" w:rsidRDefault="00095BB0" w:rsidP="00B170BD">
      <w:pPr>
        <w:pStyle w:val="Heading1"/>
        <w:jc w:val="center"/>
        <w:rPr>
          <w:lang w:val="en-US"/>
        </w:rPr>
      </w:pPr>
      <w:r w:rsidRPr="00095BB0">
        <w:rPr>
          <w:lang w:val="en-US"/>
        </w:rPr>
        <w:t>Shelter/NFI Working Group Meeting, Bujumbura</w:t>
      </w:r>
    </w:p>
    <w:p w:rsidR="00095BB0" w:rsidRPr="00B170BD" w:rsidRDefault="00B170BD" w:rsidP="00B170BD">
      <w:pPr>
        <w:pStyle w:val="Heading4"/>
        <w:jc w:val="center"/>
        <w:rPr>
          <w:lang w:val="en-US"/>
        </w:rPr>
      </w:pPr>
      <w:r w:rsidRPr="00B170BD">
        <w:rPr>
          <w:lang w:val="en-US"/>
        </w:rPr>
        <w:t xml:space="preserve">Date: </w:t>
      </w:r>
      <w:r w:rsidR="00095BB0" w:rsidRPr="00B170BD">
        <w:rPr>
          <w:lang w:val="en-US"/>
        </w:rPr>
        <w:t>– 26 March 2015</w:t>
      </w:r>
    </w:p>
    <w:p w:rsidR="00482784" w:rsidRDefault="00B170BD" w:rsidP="00B170BD">
      <w:pPr>
        <w:pStyle w:val="Heading4"/>
        <w:jc w:val="center"/>
        <w:rPr>
          <w:lang w:val="en-US"/>
        </w:rPr>
      </w:pPr>
      <w:proofErr w:type="gramStart"/>
      <w:r w:rsidRPr="00B170BD">
        <w:rPr>
          <w:lang w:val="en-US"/>
        </w:rPr>
        <w:t>Location :</w:t>
      </w:r>
      <w:proofErr w:type="gramEnd"/>
      <w:r w:rsidRPr="00B170BD">
        <w:rPr>
          <w:lang w:val="en-US"/>
        </w:rPr>
        <w:t xml:space="preserve"> IOM Bujumbura</w:t>
      </w:r>
    </w:p>
    <w:p w:rsidR="00B170BD" w:rsidRPr="00574A97" w:rsidRDefault="00B170BD" w:rsidP="00B170BD">
      <w:pPr>
        <w:rPr>
          <w:lang w:val="en-US"/>
        </w:rPr>
      </w:pPr>
    </w:p>
    <w:p w:rsidR="003E018D" w:rsidRPr="00574A97" w:rsidRDefault="00095BB0" w:rsidP="00E208A9">
      <w:pPr>
        <w:jc w:val="both"/>
        <w:rPr>
          <w:i/>
          <w:lang w:val="en-US"/>
        </w:rPr>
      </w:pPr>
      <w:r w:rsidRPr="00574A97">
        <w:rPr>
          <w:i/>
          <w:lang w:val="en-US"/>
        </w:rPr>
        <w:t xml:space="preserve">As lead for the </w:t>
      </w:r>
      <w:r w:rsidR="00574A97">
        <w:rPr>
          <w:i/>
          <w:lang w:val="en-US"/>
        </w:rPr>
        <w:t>S</w:t>
      </w:r>
      <w:r w:rsidRPr="00574A97">
        <w:rPr>
          <w:i/>
          <w:lang w:val="en-US"/>
        </w:rPr>
        <w:t>helter/NFI sector, IOM called a meeting with its partner</w:t>
      </w:r>
      <w:r w:rsidR="009517F3" w:rsidRPr="00574A97">
        <w:rPr>
          <w:i/>
          <w:lang w:val="en-US"/>
        </w:rPr>
        <w:t>s</w:t>
      </w:r>
      <w:r w:rsidRPr="00574A97">
        <w:rPr>
          <w:i/>
          <w:lang w:val="en-US"/>
        </w:rPr>
        <w:t xml:space="preserve"> on 26 March 2015. </w:t>
      </w:r>
    </w:p>
    <w:p w:rsidR="00095BB0" w:rsidRPr="00574A97" w:rsidRDefault="00095BB0" w:rsidP="00E208A9">
      <w:pPr>
        <w:jc w:val="both"/>
        <w:rPr>
          <w:i/>
          <w:lang w:val="en-US"/>
        </w:rPr>
      </w:pPr>
      <w:r w:rsidRPr="00574A97">
        <w:rPr>
          <w:i/>
          <w:lang w:val="en-US"/>
        </w:rPr>
        <w:t>UNHCR, UNICEF, IRC and the Burundian Red Cross sent representative</w:t>
      </w:r>
      <w:r w:rsidR="00E208A9" w:rsidRPr="00574A97">
        <w:rPr>
          <w:i/>
          <w:lang w:val="en-US"/>
        </w:rPr>
        <w:t>s</w:t>
      </w:r>
      <w:r w:rsidRPr="00574A97">
        <w:rPr>
          <w:i/>
          <w:lang w:val="en-US"/>
        </w:rPr>
        <w:t xml:space="preserve">. </w:t>
      </w:r>
    </w:p>
    <w:p w:rsidR="009517F3" w:rsidRDefault="009517F3" w:rsidP="00E208A9">
      <w:pPr>
        <w:jc w:val="both"/>
        <w:rPr>
          <w:b/>
          <w:lang w:val="en-US"/>
        </w:rPr>
      </w:pPr>
      <w:r w:rsidRPr="009517F3">
        <w:rPr>
          <w:b/>
          <w:lang w:val="en-US"/>
        </w:rPr>
        <w:t>Attendance</w:t>
      </w:r>
      <w:r>
        <w:rPr>
          <w:b/>
          <w:lang w:val="en-US"/>
        </w:rPr>
        <w:t>:</w:t>
      </w:r>
    </w:p>
    <w:p w:rsidR="009517F3" w:rsidRDefault="009517F3" w:rsidP="009517F3">
      <w:pPr>
        <w:jc w:val="both"/>
        <w:rPr>
          <w:lang w:val="en-US"/>
        </w:rPr>
      </w:pPr>
      <w:r w:rsidRPr="009517F3">
        <w:rPr>
          <w:lang w:val="en-US"/>
        </w:rPr>
        <w:t>Noell</w:t>
      </w:r>
      <w:r w:rsidR="00DA3624">
        <w:rPr>
          <w:lang w:val="en-US"/>
        </w:rPr>
        <w:t>e</w:t>
      </w:r>
      <w:r w:rsidRPr="009517F3">
        <w:rPr>
          <w:lang w:val="en-US"/>
        </w:rPr>
        <w:t xml:space="preserve"> </w:t>
      </w:r>
      <w:proofErr w:type="spellStart"/>
      <w:r w:rsidRPr="009517F3">
        <w:rPr>
          <w:lang w:val="en-US"/>
        </w:rPr>
        <w:t>Darbellay</w:t>
      </w:r>
      <w:proofErr w:type="spellEnd"/>
      <w:r w:rsidRPr="009517F3">
        <w:rPr>
          <w:lang w:val="en-US"/>
        </w:rPr>
        <w:t xml:space="preserve"> (IOM), Kristina </w:t>
      </w:r>
      <w:proofErr w:type="spellStart"/>
      <w:r w:rsidRPr="009517F3">
        <w:rPr>
          <w:lang w:val="en-US"/>
        </w:rPr>
        <w:t>Mejo</w:t>
      </w:r>
      <w:proofErr w:type="spellEnd"/>
      <w:r w:rsidRPr="009517F3">
        <w:rPr>
          <w:lang w:val="en-US"/>
        </w:rPr>
        <w:t xml:space="preserve"> (IOM), Joseph </w:t>
      </w:r>
      <w:proofErr w:type="spellStart"/>
      <w:r w:rsidRPr="009517F3">
        <w:rPr>
          <w:lang w:val="en-US"/>
        </w:rPr>
        <w:t>Ashmore</w:t>
      </w:r>
      <w:proofErr w:type="spellEnd"/>
      <w:r w:rsidR="00AA2B97">
        <w:rPr>
          <w:lang w:val="en-US"/>
        </w:rPr>
        <w:t xml:space="preserve"> </w:t>
      </w:r>
      <w:bookmarkStart w:id="0" w:name="_GoBack"/>
      <w:bookmarkEnd w:id="0"/>
      <w:r w:rsidRPr="009517F3">
        <w:rPr>
          <w:lang w:val="en-US"/>
        </w:rPr>
        <w:t>(IOM</w:t>
      </w:r>
      <w:r w:rsidR="00DA3624">
        <w:rPr>
          <w:lang w:val="en-US"/>
        </w:rPr>
        <w:t>)</w:t>
      </w:r>
      <w:r w:rsidRPr="009517F3">
        <w:rPr>
          <w:lang w:val="en-US"/>
        </w:rPr>
        <w:t>, Geneva and Glob</w:t>
      </w:r>
      <w:r w:rsidR="009E7CC6">
        <w:rPr>
          <w:lang w:val="en-US"/>
        </w:rPr>
        <w:t>al Shelter Cluster support team</w:t>
      </w:r>
      <w:r w:rsidRPr="009517F3">
        <w:rPr>
          <w:lang w:val="en-US"/>
        </w:rPr>
        <w:t xml:space="preserve">, </w:t>
      </w:r>
      <w:proofErr w:type="spellStart"/>
      <w:r w:rsidRPr="009517F3">
        <w:rPr>
          <w:lang w:val="en-US"/>
        </w:rPr>
        <w:t>Matteo</w:t>
      </w:r>
      <w:proofErr w:type="spellEnd"/>
      <w:r w:rsidRPr="009517F3">
        <w:rPr>
          <w:lang w:val="en-US"/>
        </w:rPr>
        <w:t xml:space="preserve"> </w:t>
      </w:r>
      <w:proofErr w:type="spellStart"/>
      <w:r w:rsidRPr="009517F3">
        <w:rPr>
          <w:lang w:val="en-US"/>
        </w:rPr>
        <w:t>Frontini</w:t>
      </w:r>
      <w:proofErr w:type="spellEnd"/>
      <w:r w:rsidRPr="009517F3">
        <w:rPr>
          <w:lang w:val="en-US"/>
        </w:rPr>
        <w:t xml:space="preserve"> (UNICEF</w:t>
      </w:r>
      <w:r w:rsidR="00574A97">
        <w:rPr>
          <w:lang w:val="en-US"/>
        </w:rPr>
        <w:t xml:space="preserve">), Marc </w:t>
      </w:r>
      <w:proofErr w:type="spellStart"/>
      <w:r w:rsidR="00574A97">
        <w:rPr>
          <w:lang w:val="en-US"/>
        </w:rPr>
        <w:t>Niyibikora</w:t>
      </w:r>
      <w:proofErr w:type="spellEnd"/>
      <w:r w:rsidR="00574A97">
        <w:rPr>
          <w:lang w:val="en-US"/>
        </w:rPr>
        <w:t xml:space="preserve"> (IRC), </w:t>
      </w:r>
      <w:proofErr w:type="spellStart"/>
      <w:r w:rsidR="00574A97">
        <w:rPr>
          <w:lang w:val="en-US"/>
        </w:rPr>
        <w:t>Alix</w:t>
      </w:r>
      <w:proofErr w:type="spellEnd"/>
      <w:r w:rsidR="00574A97">
        <w:rPr>
          <w:lang w:val="en-US"/>
        </w:rPr>
        <w:t xml:space="preserve"> </w:t>
      </w:r>
      <w:proofErr w:type="spellStart"/>
      <w:r w:rsidR="00574A97">
        <w:rPr>
          <w:lang w:val="en-US"/>
        </w:rPr>
        <w:t>M</w:t>
      </w:r>
      <w:r w:rsidRPr="009517F3">
        <w:rPr>
          <w:lang w:val="en-US"/>
        </w:rPr>
        <w:t>ashak</w:t>
      </w:r>
      <w:r w:rsidR="00DA3624">
        <w:rPr>
          <w:lang w:val="en-US"/>
        </w:rPr>
        <w:t>a</w:t>
      </w:r>
      <w:proofErr w:type="spellEnd"/>
      <w:r w:rsidR="00DA3624">
        <w:rPr>
          <w:lang w:val="en-US"/>
        </w:rPr>
        <w:t xml:space="preserve"> (UNHCR), Aloys </w:t>
      </w:r>
      <w:proofErr w:type="spellStart"/>
      <w:r w:rsidR="00DA3624">
        <w:rPr>
          <w:lang w:val="en-US"/>
        </w:rPr>
        <w:t>Nkeha</w:t>
      </w:r>
      <w:proofErr w:type="spellEnd"/>
      <w:r w:rsidR="00DA3624">
        <w:rPr>
          <w:lang w:val="en-US"/>
        </w:rPr>
        <w:t xml:space="preserve"> (UNHCR Jean-Claude</w:t>
      </w:r>
      <w:r w:rsidRPr="009517F3">
        <w:rPr>
          <w:lang w:val="en-US"/>
        </w:rPr>
        <w:t xml:space="preserve"> </w:t>
      </w:r>
      <w:proofErr w:type="spellStart"/>
      <w:r w:rsidRPr="009517F3">
        <w:rPr>
          <w:lang w:val="en-US"/>
        </w:rPr>
        <w:t>Niyongabo</w:t>
      </w:r>
      <w:proofErr w:type="spellEnd"/>
      <w:r w:rsidRPr="009517F3">
        <w:rPr>
          <w:lang w:val="en-US"/>
        </w:rPr>
        <w:t xml:space="preserve"> (CRB)</w:t>
      </w:r>
    </w:p>
    <w:p w:rsidR="00095BB0" w:rsidRPr="009517F3" w:rsidRDefault="009517F3" w:rsidP="009517F3">
      <w:pPr>
        <w:pStyle w:val="Heading2"/>
        <w:rPr>
          <w:lang w:val="en-US"/>
        </w:rPr>
      </w:pPr>
      <w:r w:rsidRPr="009517F3">
        <w:rPr>
          <w:lang w:val="en-US"/>
        </w:rPr>
        <w:t xml:space="preserve">1. </w:t>
      </w:r>
      <w:r w:rsidR="00095BB0" w:rsidRPr="009517F3">
        <w:rPr>
          <w:lang w:val="en-US"/>
        </w:rPr>
        <w:t>Introduction</w:t>
      </w:r>
    </w:p>
    <w:p w:rsidR="009517F3" w:rsidRDefault="00482784" w:rsidP="00482784">
      <w:pPr>
        <w:jc w:val="both"/>
        <w:rPr>
          <w:lang w:val="en-US"/>
        </w:rPr>
      </w:pPr>
      <w:r>
        <w:rPr>
          <w:lang w:val="en-US"/>
        </w:rPr>
        <w:t>The purpose of the meeting was to</w:t>
      </w:r>
      <w:r w:rsidR="009517F3">
        <w:rPr>
          <w:lang w:val="en-US"/>
        </w:rPr>
        <w:t>:</w:t>
      </w:r>
    </w:p>
    <w:p w:rsidR="009517F3" w:rsidRPr="009517F3" w:rsidRDefault="00A045E6" w:rsidP="009517F3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9517F3">
        <w:rPr>
          <w:lang w:val="en-US"/>
        </w:rPr>
        <w:t>identify various settlement op</w:t>
      </w:r>
      <w:r w:rsidR="00574A97">
        <w:rPr>
          <w:lang w:val="en-US"/>
        </w:rPr>
        <w:t>tions in the Burundian context</w:t>
      </w:r>
    </w:p>
    <w:p w:rsidR="009517F3" w:rsidRPr="009517F3" w:rsidRDefault="00A045E6" w:rsidP="009517F3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9517F3">
        <w:rPr>
          <w:lang w:val="en-US"/>
        </w:rPr>
        <w:t>review information management documents</w:t>
      </w:r>
      <w:r w:rsidR="009517F3" w:rsidRPr="009517F3">
        <w:rPr>
          <w:lang w:val="en-US"/>
        </w:rPr>
        <w:t xml:space="preserve">, tools </w:t>
      </w:r>
      <w:r w:rsidR="00574A97">
        <w:rPr>
          <w:lang w:val="en-US"/>
        </w:rPr>
        <w:t xml:space="preserve"> and overall strategy</w:t>
      </w:r>
    </w:p>
    <w:p w:rsidR="00095BB0" w:rsidRPr="009517F3" w:rsidRDefault="009517F3" w:rsidP="009517F3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9517F3">
        <w:rPr>
          <w:lang w:val="en-US"/>
        </w:rPr>
        <w:t xml:space="preserve">review ways of operating, hubs and </w:t>
      </w:r>
      <w:r w:rsidR="00A045E6" w:rsidRPr="009517F3">
        <w:rPr>
          <w:lang w:val="en-US"/>
        </w:rPr>
        <w:t>mobile team</w:t>
      </w:r>
      <w:r w:rsidRPr="009517F3">
        <w:rPr>
          <w:lang w:val="en-US"/>
        </w:rPr>
        <w:t>s</w:t>
      </w:r>
      <w:r w:rsidR="00A045E6" w:rsidRPr="009517F3">
        <w:rPr>
          <w:lang w:val="en-US"/>
        </w:rPr>
        <w:t xml:space="preserve"> </w:t>
      </w:r>
      <w:r w:rsidRPr="009517F3">
        <w:rPr>
          <w:lang w:val="en-US"/>
        </w:rPr>
        <w:t>for</w:t>
      </w:r>
      <w:r w:rsidR="00574A97">
        <w:rPr>
          <w:lang w:val="en-US"/>
        </w:rPr>
        <w:t xml:space="preserve"> the Burundian context</w:t>
      </w:r>
    </w:p>
    <w:p w:rsidR="00095BB0" w:rsidRPr="009517F3" w:rsidRDefault="009517F3" w:rsidP="009517F3">
      <w:pPr>
        <w:pStyle w:val="Heading2"/>
        <w:rPr>
          <w:lang w:val="en-US"/>
        </w:rPr>
      </w:pPr>
      <w:r w:rsidRPr="009517F3">
        <w:rPr>
          <w:lang w:val="en-US"/>
        </w:rPr>
        <w:t xml:space="preserve">2. </w:t>
      </w:r>
      <w:r w:rsidR="00095BB0" w:rsidRPr="009517F3">
        <w:rPr>
          <w:lang w:val="en-US"/>
        </w:rPr>
        <w:t>Response strategy</w:t>
      </w:r>
    </w:p>
    <w:p w:rsidR="00095BB0" w:rsidRPr="00574A97" w:rsidRDefault="009517F3" w:rsidP="009517F3">
      <w:pPr>
        <w:rPr>
          <w:b/>
          <w:lang w:val="en-US"/>
        </w:rPr>
      </w:pPr>
      <w:r w:rsidRPr="00574A97">
        <w:rPr>
          <w:b/>
          <w:lang w:val="en-US"/>
        </w:rPr>
        <w:t>Output: Summary table of expected settlement options and s</w:t>
      </w:r>
      <w:r w:rsidR="00574A97" w:rsidRPr="00574A97">
        <w:rPr>
          <w:b/>
          <w:lang w:val="en-US"/>
        </w:rPr>
        <w:t>helter response options (informal</w:t>
      </w:r>
      <w:r w:rsidRPr="00574A97">
        <w:rPr>
          <w:b/>
          <w:lang w:val="en-US"/>
        </w:rPr>
        <w:t xml:space="preserve"> material needs for prepositioning)</w:t>
      </w:r>
    </w:p>
    <w:p w:rsidR="009517F3" w:rsidRPr="00574A97" w:rsidRDefault="009517F3" w:rsidP="009517F3">
      <w:pPr>
        <w:rPr>
          <w:b/>
          <w:lang w:val="en-US"/>
        </w:rPr>
      </w:pPr>
      <w:r w:rsidRPr="00574A97">
        <w:rPr>
          <w:b/>
          <w:lang w:val="en-US"/>
        </w:rPr>
        <w:t>Agreement: to distribute household NFI and household wash items together wherever possible. This will require coordination with supplying agencies and implementing partners</w:t>
      </w:r>
    </w:p>
    <w:p w:rsidR="00095BB0" w:rsidRPr="009517F3" w:rsidRDefault="009517F3" w:rsidP="009517F3">
      <w:pPr>
        <w:pStyle w:val="Heading4"/>
        <w:rPr>
          <w:lang w:val="en-US"/>
        </w:rPr>
      </w:pPr>
      <w:r>
        <w:rPr>
          <w:lang w:val="en-US"/>
        </w:rPr>
        <w:t xml:space="preserve">2.1 </w:t>
      </w:r>
      <w:r w:rsidR="00095BB0" w:rsidRPr="009517F3">
        <w:rPr>
          <w:lang w:val="en-US"/>
        </w:rPr>
        <w:t>Increasing detail on Settlement options and responses</w:t>
      </w:r>
    </w:p>
    <w:p w:rsidR="00C46EC0" w:rsidRDefault="0098592A" w:rsidP="00F41C8D">
      <w:pPr>
        <w:rPr>
          <w:lang w:val="en-US"/>
        </w:rPr>
      </w:pPr>
      <w:r>
        <w:rPr>
          <w:lang w:val="en-US"/>
        </w:rPr>
        <w:t>Various potential settlement options were presented to the participants who were then asked to identify the most likely ones in the Burundian context.</w:t>
      </w:r>
      <w:r w:rsidR="00F41C8D">
        <w:rPr>
          <w:lang w:val="en-US"/>
        </w:rPr>
        <w:t xml:space="preserve"> These are summarized on the last page of tis document.</w:t>
      </w:r>
      <w:r w:rsidR="00821186">
        <w:rPr>
          <w:lang w:val="en-US"/>
        </w:rPr>
        <w:t xml:space="preserve"> </w:t>
      </w:r>
    </w:p>
    <w:p w:rsidR="00C46EC0" w:rsidRDefault="009517F3">
      <w:pPr>
        <w:rPr>
          <w:rFonts w:eastAsiaTheme="minorEastAsia"/>
          <w:lang w:val="en-US"/>
        </w:rPr>
      </w:pPr>
      <w:r>
        <w:rPr>
          <w:lang w:val="en-US"/>
        </w:rPr>
        <w:t>Note camps are not the preferred option, but may be required in exceptional circumstances.</w:t>
      </w:r>
    </w:p>
    <w:p w:rsidR="00C46EC0" w:rsidRPr="00C46EC0" w:rsidRDefault="00C46EC0" w:rsidP="00C46EC0">
      <w:pPr>
        <w:rPr>
          <w:lang w:val="en-US"/>
        </w:rPr>
      </w:pPr>
      <w:r>
        <w:rPr>
          <w:lang w:val="en-US"/>
        </w:rPr>
        <w:t>On this basis, three (3) types of kits</w:t>
      </w:r>
      <w:r w:rsidR="00DF209D">
        <w:rPr>
          <w:rStyle w:val="FootnoteReference"/>
          <w:lang w:val="en-US"/>
        </w:rPr>
        <w:footnoteReference w:id="1"/>
      </w:r>
      <w:r>
        <w:rPr>
          <w:lang w:val="en-US"/>
        </w:rPr>
        <w:t xml:space="preserve"> were identified</w:t>
      </w:r>
      <w:r w:rsidR="00574A97">
        <w:rPr>
          <w:lang w:val="en-US"/>
        </w:rPr>
        <w:t>.</w:t>
      </w:r>
      <w:r>
        <w:rPr>
          <w:lang w:val="en-US"/>
        </w:rPr>
        <w:t xml:space="preserve"> </w:t>
      </w:r>
    </w:p>
    <w:p w:rsidR="00301489" w:rsidRPr="00301489" w:rsidRDefault="00C46EC0" w:rsidP="00301489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486400" cy="3200400"/>
            <wp:effectExtent l="38100" t="19050" r="1905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5179C" w:rsidRDefault="00B170BD" w:rsidP="00417737">
      <w:pPr>
        <w:rPr>
          <w:lang w:val="en-US"/>
        </w:rPr>
      </w:pPr>
      <w:r>
        <w:rPr>
          <w:lang w:val="en-US"/>
        </w:rPr>
        <w:t xml:space="preserve">In the case of large scale and sudden displacement, </w:t>
      </w:r>
      <w:r w:rsidR="00574A97">
        <w:rPr>
          <w:lang w:val="en-US"/>
        </w:rPr>
        <w:t>l</w:t>
      </w:r>
      <w:r w:rsidR="00F5179C">
        <w:rPr>
          <w:lang w:val="en-US"/>
        </w:rPr>
        <w:t xml:space="preserve">ight-weight kits would be initially distributed to </w:t>
      </w:r>
      <w:r>
        <w:rPr>
          <w:lang w:val="en-US"/>
        </w:rPr>
        <w:t>temporary sites</w:t>
      </w:r>
      <w:r w:rsidR="00F5179C">
        <w:rPr>
          <w:lang w:val="en-US"/>
        </w:rPr>
        <w:t xml:space="preserve">. </w:t>
      </w:r>
      <w:r>
        <w:rPr>
          <w:lang w:val="en-US"/>
        </w:rPr>
        <w:t>They would also be provided to those returning to d</w:t>
      </w:r>
      <w:r w:rsidR="00574A97">
        <w:rPr>
          <w:lang w:val="en-US"/>
        </w:rPr>
        <w:t>a</w:t>
      </w:r>
      <w:r>
        <w:rPr>
          <w:lang w:val="en-US"/>
        </w:rPr>
        <w:t xml:space="preserve">maged houses. </w:t>
      </w:r>
      <w:r w:rsidR="00F5179C">
        <w:rPr>
          <w:lang w:val="en-US"/>
        </w:rPr>
        <w:t xml:space="preserve">In </w:t>
      </w:r>
      <w:r w:rsidR="00E874BD">
        <w:rPr>
          <w:lang w:val="en-US"/>
        </w:rPr>
        <w:t>the</w:t>
      </w:r>
      <w:r w:rsidR="00F5179C">
        <w:rPr>
          <w:lang w:val="en-US"/>
        </w:rPr>
        <w:t xml:space="preserve"> second phase of a response to a crisis, transitional kits would be distributed. </w:t>
      </w:r>
    </w:p>
    <w:p w:rsidR="00095BB0" w:rsidRPr="00417737" w:rsidRDefault="00417737" w:rsidP="00417737">
      <w:pPr>
        <w:rPr>
          <w:lang w:val="en-US"/>
        </w:rPr>
      </w:pPr>
      <w:r>
        <w:rPr>
          <w:lang w:val="en-US"/>
        </w:rPr>
        <w:t xml:space="preserve">It was agreed that for logistical reasons, it would be easier to distribute both NFI and WASH items at the same time rather than duplicate actions. </w:t>
      </w:r>
    </w:p>
    <w:p w:rsidR="00095BB0" w:rsidRPr="009517F3" w:rsidRDefault="009517F3" w:rsidP="009517F3">
      <w:pPr>
        <w:pStyle w:val="Heading3"/>
        <w:rPr>
          <w:lang w:val="en-US"/>
        </w:rPr>
      </w:pPr>
      <w:r w:rsidRPr="009517F3">
        <w:rPr>
          <w:lang w:val="en-US"/>
        </w:rPr>
        <w:t>3.</w:t>
      </w:r>
      <w:r w:rsidRPr="009517F3">
        <w:rPr>
          <w:lang w:val="en-US"/>
        </w:rPr>
        <w:tab/>
      </w:r>
      <w:r w:rsidR="00095BB0" w:rsidRPr="009517F3">
        <w:rPr>
          <w:lang w:val="en-US"/>
        </w:rPr>
        <w:t>Information management</w:t>
      </w:r>
    </w:p>
    <w:p w:rsidR="00095BB0" w:rsidRPr="00574A97" w:rsidRDefault="009517F3" w:rsidP="009517F3">
      <w:pPr>
        <w:pStyle w:val="Heading4"/>
        <w:rPr>
          <w:lang w:val="en-US"/>
        </w:rPr>
      </w:pPr>
      <w:r w:rsidRPr="00574A97">
        <w:rPr>
          <w:lang w:val="en-US"/>
        </w:rPr>
        <w:t xml:space="preserve">3.1 </w:t>
      </w:r>
      <w:r w:rsidR="00095BB0" w:rsidRPr="00574A97">
        <w:rPr>
          <w:lang w:val="en-US"/>
        </w:rPr>
        <w:t xml:space="preserve">MIRA </w:t>
      </w:r>
    </w:p>
    <w:p w:rsidR="004B712B" w:rsidRPr="004B712B" w:rsidRDefault="004B712B" w:rsidP="004B712B">
      <w:pPr>
        <w:rPr>
          <w:lang w:val="en-US"/>
        </w:rPr>
      </w:pPr>
      <w:r w:rsidRPr="004B712B">
        <w:rPr>
          <w:lang w:val="en-US"/>
        </w:rPr>
        <w:t xml:space="preserve">Based on the MIRA questionnaire that was developed in the Central African Republic (CAR), the participants revised </w:t>
      </w:r>
      <w:r w:rsidR="00F53BC4">
        <w:rPr>
          <w:lang w:val="en-US"/>
        </w:rPr>
        <w:t xml:space="preserve">the basic MIRA to adapt it to the Burundian context (revised version attached). </w:t>
      </w:r>
    </w:p>
    <w:p w:rsidR="00095BB0" w:rsidRPr="00095BB0" w:rsidRDefault="00095BB0" w:rsidP="003A5A9C">
      <w:pPr>
        <w:pStyle w:val="Heading4"/>
        <w:numPr>
          <w:ilvl w:val="1"/>
          <w:numId w:val="9"/>
        </w:numPr>
      </w:pPr>
      <w:proofErr w:type="spellStart"/>
      <w:r w:rsidRPr="00095BB0">
        <w:t>Shelter</w:t>
      </w:r>
      <w:proofErr w:type="spellEnd"/>
      <w:r w:rsidRPr="00095BB0">
        <w:t xml:space="preserve"> </w:t>
      </w:r>
      <w:proofErr w:type="spellStart"/>
      <w:r w:rsidRPr="00095BB0">
        <w:t>Assessments</w:t>
      </w:r>
      <w:proofErr w:type="spellEnd"/>
      <w:r w:rsidRPr="00095BB0">
        <w:t xml:space="preserve"> </w:t>
      </w:r>
      <w:r w:rsidR="00B170BD">
        <w:t>and registration</w:t>
      </w:r>
    </w:p>
    <w:p w:rsidR="00B170BD" w:rsidRPr="00574A97" w:rsidRDefault="00B170BD" w:rsidP="00B170BD">
      <w:pPr>
        <w:rPr>
          <w:b/>
          <w:lang w:val="en-US"/>
        </w:rPr>
      </w:pPr>
      <w:r w:rsidRPr="00574A97">
        <w:rPr>
          <w:b/>
          <w:lang w:val="en-US"/>
        </w:rPr>
        <w:t>Agreement: there should be single point agency of displacement figures</w:t>
      </w:r>
      <w:r w:rsidR="00574A97">
        <w:rPr>
          <w:b/>
          <w:lang w:val="en-US"/>
        </w:rPr>
        <w:t>.</w:t>
      </w:r>
    </w:p>
    <w:p w:rsidR="00B170BD" w:rsidRPr="00574A97" w:rsidRDefault="00B170BD" w:rsidP="00B170BD">
      <w:pPr>
        <w:rPr>
          <w:b/>
          <w:lang w:val="en-US"/>
        </w:rPr>
      </w:pPr>
      <w:r w:rsidRPr="00574A97">
        <w:rPr>
          <w:b/>
          <w:lang w:val="en-US"/>
        </w:rPr>
        <w:t xml:space="preserve">It was proposed that IOM take a lead in registration, and centralize figures. </w:t>
      </w:r>
    </w:p>
    <w:p w:rsidR="00095BB0" w:rsidRPr="00574A97" w:rsidRDefault="00B170BD" w:rsidP="00B170BD">
      <w:pPr>
        <w:rPr>
          <w:b/>
          <w:lang w:val="en-US"/>
        </w:rPr>
      </w:pPr>
      <w:r w:rsidRPr="00574A97">
        <w:rPr>
          <w:b/>
          <w:lang w:val="en-US"/>
        </w:rPr>
        <w:t xml:space="preserve">Action: </w:t>
      </w:r>
      <w:proofErr w:type="gramStart"/>
      <w:r w:rsidRPr="00574A97">
        <w:rPr>
          <w:b/>
          <w:lang w:val="en-US"/>
        </w:rPr>
        <w:t xml:space="preserve">Further </w:t>
      </w:r>
      <w:r w:rsidR="00574A97" w:rsidRPr="00574A97">
        <w:rPr>
          <w:b/>
          <w:lang w:val="en-US"/>
        </w:rPr>
        <w:t>discussions</w:t>
      </w:r>
      <w:r w:rsidRPr="00574A97">
        <w:rPr>
          <w:b/>
          <w:lang w:val="en-US"/>
        </w:rPr>
        <w:t xml:space="preserve"> is</w:t>
      </w:r>
      <w:proofErr w:type="gramEnd"/>
      <w:r w:rsidRPr="00574A97">
        <w:rPr>
          <w:b/>
          <w:lang w:val="en-US"/>
        </w:rPr>
        <w:t xml:space="preserve"> required between agencies to resolve issues relating to registration processes and cards</w:t>
      </w:r>
      <w:r w:rsidR="00574A97" w:rsidRPr="00574A97">
        <w:rPr>
          <w:b/>
          <w:lang w:val="en-US"/>
        </w:rPr>
        <w:t>.</w:t>
      </w:r>
    </w:p>
    <w:p w:rsidR="00095BB0" w:rsidRPr="00B170BD" w:rsidRDefault="003A5A9C" w:rsidP="003A5A9C">
      <w:pPr>
        <w:pStyle w:val="Heading4"/>
        <w:rPr>
          <w:lang w:val="en-US"/>
        </w:rPr>
      </w:pPr>
      <w:r w:rsidRPr="00B170BD">
        <w:rPr>
          <w:lang w:val="en-US"/>
        </w:rPr>
        <w:t xml:space="preserve">3.3 </w:t>
      </w:r>
      <w:r w:rsidR="00095BB0" w:rsidRPr="00B170BD">
        <w:rPr>
          <w:lang w:val="en-US"/>
        </w:rPr>
        <w:t>Commodity tracking and forms</w:t>
      </w:r>
    </w:p>
    <w:p w:rsidR="003A5A9C" w:rsidRPr="00574A97" w:rsidRDefault="003A5A9C" w:rsidP="004F49F3">
      <w:pPr>
        <w:rPr>
          <w:b/>
          <w:lang w:val="en-US"/>
        </w:rPr>
      </w:pPr>
      <w:r w:rsidRPr="00574A97">
        <w:rPr>
          <w:b/>
          <w:lang w:val="en-US"/>
        </w:rPr>
        <w:t>Agreement: use of a single standard form for tracking distributions</w:t>
      </w:r>
    </w:p>
    <w:p w:rsidR="00095BB0" w:rsidRDefault="004F49F3" w:rsidP="004F49F3">
      <w:pPr>
        <w:rPr>
          <w:lang w:val="en-US"/>
        </w:rPr>
      </w:pPr>
      <w:r w:rsidRPr="004F49F3">
        <w:rPr>
          <w:lang w:val="en-US"/>
        </w:rPr>
        <w:t xml:space="preserve">All participants agreed that for </w:t>
      </w:r>
      <w:r w:rsidR="003A5A9C">
        <w:rPr>
          <w:lang w:val="en-US"/>
        </w:rPr>
        <w:t xml:space="preserve">overall </w:t>
      </w:r>
      <w:r w:rsidRPr="004F49F3">
        <w:rPr>
          <w:lang w:val="en-US"/>
        </w:rPr>
        <w:t>monitoring, reporting and transparency purposes, it would be better to use one single</w:t>
      </w:r>
      <w:r>
        <w:rPr>
          <w:lang w:val="en-US"/>
        </w:rPr>
        <w:t xml:space="preserve"> standardized commodity tracking form. </w:t>
      </w:r>
      <w:r w:rsidR="003A5A9C">
        <w:rPr>
          <w:lang w:val="en-US"/>
        </w:rPr>
        <w:t>However</w:t>
      </w:r>
      <w:r w:rsidR="00574A97">
        <w:rPr>
          <w:lang w:val="en-US"/>
        </w:rPr>
        <w:t>,</w:t>
      </w:r>
      <w:r w:rsidR="003A5A9C">
        <w:rPr>
          <w:lang w:val="en-US"/>
        </w:rPr>
        <w:t xml:space="preserve"> agencies would still use their own systems for internal and donor requirements. </w:t>
      </w:r>
      <w:r>
        <w:rPr>
          <w:lang w:val="en-US"/>
        </w:rPr>
        <w:t xml:space="preserve">IOM will be responsible to share a form used in another context with the participants and adapt it if necessary to the context. </w:t>
      </w:r>
    </w:p>
    <w:p w:rsidR="00656918" w:rsidRDefault="00A91151" w:rsidP="004F49F3">
      <w:pPr>
        <w:rPr>
          <w:lang w:val="en-US"/>
        </w:rPr>
      </w:pPr>
      <w:r>
        <w:rPr>
          <w:lang w:val="en-US"/>
        </w:rPr>
        <w:t xml:space="preserve">This is particularly </w:t>
      </w:r>
      <w:proofErr w:type="gramStart"/>
      <w:r>
        <w:rPr>
          <w:lang w:val="en-US"/>
        </w:rPr>
        <w:t>key</w:t>
      </w:r>
      <w:proofErr w:type="gramEnd"/>
      <w:r>
        <w:rPr>
          <w:lang w:val="en-US"/>
        </w:rPr>
        <w:t xml:space="preserve"> as it will allow </w:t>
      </w:r>
      <w:r w:rsidR="00656918">
        <w:rPr>
          <w:lang w:val="en-US"/>
        </w:rPr>
        <w:t>avoiding duplication and as UN Agencies and IOM often resorting</w:t>
      </w:r>
      <w:r w:rsidR="00D006CB">
        <w:rPr>
          <w:lang w:val="en-US"/>
        </w:rPr>
        <w:t xml:space="preserve"> to the same implementing partners, it would make their tasks easier when reporting if there is one standardized commodity tracking form. </w:t>
      </w:r>
    </w:p>
    <w:p w:rsidR="00095BB0" w:rsidRPr="00A045E6" w:rsidRDefault="00095BB0" w:rsidP="003A5A9C">
      <w:pPr>
        <w:pStyle w:val="ListParagraph"/>
        <w:numPr>
          <w:ilvl w:val="0"/>
          <w:numId w:val="8"/>
        </w:numPr>
        <w:rPr>
          <w:b/>
        </w:rPr>
      </w:pPr>
      <w:r w:rsidRPr="00A045E6">
        <w:rPr>
          <w:b/>
        </w:rPr>
        <w:t>Coverage and mobile teams</w:t>
      </w:r>
    </w:p>
    <w:p w:rsidR="00B170BD" w:rsidRPr="00574A97" w:rsidRDefault="00574A97" w:rsidP="00095BB0">
      <w:pPr>
        <w:rPr>
          <w:b/>
          <w:lang w:val="en-US"/>
        </w:rPr>
      </w:pPr>
      <w:r w:rsidRPr="00574A97">
        <w:rPr>
          <w:b/>
          <w:lang w:val="en-US"/>
        </w:rPr>
        <w:lastRenderedPageBreak/>
        <w:t>Action: Ag</w:t>
      </w:r>
      <w:r w:rsidR="00B170BD" w:rsidRPr="00574A97">
        <w:rPr>
          <w:b/>
          <w:lang w:val="en-US"/>
        </w:rPr>
        <w:t xml:space="preserve">encies should to look into establishing </w:t>
      </w:r>
      <w:proofErr w:type="spellStart"/>
      <w:r w:rsidR="00B170BD" w:rsidRPr="00574A97">
        <w:rPr>
          <w:b/>
          <w:lang w:val="en-US"/>
        </w:rPr>
        <w:t>MoUs</w:t>
      </w:r>
      <w:proofErr w:type="spellEnd"/>
      <w:r w:rsidR="00B170BD" w:rsidRPr="00574A97">
        <w:rPr>
          <w:b/>
          <w:lang w:val="en-US"/>
        </w:rPr>
        <w:t xml:space="preserve"> in relation to </w:t>
      </w:r>
      <w:r w:rsidRPr="00574A97">
        <w:rPr>
          <w:b/>
          <w:lang w:val="en-US"/>
        </w:rPr>
        <w:t>distribution</w:t>
      </w:r>
      <w:r w:rsidR="00B170BD" w:rsidRPr="00574A97">
        <w:rPr>
          <w:b/>
          <w:lang w:val="en-US"/>
        </w:rPr>
        <w:t xml:space="preserve"> and data collection. Close </w:t>
      </w:r>
      <w:r w:rsidRPr="00574A97">
        <w:rPr>
          <w:b/>
          <w:lang w:val="en-US"/>
        </w:rPr>
        <w:t>coordination</w:t>
      </w:r>
      <w:r w:rsidR="00B170BD" w:rsidRPr="00574A97">
        <w:rPr>
          <w:b/>
          <w:lang w:val="en-US"/>
        </w:rPr>
        <w:t xml:space="preserve"> </w:t>
      </w:r>
      <w:r w:rsidRPr="00574A97">
        <w:rPr>
          <w:b/>
          <w:lang w:val="en-US"/>
        </w:rPr>
        <w:t>will</w:t>
      </w:r>
      <w:r w:rsidR="00B170BD" w:rsidRPr="00574A97">
        <w:rPr>
          <w:b/>
          <w:lang w:val="en-US"/>
        </w:rPr>
        <w:t xml:space="preserve"> </w:t>
      </w:r>
      <w:r w:rsidRPr="00574A97">
        <w:rPr>
          <w:b/>
          <w:lang w:val="en-US"/>
        </w:rPr>
        <w:t>required</w:t>
      </w:r>
      <w:r w:rsidR="00B170BD" w:rsidRPr="00574A97">
        <w:rPr>
          <w:b/>
          <w:lang w:val="en-US"/>
        </w:rPr>
        <w:t xml:space="preserve"> between shelter and wash leads to ensure effective common use of resources.</w:t>
      </w:r>
    </w:p>
    <w:p w:rsidR="00095BB0" w:rsidRDefault="00656918" w:rsidP="00095BB0">
      <w:pPr>
        <w:rPr>
          <w:lang w:val="en-US"/>
        </w:rPr>
      </w:pPr>
      <w:r>
        <w:rPr>
          <w:lang w:val="en-US"/>
        </w:rPr>
        <w:t xml:space="preserve">The use of mobile teams in the country would be something to be further explored by the working group. </w:t>
      </w:r>
    </w:p>
    <w:p w:rsidR="00656918" w:rsidRDefault="00656918" w:rsidP="00095BB0">
      <w:pPr>
        <w:rPr>
          <w:lang w:val="en-US"/>
        </w:rPr>
      </w:pPr>
      <w:r>
        <w:rPr>
          <w:lang w:val="en-US"/>
        </w:rPr>
        <w:t xml:space="preserve">In this context, UNICEF also explained that they are currently signing stand-by agreement with various partners to preposition items and ensure a quick response in case of a crisis. </w:t>
      </w:r>
    </w:p>
    <w:p w:rsidR="00987226" w:rsidRDefault="00987226" w:rsidP="00095BB0">
      <w:pPr>
        <w:rPr>
          <w:lang w:val="en-US"/>
        </w:rPr>
      </w:pPr>
      <w:r>
        <w:rPr>
          <w:lang w:val="en-US"/>
        </w:rPr>
        <w:t xml:space="preserve">This will also be further explored by other working group members. </w:t>
      </w:r>
    </w:p>
    <w:p w:rsidR="00AF483A" w:rsidRDefault="00AF483A" w:rsidP="00095BB0">
      <w:pPr>
        <w:rPr>
          <w:lang w:val="en-US"/>
        </w:rPr>
        <w:sectPr w:rsidR="00AF483A">
          <w:head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1C8D" w:rsidRPr="00F41C8D" w:rsidRDefault="00F41C8D" w:rsidP="00F41C8D">
      <w:pPr>
        <w:pStyle w:val="Heading1"/>
      </w:pPr>
      <w:r w:rsidRPr="00F41C8D">
        <w:lastRenderedPageBreak/>
        <w:t>Sommaire des options pour les déplacées</w:t>
      </w:r>
    </w:p>
    <w:p w:rsidR="00AF483A" w:rsidRPr="005A1C4F" w:rsidRDefault="00AF483A" w:rsidP="00AF483A">
      <w:pPr>
        <w:spacing w:after="0"/>
        <w:rPr>
          <w:i/>
          <w:color w:val="284353"/>
        </w:rPr>
      </w:pPr>
      <w:r w:rsidRPr="005A1C4F">
        <w:rPr>
          <w:i/>
          <w:color w:val="284353"/>
        </w:rPr>
        <w:t xml:space="preserve">Ce document a été élaboré afin d’identifier les endroits dans lesquels les personnes déplacées au Burundi pourraient fuir/chercher un abri en cas de crises (socio-politique, naturelle, médicale, etc.). Ce document ne vise en aucun cas à promouvoir la construction de camps qui ne sera considérée que comme solution de dernier recourt.  </w:t>
      </w:r>
    </w:p>
    <w:p w:rsidR="00AF483A" w:rsidRPr="005A1C4F" w:rsidRDefault="00AF483A" w:rsidP="00AF483A">
      <w:pPr>
        <w:spacing w:after="0"/>
        <w:rPr>
          <w:b/>
          <w:color w:val="284353"/>
        </w:rPr>
      </w:pPr>
    </w:p>
    <w:p w:rsidR="00AF483A" w:rsidRPr="00ED3ED3" w:rsidRDefault="00AF483A" w:rsidP="00AF483A">
      <w:pPr>
        <w:spacing w:after="0"/>
        <w:rPr>
          <w:b/>
          <w:color w:val="284353"/>
        </w:rPr>
      </w:pPr>
      <w:r w:rsidRPr="00ED3ED3">
        <w:rPr>
          <w:b/>
          <w:color w:val="284353"/>
        </w:rPr>
        <w:t>Plan d'intervention</w:t>
      </w:r>
    </w:p>
    <w:tbl>
      <w:tblPr>
        <w:tblW w:w="15012" w:type="dxa"/>
        <w:tblInd w:w="-1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240"/>
        <w:gridCol w:w="1065"/>
        <w:gridCol w:w="992"/>
        <w:gridCol w:w="2835"/>
        <w:gridCol w:w="850"/>
        <w:gridCol w:w="2835"/>
        <w:gridCol w:w="2835"/>
      </w:tblGrid>
      <w:tr w:rsidR="00AF483A" w:rsidRPr="00ED3ED3" w:rsidTr="00AF483A">
        <w:tc>
          <w:tcPr>
            <w:tcW w:w="3600" w:type="dxa"/>
            <w:gridSpan w:val="2"/>
            <w:vMerge w:val="restart"/>
            <w:shd w:val="clear" w:color="auto" w:fill="800000"/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FFFFFF"/>
                <w:szCs w:val="20"/>
              </w:rPr>
            </w:pPr>
            <w:r w:rsidRPr="00ED3ED3">
              <w:rPr>
                <w:b/>
                <w:color w:val="FFFFFF"/>
                <w:szCs w:val="20"/>
              </w:rPr>
              <w:t>Groupes cibles</w:t>
            </w:r>
          </w:p>
        </w:tc>
        <w:tc>
          <w:tcPr>
            <w:tcW w:w="1065" w:type="dxa"/>
            <w:vMerge w:val="restart"/>
            <w:shd w:val="clear" w:color="auto" w:fill="800000"/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FFFFFF"/>
                <w:szCs w:val="20"/>
              </w:rPr>
            </w:pPr>
            <w:r w:rsidRPr="00ED3ED3">
              <w:rPr>
                <w:b/>
                <w:color w:val="FFFFFF"/>
                <w:szCs w:val="20"/>
              </w:rPr>
              <w:t>Nombre total de cas estimé</w:t>
            </w:r>
            <w:r>
              <w:rPr>
                <w:b/>
                <w:color w:val="FFFFFF"/>
                <w:szCs w:val="20"/>
              </w:rPr>
              <w:t>(s)</w:t>
            </w:r>
          </w:p>
        </w:tc>
        <w:tc>
          <w:tcPr>
            <w:tcW w:w="3827" w:type="dxa"/>
            <w:gridSpan w:val="2"/>
            <w:shd w:val="clear" w:color="auto" w:fill="800000"/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FFFFFF"/>
                <w:szCs w:val="20"/>
              </w:rPr>
            </w:pPr>
            <w:r w:rsidRPr="00ED3ED3">
              <w:rPr>
                <w:b/>
                <w:color w:val="FFFFFF"/>
                <w:szCs w:val="20"/>
              </w:rPr>
              <w:t>Activités d'urgence</w:t>
            </w:r>
          </w:p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FFFFFF"/>
                <w:szCs w:val="20"/>
              </w:rPr>
            </w:pPr>
            <w:r w:rsidRPr="00ED3ED3">
              <w:rPr>
                <w:color w:val="FFFFFF"/>
                <w:szCs w:val="20"/>
              </w:rPr>
              <w:t>(jusqu'à 6 semaines – le cas échéant)</w:t>
            </w:r>
          </w:p>
        </w:tc>
        <w:tc>
          <w:tcPr>
            <w:tcW w:w="3685" w:type="dxa"/>
            <w:gridSpan w:val="2"/>
            <w:shd w:val="clear" w:color="auto" w:fill="800000"/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FFFFFF"/>
                <w:szCs w:val="20"/>
              </w:rPr>
            </w:pPr>
            <w:r w:rsidRPr="00ED3ED3">
              <w:rPr>
                <w:b/>
                <w:color w:val="FFFFFF"/>
                <w:szCs w:val="20"/>
              </w:rPr>
              <w:t>Activités de re</w:t>
            </w:r>
            <w:r>
              <w:rPr>
                <w:b/>
                <w:color w:val="FFFFFF"/>
                <w:szCs w:val="20"/>
              </w:rPr>
              <w:t>lèvement précoces</w:t>
            </w:r>
          </w:p>
          <w:p w:rsidR="00AF483A" w:rsidRPr="00ED3ED3" w:rsidRDefault="00AF483A" w:rsidP="00B81362">
            <w:pPr>
              <w:spacing w:after="0" w:line="240" w:lineRule="auto"/>
              <w:jc w:val="center"/>
              <w:rPr>
                <w:b/>
                <w:color w:val="FFFFFF"/>
                <w:szCs w:val="20"/>
              </w:rPr>
            </w:pPr>
            <w:r w:rsidRPr="00ED3ED3">
              <w:rPr>
                <w:color w:val="FFFFFF"/>
                <w:szCs w:val="20"/>
              </w:rPr>
              <w:t>(jusqu'à 9 mois – le cas échéant)</w:t>
            </w:r>
          </w:p>
        </w:tc>
        <w:tc>
          <w:tcPr>
            <w:tcW w:w="2835" w:type="dxa"/>
            <w:vMerge w:val="restart"/>
            <w:shd w:val="clear" w:color="auto" w:fill="800000"/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FFFFFF"/>
                <w:szCs w:val="20"/>
              </w:rPr>
            </w:pPr>
            <w:r w:rsidRPr="00ED3ED3">
              <w:rPr>
                <w:b/>
                <w:color w:val="FFFFFF"/>
                <w:szCs w:val="20"/>
              </w:rPr>
              <w:t>Cibles /</w:t>
            </w:r>
          </w:p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FFFFFF"/>
                <w:szCs w:val="20"/>
              </w:rPr>
            </w:pPr>
            <w:r w:rsidRPr="00ED3ED3">
              <w:rPr>
                <w:b/>
                <w:color w:val="FFFFFF"/>
                <w:szCs w:val="20"/>
              </w:rPr>
              <w:t>Hypothèses/Notes</w:t>
            </w:r>
          </w:p>
        </w:tc>
      </w:tr>
      <w:tr w:rsidR="00AF483A" w:rsidRPr="00ED3ED3" w:rsidTr="00AF483A">
        <w:tc>
          <w:tcPr>
            <w:tcW w:w="3600" w:type="dxa"/>
            <w:gridSpan w:val="2"/>
            <w:vMerge/>
            <w:tcBorders>
              <w:bottom w:val="single" w:sz="8" w:space="0" w:color="B8B8B8"/>
            </w:tcBorders>
            <w:shd w:val="clear" w:color="auto" w:fill="800000"/>
          </w:tcPr>
          <w:p w:rsidR="00AF483A" w:rsidRPr="00ED3ED3" w:rsidRDefault="00AF483A" w:rsidP="00B81362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1065" w:type="dxa"/>
            <w:vMerge/>
            <w:tcBorders>
              <w:bottom w:val="single" w:sz="8" w:space="0" w:color="B8B8B8"/>
            </w:tcBorders>
            <w:shd w:val="clear" w:color="auto" w:fill="800000"/>
          </w:tcPr>
          <w:p w:rsidR="00AF483A" w:rsidRPr="00ED3ED3" w:rsidRDefault="00AF483A" w:rsidP="00B81362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992" w:type="dxa"/>
            <w:tcBorders>
              <w:bottom w:val="single" w:sz="8" w:space="0" w:color="B8B8B8"/>
            </w:tcBorders>
            <w:shd w:val="clear" w:color="auto" w:fill="800000"/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FFFFFF"/>
                <w:szCs w:val="20"/>
              </w:rPr>
            </w:pPr>
            <w:r w:rsidRPr="00ED3ED3">
              <w:rPr>
                <w:color w:val="FFFFFF"/>
                <w:szCs w:val="20"/>
              </w:rPr>
              <w:t>Cible #HH</w:t>
            </w:r>
          </w:p>
        </w:tc>
        <w:tc>
          <w:tcPr>
            <w:tcW w:w="2835" w:type="dxa"/>
            <w:tcBorders>
              <w:bottom w:val="single" w:sz="8" w:space="0" w:color="B8B8B8"/>
            </w:tcBorders>
            <w:shd w:val="clear" w:color="auto" w:fill="800000"/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FFFFFF"/>
                <w:szCs w:val="20"/>
              </w:rPr>
            </w:pPr>
            <w:r w:rsidRPr="00ED3ED3">
              <w:rPr>
                <w:color w:val="FFFFFF"/>
                <w:szCs w:val="20"/>
              </w:rPr>
              <w:t>Interventions et normes approuvées</w:t>
            </w:r>
          </w:p>
        </w:tc>
        <w:tc>
          <w:tcPr>
            <w:tcW w:w="850" w:type="dxa"/>
            <w:tcBorders>
              <w:bottom w:val="single" w:sz="8" w:space="0" w:color="B8B8B8"/>
            </w:tcBorders>
            <w:shd w:val="clear" w:color="auto" w:fill="800000"/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FFFFFF"/>
                <w:szCs w:val="20"/>
              </w:rPr>
            </w:pPr>
            <w:r w:rsidRPr="00ED3ED3">
              <w:rPr>
                <w:color w:val="FFFFFF"/>
                <w:szCs w:val="20"/>
              </w:rPr>
              <w:t>Cible #HH</w:t>
            </w:r>
          </w:p>
        </w:tc>
        <w:tc>
          <w:tcPr>
            <w:tcW w:w="2835" w:type="dxa"/>
            <w:tcBorders>
              <w:bottom w:val="single" w:sz="8" w:space="0" w:color="B8B8B8"/>
            </w:tcBorders>
            <w:shd w:val="clear" w:color="auto" w:fill="800000"/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FFFFFF"/>
                <w:szCs w:val="20"/>
              </w:rPr>
            </w:pPr>
            <w:r w:rsidRPr="00ED3ED3">
              <w:rPr>
                <w:color w:val="FFFFFF"/>
                <w:szCs w:val="20"/>
              </w:rPr>
              <w:t>Interventions et normes approuvées</w:t>
            </w:r>
          </w:p>
        </w:tc>
        <w:tc>
          <w:tcPr>
            <w:tcW w:w="2835" w:type="dxa"/>
            <w:vMerge/>
            <w:tcBorders>
              <w:bottom w:val="single" w:sz="8" w:space="0" w:color="B8B8B8"/>
            </w:tcBorders>
            <w:shd w:val="clear" w:color="auto" w:fill="800000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b/>
                <w:color w:val="FFFFFF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 w:val="restart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textDirection w:val="btLr"/>
            <w:vAlign w:val="center"/>
          </w:tcPr>
          <w:p w:rsidR="00AF483A" w:rsidRPr="00ED3ED3" w:rsidRDefault="00AF483A" w:rsidP="00B81362">
            <w:pPr>
              <w:spacing w:after="0" w:line="240" w:lineRule="auto"/>
              <w:ind w:left="113" w:right="113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Personnes déplacées</w:t>
            </w:r>
          </w:p>
        </w:tc>
        <w:tc>
          <w:tcPr>
            <w:tcW w:w="3240" w:type="dxa"/>
            <w:vMerge w:val="restart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>
              <w:rPr>
                <w:color w:val="284353"/>
                <w:szCs w:val="20"/>
              </w:rPr>
              <w:t>C</w:t>
            </w:r>
            <w:r w:rsidRPr="00ED3ED3">
              <w:rPr>
                <w:color w:val="284353"/>
                <w:szCs w:val="20"/>
              </w:rPr>
              <w:t>entres collectifs</w:t>
            </w:r>
            <w:r>
              <w:rPr>
                <w:color w:val="284353"/>
                <w:szCs w:val="20"/>
              </w:rPr>
              <w:t xml:space="preserve"> </w:t>
            </w:r>
            <w:r w:rsidRPr="00F41C8D">
              <w:rPr>
                <w:color w:val="284353"/>
                <w:sz w:val="16"/>
                <w:szCs w:val="16"/>
              </w:rPr>
              <w:t>(école, église, marché, chef-lieu de commune, bâtiment privé, centre de santé, hangar)</w:t>
            </w:r>
          </w:p>
        </w:tc>
        <w:tc>
          <w:tcPr>
            <w:tcW w:w="1065" w:type="dxa"/>
            <w:vMerge w:val="restart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 xml:space="preserve">INT1 </w:t>
            </w:r>
            <w:r>
              <w:rPr>
                <w:color w:val="284353"/>
                <w:szCs w:val="20"/>
              </w:rPr>
              <w:t>–</w:t>
            </w:r>
            <w:r w:rsidRPr="00ED3ED3">
              <w:rPr>
                <w:color w:val="284353"/>
                <w:szCs w:val="20"/>
              </w:rPr>
              <w:t xml:space="preserve"> </w:t>
            </w:r>
            <w:r>
              <w:rPr>
                <w:color w:val="284353"/>
                <w:szCs w:val="20"/>
              </w:rPr>
              <w:t>Kit Non Vivres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vMerge w:val="restart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 w:rsidRPr="002753B8">
              <w:rPr>
                <w:color w:val="284353"/>
                <w:szCs w:val="20"/>
              </w:rPr>
              <w:t>INT 8 - réhabilitation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/>
            <w:tcBorders>
              <w:left w:val="single" w:sz="8" w:space="0" w:color="B8B8B8"/>
              <w:right w:val="single" w:sz="8" w:space="0" w:color="B8B8B8"/>
            </w:tcBorders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>
              <w:rPr>
                <w:color w:val="284353"/>
                <w:szCs w:val="20"/>
              </w:rPr>
              <w:t>INT4 – Amélioration du site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/>
            <w:tcBorders>
              <w:left w:val="single" w:sz="8" w:space="0" w:color="B8B8B8"/>
              <w:right w:val="single" w:sz="8" w:space="0" w:color="B8B8B8"/>
            </w:tcBorders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>
              <w:rPr>
                <w:color w:val="284353"/>
                <w:szCs w:val="20"/>
              </w:rPr>
              <w:t>INT</w:t>
            </w:r>
            <w:r w:rsidRPr="002753B8">
              <w:rPr>
                <w:color w:val="284353"/>
                <w:szCs w:val="20"/>
              </w:rPr>
              <w:t>6 – Cuisines communales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vMerge/>
            <w:tcBorders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/>
            <w:tcBorders>
              <w:left w:val="single" w:sz="8" w:space="0" w:color="B8B8B8"/>
              <w:right w:val="single" w:sz="8" w:space="0" w:color="B8B8B8"/>
            </w:tcBorders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>
              <w:rPr>
                <w:color w:val="284353"/>
                <w:szCs w:val="20"/>
              </w:rPr>
              <w:t xml:space="preserve">Site spontanées dispersés </w:t>
            </w:r>
          </w:p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>
              <w:rPr>
                <w:color w:val="284353"/>
                <w:szCs w:val="20"/>
              </w:rPr>
              <w:t>(stade)</w:t>
            </w:r>
          </w:p>
        </w:tc>
        <w:tc>
          <w:tcPr>
            <w:tcW w:w="1065" w:type="dxa"/>
            <w:vMerge w:val="restart"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>
              <w:rPr>
                <w:color w:val="284353"/>
                <w:szCs w:val="20"/>
              </w:rPr>
              <w:t>INT3 – Abri</w:t>
            </w:r>
            <w:r w:rsidRPr="002753B8">
              <w:rPr>
                <w:color w:val="284353"/>
                <w:szCs w:val="20"/>
              </w:rPr>
              <w:t xml:space="preserve"> collectifs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 w:rsidRPr="001C0D4C">
              <w:rPr>
                <w:color w:val="284353"/>
                <w:szCs w:val="20"/>
              </w:rPr>
              <w:t>INT 7 – Kit abri transitionnel</w:t>
            </w:r>
            <w:r>
              <w:rPr>
                <w:color w:val="284353"/>
                <w:szCs w:val="20"/>
              </w:rPr>
              <w:t> ?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/>
            <w:tcBorders>
              <w:left w:val="single" w:sz="8" w:space="0" w:color="B8B8B8"/>
              <w:right w:val="single" w:sz="8" w:space="0" w:color="B8B8B8"/>
            </w:tcBorders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>
              <w:rPr>
                <w:color w:val="284353"/>
                <w:szCs w:val="20"/>
              </w:rPr>
              <w:t>INT2 - Kits Abri D’urgence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/>
            <w:tcBorders>
              <w:left w:val="single" w:sz="8" w:space="0" w:color="B8B8B8"/>
              <w:right w:val="single" w:sz="8" w:space="0" w:color="B8B8B8"/>
            </w:tcBorders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 xml:space="preserve">INT1 </w:t>
            </w:r>
            <w:r>
              <w:rPr>
                <w:color w:val="284353"/>
                <w:szCs w:val="20"/>
              </w:rPr>
              <w:t>–</w:t>
            </w:r>
            <w:r w:rsidRPr="00ED3ED3">
              <w:rPr>
                <w:color w:val="284353"/>
                <w:szCs w:val="20"/>
              </w:rPr>
              <w:t xml:space="preserve"> </w:t>
            </w:r>
            <w:r>
              <w:rPr>
                <w:color w:val="284353"/>
                <w:szCs w:val="20"/>
              </w:rPr>
              <w:t>Kit Non Vivres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/>
            <w:tcBorders>
              <w:left w:val="single" w:sz="8" w:space="0" w:color="B8B8B8"/>
              <w:right w:val="single" w:sz="8" w:space="0" w:color="B8B8B8"/>
            </w:tcBorders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>
              <w:rPr>
                <w:color w:val="284353"/>
                <w:szCs w:val="20"/>
              </w:rPr>
              <w:t>INT5 – Amélioration du site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/>
            <w:tcBorders>
              <w:left w:val="single" w:sz="8" w:space="0" w:color="B8B8B8"/>
              <w:right w:val="single" w:sz="8" w:space="0" w:color="B8B8B8"/>
            </w:tcBorders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 w:rsidRPr="002753B8">
              <w:rPr>
                <w:color w:val="284353"/>
                <w:szCs w:val="20"/>
              </w:rPr>
              <w:t>INT6 – Cuisines communales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vMerge/>
            <w:tcBorders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/>
            <w:tcBorders>
              <w:left w:val="single" w:sz="8" w:space="0" w:color="B8B8B8"/>
              <w:right w:val="single" w:sz="8" w:space="0" w:color="B8B8B8"/>
            </w:tcBorders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>
              <w:rPr>
                <w:color w:val="284353"/>
                <w:szCs w:val="20"/>
              </w:rPr>
              <w:t>Familles d’accueil</w:t>
            </w:r>
          </w:p>
        </w:tc>
        <w:tc>
          <w:tcPr>
            <w:tcW w:w="1065" w:type="dxa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rFonts w:ascii="Arial"/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 xml:space="preserve">INT1 </w:t>
            </w:r>
            <w:r>
              <w:rPr>
                <w:color w:val="284353"/>
                <w:szCs w:val="20"/>
              </w:rPr>
              <w:t>–</w:t>
            </w:r>
            <w:r w:rsidRPr="00ED3ED3">
              <w:rPr>
                <w:color w:val="284353"/>
                <w:szCs w:val="20"/>
              </w:rPr>
              <w:t xml:space="preserve"> </w:t>
            </w:r>
            <w:r>
              <w:rPr>
                <w:color w:val="284353"/>
                <w:szCs w:val="20"/>
              </w:rPr>
              <w:t>Kit Non Vivres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 w:val="restart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textDirection w:val="btLr"/>
            <w:vAlign w:val="center"/>
          </w:tcPr>
          <w:p w:rsidR="00AF483A" w:rsidRPr="00ED3ED3" w:rsidRDefault="00AF483A" w:rsidP="00B81362">
            <w:pPr>
              <w:spacing w:after="0" w:line="240" w:lineRule="auto"/>
              <w:ind w:left="113" w:right="113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Personnes non déplacées</w:t>
            </w:r>
          </w:p>
        </w:tc>
        <w:tc>
          <w:tcPr>
            <w:tcW w:w="3240" w:type="dxa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Familles d'accueil ayant besoin d'aide</w:t>
            </w:r>
          </w:p>
        </w:tc>
        <w:tc>
          <w:tcPr>
            <w:tcW w:w="1065" w:type="dxa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rFonts w:ascii="Arial"/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 xml:space="preserve">INT1 </w:t>
            </w:r>
            <w:r>
              <w:rPr>
                <w:color w:val="284353"/>
                <w:szCs w:val="20"/>
              </w:rPr>
              <w:t>–</w:t>
            </w:r>
            <w:r w:rsidRPr="00ED3ED3">
              <w:rPr>
                <w:color w:val="284353"/>
                <w:szCs w:val="20"/>
              </w:rPr>
              <w:t xml:space="preserve"> </w:t>
            </w:r>
            <w:r>
              <w:rPr>
                <w:color w:val="284353"/>
                <w:szCs w:val="20"/>
              </w:rPr>
              <w:t>Kit Non Vivres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>
              <w:rPr>
                <w:color w:val="284353"/>
                <w:szCs w:val="20"/>
              </w:rPr>
              <w:t>logement détruit</w:t>
            </w:r>
          </w:p>
        </w:tc>
        <w:tc>
          <w:tcPr>
            <w:tcW w:w="1065" w:type="dxa"/>
            <w:vMerge w:val="restart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rFonts w:ascii="Arial"/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 xml:space="preserve">INT1 </w:t>
            </w:r>
            <w:r>
              <w:rPr>
                <w:color w:val="284353"/>
                <w:szCs w:val="20"/>
              </w:rPr>
              <w:t>–</w:t>
            </w:r>
            <w:r w:rsidRPr="00ED3ED3">
              <w:rPr>
                <w:color w:val="284353"/>
                <w:szCs w:val="20"/>
              </w:rPr>
              <w:t xml:space="preserve"> </w:t>
            </w:r>
            <w:r>
              <w:rPr>
                <w:color w:val="284353"/>
                <w:szCs w:val="20"/>
              </w:rPr>
              <w:t>Kit Non Vivres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 w:rsidRPr="001C0D4C">
              <w:rPr>
                <w:color w:val="284353"/>
                <w:szCs w:val="20"/>
              </w:rPr>
              <w:t xml:space="preserve">INT 2 – Kit abri </w:t>
            </w:r>
            <w:r>
              <w:rPr>
                <w:color w:val="284353"/>
                <w:szCs w:val="20"/>
              </w:rPr>
              <w:t>d’</w:t>
            </w:r>
            <w:r w:rsidRPr="001C0D4C">
              <w:rPr>
                <w:color w:val="284353"/>
                <w:szCs w:val="20"/>
              </w:rPr>
              <w:t>urgence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 w:rsidRPr="001C0D4C">
              <w:rPr>
                <w:color w:val="284353"/>
                <w:szCs w:val="20"/>
              </w:rPr>
              <w:t>INT 7 – Kit abri transitionnel</w:t>
            </w:r>
            <w:r>
              <w:rPr>
                <w:color w:val="284353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 xml:space="preserve">logement </w:t>
            </w:r>
            <w:r>
              <w:rPr>
                <w:color w:val="284353"/>
                <w:szCs w:val="20"/>
              </w:rPr>
              <w:t>décoiffé</w:t>
            </w:r>
          </w:p>
        </w:tc>
        <w:tc>
          <w:tcPr>
            <w:tcW w:w="1065" w:type="dxa"/>
            <w:vMerge w:val="restart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rFonts w:ascii="Arial"/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 xml:space="preserve">INT1 </w:t>
            </w:r>
            <w:r>
              <w:rPr>
                <w:color w:val="284353"/>
                <w:szCs w:val="20"/>
              </w:rPr>
              <w:t>–</w:t>
            </w:r>
            <w:r w:rsidRPr="00ED3ED3">
              <w:rPr>
                <w:color w:val="284353"/>
                <w:szCs w:val="20"/>
              </w:rPr>
              <w:t xml:space="preserve"> </w:t>
            </w:r>
            <w:r>
              <w:rPr>
                <w:color w:val="284353"/>
                <w:szCs w:val="20"/>
              </w:rPr>
              <w:t>Kit Non Vivres – au besoin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 w:rsidRPr="001C0D4C">
              <w:rPr>
                <w:color w:val="284353"/>
                <w:szCs w:val="20"/>
              </w:rPr>
              <w:t>INT 2 – Kit abri</w:t>
            </w:r>
            <w:r>
              <w:rPr>
                <w:color w:val="284353"/>
                <w:szCs w:val="20"/>
              </w:rPr>
              <w:t xml:space="preserve"> </w:t>
            </w:r>
            <w:r w:rsidRPr="001C0D4C">
              <w:rPr>
                <w:color w:val="284353"/>
                <w:szCs w:val="20"/>
              </w:rPr>
              <w:t>urgence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 w:rsidRPr="001C0D4C">
              <w:rPr>
                <w:color w:val="284353"/>
                <w:szCs w:val="20"/>
              </w:rPr>
              <w:t>INT 7 – Kit abri transitionnel</w:t>
            </w:r>
            <w:r>
              <w:rPr>
                <w:color w:val="284353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logement lég</w:t>
            </w:r>
            <w:r w:rsidRPr="007E499F">
              <w:rPr>
                <w:color w:val="284353"/>
                <w:szCs w:val="20"/>
              </w:rPr>
              <w:t>èrement endommagé</w:t>
            </w:r>
          </w:p>
        </w:tc>
        <w:tc>
          <w:tcPr>
            <w:tcW w:w="1065" w:type="dxa"/>
            <w:vMerge w:val="restart"/>
            <w:tcBorders>
              <w:top w:val="single" w:sz="8" w:space="0" w:color="B8B8B8"/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rFonts w:ascii="Arial"/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 xml:space="preserve">INT1 </w:t>
            </w:r>
            <w:r>
              <w:rPr>
                <w:color w:val="284353"/>
                <w:szCs w:val="20"/>
              </w:rPr>
              <w:t>–</w:t>
            </w:r>
            <w:r w:rsidRPr="00ED3ED3">
              <w:rPr>
                <w:color w:val="284353"/>
                <w:szCs w:val="20"/>
              </w:rPr>
              <w:t xml:space="preserve"> </w:t>
            </w:r>
            <w:r>
              <w:rPr>
                <w:color w:val="284353"/>
                <w:szCs w:val="20"/>
              </w:rPr>
              <w:t>Kit Non Vivres – au besoin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" w:type="dxa"/>
            <w:vMerge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 w:rsidRPr="001C0D4C">
              <w:rPr>
                <w:color w:val="284353"/>
                <w:szCs w:val="20"/>
              </w:rPr>
              <w:t>INT 2 – Kit abri urgence</w:t>
            </w:r>
            <w:r>
              <w:rPr>
                <w:color w:val="284353"/>
                <w:szCs w:val="20"/>
              </w:rPr>
              <w:t>– au besoin</w:t>
            </w: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  <w:r w:rsidRPr="001C0D4C">
              <w:rPr>
                <w:color w:val="284353"/>
                <w:szCs w:val="20"/>
              </w:rPr>
              <w:t>INT 7 – Kit abri transitionnel</w:t>
            </w: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  <w:tr w:rsidR="00AF483A" w:rsidRPr="00ED3ED3" w:rsidTr="00AF483A">
        <w:tc>
          <w:tcPr>
            <w:tcW w:w="3600" w:type="dxa"/>
            <w:gridSpan w:val="2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</w:tcPr>
          <w:p w:rsidR="00AF483A" w:rsidRPr="00ED3ED3" w:rsidRDefault="00AF483A" w:rsidP="00B81362">
            <w:pPr>
              <w:spacing w:after="0" w:line="240" w:lineRule="auto"/>
              <w:jc w:val="right"/>
              <w:rPr>
                <w:color w:val="284353"/>
                <w:szCs w:val="20"/>
              </w:rPr>
            </w:pPr>
            <w:r w:rsidRPr="00ED3ED3">
              <w:rPr>
                <w:b/>
                <w:color w:val="284353"/>
                <w:szCs w:val="20"/>
              </w:rPr>
              <w:t>NOMBRE TOTAL DE CAS</w:t>
            </w:r>
          </w:p>
        </w:tc>
        <w:tc>
          <w:tcPr>
            <w:tcW w:w="106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  <w:r w:rsidRPr="00ED3ED3">
              <w:rPr>
                <w:color w:val="284353"/>
                <w:szCs w:val="20"/>
              </w:rPr>
              <w:t>&lt;#&gt;</w:t>
            </w:r>
          </w:p>
        </w:tc>
        <w:tc>
          <w:tcPr>
            <w:tcW w:w="992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shd w:val="clear" w:color="auto" w:fill="606060"/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shd w:val="clear" w:color="auto" w:fill="606060"/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shd w:val="clear" w:color="auto" w:fill="606060"/>
            <w:vAlign w:val="center"/>
          </w:tcPr>
          <w:p w:rsidR="00AF483A" w:rsidRPr="00ED3ED3" w:rsidRDefault="00AF483A" w:rsidP="00B81362">
            <w:pPr>
              <w:spacing w:after="0" w:line="240" w:lineRule="auto"/>
              <w:jc w:val="center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shd w:val="clear" w:color="auto" w:fill="606060"/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B8B8B8"/>
              <w:left w:val="single" w:sz="8" w:space="0" w:color="B8B8B8"/>
              <w:bottom w:val="single" w:sz="8" w:space="0" w:color="B8B8B8"/>
              <w:right w:val="single" w:sz="8" w:space="0" w:color="B8B8B8"/>
            </w:tcBorders>
            <w:shd w:val="clear" w:color="auto" w:fill="606060"/>
            <w:vAlign w:val="center"/>
          </w:tcPr>
          <w:p w:rsidR="00AF483A" w:rsidRPr="00ED3ED3" w:rsidRDefault="00AF483A" w:rsidP="00B81362">
            <w:pPr>
              <w:spacing w:after="0" w:line="240" w:lineRule="auto"/>
              <w:rPr>
                <w:color w:val="284353"/>
                <w:szCs w:val="20"/>
              </w:rPr>
            </w:pPr>
          </w:p>
        </w:tc>
      </w:tr>
    </w:tbl>
    <w:p w:rsidR="00F41C8D" w:rsidRDefault="00F41C8D" w:rsidP="00AF483A">
      <w:pPr>
        <w:spacing w:after="0"/>
        <w:rPr>
          <w:b/>
          <w:color w:val="284353"/>
        </w:rPr>
        <w:sectPr w:rsidR="00F41C8D" w:rsidSect="00AF483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F483A" w:rsidRPr="00ED3ED3" w:rsidRDefault="00AF483A" w:rsidP="00AF483A">
      <w:pPr>
        <w:spacing w:after="0"/>
        <w:rPr>
          <w:b/>
          <w:color w:val="284353"/>
        </w:rPr>
      </w:pPr>
    </w:p>
    <w:p w:rsidR="00F41C8D" w:rsidRDefault="00F41C8D" w:rsidP="00AF483A">
      <w:pPr>
        <w:spacing w:after="0"/>
        <w:rPr>
          <w:color w:val="284353"/>
        </w:rPr>
        <w:sectPr w:rsidR="00F41C8D" w:rsidSect="00F41C8D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AF483A" w:rsidRDefault="00AF483A" w:rsidP="00AF483A">
      <w:pPr>
        <w:spacing w:after="0"/>
        <w:rPr>
          <w:color w:val="284353"/>
        </w:rPr>
      </w:pPr>
      <w:r>
        <w:rPr>
          <w:color w:val="284353"/>
        </w:rPr>
        <w:lastRenderedPageBreak/>
        <w:t>INT 1 – kit non vivres</w:t>
      </w:r>
    </w:p>
    <w:p w:rsidR="00AF483A" w:rsidRDefault="00AF483A" w:rsidP="00AF483A">
      <w:pPr>
        <w:spacing w:after="0"/>
        <w:rPr>
          <w:color w:val="284353"/>
        </w:rPr>
      </w:pPr>
      <w:r>
        <w:rPr>
          <w:color w:val="284353"/>
        </w:rPr>
        <w:lastRenderedPageBreak/>
        <w:t>INT 2 – Kit abri urgence</w:t>
      </w:r>
    </w:p>
    <w:p w:rsidR="00AF483A" w:rsidRPr="002753B8" w:rsidRDefault="00AF483A" w:rsidP="00AF483A">
      <w:pPr>
        <w:spacing w:after="0"/>
        <w:rPr>
          <w:color w:val="284353"/>
        </w:rPr>
      </w:pPr>
      <w:r w:rsidRPr="002753B8">
        <w:rPr>
          <w:color w:val="284353"/>
        </w:rPr>
        <w:lastRenderedPageBreak/>
        <w:t xml:space="preserve">INT </w:t>
      </w:r>
      <w:r>
        <w:rPr>
          <w:color w:val="284353"/>
        </w:rPr>
        <w:t>3</w:t>
      </w:r>
      <w:r w:rsidRPr="002753B8">
        <w:rPr>
          <w:color w:val="284353"/>
        </w:rPr>
        <w:t xml:space="preserve"> – </w:t>
      </w:r>
      <w:r>
        <w:rPr>
          <w:color w:val="284353"/>
        </w:rPr>
        <w:t>construction d’abris collectifs</w:t>
      </w:r>
    </w:p>
    <w:p w:rsidR="00AF483A" w:rsidRPr="00B22D25" w:rsidRDefault="00AF483A" w:rsidP="00AF483A">
      <w:pPr>
        <w:spacing w:after="0"/>
        <w:rPr>
          <w:color w:val="284353"/>
        </w:rPr>
      </w:pPr>
      <w:r w:rsidRPr="00B22D25">
        <w:rPr>
          <w:color w:val="284353"/>
        </w:rPr>
        <w:t>INT 4 – Amélioration d</w:t>
      </w:r>
      <w:r>
        <w:rPr>
          <w:color w:val="284353"/>
        </w:rPr>
        <w:t>es</w:t>
      </w:r>
      <w:r w:rsidRPr="00B22D25">
        <w:rPr>
          <w:color w:val="284353"/>
        </w:rPr>
        <w:t xml:space="preserve"> centre</w:t>
      </w:r>
      <w:r>
        <w:rPr>
          <w:color w:val="284353"/>
        </w:rPr>
        <w:t>s collectifs</w:t>
      </w:r>
    </w:p>
    <w:p w:rsidR="00AF483A" w:rsidRPr="00B22D25" w:rsidRDefault="00AF483A" w:rsidP="00AF483A">
      <w:pPr>
        <w:spacing w:after="0"/>
        <w:rPr>
          <w:color w:val="284353"/>
        </w:rPr>
      </w:pPr>
      <w:r w:rsidRPr="00B22D25">
        <w:rPr>
          <w:color w:val="284353"/>
        </w:rPr>
        <w:t xml:space="preserve">INT 5 – </w:t>
      </w:r>
      <w:r>
        <w:rPr>
          <w:color w:val="284353"/>
        </w:rPr>
        <w:t>A</w:t>
      </w:r>
      <w:r w:rsidRPr="00B22D25">
        <w:rPr>
          <w:color w:val="284353"/>
        </w:rPr>
        <w:t xml:space="preserve">mélioration </w:t>
      </w:r>
      <w:r>
        <w:rPr>
          <w:color w:val="284353"/>
        </w:rPr>
        <w:t>des</w:t>
      </w:r>
      <w:r w:rsidRPr="00B22D25">
        <w:rPr>
          <w:color w:val="284353"/>
        </w:rPr>
        <w:t xml:space="preserve"> site</w:t>
      </w:r>
      <w:r>
        <w:rPr>
          <w:color w:val="284353"/>
        </w:rPr>
        <w:t>s</w:t>
      </w:r>
      <w:r w:rsidRPr="00B22D25">
        <w:rPr>
          <w:color w:val="284353"/>
        </w:rPr>
        <w:t xml:space="preserve"> </w:t>
      </w:r>
      <w:r>
        <w:rPr>
          <w:color w:val="284353"/>
        </w:rPr>
        <w:t>(</w:t>
      </w:r>
      <w:r w:rsidRPr="00B22D25">
        <w:rPr>
          <w:color w:val="284353"/>
        </w:rPr>
        <w:t>drainage</w:t>
      </w:r>
      <w:r>
        <w:rPr>
          <w:color w:val="284353"/>
        </w:rPr>
        <w:t xml:space="preserve"> et infrastructure)</w:t>
      </w:r>
    </w:p>
    <w:p w:rsidR="00AF483A" w:rsidRPr="002753B8" w:rsidRDefault="00AF483A" w:rsidP="00AF483A">
      <w:pPr>
        <w:spacing w:after="0"/>
        <w:rPr>
          <w:color w:val="284353"/>
        </w:rPr>
      </w:pPr>
      <w:r w:rsidRPr="002753B8">
        <w:rPr>
          <w:color w:val="284353"/>
        </w:rPr>
        <w:t>INT 6 – Cuisines communales</w:t>
      </w:r>
    </w:p>
    <w:p w:rsidR="00AF483A" w:rsidRPr="00C32CA7" w:rsidRDefault="00AF483A" w:rsidP="00AF483A">
      <w:pPr>
        <w:spacing w:after="0"/>
        <w:rPr>
          <w:color w:val="284353"/>
        </w:rPr>
      </w:pPr>
      <w:r w:rsidRPr="00C32CA7">
        <w:rPr>
          <w:color w:val="284353"/>
        </w:rPr>
        <w:t>INT 7 – Kit abris transitionnels</w:t>
      </w:r>
    </w:p>
    <w:p w:rsidR="00AF483A" w:rsidRPr="00095BB0" w:rsidRDefault="00AF483A" w:rsidP="00F41C8D">
      <w:pPr>
        <w:spacing w:after="0"/>
        <w:rPr>
          <w:lang w:val="en-US"/>
        </w:rPr>
      </w:pPr>
      <w:r w:rsidRPr="00C32CA7">
        <w:rPr>
          <w:color w:val="284353"/>
        </w:rPr>
        <w:t>INT 8 - réhabilitation</w:t>
      </w:r>
    </w:p>
    <w:sectPr w:rsidR="00AF483A" w:rsidRPr="00095BB0" w:rsidSect="00F41C8D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1D0" w:rsidRDefault="000C71D0" w:rsidP="00095BB0">
      <w:pPr>
        <w:spacing w:after="0" w:line="240" w:lineRule="auto"/>
      </w:pPr>
      <w:r>
        <w:separator/>
      </w:r>
    </w:p>
  </w:endnote>
  <w:endnote w:type="continuationSeparator" w:id="0">
    <w:p w:rsidR="000C71D0" w:rsidRDefault="000C71D0" w:rsidP="0009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1D0" w:rsidRDefault="000C71D0" w:rsidP="00095BB0">
      <w:pPr>
        <w:spacing w:after="0" w:line="240" w:lineRule="auto"/>
      </w:pPr>
      <w:r>
        <w:separator/>
      </w:r>
    </w:p>
  </w:footnote>
  <w:footnote w:type="continuationSeparator" w:id="0">
    <w:p w:rsidR="000C71D0" w:rsidRDefault="000C71D0" w:rsidP="00095BB0">
      <w:pPr>
        <w:spacing w:after="0" w:line="240" w:lineRule="auto"/>
      </w:pPr>
      <w:r>
        <w:continuationSeparator/>
      </w:r>
    </w:p>
  </w:footnote>
  <w:footnote w:id="1">
    <w:p w:rsidR="00DF209D" w:rsidRPr="00DF209D" w:rsidRDefault="00DF209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466B4">
        <w:rPr>
          <w:lang w:val="en-US"/>
        </w:rPr>
        <w:t xml:space="preserve"> </w:t>
      </w:r>
      <w:r>
        <w:rPr>
          <w:lang w:val="en-US"/>
        </w:rPr>
        <w:t xml:space="preserve">This list might be reviewed when IRC will share standard kit list for Burundi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784" w:rsidRDefault="00095BB0" w:rsidP="00095BB0">
    <w:pPr>
      <w:pStyle w:val="Header"/>
      <w:ind w:firstLine="567"/>
      <w:rPr>
        <w:rFonts w:ascii="Verdana" w:hAnsi="Verdana"/>
        <w:b/>
        <w:noProof/>
        <w:color w:val="7F1416"/>
        <w:sz w:val="16"/>
        <w:szCs w:val="16"/>
        <w:lang w:val="en-US" w:eastAsia="fr-FR"/>
      </w:rPr>
    </w:pPr>
    <w:r w:rsidRPr="005C324F">
      <w:rPr>
        <w:rFonts w:ascii="Verdana" w:hAnsi="Verdana"/>
        <w:b/>
        <w:noProof/>
        <w:color w:val="7F1416"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480FD780" wp14:editId="22CB1A33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19" name="Picture 19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3AD3">
      <w:rPr>
        <w:rFonts w:ascii="Verdana" w:hAnsi="Verdana"/>
        <w:b/>
        <w:noProof/>
        <w:color w:val="7F1416"/>
        <w:sz w:val="16"/>
        <w:szCs w:val="16"/>
        <w:lang w:val="en-US" w:eastAsia="fr-FR"/>
      </w:rPr>
      <w:t>Burundi shelter</w:t>
    </w:r>
  </w:p>
  <w:p w:rsidR="00095BB0" w:rsidRDefault="00095BB0" w:rsidP="00095BB0">
    <w:pPr>
      <w:pStyle w:val="Header"/>
      <w:ind w:firstLine="567"/>
      <w:rPr>
        <w:lang w:val="en-US"/>
      </w:rPr>
    </w:pPr>
    <w:r>
      <w:rPr>
        <w:rFonts w:ascii="Verdana" w:hAnsi="Verdana"/>
        <w:b/>
        <w:noProof/>
        <w:color w:val="7F1416"/>
        <w:sz w:val="16"/>
        <w:szCs w:val="16"/>
        <w:lang w:val="en-US" w:eastAsia="fr-FR"/>
      </w:rPr>
      <w:t>/NFI</w:t>
    </w:r>
    <w:r w:rsidRPr="008A3AD3">
      <w:rPr>
        <w:rFonts w:ascii="Verdana" w:hAnsi="Verdana"/>
        <w:b/>
        <w:noProof/>
        <w:color w:val="7F1416"/>
        <w:sz w:val="16"/>
        <w:szCs w:val="16"/>
        <w:lang w:val="en-US" w:eastAsia="fr-FR"/>
      </w:rPr>
      <w:t xml:space="preserve"> working group</w:t>
    </w:r>
  </w:p>
  <w:p w:rsidR="00095BB0" w:rsidRPr="00095BB0" w:rsidRDefault="00095BB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520"/>
    <w:multiLevelType w:val="hybridMultilevel"/>
    <w:tmpl w:val="9AB236B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0849"/>
    <w:multiLevelType w:val="multilevel"/>
    <w:tmpl w:val="FFCA89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12613B5"/>
    <w:multiLevelType w:val="multilevel"/>
    <w:tmpl w:val="9A0C69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218759B"/>
    <w:multiLevelType w:val="hybridMultilevel"/>
    <w:tmpl w:val="0F8E1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F5072"/>
    <w:multiLevelType w:val="multilevel"/>
    <w:tmpl w:val="C3509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A176AB9"/>
    <w:multiLevelType w:val="hybridMultilevel"/>
    <w:tmpl w:val="235C036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C5075A"/>
    <w:multiLevelType w:val="multilevel"/>
    <w:tmpl w:val="8780B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7C477413"/>
    <w:multiLevelType w:val="hybridMultilevel"/>
    <w:tmpl w:val="3FB6B3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B0"/>
    <w:rsid w:val="00032E16"/>
    <w:rsid w:val="00095BB0"/>
    <w:rsid w:val="000C71D0"/>
    <w:rsid w:val="00301489"/>
    <w:rsid w:val="003A5A9C"/>
    <w:rsid w:val="003E018D"/>
    <w:rsid w:val="00402B27"/>
    <w:rsid w:val="00417737"/>
    <w:rsid w:val="004613AB"/>
    <w:rsid w:val="00482784"/>
    <w:rsid w:val="004B712B"/>
    <w:rsid w:val="004F49F3"/>
    <w:rsid w:val="005646F6"/>
    <w:rsid w:val="00574A97"/>
    <w:rsid w:val="005F3B2E"/>
    <w:rsid w:val="005F7264"/>
    <w:rsid w:val="006029E8"/>
    <w:rsid w:val="00656918"/>
    <w:rsid w:val="00671F6A"/>
    <w:rsid w:val="00821186"/>
    <w:rsid w:val="009517F3"/>
    <w:rsid w:val="0097109B"/>
    <w:rsid w:val="0098592A"/>
    <w:rsid w:val="00987226"/>
    <w:rsid w:val="009E7CC6"/>
    <w:rsid w:val="00A045E6"/>
    <w:rsid w:val="00A91151"/>
    <w:rsid w:val="00AA2B97"/>
    <w:rsid w:val="00AF483A"/>
    <w:rsid w:val="00B170BD"/>
    <w:rsid w:val="00BB3B67"/>
    <w:rsid w:val="00C466B4"/>
    <w:rsid w:val="00C46EC0"/>
    <w:rsid w:val="00D006CB"/>
    <w:rsid w:val="00D56B49"/>
    <w:rsid w:val="00DA3624"/>
    <w:rsid w:val="00DF209D"/>
    <w:rsid w:val="00E208A9"/>
    <w:rsid w:val="00E874BD"/>
    <w:rsid w:val="00F1379A"/>
    <w:rsid w:val="00F41C8D"/>
    <w:rsid w:val="00F5179C"/>
    <w:rsid w:val="00F5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9C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7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7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7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7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BB0"/>
  </w:style>
  <w:style w:type="paragraph" w:styleId="Footer">
    <w:name w:val="footer"/>
    <w:basedOn w:val="Normal"/>
    <w:link w:val="FooterChar"/>
    <w:uiPriority w:val="99"/>
    <w:unhideWhenUsed/>
    <w:rsid w:val="00095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BB0"/>
  </w:style>
  <w:style w:type="paragraph" w:styleId="ListParagraph">
    <w:name w:val="List Paragraph"/>
    <w:basedOn w:val="Normal"/>
    <w:uiPriority w:val="34"/>
    <w:qFormat/>
    <w:rsid w:val="00095BB0"/>
    <w:pPr>
      <w:ind w:left="720"/>
      <w:contextualSpacing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85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92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9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2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09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0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09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82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17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17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517F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9C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7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7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7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7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BB0"/>
  </w:style>
  <w:style w:type="paragraph" w:styleId="Footer">
    <w:name w:val="footer"/>
    <w:basedOn w:val="Normal"/>
    <w:link w:val="FooterChar"/>
    <w:uiPriority w:val="99"/>
    <w:unhideWhenUsed/>
    <w:rsid w:val="00095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BB0"/>
  </w:style>
  <w:style w:type="paragraph" w:styleId="ListParagraph">
    <w:name w:val="List Paragraph"/>
    <w:basedOn w:val="Normal"/>
    <w:uiPriority w:val="34"/>
    <w:qFormat/>
    <w:rsid w:val="00095BB0"/>
    <w:pPr>
      <w:ind w:left="720"/>
      <w:contextualSpacing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85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92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9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2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09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0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09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82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17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17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517F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BA312A-2AB2-4F55-856F-684A91FBDD94}" type="doc">
      <dgm:prSet loTypeId="urn:microsoft.com/office/officeart/2005/8/layout/hList1" loCatId="list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fr-FR"/>
        </a:p>
      </dgm:t>
    </dgm:pt>
    <dgm:pt modelId="{222ECF92-5D02-4688-B0CF-3F121D0395D9}">
      <dgm:prSet phldrT="[Text]"/>
      <dgm:spPr/>
      <dgm:t>
        <a:bodyPr/>
        <a:lstStyle/>
        <a:p>
          <a:r>
            <a:rPr lang="fr-FR"/>
            <a:t>Household Kits</a:t>
          </a:r>
        </a:p>
      </dgm:t>
    </dgm:pt>
    <dgm:pt modelId="{F78A3869-16B1-476E-A370-C8217B29E18A}" type="parTrans" cxnId="{1B6D7CE9-B3ED-41AA-9DC8-99CCC97F576A}">
      <dgm:prSet/>
      <dgm:spPr/>
      <dgm:t>
        <a:bodyPr/>
        <a:lstStyle/>
        <a:p>
          <a:endParaRPr lang="fr-FR"/>
        </a:p>
      </dgm:t>
    </dgm:pt>
    <dgm:pt modelId="{2B3CCF6A-3339-4558-BF5C-5F72C954AD7D}" type="sibTrans" cxnId="{1B6D7CE9-B3ED-41AA-9DC8-99CCC97F576A}">
      <dgm:prSet/>
      <dgm:spPr/>
      <dgm:t>
        <a:bodyPr/>
        <a:lstStyle/>
        <a:p>
          <a:endParaRPr lang="fr-FR"/>
        </a:p>
      </dgm:t>
    </dgm:pt>
    <dgm:pt modelId="{DA67475E-8F07-4BCA-8440-AE8790496950}">
      <dgm:prSet phldrT="[Text]"/>
      <dgm:spPr/>
      <dgm:t>
        <a:bodyPr/>
        <a:lstStyle/>
        <a:p>
          <a:r>
            <a:rPr lang="fr-FR"/>
            <a:t>Plastic buckets </a:t>
          </a:r>
        </a:p>
      </dgm:t>
    </dgm:pt>
    <dgm:pt modelId="{035A24D8-E41C-4C5D-8313-6021EFEFCADB}" type="parTrans" cxnId="{69CDEA9D-5D09-4E7C-A29B-2A64AB462246}">
      <dgm:prSet/>
      <dgm:spPr/>
      <dgm:t>
        <a:bodyPr/>
        <a:lstStyle/>
        <a:p>
          <a:endParaRPr lang="fr-FR"/>
        </a:p>
      </dgm:t>
    </dgm:pt>
    <dgm:pt modelId="{085F7C17-D5DA-426B-A16E-E0DE71BC16AD}" type="sibTrans" cxnId="{69CDEA9D-5D09-4E7C-A29B-2A64AB462246}">
      <dgm:prSet/>
      <dgm:spPr/>
      <dgm:t>
        <a:bodyPr/>
        <a:lstStyle/>
        <a:p>
          <a:endParaRPr lang="fr-FR"/>
        </a:p>
      </dgm:t>
    </dgm:pt>
    <dgm:pt modelId="{814C9B19-4E48-42FE-AAD0-3D81EAAE26F4}">
      <dgm:prSet phldrT="[Text]"/>
      <dgm:spPr/>
      <dgm:t>
        <a:bodyPr/>
        <a:lstStyle/>
        <a:p>
          <a:r>
            <a:rPr lang="fr-FR"/>
            <a:t>Mat</a:t>
          </a:r>
        </a:p>
      </dgm:t>
    </dgm:pt>
    <dgm:pt modelId="{7A76854A-885F-4C5F-9E63-678E0BBEE38C}" type="parTrans" cxnId="{348D58D0-751A-43BA-AA48-79964D6C63BC}">
      <dgm:prSet/>
      <dgm:spPr/>
      <dgm:t>
        <a:bodyPr/>
        <a:lstStyle/>
        <a:p>
          <a:endParaRPr lang="fr-FR"/>
        </a:p>
      </dgm:t>
    </dgm:pt>
    <dgm:pt modelId="{9353769A-EE93-4226-8A97-A80DCED46D25}" type="sibTrans" cxnId="{348D58D0-751A-43BA-AA48-79964D6C63BC}">
      <dgm:prSet/>
      <dgm:spPr/>
      <dgm:t>
        <a:bodyPr/>
        <a:lstStyle/>
        <a:p>
          <a:endParaRPr lang="fr-FR"/>
        </a:p>
      </dgm:t>
    </dgm:pt>
    <dgm:pt modelId="{72355628-7E92-457C-A38D-5CB6134B55BA}">
      <dgm:prSet phldrT="[Text]"/>
      <dgm:spPr/>
      <dgm:t>
        <a:bodyPr/>
        <a:lstStyle/>
        <a:p>
          <a:r>
            <a:rPr lang="fr-FR"/>
            <a:t>Shelter: Light-Weight Kit</a:t>
          </a:r>
        </a:p>
      </dgm:t>
    </dgm:pt>
    <dgm:pt modelId="{1B4AAEE4-5860-4C73-9272-02B5E78FDC41}" type="parTrans" cxnId="{8AFFE495-5CAE-4E2E-8E61-1A96928C82A5}">
      <dgm:prSet/>
      <dgm:spPr/>
      <dgm:t>
        <a:bodyPr/>
        <a:lstStyle/>
        <a:p>
          <a:endParaRPr lang="fr-FR"/>
        </a:p>
      </dgm:t>
    </dgm:pt>
    <dgm:pt modelId="{30D69890-20CB-4EEC-91DE-B0809D19B627}" type="sibTrans" cxnId="{8AFFE495-5CAE-4E2E-8E61-1A96928C82A5}">
      <dgm:prSet/>
      <dgm:spPr/>
      <dgm:t>
        <a:bodyPr/>
        <a:lstStyle/>
        <a:p>
          <a:endParaRPr lang="fr-FR"/>
        </a:p>
      </dgm:t>
    </dgm:pt>
    <dgm:pt modelId="{7AAF738E-8FB0-42AE-BAD5-AFAFDA4FD596}">
      <dgm:prSet phldrT="[Text]"/>
      <dgm:spPr/>
      <dgm:t>
        <a:bodyPr/>
        <a:lstStyle/>
        <a:p>
          <a:r>
            <a:rPr lang="fr-FR"/>
            <a:t>Tarpaulins</a:t>
          </a:r>
        </a:p>
      </dgm:t>
    </dgm:pt>
    <dgm:pt modelId="{A4D0371C-981F-488E-B924-D474D6BF1135}" type="parTrans" cxnId="{236DA8C5-08AA-4D62-A833-375F3F847A1B}">
      <dgm:prSet/>
      <dgm:spPr/>
      <dgm:t>
        <a:bodyPr/>
        <a:lstStyle/>
        <a:p>
          <a:endParaRPr lang="fr-FR"/>
        </a:p>
      </dgm:t>
    </dgm:pt>
    <dgm:pt modelId="{6BC77707-26D6-4BCA-93A6-5D020C7D3A93}" type="sibTrans" cxnId="{236DA8C5-08AA-4D62-A833-375F3F847A1B}">
      <dgm:prSet/>
      <dgm:spPr/>
      <dgm:t>
        <a:bodyPr/>
        <a:lstStyle/>
        <a:p>
          <a:endParaRPr lang="fr-FR"/>
        </a:p>
      </dgm:t>
    </dgm:pt>
    <dgm:pt modelId="{E557E4AA-CE0F-49EC-BB10-FF0332F2CDA9}">
      <dgm:prSet phldrT="[Text]"/>
      <dgm:spPr/>
      <dgm:t>
        <a:bodyPr/>
        <a:lstStyle/>
        <a:p>
          <a:r>
            <a:rPr lang="fr-FR"/>
            <a:t>Ropes</a:t>
          </a:r>
        </a:p>
      </dgm:t>
    </dgm:pt>
    <dgm:pt modelId="{2E87C186-420B-4761-A6F1-7C092A86B46E}" type="parTrans" cxnId="{A7ACBC37-53ED-452A-BDA7-34DEA85D233A}">
      <dgm:prSet/>
      <dgm:spPr/>
      <dgm:t>
        <a:bodyPr/>
        <a:lstStyle/>
        <a:p>
          <a:endParaRPr lang="fr-FR"/>
        </a:p>
      </dgm:t>
    </dgm:pt>
    <dgm:pt modelId="{F89D2320-33D1-4A65-81D1-22EC9F192596}" type="sibTrans" cxnId="{A7ACBC37-53ED-452A-BDA7-34DEA85D233A}">
      <dgm:prSet/>
      <dgm:spPr/>
      <dgm:t>
        <a:bodyPr/>
        <a:lstStyle/>
        <a:p>
          <a:endParaRPr lang="fr-FR"/>
        </a:p>
      </dgm:t>
    </dgm:pt>
    <dgm:pt modelId="{C12E6397-4EBB-45A4-82D6-444E265F48AC}">
      <dgm:prSet phldrT="[Text]"/>
      <dgm:spPr/>
      <dgm:t>
        <a:bodyPr/>
        <a:lstStyle/>
        <a:p>
          <a:r>
            <a:rPr lang="fr-FR"/>
            <a:t>Shelter: Transitional Kit</a:t>
          </a:r>
        </a:p>
      </dgm:t>
    </dgm:pt>
    <dgm:pt modelId="{E63B9549-9247-4880-A708-82664177B3AD}" type="parTrans" cxnId="{FCE49B2B-5A45-4233-97A9-C0A72112667C}">
      <dgm:prSet/>
      <dgm:spPr/>
      <dgm:t>
        <a:bodyPr/>
        <a:lstStyle/>
        <a:p>
          <a:endParaRPr lang="fr-FR"/>
        </a:p>
      </dgm:t>
    </dgm:pt>
    <dgm:pt modelId="{81C05869-96D3-4490-9C82-1134D25FEB78}" type="sibTrans" cxnId="{FCE49B2B-5A45-4233-97A9-C0A72112667C}">
      <dgm:prSet/>
      <dgm:spPr/>
      <dgm:t>
        <a:bodyPr/>
        <a:lstStyle/>
        <a:p>
          <a:endParaRPr lang="fr-FR"/>
        </a:p>
      </dgm:t>
    </dgm:pt>
    <dgm:pt modelId="{844D097B-9347-4FCC-AED4-C8E7A55149C6}">
      <dgm:prSet phldrT="[Text]"/>
      <dgm:spPr/>
      <dgm:t>
        <a:bodyPr/>
        <a:lstStyle/>
        <a:p>
          <a:r>
            <a:rPr lang="fr-FR"/>
            <a:t>Roofing sheets</a:t>
          </a:r>
        </a:p>
      </dgm:t>
    </dgm:pt>
    <dgm:pt modelId="{DF8C835C-6AD4-4B0D-97F2-1131A96A5C36}" type="parTrans" cxnId="{ECF98CEC-553C-449C-B2EF-BACE4EEBBD2F}">
      <dgm:prSet/>
      <dgm:spPr/>
      <dgm:t>
        <a:bodyPr/>
        <a:lstStyle/>
        <a:p>
          <a:endParaRPr lang="fr-FR"/>
        </a:p>
      </dgm:t>
    </dgm:pt>
    <dgm:pt modelId="{4E830AD5-01B5-463D-96D3-2D73AD1A4F4C}" type="sibTrans" cxnId="{ECF98CEC-553C-449C-B2EF-BACE4EEBBD2F}">
      <dgm:prSet/>
      <dgm:spPr/>
      <dgm:t>
        <a:bodyPr/>
        <a:lstStyle/>
        <a:p>
          <a:endParaRPr lang="fr-FR"/>
        </a:p>
      </dgm:t>
    </dgm:pt>
    <dgm:pt modelId="{6929FF1D-9C10-4A88-AD6D-46A0BE7940CD}">
      <dgm:prSet phldrT="[Text]"/>
      <dgm:spPr/>
      <dgm:t>
        <a:bodyPr/>
        <a:lstStyle/>
        <a:p>
          <a:r>
            <a:rPr lang="fr-FR"/>
            <a:t>Door</a:t>
          </a:r>
        </a:p>
      </dgm:t>
    </dgm:pt>
    <dgm:pt modelId="{327642B4-1001-4CA5-826D-F003A35418D9}" type="parTrans" cxnId="{BB7AD964-37C2-4796-8FA1-487AA896D345}">
      <dgm:prSet/>
      <dgm:spPr/>
      <dgm:t>
        <a:bodyPr/>
        <a:lstStyle/>
        <a:p>
          <a:endParaRPr lang="fr-FR"/>
        </a:p>
      </dgm:t>
    </dgm:pt>
    <dgm:pt modelId="{143790C9-0DA5-44BC-927E-0100A0BD1697}" type="sibTrans" cxnId="{BB7AD964-37C2-4796-8FA1-487AA896D345}">
      <dgm:prSet/>
      <dgm:spPr/>
      <dgm:t>
        <a:bodyPr/>
        <a:lstStyle/>
        <a:p>
          <a:endParaRPr lang="fr-FR"/>
        </a:p>
      </dgm:t>
    </dgm:pt>
    <dgm:pt modelId="{513A2EDB-AB74-4F07-BD61-3E693191A275}">
      <dgm:prSet phldrT="[Text]"/>
      <dgm:spPr/>
      <dgm:t>
        <a:bodyPr/>
        <a:lstStyle/>
        <a:p>
          <a:r>
            <a:rPr lang="fr-FR"/>
            <a:t>Blanket</a:t>
          </a:r>
        </a:p>
      </dgm:t>
    </dgm:pt>
    <dgm:pt modelId="{72351583-4594-4BA0-896D-7F3795D50357}" type="parTrans" cxnId="{02D99150-515C-406B-8EE7-0162160DF226}">
      <dgm:prSet/>
      <dgm:spPr/>
      <dgm:t>
        <a:bodyPr/>
        <a:lstStyle/>
        <a:p>
          <a:endParaRPr lang="fr-FR"/>
        </a:p>
      </dgm:t>
    </dgm:pt>
    <dgm:pt modelId="{258D908C-0D41-4720-AD5A-2DFA50822C04}" type="sibTrans" cxnId="{02D99150-515C-406B-8EE7-0162160DF226}">
      <dgm:prSet/>
      <dgm:spPr/>
      <dgm:t>
        <a:bodyPr/>
        <a:lstStyle/>
        <a:p>
          <a:endParaRPr lang="fr-FR"/>
        </a:p>
      </dgm:t>
    </dgm:pt>
    <dgm:pt modelId="{32EB6582-ECD6-4D4A-A712-7A39307B2A5C}">
      <dgm:prSet phldrT="[Text]"/>
      <dgm:spPr/>
      <dgm:t>
        <a:bodyPr/>
        <a:lstStyle/>
        <a:p>
          <a:r>
            <a:rPr lang="fr-FR"/>
            <a:t>Kitchen set</a:t>
          </a:r>
        </a:p>
      </dgm:t>
    </dgm:pt>
    <dgm:pt modelId="{CDA66B33-0129-4A8B-B8D7-9673A6CA2259}" type="parTrans" cxnId="{4E725900-6CB1-4113-B587-B7238B9B5283}">
      <dgm:prSet/>
      <dgm:spPr/>
      <dgm:t>
        <a:bodyPr/>
        <a:lstStyle/>
        <a:p>
          <a:endParaRPr lang="fr-FR"/>
        </a:p>
      </dgm:t>
    </dgm:pt>
    <dgm:pt modelId="{0605A79C-56A7-47AC-85A8-603AD69F9E5D}" type="sibTrans" cxnId="{4E725900-6CB1-4113-B587-B7238B9B5283}">
      <dgm:prSet/>
      <dgm:spPr/>
      <dgm:t>
        <a:bodyPr/>
        <a:lstStyle/>
        <a:p>
          <a:endParaRPr lang="fr-FR"/>
        </a:p>
      </dgm:t>
    </dgm:pt>
    <dgm:pt modelId="{FD2868BC-030E-4272-A70D-EC1F3DDECE18}">
      <dgm:prSet phldrT="[Text]"/>
      <dgm:spPr/>
      <dgm:t>
        <a:bodyPr/>
        <a:lstStyle/>
        <a:p>
          <a:r>
            <a:rPr lang="fr-FR"/>
            <a:t>Mosquito net</a:t>
          </a:r>
        </a:p>
      </dgm:t>
    </dgm:pt>
    <dgm:pt modelId="{C3B64894-7281-4759-B37C-3C73EE7DFDEA}" type="parTrans" cxnId="{B4F3ED82-5CEA-4807-AE37-1BA30B7B9100}">
      <dgm:prSet/>
      <dgm:spPr/>
      <dgm:t>
        <a:bodyPr/>
        <a:lstStyle/>
        <a:p>
          <a:endParaRPr lang="fr-FR"/>
        </a:p>
      </dgm:t>
    </dgm:pt>
    <dgm:pt modelId="{D74C91F5-621B-45F5-9D06-999260678E78}" type="sibTrans" cxnId="{B4F3ED82-5CEA-4807-AE37-1BA30B7B9100}">
      <dgm:prSet/>
      <dgm:spPr/>
      <dgm:t>
        <a:bodyPr/>
        <a:lstStyle/>
        <a:p>
          <a:endParaRPr lang="fr-FR"/>
        </a:p>
      </dgm:t>
    </dgm:pt>
    <dgm:pt modelId="{957FFF77-B7D1-44BB-958C-3E9487B96C0E}">
      <dgm:prSet phldrT="[Text]"/>
      <dgm:spPr/>
      <dgm:t>
        <a:bodyPr/>
        <a:lstStyle/>
        <a:p>
          <a:r>
            <a:rPr lang="fr-FR"/>
            <a:t>Jerrycan</a:t>
          </a:r>
        </a:p>
      </dgm:t>
    </dgm:pt>
    <dgm:pt modelId="{D25717C2-FDA7-4B82-A58E-4B927FE3CA67}" type="parTrans" cxnId="{55D99624-78C8-4C57-9577-FD27162CC977}">
      <dgm:prSet/>
      <dgm:spPr/>
      <dgm:t>
        <a:bodyPr/>
        <a:lstStyle/>
        <a:p>
          <a:endParaRPr lang="fr-FR"/>
        </a:p>
      </dgm:t>
    </dgm:pt>
    <dgm:pt modelId="{4D3F0398-7887-4024-9E07-9E0FCF1BD492}" type="sibTrans" cxnId="{55D99624-78C8-4C57-9577-FD27162CC977}">
      <dgm:prSet/>
      <dgm:spPr/>
      <dgm:t>
        <a:bodyPr/>
        <a:lstStyle/>
        <a:p>
          <a:endParaRPr lang="fr-FR"/>
        </a:p>
      </dgm:t>
    </dgm:pt>
    <dgm:pt modelId="{CC1B5313-2840-4E9D-AA2F-31DCC9C960BD}">
      <dgm:prSet phldrT="[Text]"/>
      <dgm:spPr/>
      <dgm:t>
        <a:bodyPr/>
        <a:lstStyle/>
        <a:p>
          <a:r>
            <a:rPr lang="fr-FR"/>
            <a:t>Soap</a:t>
          </a:r>
        </a:p>
      </dgm:t>
    </dgm:pt>
    <dgm:pt modelId="{69D3D9BD-8072-45CD-9CE3-E88844FB0040}" type="parTrans" cxnId="{174CA345-ECFE-4660-B4BD-08E7B9FEA8DC}">
      <dgm:prSet/>
      <dgm:spPr/>
      <dgm:t>
        <a:bodyPr/>
        <a:lstStyle/>
        <a:p>
          <a:endParaRPr lang="fr-FR"/>
        </a:p>
      </dgm:t>
    </dgm:pt>
    <dgm:pt modelId="{A5E623BE-4744-4EEF-9CF8-CF879EE1F689}" type="sibTrans" cxnId="{174CA345-ECFE-4660-B4BD-08E7B9FEA8DC}">
      <dgm:prSet/>
      <dgm:spPr/>
      <dgm:t>
        <a:bodyPr/>
        <a:lstStyle/>
        <a:p>
          <a:endParaRPr lang="fr-FR"/>
        </a:p>
      </dgm:t>
    </dgm:pt>
    <dgm:pt modelId="{894A8A6D-A833-4CE3-977C-B245DE14989F}">
      <dgm:prSet phldrT="[Text]"/>
      <dgm:spPr/>
      <dgm:t>
        <a:bodyPr/>
        <a:lstStyle/>
        <a:p>
          <a:r>
            <a:rPr lang="fr-FR"/>
            <a:t>Woman cloth </a:t>
          </a:r>
        </a:p>
      </dgm:t>
    </dgm:pt>
    <dgm:pt modelId="{A61DB398-C53B-4F15-BD36-35CF6540D07F}" type="parTrans" cxnId="{EEBECC76-2DF3-4498-9FBF-4CE27D0062CE}">
      <dgm:prSet/>
      <dgm:spPr/>
      <dgm:t>
        <a:bodyPr/>
        <a:lstStyle/>
        <a:p>
          <a:endParaRPr lang="fr-FR"/>
        </a:p>
      </dgm:t>
    </dgm:pt>
    <dgm:pt modelId="{4AF70DBD-9710-4686-9E4B-D3FDDEF9C7A7}" type="sibTrans" cxnId="{EEBECC76-2DF3-4498-9FBF-4CE27D0062CE}">
      <dgm:prSet/>
      <dgm:spPr/>
      <dgm:t>
        <a:bodyPr/>
        <a:lstStyle/>
        <a:p>
          <a:endParaRPr lang="fr-FR"/>
        </a:p>
      </dgm:t>
    </dgm:pt>
    <dgm:pt modelId="{178BD738-B108-46BA-BC54-DD542149ABD6}">
      <dgm:prSet phldrT="[Text]"/>
      <dgm:spPr/>
      <dgm:t>
        <a:bodyPr/>
        <a:lstStyle/>
        <a:p>
          <a:r>
            <a:rPr lang="fr-FR"/>
            <a:t>Hygiene kit</a:t>
          </a:r>
        </a:p>
      </dgm:t>
    </dgm:pt>
    <dgm:pt modelId="{7F9CD39F-193A-4D9F-88BD-B37CA851E291}" type="parTrans" cxnId="{5D55F01D-C81A-4AB0-9F3F-4DC531384C09}">
      <dgm:prSet/>
      <dgm:spPr/>
      <dgm:t>
        <a:bodyPr/>
        <a:lstStyle/>
        <a:p>
          <a:endParaRPr lang="fr-FR"/>
        </a:p>
      </dgm:t>
    </dgm:pt>
    <dgm:pt modelId="{D5FD7265-E743-4B59-AE84-52C291AAB23F}" type="sibTrans" cxnId="{5D55F01D-C81A-4AB0-9F3F-4DC531384C09}">
      <dgm:prSet/>
      <dgm:spPr/>
      <dgm:t>
        <a:bodyPr/>
        <a:lstStyle/>
        <a:p>
          <a:endParaRPr lang="fr-FR"/>
        </a:p>
      </dgm:t>
    </dgm:pt>
    <dgm:pt modelId="{AA00D560-7781-48F6-8E3D-F27C4DD3B1BB}">
      <dgm:prSet phldrT="[Text]"/>
      <dgm:spPr/>
      <dgm:t>
        <a:bodyPr/>
        <a:lstStyle/>
        <a:p>
          <a:r>
            <a:rPr lang="fr-FR"/>
            <a:t>School kit</a:t>
          </a:r>
        </a:p>
      </dgm:t>
    </dgm:pt>
    <dgm:pt modelId="{83AE2688-45EE-423F-B414-F6440C1808DC}" type="parTrans" cxnId="{BAF025A8-9241-43C1-9E00-5A9D1C103B21}">
      <dgm:prSet/>
      <dgm:spPr/>
      <dgm:t>
        <a:bodyPr/>
        <a:lstStyle/>
        <a:p>
          <a:endParaRPr lang="fr-FR"/>
        </a:p>
      </dgm:t>
    </dgm:pt>
    <dgm:pt modelId="{BCFE2190-867D-4CD3-9957-8A5D54E29BFA}" type="sibTrans" cxnId="{BAF025A8-9241-43C1-9E00-5A9D1C103B21}">
      <dgm:prSet/>
      <dgm:spPr/>
      <dgm:t>
        <a:bodyPr/>
        <a:lstStyle/>
        <a:p>
          <a:endParaRPr lang="fr-FR"/>
        </a:p>
      </dgm:t>
    </dgm:pt>
    <dgm:pt modelId="{C2E6CEC1-E87D-4A86-A173-23FDAA0AC5E1}">
      <dgm:prSet phldrT="[Text]"/>
      <dgm:spPr/>
      <dgm:t>
        <a:bodyPr/>
        <a:lstStyle/>
        <a:p>
          <a:r>
            <a:rPr lang="fr-FR"/>
            <a:t>Nails</a:t>
          </a:r>
        </a:p>
      </dgm:t>
    </dgm:pt>
    <dgm:pt modelId="{60DAD714-24A3-418F-92AB-BACBBC090CA9}" type="parTrans" cxnId="{950025FC-7D02-44F6-80FB-E41E0754EE8B}">
      <dgm:prSet/>
      <dgm:spPr/>
      <dgm:t>
        <a:bodyPr/>
        <a:lstStyle/>
        <a:p>
          <a:endParaRPr lang="fr-FR"/>
        </a:p>
      </dgm:t>
    </dgm:pt>
    <dgm:pt modelId="{01E82C04-1D11-454A-B0F4-A17CF13F60A6}" type="sibTrans" cxnId="{950025FC-7D02-44F6-80FB-E41E0754EE8B}">
      <dgm:prSet/>
      <dgm:spPr/>
      <dgm:t>
        <a:bodyPr/>
        <a:lstStyle/>
        <a:p>
          <a:endParaRPr lang="fr-FR"/>
        </a:p>
      </dgm:t>
    </dgm:pt>
    <dgm:pt modelId="{7D04CC7D-A4B2-46BC-A0A2-3AEF81C09F47}">
      <dgm:prSet phldrT="[Text]"/>
      <dgm:spPr/>
      <dgm:t>
        <a:bodyPr/>
        <a:lstStyle/>
        <a:p>
          <a:r>
            <a:rPr lang="fr-FR"/>
            <a:t>Wooden poles</a:t>
          </a:r>
        </a:p>
      </dgm:t>
    </dgm:pt>
    <dgm:pt modelId="{314B9E33-7597-48F7-8DA4-3327FFB77449}" type="parTrans" cxnId="{6F0D0BFC-4C51-4D68-B934-0D6E5C7826DD}">
      <dgm:prSet/>
      <dgm:spPr/>
      <dgm:t>
        <a:bodyPr/>
        <a:lstStyle/>
        <a:p>
          <a:endParaRPr lang="fr-FR"/>
        </a:p>
      </dgm:t>
    </dgm:pt>
    <dgm:pt modelId="{CABB253B-1ECF-4E03-85C9-E0A10E10DA4A}" type="sibTrans" cxnId="{6F0D0BFC-4C51-4D68-B934-0D6E5C7826DD}">
      <dgm:prSet/>
      <dgm:spPr/>
      <dgm:t>
        <a:bodyPr/>
        <a:lstStyle/>
        <a:p>
          <a:endParaRPr lang="fr-FR"/>
        </a:p>
      </dgm:t>
    </dgm:pt>
    <dgm:pt modelId="{6FCB497C-CC89-41E9-9422-72ED8E9AA824}">
      <dgm:prSet phldrT="[Text]"/>
      <dgm:spPr/>
      <dgm:t>
        <a:bodyPr/>
        <a:lstStyle/>
        <a:p>
          <a:r>
            <a:rPr lang="fr-FR"/>
            <a:t>Tools (saw, hammer, hoe, entrenching tool) </a:t>
          </a:r>
        </a:p>
      </dgm:t>
    </dgm:pt>
    <dgm:pt modelId="{05365C66-DA65-4B04-977A-0C186CCE8214}" type="parTrans" cxnId="{0CE42425-A026-4EB3-AF09-8EA1F8841B2F}">
      <dgm:prSet/>
      <dgm:spPr/>
      <dgm:t>
        <a:bodyPr/>
        <a:lstStyle/>
        <a:p>
          <a:endParaRPr lang="fr-FR"/>
        </a:p>
      </dgm:t>
    </dgm:pt>
    <dgm:pt modelId="{517372DB-447A-4FF6-9080-7E29AC350C2C}" type="sibTrans" cxnId="{0CE42425-A026-4EB3-AF09-8EA1F8841B2F}">
      <dgm:prSet/>
      <dgm:spPr/>
      <dgm:t>
        <a:bodyPr/>
        <a:lstStyle/>
        <a:p>
          <a:endParaRPr lang="fr-FR"/>
        </a:p>
      </dgm:t>
    </dgm:pt>
    <dgm:pt modelId="{270F45EB-6F22-46B2-A85A-D28F60FD35CF}">
      <dgm:prSet phldrT="[Text]"/>
      <dgm:spPr/>
      <dgm:t>
        <a:bodyPr/>
        <a:lstStyle/>
        <a:p>
          <a:r>
            <a:rPr lang="fr-FR"/>
            <a:t>Nails for roofing sheets</a:t>
          </a:r>
        </a:p>
      </dgm:t>
    </dgm:pt>
    <dgm:pt modelId="{034B80D5-D5EA-4341-B106-4DDF884C776A}" type="parTrans" cxnId="{6B6204CE-3D33-40D1-BBF8-F65A0198864E}">
      <dgm:prSet/>
      <dgm:spPr/>
      <dgm:t>
        <a:bodyPr/>
        <a:lstStyle/>
        <a:p>
          <a:endParaRPr lang="fr-FR"/>
        </a:p>
      </dgm:t>
    </dgm:pt>
    <dgm:pt modelId="{38E2128A-564E-4FCE-98CC-CA4834273A67}" type="sibTrans" cxnId="{6B6204CE-3D33-40D1-BBF8-F65A0198864E}">
      <dgm:prSet/>
      <dgm:spPr/>
      <dgm:t>
        <a:bodyPr/>
        <a:lstStyle/>
        <a:p>
          <a:endParaRPr lang="fr-FR"/>
        </a:p>
      </dgm:t>
    </dgm:pt>
    <dgm:pt modelId="{2819460D-020A-4215-8C78-3109075BF825}">
      <dgm:prSet phldrT="[Text]"/>
      <dgm:spPr/>
      <dgm:t>
        <a:bodyPr/>
        <a:lstStyle/>
        <a:p>
          <a:r>
            <a:rPr lang="fr-FR"/>
            <a:t>Ordinary nails</a:t>
          </a:r>
        </a:p>
      </dgm:t>
    </dgm:pt>
    <dgm:pt modelId="{B20EC601-F1E9-404F-9717-8FE970B1C7E0}" type="parTrans" cxnId="{9DF21142-93E3-4FD0-902A-A7FB7F2D8BFE}">
      <dgm:prSet/>
      <dgm:spPr/>
      <dgm:t>
        <a:bodyPr/>
        <a:lstStyle/>
        <a:p>
          <a:endParaRPr lang="fr-FR"/>
        </a:p>
      </dgm:t>
    </dgm:pt>
    <dgm:pt modelId="{6525ACFE-4E74-4406-8961-E4D54397D562}" type="sibTrans" cxnId="{9DF21142-93E3-4FD0-902A-A7FB7F2D8BFE}">
      <dgm:prSet/>
      <dgm:spPr/>
      <dgm:t>
        <a:bodyPr/>
        <a:lstStyle/>
        <a:p>
          <a:endParaRPr lang="fr-FR"/>
        </a:p>
      </dgm:t>
    </dgm:pt>
    <dgm:pt modelId="{C0AFC5AE-4559-4705-A04C-25D03F4F66BB}">
      <dgm:prSet phldrT="[Text]"/>
      <dgm:spPr/>
      <dgm:t>
        <a:bodyPr/>
        <a:lstStyle/>
        <a:p>
          <a:endParaRPr lang="fr-FR"/>
        </a:p>
      </dgm:t>
    </dgm:pt>
    <dgm:pt modelId="{A1641FF5-C66C-497B-964B-55BB6F427818}" type="parTrans" cxnId="{C8E1F776-430F-47A2-82FE-ABDF2E7D1DB0}">
      <dgm:prSet/>
      <dgm:spPr/>
      <dgm:t>
        <a:bodyPr/>
        <a:lstStyle/>
        <a:p>
          <a:endParaRPr lang="fr-FR"/>
        </a:p>
      </dgm:t>
    </dgm:pt>
    <dgm:pt modelId="{9F1163F6-4382-4A6E-A03D-F6CDE6CEBA94}" type="sibTrans" cxnId="{C8E1F776-430F-47A2-82FE-ABDF2E7D1DB0}">
      <dgm:prSet/>
      <dgm:spPr/>
      <dgm:t>
        <a:bodyPr/>
        <a:lstStyle/>
        <a:p>
          <a:endParaRPr lang="fr-FR"/>
        </a:p>
      </dgm:t>
    </dgm:pt>
    <dgm:pt modelId="{9204537C-0A44-4D20-8107-64A0FB74752F}">
      <dgm:prSet phldrT="[Text]"/>
      <dgm:spPr/>
      <dgm:t>
        <a:bodyPr/>
        <a:lstStyle/>
        <a:p>
          <a:r>
            <a:rPr lang="fr-FR"/>
            <a:t>Windows</a:t>
          </a:r>
        </a:p>
      </dgm:t>
    </dgm:pt>
    <dgm:pt modelId="{E7983FA8-6B77-4F48-ABE8-53B26CC15084}" type="parTrans" cxnId="{C32C9FDC-7783-4015-9ABB-8A82C680F83A}">
      <dgm:prSet/>
      <dgm:spPr/>
      <dgm:t>
        <a:bodyPr/>
        <a:lstStyle/>
        <a:p>
          <a:endParaRPr lang="fr-FR"/>
        </a:p>
      </dgm:t>
    </dgm:pt>
    <dgm:pt modelId="{FAA226E7-BDFD-4DEF-8491-630E2698556A}" type="sibTrans" cxnId="{C32C9FDC-7783-4015-9ABB-8A82C680F83A}">
      <dgm:prSet/>
      <dgm:spPr/>
      <dgm:t>
        <a:bodyPr/>
        <a:lstStyle/>
        <a:p>
          <a:endParaRPr lang="fr-FR"/>
        </a:p>
      </dgm:t>
    </dgm:pt>
    <dgm:pt modelId="{68F6BA76-F040-482F-8749-19FEBD038D5D}">
      <dgm:prSet phldrT="[Text]"/>
      <dgm:spPr/>
      <dgm:t>
        <a:bodyPr/>
        <a:lstStyle/>
        <a:p>
          <a:r>
            <a:rPr lang="fr-FR"/>
            <a:t>Tools</a:t>
          </a:r>
        </a:p>
      </dgm:t>
    </dgm:pt>
    <dgm:pt modelId="{C11FA146-2798-4A9E-B6DB-3DF1C6F7476F}" type="parTrans" cxnId="{1A1123E5-8D0D-4EA9-B11B-F97EC80B666C}">
      <dgm:prSet/>
      <dgm:spPr/>
      <dgm:t>
        <a:bodyPr/>
        <a:lstStyle/>
        <a:p>
          <a:endParaRPr lang="fr-FR"/>
        </a:p>
      </dgm:t>
    </dgm:pt>
    <dgm:pt modelId="{CDBB203D-D675-4E88-9895-F23CFA47ADCC}" type="sibTrans" cxnId="{1A1123E5-8D0D-4EA9-B11B-F97EC80B666C}">
      <dgm:prSet/>
      <dgm:spPr/>
      <dgm:t>
        <a:bodyPr/>
        <a:lstStyle/>
        <a:p>
          <a:endParaRPr lang="fr-FR"/>
        </a:p>
      </dgm:t>
    </dgm:pt>
    <dgm:pt modelId="{4FCE6110-6790-455F-9616-273F6D1D5784}">
      <dgm:prSet phldrT="[Text]"/>
      <dgm:spPr/>
      <dgm:t>
        <a:bodyPr/>
        <a:lstStyle/>
        <a:p>
          <a:r>
            <a:rPr lang="fr-FR"/>
            <a:t>Latine</a:t>
          </a:r>
        </a:p>
      </dgm:t>
    </dgm:pt>
    <dgm:pt modelId="{D4CA2385-7F51-46D7-8573-94FCA1B22CAC}" type="parTrans" cxnId="{5F301675-9D3D-414D-9D5B-FC6DAFDC7771}">
      <dgm:prSet/>
      <dgm:spPr/>
      <dgm:t>
        <a:bodyPr/>
        <a:lstStyle/>
        <a:p>
          <a:endParaRPr lang="fr-FR"/>
        </a:p>
      </dgm:t>
    </dgm:pt>
    <dgm:pt modelId="{CECA2C79-6ED2-47CE-9BCD-7039F306DACF}" type="sibTrans" cxnId="{5F301675-9D3D-414D-9D5B-FC6DAFDC7771}">
      <dgm:prSet/>
      <dgm:spPr/>
      <dgm:t>
        <a:bodyPr/>
        <a:lstStyle/>
        <a:p>
          <a:endParaRPr lang="fr-FR"/>
        </a:p>
      </dgm:t>
    </dgm:pt>
    <dgm:pt modelId="{00014813-431F-47DC-B59B-07A7C38C3E36}">
      <dgm:prSet phldrT="[Text]"/>
      <dgm:spPr/>
      <dgm:t>
        <a:bodyPr/>
        <a:lstStyle/>
        <a:p>
          <a:r>
            <a:rPr lang="fr-FR"/>
            <a:t>Wooden poles</a:t>
          </a:r>
        </a:p>
      </dgm:t>
    </dgm:pt>
    <dgm:pt modelId="{00391B37-367D-4957-8F27-3864BA98F69E}" type="parTrans" cxnId="{F0A88E24-AB6A-448D-A738-1CA4050568AF}">
      <dgm:prSet/>
      <dgm:spPr/>
      <dgm:t>
        <a:bodyPr/>
        <a:lstStyle/>
        <a:p>
          <a:endParaRPr lang="fr-FR"/>
        </a:p>
      </dgm:t>
    </dgm:pt>
    <dgm:pt modelId="{E41FD301-43C8-4527-BDF0-348212EC57C1}" type="sibTrans" cxnId="{F0A88E24-AB6A-448D-A738-1CA4050568AF}">
      <dgm:prSet/>
      <dgm:spPr/>
      <dgm:t>
        <a:bodyPr/>
        <a:lstStyle/>
        <a:p>
          <a:endParaRPr lang="fr-FR"/>
        </a:p>
      </dgm:t>
    </dgm:pt>
    <dgm:pt modelId="{41DCFFAB-8FB1-489A-B591-09FA8FB5290B}">
      <dgm:prSet phldrT="[Text]"/>
      <dgm:spPr/>
      <dgm:t>
        <a:bodyPr/>
        <a:lstStyle/>
        <a:p>
          <a:r>
            <a:rPr lang="fr-FR"/>
            <a:t>Wooden board </a:t>
          </a:r>
        </a:p>
      </dgm:t>
    </dgm:pt>
    <dgm:pt modelId="{3D4F3227-D502-454C-BA45-C236BF084BEA}" type="parTrans" cxnId="{F787259E-EAE0-4705-AA5F-049E1C52D0F9}">
      <dgm:prSet/>
      <dgm:spPr/>
      <dgm:t>
        <a:bodyPr/>
        <a:lstStyle/>
        <a:p>
          <a:endParaRPr lang="fr-FR"/>
        </a:p>
      </dgm:t>
    </dgm:pt>
    <dgm:pt modelId="{538FA6DB-908D-4678-92F2-297165C10AD8}" type="sibTrans" cxnId="{F787259E-EAE0-4705-AA5F-049E1C52D0F9}">
      <dgm:prSet/>
      <dgm:spPr/>
      <dgm:t>
        <a:bodyPr/>
        <a:lstStyle/>
        <a:p>
          <a:endParaRPr lang="fr-FR"/>
        </a:p>
      </dgm:t>
    </dgm:pt>
    <dgm:pt modelId="{04134C57-F17A-46FC-8D7A-694608B2B065}">
      <dgm:prSet phldrT="[Text]"/>
      <dgm:spPr/>
      <dgm:t>
        <a:bodyPr/>
        <a:lstStyle/>
        <a:p>
          <a:r>
            <a:rPr lang="fr-FR"/>
            <a:t>Wooden battens </a:t>
          </a:r>
        </a:p>
      </dgm:t>
    </dgm:pt>
    <dgm:pt modelId="{F28C76BE-E9A2-4A00-845F-DAD35E170B9C}" type="parTrans" cxnId="{C6BE274D-B535-45E5-A2E5-D8DF67EFBA82}">
      <dgm:prSet/>
      <dgm:spPr/>
      <dgm:t>
        <a:bodyPr/>
        <a:lstStyle/>
        <a:p>
          <a:endParaRPr lang="fr-FR"/>
        </a:p>
      </dgm:t>
    </dgm:pt>
    <dgm:pt modelId="{4CD067B0-6B33-48B3-A241-85744DE4E429}" type="sibTrans" cxnId="{C6BE274D-B535-45E5-A2E5-D8DF67EFBA82}">
      <dgm:prSet/>
      <dgm:spPr/>
      <dgm:t>
        <a:bodyPr/>
        <a:lstStyle/>
        <a:p>
          <a:endParaRPr lang="fr-FR"/>
        </a:p>
      </dgm:t>
    </dgm:pt>
    <dgm:pt modelId="{BAD8DF6B-57A2-4C2E-B3B8-C8DC8D2DD9F6}" type="pres">
      <dgm:prSet presAssocID="{ADBA312A-2AB2-4F55-856F-684A91FBDD9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E55148B8-29E4-4879-8EC4-C3EDF69922B7}" type="pres">
      <dgm:prSet presAssocID="{222ECF92-5D02-4688-B0CF-3F121D0395D9}" presName="composite" presStyleCnt="0"/>
      <dgm:spPr/>
    </dgm:pt>
    <dgm:pt modelId="{EFEC7FD1-B6CA-4874-BAFA-96492731D2CF}" type="pres">
      <dgm:prSet presAssocID="{222ECF92-5D02-4688-B0CF-3F121D0395D9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874D709-2EAA-45DF-ACB3-022B371B2F85}" type="pres">
      <dgm:prSet presAssocID="{222ECF92-5D02-4688-B0CF-3F121D0395D9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75CD311-2AB9-47E1-AB41-4A6B6495D002}" type="pres">
      <dgm:prSet presAssocID="{2B3CCF6A-3339-4558-BF5C-5F72C954AD7D}" presName="space" presStyleCnt="0"/>
      <dgm:spPr/>
    </dgm:pt>
    <dgm:pt modelId="{C4BC7A11-434A-4C06-9A57-857016A9C8C9}" type="pres">
      <dgm:prSet presAssocID="{72355628-7E92-457C-A38D-5CB6134B55BA}" presName="composite" presStyleCnt="0"/>
      <dgm:spPr/>
    </dgm:pt>
    <dgm:pt modelId="{DC096D65-16C2-4428-902A-D80B936814EE}" type="pres">
      <dgm:prSet presAssocID="{72355628-7E92-457C-A38D-5CB6134B55BA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0D42F73-70B3-4AA1-9FC6-CAEF7A19A725}" type="pres">
      <dgm:prSet presAssocID="{72355628-7E92-457C-A38D-5CB6134B55BA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E6A7263-151F-4AFB-89D8-6F4B593E0236}" type="pres">
      <dgm:prSet presAssocID="{30D69890-20CB-4EEC-91DE-B0809D19B627}" presName="space" presStyleCnt="0"/>
      <dgm:spPr/>
    </dgm:pt>
    <dgm:pt modelId="{864EBA91-5CB3-4AAE-B257-A1DE733C286C}" type="pres">
      <dgm:prSet presAssocID="{C12E6397-4EBB-45A4-82D6-444E265F48AC}" presName="composite" presStyleCnt="0"/>
      <dgm:spPr/>
    </dgm:pt>
    <dgm:pt modelId="{E80EC00B-372A-41F9-B564-BBE12079D11D}" type="pres">
      <dgm:prSet presAssocID="{C12E6397-4EBB-45A4-82D6-444E265F48AC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7D23756-1321-4471-BBA9-B0A359496BC3}" type="pres">
      <dgm:prSet presAssocID="{C12E6397-4EBB-45A4-82D6-444E265F48AC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A64930C-3B65-415B-BB08-F83A66D6B1A9}" type="presOf" srcId="{6FCB497C-CC89-41E9-9422-72ED8E9AA824}" destId="{10D42F73-70B3-4AA1-9FC6-CAEF7A19A725}" srcOrd="0" destOrd="4" presId="urn:microsoft.com/office/officeart/2005/8/layout/hList1"/>
    <dgm:cxn modelId="{174CA345-ECFE-4660-B4BD-08E7B9FEA8DC}" srcId="{222ECF92-5D02-4688-B0CF-3F121D0395D9}" destId="{CC1B5313-2840-4E9D-AA2F-31DCC9C960BD}" srcOrd="6" destOrd="0" parTransId="{69D3D9BD-8072-45CD-9CE3-E88844FB0040}" sibTransId="{A5E623BE-4744-4EEF-9CF8-CF879EE1F689}"/>
    <dgm:cxn modelId="{5D55F01D-C81A-4AB0-9F3F-4DC531384C09}" srcId="{222ECF92-5D02-4688-B0CF-3F121D0395D9}" destId="{178BD738-B108-46BA-BC54-DD542149ABD6}" srcOrd="8" destOrd="0" parTransId="{7F9CD39F-193A-4D9F-88BD-B37CA851E291}" sibTransId="{D5FD7265-E743-4B59-AE84-52C291AAB23F}"/>
    <dgm:cxn modelId="{DCA11A0C-733B-4FED-B550-12BBD8D3DE34}" type="presOf" srcId="{844D097B-9347-4FCC-AED4-C8E7A55149C6}" destId="{07D23756-1321-4471-BBA9-B0A359496BC3}" srcOrd="0" destOrd="0" presId="urn:microsoft.com/office/officeart/2005/8/layout/hList1"/>
    <dgm:cxn modelId="{C32C9FDC-7783-4015-9ABB-8A82C680F83A}" srcId="{C12E6397-4EBB-45A4-82D6-444E265F48AC}" destId="{9204537C-0A44-4D20-8107-64A0FB74752F}" srcOrd="4" destOrd="0" parTransId="{E7983FA8-6B77-4F48-ABE8-53B26CC15084}" sibTransId="{FAA226E7-BDFD-4DEF-8491-630E2698556A}"/>
    <dgm:cxn modelId="{3367C4E0-DAFF-4475-B9A8-79C17151C1C5}" type="presOf" srcId="{00014813-431F-47DC-B59B-07A7C38C3E36}" destId="{07D23756-1321-4471-BBA9-B0A359496BC3}" srcOrd="0" destOrd="7" presId="urn:microsoft.com/office/officeart/2005/8/layout/hList1"/>
    <dgm:cxn modelId="{09EA75BD-6006-4737-ABC2-F301CD118C5E}" type="presOf" srcId="{DA67475E-8F07-4BCA-8440-AE8790496950}" destId="{E874D709-2EAA-45DF-ACB3-022B371B2F85}" srcOrd="0" destOrd="0" presId="urn:microsoft.com/office/officeart/2005/8/layout/hList1"/>
    <dgm:cxn modelId="{69CDEA9D-5D09-4E7C-A29B-2A64AB462246}" srcId="{222ECF92-5D02-4688-B0CF-3F121D0395D9}" destId="{DA67475E-8F07-4BCA-8440-AE8790496950}" srcOrd="0" destOrd="0" parTransId="{035A24D8-E41C-4C5D-8313-6021EFEFCADB}" sibTransId="{085F7C17-D5DA-426B-A16E-E0DE71BC16AD}"/>
    <dgm:cxn modelId="{6B6204CE-3D33-40D1-BBF8-F65A0198864E}" srcId="{C12E6397-4EBB-45A4-82D6-444E265F48AC}" destId="{270F45EB-6F22-46B2-A85A-D28F60FD35CF}" srcOrd="1" destOrd="0" parTransId="{034B80D5-D5EA-4341-B106-4DDF884C776A}" sibTransId="{38E2128A-564E-4FCE-98CC-CA4834273A67}"/>
    <dgm:cxn modelId="{5F301675-9D3D-414D-9D5B-FC6DAFDC7771}" srcId="{C12E6397-4EBB-45A4-82D6-444E265F48AC}" destId="{4FCE6110-6790-455F-9616-273F6D1D5784}" srcOrd="6" destOrd="0" parTransId="{D4CA2385-7F51-46D7-8573-94FCA1B22CAC}" sibTransId="{CECA2C79-6ED2-47CE-9BCD-7039F306DACF}"/>
    <dgm:cxn modelId="{236DA8C5-08AA-4D62-A833-375F3F847A1B}" srcId="{72355628-7E92-457C-A38D-5CB6134B55BA}" destId="{7AAF738E-8FB0-42AE-BAD5-AFAFDA4FD596}" srcOrd="0" destOrd="0" parTransId="{A4D0371C-981F-488E-B924-D474D6BF1135}" sibTransId="{6BC77707-26D6-4BCA-93A6-5D020C7D3A93}"/>
    <dgm:cxn modelId="{950025FC-7D02-44F6-80FB-E41E0754EE8B}" srcId="{72355628-7E92-457C-A38D-5CB6134B55BA}" destId="{C2E6CEC1-E87D-4A86-A173-23FDAA0AC5E1}" srcOrd="2" destOrd="0" parTransId="{60DAD714-24A3-418F-92AB-BACBBC090CA9}" sibTransId="{01E82C04-1D11-454A-B0F4-A17CF13F60A6}"/>
    <dgm:cxn modelId="{B6AC2582-2ACE-4B3D-89A4-9C684E60435B}" type="presOf" srcId="{7AAF738E-8FB0-42AE-BAD5-AFAFDA4FD596}" destId="{10D42F73-70B3-4AA1-9FC6-CAEF7A19A725}" srcOrd="0" destOrd="0" presId="urn:microsoft.com/office/officeart/2005/8/layout/hList1"/>
    <dgm:cxn modelId="{F787259E-EAE0-4705-AA5F-049E1C52D0F9}" srcId="{C12E6397-4EBB-45A4-82D6-444E265F48AC}" destId="{41DCFFAB-8FB1-489A-B591-09FA8FB5290B}" srcOrd="8" destOrd="0" parTransId="{3D4F3227-D502-454C-BA45-C236BF084BEA}" sibTransId="{538FA6DB-908D-4678-92F2-297165C10AD8}"/>
    <dgm:cxn modelId="{358267C1-7429-4492-B9E3-E913FF42DFB9}" type="presOf" srcId="{E557E4AA-CE0F-49EC-BB10-FF0332F2CDA9}" destId="{10D42F73-70B3-4AA1-9FC6-CAEF7A19A725}" srcOrd="0" destOrd="1" presId="urn:microsoft.com/office/officeart/2005/8/layout/hList1"/>
    <dgm:cxn modelId="{ECF98CEC-553C-449C-B2EF-BACE4EEBBD2F}" srcId="{C12E6397-4EBB-45A4-82D6-444E265F48AC}" destId="{844D097B-9347-4FCC-AED4-C8E7A55149C6}" srcOrd="0" destOrd="0" parTransId="{DF8C835C-6AD4-4B0D-97F2-1131A96A5C36}" sibTransId="{4E830AD5-01B5-463D-96D3-2D73AD1A4F4C}"/>
    <dgm:cxn modelId="{5737979A-88E6-41C6-908F-0F7315717519}" type="presOf" srcId="{ADBA312A-2AB2-4F55-856F-684A91FBDD94}" destId="{BAD8DF6B-57A2-4C2E-B3B8-C8DC8D2DD9F6}" srcOrd="0" destOrd="0" presId="urn:microsoft.com/office/officeart/2005/8/layout/hList1"/>
    <dgm:cxn modelId="{BAF025A8-9241-43C1-9E00-5A9D1C103B21}" srcId="{222ECF92-5D02-4688-B0CF-3F121D0395D9}" destId="{AA00D560-7781-48F6-8E3D-F27C4DD3B1BB}" srcOrd="9" destOrd="0" parTransId="{83AE2688-45EE-423F-B414-F6440C1808DC}" sibTransId="{BCFE2190-867D-4CD3-9957-8A5D54E29BFA}"/>
    <dgm:cxn modelId="{0CE42425-A026-4EB3-AF09-8EA1F8841B2F}" srcId="{72355628-7E92-457C-A38D-5CB6134B55BA}" destId="{6FCB497C-CC89-41E9-9422-72ED8E9AA824}" srcOrd="4" destOrd="0" parTransId="{05365C66-DA65-4B04-977A-0C186CCE8214}" sibTransId="{517372DB-447A-4FF6-9080-7E29AC350C2C}"/>
    <dgm:cxn modelId="{BB7AD964-37C2-4796-8FA1-487AA896D345}" srcId="{C12E6397-4EBB-45A4-82D6-444E265F48AC}" destId="{6929FF1D-9C10-4A88-AD6D-46A0BE7940CD}" srcOrd="3" destOrd="0" parTransId="{327642B4-1001-4CA5-826D-F003A35418D9}" sibTransId="{143790C9-0DA5-44BC-927E-0100A0BD1697}"/>
    <dgm:cxn modelId="{4636D186-E6BF-4DB1-8574-34E28EDB27CA}" type="presOf" srcId="{41DCFFAB-8FB1-489A-B591-09FA8FB5290B}" destId="{07D23756-1321-4471-BBA9-B0A359496BC3}" srcOrd="0" destOrd="8" presId="urn:microsoft.com/office/officeart/2005/8/layout/hList1"/>
    <dgm:cxn modelId="{3475BFE4-6229-4C7F-B69F-FA6A4BCFDD64}" type="presOf" srcId="{957FFF77-B7D1-44BB-958C-3E9487B96C0E}" destId="{E874D709-2EAA-45DF-ACB3-022B371B2F85}" srcOrd="0" destOrd="5" presId="urn:microsoft.com/office/officeart/2005/8/layout/hList1"/>
    <dgm:cxn modelId="{B4F3ED82-5CEA-4807-AE37-1BA30B7B9100}" srcId="{222ECF92-5D02-4688-B0CF-3F121D0395D9}" destId="{FD2868BC-030E-4272-A70D-EC1F3DDECE18}" srcOrd="4" destOrd="0" parTransId="{C3B64894-7281-4759-B37C-3C73EE7DFDEA}" sibTransId="{D74C91F5-621B-45F5-9D06-999260678E78}"/>
    <dgm:cxn modelId="{EEBECC76-2DF3-4498-9FBF-4CE27D0062CE}" srcId="{222ECF92-5D02-4688-B0CF-3F121D0395D9}" destId="{894A8A6D-A833-4CE3-977C-B245DE14989F}" srcOrd="7" destOrd="0" parTransId="{A61DB398-C53B-4F15-BD36-35CF6540D07F}" sibTransId="{4AF70DBD-9710-4686-9E4B-D3FDDEF9C7A7}"/>
    <dgm:cxn modelId="{348D58D0-751A-43BA-AA48-79964D6C63BC}" srcId="{222ECF92-5D02-4688-B0CF-3F121D0395D9}" destId="{814C9B19-4E48-42FE-AAD0-3D81EAAE26F4}" srcOrd="1" destOrd="0" parTransId="{7A76854A-885F-4C5F-9E63-678E0BBEE38C}" sibTransId="{9353769A-EE93-4226-8A97-A80DCED46D25}"/>
    <dgm:cxn modelId="{4E725900-6CB1-4113-B587-B7238B9B5283}" srcId="{222ECF92-5D02-4688-B0CF-3F121D0395D9}" destId="{32EB6582-ECD6-4D4A-A712-7A39307B2A5C}" srcOrd="3" destOrd="0" parTransId="{CDA66B33-0129-4A8B-B8D7-9673A6CA2259}" sibTransId="{0605A79C-56A7-47AC-85A8-603AD69F9E5D}"/>
    <dgm:cxn modelId="{F0A88E24-AB6A-448D-A738-1CA4050568AF}" srcId="{C12E6397-4EBB-45A4-82D6-444E265F48AC}" destId="{00014813-431F-47DC-B59B-07A7C38C3E36}" srcOrd="7" destOrd="0" parTransId="{00391B37-367D-4957-8F27-3864BA98F69E}" sibTransId="{E41FD301-43C8-4527-BDF0-348212EC57C1}"/>
    <dgm:cxn modelId="{CB1565E0-83EF-4F0B-8B7A-85FACD77F238}" type="presOf" srcId="{814C9B19-4E48-42FE-AAD0-3D81EAAE26F4}" destId="{E874D709-2EAA-45DF-ACB3-022B371B2F85}" srcOrd="0" destOrd="1" presId="urn:microsoft.com/office/officeart/2005/8/layout/hList1"/>
    <dgm:cxn modelId="{2578DA8E-BEAD-4698-BC45-1DFE3728E564}" type="presOf" srcId="{894A8A6D-A833-4CE3-977C-B245DE14989F}" destId="{E874D709-2EAA-45DF-ACB3-022B371B2F85}" srcOrd="0" destOrd="7" presId="urn:microsoft.com/office/officeart/2005/8/layout/hList1"/>
    <dgm:cxn modelId="{9DF21142-93E3-4FD0-902A-A7FB7F2D8BFE}" srcId="{C12E6397-4EBB-45A4-82D6-444E265F48AC}" destId="{2819460D-020A-4215-8C78-3109075BF825}" srcOrd="2" destOrd="0" parTransId="{B20EC601-F1E9-404F-9717-8FE970B1C7E0}" sibTransId="{6525ACFE-4E74-4406-8961-E4D54397D562}"/>
    <dgm:cxn modelId="{C6D01628-1719-43FE-987B-87614817043C}" type="presOf" srcId="{6929FF1D-9C10-4A88-AD6D-46A0BE7940CD}" destId="{07D23756-1321-4471-BBA9-B0A359496BC3}" srcOrd="0" destOrd="3" presId="urn:microsoft.com/office/officeart/2005/8/layout/hList1"/>
    <dgm:cxn modelId="{013A5D9A-CAF9-47EF-B8C5-BC2768FD5A5A}" type="presOf" srcId="{C12E6397-4EBB-45A4-82D6-444E265F48AC}" destId="{E80EC00B-372A-41F9-B564-BBE12079D11D}" srcOrd="0" destOrd="0" presId="urn:microsoft.com/office/officeart/2005/8/layout/hList1"/>
    <dgm:cxn modelId="{014D3E2A-B3C9-4282-A2C4-9EC2588DE1DE}" type="presOf" srcId="{32EB6582-ECD6-4D4A-A712-7A39307B2A5C}" destId="{E874D709-2EAA-45DF-ACB3-022B371B2F85}" srcOrd="0" destOrd="3" presId="urn:microsoft.com/office/officeart/2005/8/layout/hList1"/>
    <dgm:cxn modelId="{8AFFE495-5CAE-4E2E-8E61-1A96928C82A5}" srcId="{ADBA312A-2AB2-4F55-856F-684A91FBDD94}" destId="{72355628-7E92-457C-A38D-5CB6134B55BA}" srcOrd="1" destOrd="0" parTransId="{1B4AAEE4-5860-4C73-9272-02B5E78FDC41}" sibTransId="{30D69890-20CB-4EEC-91DE-B0809D19B627}"/>
    <dgm:cxn modelId="{A7ACBC37-53ED-452A-BDA7-34DEA85D233A}" srcId="{72355628-7E92-457C-A38D-5CB6134B55BA}" destId="{E557E4AA-CE0F-49EC-BB10-FF0332F2CDA9}" srcOrd="1" destOrd="0" parTransId="{2E87C186-420B-4761-A6F1-7C092A86B46E}" sibTransId="{F89D2320-33D1-4A65-81D1-22EC9F192596}"/>
    <dgm:cxn modelId="{C2A620A8-F11A-4932-BEBF-9D3C789C30DB}" type="presOf" srcId="{CC1B5313-2840-4E9D-AA2F-31DCC9C960BD}" destId="{E874D709-2EAA-45DF-ACB3-022B371B2F85}" srcOrd="0" destOrd="6" presId="urn:microsoft.com/office/officeart/2005/8/layout/hList1"/>
    <dgm:cxn modelId="{B45E6080-C657-4EC9-BD42-C30AE84D22EF}" type="presOf" srcId="{9204537C-0A44-4D20-8107-64A0FB74752F}" destId="{07D23756-1321-4471-BBA9-B0A359496BC3}" srcOrd="0" destOrd="4" presId="urn:microsoft.com/office/officeart/2005/8/layout/hList1"/>
    <dgm:cxn modelId="{A6FBD18C-1956-4F15-AAD2-9E12C8D86A7A}" type="presOf" srcId="{178BD738-B108-46BA-BC54-DD542149ABD6}" destId="{E874D709-2EAA-45DF-ACB3-022B371B2F85}" srcOrd="0" destOrd="8" presId="urn:microsoft.com/office/officeart/2005/8/layout/hList1"/>
    <dgm:cxn modelId="{364E55E4-0B0B-4142-98AE-7B8B2D34E96A}" type="presOf" srcId="{2819460D-020A-4215-8C78-3109075BF825}" destId="{07D23756-1321-4471-BBA9-B0A359496BC3}" srcOrd="0" destOrd="2" presId="urn:microsoft.com/office/officeart/2005/8/layout/hList1"/>
    <dgm:cxn modelId="{89A543C0-BDF7-4E7D-AA6A-E215BE3424BC}" type="presOf" srcId="{C2E6CEC1-E87D-4A86-A173-23FDAA0AC5E1}" destId="{10D42F73-70B3-4AA1-9FC6-CAEF7A19A725}" srcOrd="0" destOrd="2" presId="urn:microsoft.com/office/officeart/2005/8/layout/hList1"/>
    <dgm:cxn modelId="{55D99624-78C8-4C57-9577-FD27162CC977}" srcId="{222ECF92-5D02-4688-B0CF-3F121D0395D9}" destId="{957FFF77-B7D1-44BB-958C-3E9487B96C0E}" srcOrd="5" destOrd="0" parTransId="{D25717C2-FDA7-4B82-A58E-4B927FE3CA67}" sibTransId="{4D3F0398-7887-4024-9E07-9E0FCF1BD492}"/>
    <dgm:cxn modelId="{6F0D0BFC-4C51-4D68-B934-0D6E5C7826DD}" srcId="{72355628-7E92-457C-A38D-5CB6134B55BA}" destId="{7D04CC7D-A4B2-46BC-A0A2-3AEF81C09F47}" srcOrd="3" destOrd="0" parTransId="{314B9E33-7597-48F7-8DA4-3327FFB77449}" sibTransId="{CABB253B-1ECF-4E03-85C9-E0A10E10DA4A}"/>
    <dgm:cxn modelId="{C8E1F776-430F-47A2-82FE-ABDF2E7D1DB0}" srcId="{C12E6397-4EBB-45A4-82D6-444E265F48AC}" destId="{C0AFC5AE-4559-4705-A04C-25D03F4F66BB}" srcOrd="10" destOrd="0" parTransId="{A1641FF5-C66C-497B-964B-55BB6F427818}" sibTransId="{9F1163F6-4382-4A6E-A03D-F6CDE6CEBA94}"/>
    <dgm:cxn modelId="{365E6EA9-1673-4118-8728-D464757E2B9F}" type="presOf" srcId="{C0AFC5AE-4559-4705-A04C-25D03F4F66BB}" destId="{07D23756-1321-4471-BBA9-B0A359496BC3}" srcOrd="0" destOrd="10" presId="urn:microsoft.com/office/officeart/2005/8/layout/hList1"/>
    <dgm:cxn modelId="{FCE49B2B-5A45-4233-97A9-C0A72112667C}" srcId="{ADBA312A-2AB2-4F55-856F-684A91FBDD94}" destId="{C12E6397-4EBB-45A4-82D6-444E265F48AC}" srcOrd="2" destOrd="0" parTransId="{E63B9549-9247-4880-A708-82664177B3AD}" sibTransId="{81C05869-96D3-4490-9C82-1134D25FEB78}"/>
    <dgm:cxn modelId="{8B10D36B-9F49-4B85-A375-971AC1113279}" type="presOf" srcId="{68F6BA76-F040-482F-8749-19FEBD038D5D}" destId="{07D23756-1321-4471-BBA9-B0A359496BC3}" srcOrd="0" destOrd="5" presId="urn:microsoft.com/office/officeart/2005/8/layout/hList1"/>
    <dgm:cxn modelId="{CEFA7A49-9F10-4B0C-B099-071CB7E3B95C}" type="presOf" srcId="{AA00D560-7781-48F6-8E3D-F27C4DD3B1BB}" destId="{E874D709-2EAA-45DF-ACB3-022B371B2F85}" srcOrd="0" destOrd="9" presId="urn:microsoft.com/office/officeart/2005/8/layout/hList1"/>
    <dgm:cxn modelId="{D84FF66C-E2F8-4C01-9E7E-9123CB927A4E}" type="presOf" srcId="{270F45EB-6F22-46B2-A85A-D28F60FD35CF}" destId="{07D23756-1321-4471-BBA9-B0A359496BC3}" srcOrd="0" destOrd="1" presId="urn:microsoft.com/office/officeart/2005/8/layout/hList1"/>
    <dgm:cxn modelId="{C6BE274D-B535-45E5-A2E5-D8DF67EFBA82}" srcId="{C12E6397-4EBB-45A4-82D6-444E265F48AC}" destId="{04134C57-F17A-46FC-8D7A-694608B2B065}" srcOrd="9" destOrd="0" parTransId="{F28C76BE-E9A2-4A00-845F-DAD35E170B9C}" sibTransId="{4CD067B0-6B33-48B3-A241-85744DE4E429}"/>
    <dgm:cxn modelId="{1A1123E5-8D0D-4EA9-B11B-F97EC80B666C}" srcId="{C12E6397-4EBB-45A4-82D6-444E265F48AC}" destId="{68F6BA76-F040-482F-8749-19FEBD038D5D}" srcOrd="5" destOrd="0" parTransId="{C11FA146-2798-4A9E-B6DB-3DF1C6F7476F}" sibTransId="{CDBB203D-D675-4E88-9895-F23CFA47ADCC}"/>
    <dgm:cxn modelId="{DCD21F11-E134-4C1C-A576-AF57A5FA662C}" type="presOf" srcId="{72355628-7E92-457C-A38D-5CB6134B55BA}" destId="{DC096D65-16C2-4428-902A-D80B936814EE}" srcOrd="0" destOrd="0" presId="urn:microsoft.com/office/officeart/2005/8/layout/hList1"/>
    <dgm:cxn modelId="{59F4B89D-08FE-457D-8B5A-D38E5DBDB374}" type="presOf" srcId="{513A2EDB-AB74-4F07-BD61-3E693191A275}" destId="{E874D709-2EAA-45DF-ACB3-022B371B2F85}" srcOrd="0" destOrd="2" presId="urn:microsoft.com/office/officeart/2005/8/layout/hList1"/>
    <dgm:cxn modelId="{C2434CBA-8FA2-4D53-B354-571C36B7DD16}" type="presOf" srcId="{04134C57-F17A-46FC-8D7A-694608B2B065}" destId="{07D23756-1321-4471-BBA9-B0A359496BC3}" srcOrd="0" destOrd="9" presId="urn:microsoft.com/office/officeart/2005/8/layout/hList1"/>
    <dgm:cxn modelId="{1B6D7CE9-B3ED-41AA-9DC8-99CCC97F576A}" srcId="{ADBA312A-2AB2-4F55-856F-684A91FBDD94}" destId="{222ECF92-5D02-4688-B0CF-3F121D0395D9}" srcOrd="0" destOrd="0" parTransId="{F78A3869-16B1-476E-A370-C8217B29E18A}" sibTransId="{2B3CCF6A-3339-4558-BF5C-5F72C954AD7D}"/>
    <dgm:cxn modelId="{4060A369-B033-4A22-BB8A-6D9BA6EBEF43}" type="presOf" srcId="{4FCE6110-6790-455F-9616-273F6D1D5784}" destId="{07D23756-1321-4471-BBA9-B0A359496BC3}" srcOrd="0" destOrd="6" presId="urn:microsoft.com/office/officeart/2005/8/layout/hList1"/>
    <dgm:cxn modelId="{02D99150-515C-406B-8EE7-0162160DF226}" srcId="{222ECF92-5D02-4688-B0CF-3F121D0395D9}" destId="{513A2EDB-AB74-4F07-BD61-3E693191A275}" srcOrd="2" destOrd="0" parTransId="{72351583-4594-4BA0-896D-7F3795D50357}" sibTransId="{258D908C-0D41-4720-AD5A-2DFA50822C04}"/>
    <dgm:cxn modelId="{A6DDD836-C5B0-484B-BBB7-F3906D49B69C}" type="presOf" srcId="{222ECF92-5D02-4688-B0CF-3F121D0395D9}" destId="{EFEC7FD1-B6CA-4874-BAFA-96492731D2CF}" srcOrd="0" destOrd="0" presId="urn:microsoft.com/office/officeart/2005/8/layout/hList1"/>
    <dgm:cxn modelId="{99F85C2C-5C42-41B0-99DA-337C0F233796}" type="presOf" srcId="{FD2868BC-030E-4272-A70D-EC1F3DDECE18}" destId="{E874D709-2EAA-45DF-ACB3-022B371B2F85}" srcOrd="0" destOrd="4" presId="urn:microsoft.com/office/officeart/2005/8/layout/hList1"/>
    <dgm:cxn modelId="{5C9C94F1-5C6B-495C-BF02-550ADDA0A470}" type="presOf" srcId="{7D04CC7D-A4B2-46BC-A0A2-3AEF81C09F47}" destId="{10D42F73-70B3-4AA1-9FC6-CAEF7A19A725}" srcOrd="0" destOrd="3" presId="urn:microsoft.com/office/officeart/2005/8/layout/hList1"/>
    <dgm:cxn modelId="{B81F43CE-E1B9-4396-B4BD-723F9FB2B6A0}" type="presParOf" srcId="{BAD8DF6B-57A2-4C2E-B3B8-C8DC8D2DD9F6}" destId="{E55148B8-29E4-4879-8EC4-C3EDF69922B7}" srcOrd="0" destOrd="0" presId="urn:microsoft.com/office/officeart/2005/8/layout/hList1"/>
    <dgm:cxn modelId="{EA97459C-3D4E-405B-81F7-31E51BCF5F48}" type="presParOf" srcId="{E55148B8-29E4-4879-8EC4-C3EDF69922B7}" destId="{EFEC7FD1-B6CA-4874-BAFA-96492731D2CF}" srcOrd="0" destOrd="0" presId="urn:microsoft.com/office/officeart/2005/8/layout/hList1"/>
    <dgm:cxn modelId="{52F90C44-DDD6-4AF7-B14F-E98154B5503D}" type="presParOf" srcId="{E55148B8-29E4-4879-8EC4-C3EDF69922B7}" destId="{E874D709-2EAA-45DF-ACB3-022B371B2F85}" srcOrd="1" destOrd="0" presId="urn:microsoft.com/office/officeart/2005/8/layout/hList1"/>
    <dgm:cxn modelId="{BAF146F6-2DDA-4213-8626-E78AC5F522FE}" type="presParOf" srcId="{BAD8DF6B-57A2-4C2E-B3B8-C8DC8D2DD9F6}" destId="{075CD311-2AB9-47E1-AB41-4A6B6495D002}" srcOrd="1" destOrd="0" presId="urn:microsoft.com/office/officeart/2005/8/layout/hList1"/>
    <dgm:cxn modelId="{85A3D616-99DF-48DF-992A-975E8E942508}" type="presParOf" srcId="{BAD8DF6B-57A2-4C2E-B3B8-C8DC8D2DD9F6}" destId="{C4BC7A11-434A-4C06-9A57-857016A9C8C9}" srcOrd="2" destOrd="0" presId="urn:microsoft.com/office/officeart/2005/8/layout/hList1"/>
    <dgm:cxn modelId="{0B6ABD17-3771-410F-8E4C-2C3480AE3B80}" type="presParOf" srcId="{C4BC7A11-434A-4C06-9A57-857016A9C8C9}" destId="{DC096D65-16C2-4428-902A-D80B936814EE}" srcOrd="0" destOrd="0" presId="urn:microsoft.com/office/officeart/2005/8/layout/hList1"/>
    <dgm:cxn modelId="{57B56BAC-CE49-47AC-B092-B9D6097BDB11}" type="presParOf" srcId="{C4BC7A11-434A-4C06-9A57-857016A9C8C9}" destId="{10D42F73-70B3-4AA1-9FC6-CAEF7A19A725}" srcOrd="1" destOrd="0" presId="urn:microsoft.com/office/officeart/2005/8/layout/hList1"/>
    <dgm:cxn modelId="{A78044AB-C6AB-49DA-B099-EBDA453CBF2D}" type="presParOf" srcId="{BAD8DF6B-57A2-4C2E-B3B8-C8DC8D2DD9F6}" destId="{9E6A7263-151F-4AFB-89D8-6F4B593E0236}" srcOrd="3" destOrd="0" presId="urn:microsoft.com/office/officeart/2005/8/layout/hList1"/>
    <dgm:cxn modelId="{D37A11D9-6467-4794-B2FD-D96FB5B4E4B8}" type="presParOf" srcId="{BAD8DF6B-57A2-4C2E-B3B8-C8DC8D2DD9F6}" destId="{864EBA91-5CB3-4AAE-B257-A1DE733C286C}" srcOrd="4" destOrd="0" presId="urn:microsoft.com/office/officeart/2005/8/layout/hList1"/>
    <dgm:cxn modelId="{9B4D8FB1-2761-411A-8383-4AEE579978CF}" type="presParOf" srcId="{864EBA91-5CB3-4AAE-B257-A1DE733C286C}" destId="{E80EC00B-372A-41F9-B564-BBE12079D11D}" srcOrd="0" destOrd="0" presId="urn:microsoft.com/office/officeart/2005/8/layout/hList1"/>
    <dgm:cxn modelId="{F6936FEB-342E-4B97-8AC0-D6E17CA0A9AD}" type="presParOf" srcId="{864EBA91-5CB3-4AAE-B257-A1DE733C286C}" destId="{07D23756-1321-4471-BBA9-B0A359496BC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EC7FD1-B6CA-4874-BAFA-96492731D2CF}">
      <dsp:nvSpPr>
        <dsp:cNvPr id="0" name=""/>
        <dsp:cNvSpPr/>
      </dsp:nvSpPr>
      <dsp:spPr>
        <a:xfrm>
          <a:off x="1714" y="6394"/>
          <a:ext cx="1671637" cy="475550"/>
        </a:xfrm>
        <a:prstGeom prst="rect">
          <a:avLst/>
        </a:prstGeom>
        <a:solidFill>
          <a:schemeClr val="accent1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kern="1200"/>
            <a:t>Household Kits</a:t>
          </a:r>
        </a:p>
      </dsp:txBody>
      <dsp:txXfrm>
        <a:off x="1714" y="6394"/>
        <a:ext cx="1671637" cy="475550"/>
      </dsp:txXfrm>
    </dsp:sp>
    <dsp:sp modelId="{E874D709-2EAA-45DF-ACB3-022B371B2F85}">
      <dsp:nvSpPr>
        <dsp:cNvPr id="0" name=""/>
        <dsp:cNvSpPr/>
      </dsp:nvSpPr>
      <dsp:spPr>
        <a:xfrm>
          <a:off x="1714" y="481945"/>
          <a:ext cx="1671637" cy="2712060"/>
        </a:xfrm>
        <a:prstGeom prst="rect">
          <a:avLst/>
        </a:prstGeom>
        <a:solidFill>
          <a:schemeClr val="accent1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Plastic buckets 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Mat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Blanket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Kitchen set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Mosquito net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Jerrycan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Soap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Woman cloth 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Hygiene kit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School kit</a:t>
          </a:r>
        </a:p>
      </dsp:txBody>
      <dsp:txXfrm>
        <a:off x="1714" y="481945"/>
        <a:ext cx="1671637" cy="2712060"/>
      </dsp:txXfrm>
    </dsp:sp>
    <dsp:sp modelId="{DC096D65-16C2-4428-902A-D80B936814EE}">
      <dsp:nvSpPr>
        <dsp:cNvPr id="0" name=""/>
        <dsp:cNvSpPr/>
      </dsp:nvSpPr>
      <dsp:spPr>
        <a:xfrm>
          <a:off x="1907381" y="6394"/>
          <a:ext cx="1671637" cy="475550"/>
        </a:xfrm>
        <a:prstGeom prst="rect">
          <a:avLst/>
        </a:prstGeom>
        <a:solidFill>
          <a:schemeClr val="accent1">
            <a:shade val="50000"/>
            <a:hueOff val="240958"/>
            <a:satOff val="-5040"/>
            <a:lumOff val="28042"/>
            <a:alphaOff val="0"/>
          </a:schemeClr>
        </a:solidFill>
        <a:ln w="25400" cap="flat" cmpd="sng" algn="ctr">
          <a:solidFill>
            <a:schemeClr val="accent1">
              <a:shade val="50000"/>
              <a:hueOff val="240958"/>
              <a:satOff val="-5040"/>
              <a:lumOff val="2804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kern="1200"/>
            <a:t>Shelter: Light-Weight Kit</a:t>
          </a:r>
        </a:p>
      </dsp:txBody>
      <dsp:txXfrm>
        <a:off x="1907381" y="6394"/>
        <a:ext cx="1671637" cy="475550"/>
      </dsp:txXfrm>
    </dsp:sp>
    <dsp:sp modelId="{10D42F73-70B3-4AA1-9FC6-CAEF7A19A725}">
      <dsp:nvSpPr>
        <dsp:cNvPr id="0" name=""/>
        <dsp:cNvSpPr/>
      </dsp:nvSpPr>
      <dsp:spPr>
        <a:xfrm>
          <a:off x="1907381" y="481945"/>
          <a:ext cx="1671637" cy="2712060"/>
        </a:xfrm>
        <a:prstGeom prst="rect">
          <a:avLst/>
        </a:prstGeom>
        <a:solidFill>
          <a:schemeClr val="accent1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Tarpaulins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Ropes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Nails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Wooden poles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Tools (saw, hammer, hoe, entrenching tool) </a:t>
          </a:r>
        </a:p>
      </dsp:txBody>
      <dsp:txXfrm>
        <a:off x="1907381" y="481945"/>
        <a:ext cx="1671637" cy="2712060"/>
      </dsp:txXfrm>
    </dsp:sp>
    <dsp:sp modelId="{E80EC00B-372A-41F9-B564-BBE12079D11D}">
      <dsp:nvSpPr>
        <dsp:cNvPr id="0" name=""/>
        <dsp:cNvSpPr/>
      </dsp:nvSpPr>
      <dsp:spPr>
        <a:xfrm>
          <a:off x="3813048" y="6394"/>
          <a:ext cx="1671637" cy="475550"/>
        </a:xfrm>
        <a:prstGeom prst="rect">
          <a:avLst/>
        </a:prstGeom>
        <a:solidFill>
          <a:schemeClr val="accent1">
            <a:shade val="50000"/>
            <a:hueOff val="240958"/>
            <a:satOff val="-5040"/>
            <a:lumOff val="28042"/>
            <a:alphaOff val="0"/>
          </a:schemeClr>
        </a:solidFill>
        <a:ln w="25400" cap="flat" cmpd="sng" algn="ctr">
          <a:solidFill>
            <a:schemeClr val="accent1">
              <a:shade val="50000"/>
              <a:hueOff val="240958"/>
              <a:satOff val="-5040"/>
              <a:lumOff val="2804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kern="1200"/>
            <a:t>Shelter: Transitional Kit</a:t>
          </a:r>
        </a:p>
      </dsp:txBody>
      <dsp:txXfrm>
        <a:off x="3813048" y="6394"/>
        <a:ext cx="1671637" cy="475550"/>
      </dsp:txXfrm>
    </dsp:sp>
    <dsp:sp modelId="{07D23756-1321-4471-BBA9-B0A359496BC3}">
      <dsp:nvSpPr>
        <dsp:cNvPr id="0" name=""/>
        <dsp:cNvSpPr/>
      </dsp:nvSpPr>
      <dsp:spPr>
        <a:xfrm>
          <a:off x="3813048" y="481945"/>
          <a:ext cx="1671637" cy="2712060"/>
        </a:xfrm>
        <a:prstGeom prst="rect">
          <a:avLst/>
        </a:prstGeom>
        <a:solidFill>
          <a:schemeClr val="accent1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Roofing sheets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Nails for roofing sheets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Ordinary nails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Door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Windows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Tools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Latine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Wooden poles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Wooden board 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300" kern="1200"/>
            <a:t>Wooden battens 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1300" kern="1200"/>
        </a:p>
      </dsp:txBody>
      <dsp:txXfrm>
        <a:off x="3813048" y="481945"/>
        <a:ext cx="1671637" cy="27120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99A9D-FA32-4771-8561-A17EFF5E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DARBELLAY Noelle</dc:creator>
  <cp:lastModifiedBy>MEJO Kristina</cp:lastModifiedBy>
  <cp:revision>4</cp:revision>
  <dcterms:created xsi:type="dcterms:W3CDTF">2015-04-02T05:50:00Z</dcterms:created>
  <dcterms:modified xsi:type="dcterms:W3CDTF">2015-04-02T10:59:00Z</dcterms:modified>
</cp:coreProperties>
</file>