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B7A93" w14:textId="77777777" w:rsidR="003E1EA6" w:rsidRDefault="003E1EA6" w:rsidP="003E1EA6">
      <w:pPr>
        <w:pStyle w:val="Heading3"/>
        <w:spacing w:before="0"/>
      </w:pPr>
      <w:r>
        <w:t>Shelter Projects WG 2016</w:t>
      </w:r>
    </w:p>
    <w:p w14:paraId="0F6919D2" w14:textId="77777777" w:rsidR="00DE3731" w:rsidRDefault="00DE3731" w:rsidP="00A9667D">
      <w:pPr>
        <w:pStyle w:val="Heading3"/>
        <w:spacing w:before="0"/>
      </w:pPr>
    </w:p>
    <w:p w14:paraId="0874AB7A" w14:textId="22EE7D94" w:rsidR="003E1EA6" w:rsidRPr="00D87873" w:rsidRDefault="003E1EA6" w:rsidP="00A9667D">
      <w:pPr>
        <w:pStyle w:val="Heading3"/>
        <w:spacing w:before="0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12A3E038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Date: </w:t>
      </w:r>
      <w:r w:rsidR="008106AB">
        <w:rPr>
          <w:rFonts w:eastAsia="Times New Roman"/>
        </w:rPr>
        <w:t>March 18</w:t>
      </w:r>
      <w:r w:rsidR="008106AB" w:rsidRPr="008106AB">
        <w:rPr>
          <w:rFonts w:eastAsia="Times New Roman"/>
          <w:vertAlign w:val="superscript"/>
        </w:rPr>
        <w:t>th</w:t>
      </w:r>
      <w:r w:rsidRPr="002211DF">
        <w:rPr>
          <w:rFonts w:eastAsia="Times New Roman"/>
        </w:rPr>
        <w:t>, 2016</w:t>
      </w:r>
    </w:p>
    <w:p w14:paraId="7EE315B3" w14:textId="2BCB5014" w:rsidR="003E1EA6" w:rsidRPr="00862558" w:rsidRDefault="003E1EA6" w:rsidP="003E1EA6">
      <w:pPr>
        <w:spacing w:after="0"/>
        <w:rPr>
          <w:b/>
          <w:i/>
        </w:rPr>
      </w:pPr>
      <w:r w:rsidRPr="00862558">
        <w:rPr>
          <w:rFonts w:eastAsia="Times New Roman"/>
          <w:b/>
          <w:bCs/>
        </w:rPr>
        <w:t>Participants:</w:t>
      </w:r>
      <w:r>
        <w:rPr>
          <w:rFonts w:eastAsia="Times New Roman"/>
        </w:rPr>
        <w:t xml:space="preserve"> </w:t>
      </w:r>
      <w:r w:rsidR="008106AB">
        <w:rPr>
          <w:rFonts w:eastAsia="Times New Roman"/>
        </w:rPr>
        <w:t>Miguel Urquia (UNHCR)</w:t>
      </w:r>
      <w:r>
        <w:t>,</w:t>
      </w:r>
      <w:r w:rsidRPr="0059776B">
        <w:rPr>
          <w:rFonts w:eastAsia="Times New Roman"/>
        </w:rPr>
        <w:t xml:space="preserve"> </w:t>
      </w:r>
      <w:r w:rsidR="008106AB">
        <w:rPr>
          <w:rFonts w:eastAsia="Times New Roman"/>
        </w:rPr>
        <w:t>Joseph Ashmore</w:t>
      </w:r>
      <w:r w:rsidRPr="0059776B">
        <w:rPr>
          <w:rFonts w:eastAsia="Times New Roman"/>
        </w:rPr>
        <w:t xml:space="preserve"> (IOM),</w:t>
      </w:r>
      <w:r w:rsidR="008106AB">
        <w:rPr>
          <w:rFonts w:eastAsia="Times New Roman"/>
        </w:rPr>
        <w:t xml:space="preserve"> Alberto Piccioli (IOM),</w:t>
      </w:r>
      <w:r w:rsidRPr="0059776B">
        <w:rPr>
          <w:rFonts w:eastAsia="Times New Roman"/>
        </w:rPr>
        <w:t xml:space="preserve"> Jake</w:t>
      </w:r>
      <w:r w:rsidR="008106AB">
        <w:rPr>
          <w:rFonts w:eastAsia="Times New Roman"/>
        </w:rPr>
        <w:t xml:space="preserve"> Zarins (Habitat for Humanity).</w:t>
      </w:r>
    </w:p>
    <w:p w14:paraId="68C45E93" w14:textId="145507BB" w:rsidR="003E1EA6" w:rsidRPr="00412125" w:rsidRDefault="003E1EA6" w:rsidP="003E1EA6">
      <w:pPr>
        <w:spacing w:after="0"/>
        <w:rPr>
          <w:rFonts w:eastAsia="Times New Roman"/>
        </w:rPr>
      </w:pPr>
      <w:r w:rsidRPr="00412125">
        <w:rPr>
          <w:b/>
          <w:bCs/>
        </w:rPr>
        <w:t>Apologies:</w:t>
      </w:r>
      <w:r w:rsidRPr="00412125">
        <w:t xml:space="preserve"> </w:t>
      </w:r>
      <w:bookmarkStart w:id="0" w:name="_GoBack"/>
      <w:bookmarkEnd w:id="0"/>
      <w:r w:rsidR="008106AB">
        <w:t xml:space="preserve">Sandra </w:t>
      </w:r>
      <w:proofErr w:type="spellStart"/>
      <w:r w:rsidR="008106AB">
        <w:t>d’Urzo</w:t>
      </w:r>
      <w:proofErr w:type="spellEnd"/>
      <w:r w:rsidR="008106AB">
        <w:t xml:space="preserve"> (IFRC), </w:t>
      </w:r>
      <w:r w:rsidRPr="00412125">
        <w:rPr>
          <w:rFonts w:eastAsia="Times New Roman"/>
        </w:rPr>
        <w:t>Esteban Leon (UNHABITAT)</w:t>
      </w:r>
      <w:r w:rsidR="00CB3D10" w:rsidRPr="00412125">
        <w:rPr>
          <w:rFonts w:eastAsia="Times New Roman"/>
        </w:rPr>
        <w:t xml:space="preserve">; Charles </w:t>
      </w:r>
      <w:proofErr w:type="spellStart"/>
      <w:r w:rsidR="00CB3D10" w:rsidRPr="00412125">
        <w:rPr>
          <w:rFonts w:eastAsia="Times New Roman"/>
        </w:rPr>
        <w:t>Setchell</w:t>
      </w:r>
      <w:proofErr w:type="spellEnd"/>
      <w:r w:rsidR="00CB3D10" w:rsidRPr="00412125">
        <w:rPr>
          <w:rFonts w:eastAsia="Times New Roman"/>
        </w:rPr>
        <w:t xml:space="preserve"> (USAID OFDA)</w:t>
      </w:r>
      <w:r w:rsidR="008106AB" w:rsidRPr="00412125">
        <w:rPr>
          <w:rFonts w:eastAsia="Times New Roman"/>
        </w:rPr>
        <w:t xml:space="preserve">, </w:t>
      </w:r>
      <w:r w:rsidR="008106AB" w:rsidRPr="0059776B">
        <w:rPr>
          <w:rFonts w:eastAsia="Times New Roman"/>
        </w:rPr>
        <w:t>Brenda Rose Daniel (World Vision)</w:t>
      </w:r>
      <w:r w:rsidR="008106AB">
        <w:rPr>
          <w:rFonts w:eastAsia="Times New Roman"/>
        </w:rPr>
        <w:t>.</w:t>
      </w:r>
    </w:p>
    <w:p w14:paraId="7BD7DFC2" w14:textId="77777777" w:rsidR="002C3B17" w:rsidRPr="00412125" w:rsidRDefault="002C3B17" w:rsidP="00344B1A">
      <w:pPr>
        <w:spacing w:after="0" w:line="240" w:lineRule="auto"/>
        <w:jc w:val="both"/>
        <w:rPr>
          <w:color w:val="000000" w:themeColor="text1"/>
        </w:rPr>
      </w:pPr>
    </w:p>
    <w:p w14:paraId="466DED0B" w14:textId="0ED85A68" w:rsidR="00A43D37" w:rsidRDefault="006C70EB" w:rsidP="00A43D3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Working groups and meetings</w:t>
      </w:r>
    </w:p>
    <w:p w14:paraId="054902FB" w14:textId="5A7DB7B7" w:rsidR="003E1EA6" w:rsidRDefault="00412125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 w:rsidRPr="00412125">
        <w:rPr>
          <w:color w:val="FF0000"/>
        </w:rPr>
        <w:t>ACTION:</w:t>
      </w:r>
      <w:r>
        <w:t xml:space="preserve"> IOM will establish</w:t>
      </w:r>
      <w:r w:rsidR="00C85E0C">
        <w:t xml:space="preserve"> </w:t>
      </w:r>
      <w:r>
        <w:t xml:space="preserve">a </w:t>
      </w:r>
      <w:r w:rsidR="00C85E0C" w:rsidRPr="00711106">
        <w:rPr>
          <w:b/>
        </w:rPr>
        <w:t>Technical Working Group</w:t>
      </w:r>
      <w:r w:rsidR="00C85E0C">
        <w:t xml:space="preserve"> to </w:t>
      </w:r>
      <w:r>
        <w:t xml:space="preserve">focus on technical issues in relation to the project and to </w:t>
      </w:r>
      <w:r w:rsidR="00C85E0C">
        <w:t>ensure broad participation from shelter experts from international organizations, independent consultants, operational NGOs and dono</w:t>
      </w:r>
      <w:r w:rsidR="002358C3">
        <w:t>rs. This should allow wider engagement and buy in from contributors;</w:t>
      </w:r>
    </w:p>
    <w:p w14:paraId="6667A882" w14:textId="37EDF52B" w:rsidR="00C85E0C" w:rsidRDefault="00412125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 w:rsidRPr="00412125">
        <w:rPr>
          <w:color w:val="FF0000"/>
        </w:rPr>
        <w:t>ACTION:</w:t>
      </w:r>
      <w:r>
        <w:rPr>
          <w:color w:val="FF0000"/>
        </w:rPr>
        <w:t xml:space="preserve"> </w:t>
      </w:r>
      <w:r w:rsidR="00C85E0C">
        <w:t xml:space="preserve">A small </w:t>
      </w:r>
      <w:r w:rsidR="00C85E0C" w:rsidRPr="00711106">
        <w:rPr>
          <w:b/>
        </w:rPr>
        <w:t>steering committee</w:t>
      </w:r>
      <w:r w:rsidR="00C85E0C">
        <w:t xml:space="preserve"> </w:t>
      </w:r>
      <w:r>
        <w:t xml:space="preserve">will be established </w:t>
      </w:r>
      <w:r w:rsidR="00C85E0C">
        <w:t xml:space="preserve">with members from contributing agencies will </w:t>
      </w:r>
      <w:r>
        <w:t>support</w:t>
      </w:r>
      <w:r w:rsidR="002358C3">
        <w:t xml:space="preserve"> overall project coordination</w:t>
      </w:r>
      <w:r>
        <w:t xml:space="preserve"> and resourcing</w:t>
      </w:r>
      <w:r w:rsidR="002358C3">
        <w:t>;</w:t>
      </w:r>
    </w:p>
    <w:p w14:paraId="1C02F3F0" w14:textId="313B3991" w:rsidR="00E6039E" w:rsidRDefault="00412125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 w:rsidRPr="00412125">
        <w:rPr>
          <w:color w:val="FF0000"/>
        </w:rPr>
        <w:t>ACTION:</w:t>
      </w:r>
      <w:r>
        <w:rPr>
          <w:color w:val="FF0000"/>
        </w:rPr>
        <w:t xml:space="preserve"> </w:t>
      </w:r>
      <w:r>
        <w:t>IOM will lead on the p</w:t>
      </w:r>
      <w:r w:rsidR="002358C3">
        <w:t xml:space="preserve">lanning of an </w:t>
      </w:r>
      <w:r w:rsidR="002358C3" w:rsidRPr="00711106">
        <w:rPr>
          <w:b/>
        </w:rPr>
        <w:t>inception workshop in May</w:t>
      </w:r>
      <w:r w:rsidR="00E6039E">
        <w:t>, with the aims of: reviewing past editions and defining the overall approach for the new edition and the Shelter Projects project;</w:t>
      </w:r>
    </w:p>
    <w:p w14:paraId="5906FF36" w14:textId="7D771E91" w:rsidR="002358C3" w:rsidRDefault="00412125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 w:rsidRPr="00412125">
        <w:rPr>
          <w:color w:val="FF0000"/>
        </w:rPr>
        <w:t>ACTION:</w:t>
      </w:r>
      <w:r>
        <w:rPr>
          <w:color w:val="FF0000"/>
        </w:rPr>
        <w:t xml:space="preserve"> </w:t>
      </w:r>
      <w:r>
        <w:t>The SAG should discuss t</w:t>
      </w:r>
      <w:r w:rsidR="002358C3">
        <w:t>he inclusion of Shelter Projects in the</w:t>
      </w:r>
      <w:r w:rsidR="00711106">
        <w:t xml:space="preserve"> agenda of the</w:t>
      </w:r>
      <w:r w:rsidR="002358C3">
        <w:t xml:space="preserve"> </w:t>
      </w:r>
      <w:r w:rsidR="002358C3" w:rsidRPr="00711106">
        <w:rPr>
          <w:b/>
        </w:rPr>
        <w:t>Global Shelter Cluster Meeting</w:t>
      </w:r>
      <w:r w:rsidR="002358C3">
        <w:t xml:space="preserve"> in October 2016</w:t>
      </w:r>
      <w:r>
        <w:t xml:space="preserve"> as a key component of a “technical shelter day”</w:t>
      </w:r>
      <w:r w:rsidR="002358C3">
        <w:t>;</w:t>
      </w:r>
    </w:p>
    <w:p w14:paraId="17CA4045" w14:textId="05E6FDC1" w:rsidR="00E6039E" w:rsidRPr="002211DF" w:rsidRDefault="00412125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>
        <w:t xml:space="preserve">Working group members should promote wherever possible shelter projects in </w:t>
      </w:r>
      <w:r w:rsidR="00E6039E" w:rsidRPr="00711106">
        <w:rPr>
          <w:b/>
        </w:rPr>
        <w:t>shelter events</w:t>
      </w:r>
      <w:r w:rsidR="00E6039E">
        <w:t xml:space="preserve"> such as the UK Shelter Forum</w:t>
      </w:r>
      <w:r>
        <w:t>. These can be used to collect and review case studies.</w:t>
      </w:r>
    </w:p>
    <w:p w14:paraId="2E23ECC4" w14:textId="77777777" w:rsidR="00B91987" w:rsidRDefault="00B91987" w:rsidP="00344B1A">
      <w:pPr>
        <w:pStyle w:val="ListParagraph"/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</w:p>
    <w:p w14:paraId="5A91D0DA" w14:textId="784F603C" w:rsidR="006C70EB" w:rsidRDefault="006C70EB" w:rsidP="006C70E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Agencies contributions</w:t>
      </w:r>
      <w:r w:rsidR="00C85E0C">
        <w:rPr>
          <w:b/>
          <w:bCs/>
          <w:i/>
          <w:iCs/>
          <w:color w:val="17365D" w:themeColor="text2" w:themeShade="BF"/>
        </w:rPr>
        <w:t xml:space="preserve"> (see Annex - itemised task list)</w:t>
      </w:r>
    </w:p>
    <w:p w14:paraId="2C130897" w14:textId="77777777" w:rsidR="002358C3" w:rsidRDefault="00C85E0C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>
        <w:t>Contributions to staffing costs and consultancy fees have been granted</w:t>
      </w:r>
      <w:r w:rsidR="002358C3">
        <w:t xml:space="preserve"> by IFRC, UNHCR and UN-HABITAT;</w:t>
      </w:r>
    </w:p>
    <w:p w14:paraId="27062D76" w14:textId="1712C2BC" w:rsidR="006C70EB" w:rsidRDefault="00412125" w:rsidP="00412125">
      <w:pPr>
        <w:pStyle w:val="ListParagraph"/>
        <w:numPr>
          <w:ilvl w:val="0"/>
          <w:numId w:val="19"/>
        </w:numPr>
        <w:spacing w:line="240" w:lineRule="auto"/>
        <w:jc w:val="both"/>
      </w:pPr>
      <w:r w:rsidRPr="00412125">
        <w:rPr>
          <w:color w:val="FF0000"/>
        </w:rPr>
        <w:t>ACTION:</w:t>
      </w:r>
      <w:r>
        <w:rPr>
          <w:color w:val="FF0000"/>
        </w:rPr>
        <w:t xml:space="preserve"> </w:t>
      </w:r>
      <w:r>
        <w:t xml:space="preserve">IOM will submit a proposal to </w:t>
      </w:r>
      <w:r w:rsidR="00C85E0C">
        <w:t xml:space="preserve">USAID/OFDA </w:t>
      </w:r>
      <w:r>
        <w:t xml:space="preserve">for their </w:t>
      </w:r>
      <w:r w:rsidR="002358C3">
        <w:t>contribution</w:t>
      </w:r>
      <w:r w:rsidR="000759D7">
        <w:t>;</w:t>
      </w:r>
      <w:r w:rsidR="002358C3">
        <w:t xml:space="preserve"> </w:t>
      </w:r>
    </w:p>
    <w:p w14:paraId="1E9A68A7" w14:textId="405983DC" w:rsidR="00C85E0C" w:rsidRDefault="00412125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 w:rsidRPr="00412125">
        <w:rPr>
          <w:color w:val="FF0000"/>
        </w:rPr>
        <w:t>ACTION:</w:t>
      </w:r>
      <w:r w:rsidRPr="00412125">
        <w:t xml:space="preserve"> IOM to lia</w:t>
      </w:r>
      <w:r w:rsidR="000759D7">
        <w:t>i</w:t>
      </w:r>
      <w:r w:rsidRPr="00412125">
        <w:t xml:space="preserve">se with </w:t>
      </w:r>
      <w:r w:rsidR="00C85E0C">
        <w:t>Habitat for Humanity</w:t>
      </w:r>
      <w:r w:rsidR="000759D7">
        <w:t xml:space="preserve"> who</w:t>
      </w:r>
      <w:r w:rsidR="00C85E0C">
        <w:t xml:space="preserve"> will provide in-kind contribution for formatti</w:t>
      </w:r>
      <w:r w:rsidR="00E6039E">
        <w:t>ng and layout, WVI for printing;</w:t>
      </w:r>
    </w:p>
    <w:p w14:paraId="14B4C680" w14:textId="6F4FEA26" w:rsidR="00E6039E" w:rsidRPr="002211DF" w:rsidRDefault="00E6039E" w:rsidP="006C70EB">
      <w:pPr>
        <w:pStyle w:val="ListParagraph"/>
        <w:numPr>
          <w:ilvl w:val="0"/>
          <w:numId w:val="19"/>
        </w:numPr>
        <w:spacing w:line="240" w:lineRule="auto"/>
        <w:jc w:val="both"/>
      </w:pPr>
      <w:r>
        <w:t>Funding from CARE (tbc)</w:t>
      </w:r>
      <w:r w:rsidR="00412125">
        <w:t xml:space="preserve"> or other agencies</w:t>
      </w:r>
      <w:r>
        <w:t xml:space="preserve"> could contribute to an inception workshop of the working group or a field workshop – both locations </w:t>
      </w:r>
      <w:proofErr w:type="spellStart"/>
      <w:proofErr w:type="gramStart"/>
      <w:r>
        <w:t>tbd</w:t>
      </w:r>
      <w:proofErr w:type="spellEnd"/>
      <w:proofErr w:type="gramEnd"/>
      <w:r>
        <w:t>.</w:t>
      </w:r>
    </w:p>
    <w:p w14:paraId="666562F2" w14:textId="77777777" w:rsidR="006C70EB" w:rsidRDefault="006C70EB" w:rsidP="00344B1A">
      <w:pPr>
        <w:pStyle w:val="ListParagraph"/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</w:p>
    <w:p w14:paraId="333EE948" w14:textId="21281C25" w:rsidR="00CF2DC7" w:rsidRPr="003E1EA6" w:rsidRDefault="002358C3" w:rsidP="00344B1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D</w:t>
      </w:r>
      <w:r w:rsidR="006C70EB">
        <w:rPr>
          <w:b/>
          <w:bCs/>
          <w:i/>
          <w:iCs/>
          <w:color w:val="17365D" w:themeColor="text2" w:themeShade="BF"/>
        </w:rPr>
        <w:t>iscussion</w:t>
      </w:r>
      <w:r>
        <w:rPr>
          <w:b/>
          <w:bCs/>
          <w:i/>
          <w:iCs/>
          <w:color w:val="17365D" w:themeColor="text2" w:themeShade="BF"/>
        </w:rPr>
        <w:t xml:space="preserve"> points on content</w:t>
      </w:r>
    </w:p>
    <w:p w14:paraId="1D922AF9" w14:textId="4532B80F" w:rsidR="0038766F" w:rsidRDefault="00412125" w:rsidP="00412125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412125">
        <w:rPr>
          <w:color w:val="FF0000"/>
        </w:rPr>
        <w:t>ACTION:</w:t>
      </w:r>
      <w:r>
        <w:rPr>
          <w:color w:val="FF0000"/>
        </w:rPr>
        <w:t xml:space="preserve"> </w:t>
      </w:r>
      <w:r>
        <w:t xml:space="preserve">IOM to discuss with shelter cluster IM </w:t>
      </w:r>
      <w:r w:rsidR="00E6039E">
        <w:t xml:space="preserve">Shelter </w:t>
      </w:r>
      <w:r>
        <w:t xml:space="preserve">on relation between </w:t>
      </w:r>
      <w:r w:rsidR="00E6039E">
        <w:t xml:space="preserve">Case Studies </w:t>
      </w:r>
      <w:r w:rsidR="00E6039E" w:rsidRPr="00412125">
        <w:rPr>
          <w:b/>
        </w:rPr>
        <w:t>website</w:t>
      </w:r>
      <w:r w:rsidR="00E6039E">
        <w:t xml:space="preserve"> </w:t>
      </w:r>
      <w:r>
        <w:t xml:space="preserve">and the </w:t>
      </w:r>
      <w:r w:rsidR="00E6039E">
        <w:t>Cluster website, without losing the feature of being able to run on a CD or memory stick;</w:t>
      </w:r>
    </w:p>
    <w:p w14:paraId="3971503B" w14:textId="23FAD379" w:rsidR="00E6039E" w:rsidRDefault="00E6039E" w:rsidP="00E6039E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Enhanced </w:t>
      </w:r>
      <w:r w:rsidRPr="000F571B">
        <w:rPr>
          <w:b/>
        </w:rPr>
        <w:t>searching options</w:t>
      </w:r>
      <w:r>
        <w:t xml:space="preserve"> will be </w:t>
      </w:r>
      <w:r w:rsidR="00412125">
        <w:t xml:space="preserve">reviewed – recognising the sampling issues in the selection of the case studies will mean that any meta </w:t>
      </w:r>
      <w:proofErr w:type="spellStart"/>
      <w:r w:rsidR="00412125">
        <w:t>anlysis</w:t>
      </w:r>
      <w:proofErr w:type="spellEnd"/>
      <w:r w:rsidR="00412125">
        <w:t xml:space="preserve"> will not show overall shelter programmatic trends</w:t>
      </w:r>
      <w:r>
        <w:t>;</w:t>
      </w:r>
    </w:p>
    <w:p w14:paraId="2DCA2CAC" w14:textId="77777777" w:rsidR="002A4CEB" w:rsidRDefault="002A4CEB" w:rsidP="00E6039E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Inclusion of </w:t>
      </w:r>
      <w:r w:rsidRPr="000F571B">
        <w:rPr>
          <w:b/>
        </w:rPr>
        <w:t>longitudinal studies and review process</w:t>
      </w:r>
      <w:r>
        <w:t xml:space="preserve"> of past editions to be discussed;</w:t>
      </w:r>
    </w:p>
    <w:p w14:paraId="72B66F8F" w14:textId="3FD29326" w:rsidR="000F571B" w:rsidRDefault="00412125" w:rsidP="00E6039E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To discuss: </w:t>
      </w:r>
      <w:r w:rsidR="000F571B">
        <w:t xml:space="preserve">A request can be sent to country offices to </w:t>
      </w:r>
      <w:r w:rsidR="000F571B" w:rsidRPr="000759D7">
        <w:rPr>
          <w:b/>
        </w:rPr>
        <w:t>review the past case studies</w:t>
      </w:r>
      <w:r w:rsidR="000F571B">
        <w:t xml:space="preserve"> and provide feedback on whether they represent trends in their past responses, or something is missing (this can inform the selection of new case studies as well);</w:t>
      </w:r>
    </w:p>
    <w:p w14:paraId="396863E2" w14:textId="39C9A9A5" w:rsidR="002A4CEB" w:rsidRDefault="00412125" w:rsidP="00E6039E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To agree: subjects of </w:t>
      </w:r>
      <w:r w:rsidR="002A4CEB" w:rsidRPr="000F571B">
        <w:rPr>
          <w:b/>
        </w:rPr>
        <w:t>opinion pieces</w:t>
      </w:r>
      <w:r w:rsidR="002A4CEB">
        <w:t>, on a range of topics to be defined that can include:</w:t>
      </w:r>
    </w:p>
    <w:p w14:paraId="2DCFCF92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Urban settings / shelter responses in urban contexts;</w:t>
      </w:r>
    </w:p>
    <w:p w14:paraId="71E093DE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Cash programming in shelter;</w:t>
      </w:r>
    </w:p>
    <w:p w14:paraId="39005DC6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Gender-based violence risk reduction in shelter and site planning;</w:t>
      </w:r>
    </w:p>
    <w:p w14:paraId="5A4B9DFB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Long term shelter strategies for protracted conflict-induced crises;</w:t>
      </w:r>
    </w:p>
    <w:p w14:paraId="5AEDE970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lastRenderedPageBreak/>
        <w:t>Multi-sectorial approaches;</w:t>
      </w:r>
    </w:p>
    <w:p w14:paraId="3D4E85DE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Settlements approach;</w:t>
      </w:r>
    </w:p>
    <w:p w14:paraId="2A1D5538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Camp planning guidelines;</w:t>
      </w:r>
    </w:p>
    <w:p w14:paraId="3C946213" w14:textId="46E99E95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How to conduct systematic evaluations of shelter projects;</w:t>
      </w:r>
    </w:p>
    <w:p w14:paraId="2FB57E8A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10</w:t>
      </w:r>
      <w:r w:rsidRPr="002A4CEB">
        <w:rPr>
          <w:vertAlign w:val="superscript"/>
        </w:rPr>
        <w:t>th</w:t>
      </w:r>
      <w:r>
        <w:t xml:space="preserve"> anniversary of the Global Shelter Cluster;</w:t>
      </w:r>
    </w:p>
    <w:p w14:paraId="6191ED6F" w14:textId="77777777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Quality control and global prepositioning of stocks;</w:t>
      </w:r>
    </w:p>
    <w:p w14:paraId="2CC8A6BF" w14:textId="44B98A53" w:rsidR="002A4CEB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Historical perspectives and/or reflections from over four decades of shelter responses;</w:t>
      </w:r>
    </w:p>
    <w:p w14:paraId="1C4A6FF9" w14:textId="0F46BAC7" w:rsidR="006C70EB" w:rsidRPr="0038766F" w:rsidRDefault="002A4CEB" w:rsidP="002A4CEB">
      <w:pPr>
        <w:pStyle w:val="ListParagraph"/>
        <w:numPr>
          <w:ilvl w:val="1"/>
          <w:numId w:val="15"/>
        </w:numPr>
        <w:spacing w:after="0" w:line="240" w:lineRule="auto"/>
      </w:pPr>
      <w:r>
        <w:t>Accountability to affected populations.</w:t>
      </w:r>
      <w:r w:rsidR="006C70EB">
        <w:br/>
      </w:r>
    </w:p>
    <w:p w14:paraId="0A789298" w14:textId="24A1C7DF" w:rsidR="002358C3" w:rsidRPr="00E6039E" w:rsidRDefault="002358C3" w:rsidP="00E6039E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Proposed project milestones</w:t>
      </w:r>
    </w:p>
    <w:p w14:paraId="5DD6E98D" w14:textId="77777777" w:rsidR="00E6039E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April 30</w:t>
      </w:r>
      <w:r w:rsidRPr="004303AA">
        <w:rPr>
          <w:vertAlign w:val="superscript"/>
        </w:rPr>
        <w:t>th</w:t>
      </w:r>
      <w:r>
        <w:t xml:space="preserve"> 2016: </w:t>
      </w:r>
      <w:r w:rsidRPr="00A93B06">
        <w:t xml:space="preserve">Establishment of </w:t>
      </w:r>
      <w:r>
        <w:t>the project</w:t>
      </w:r>
      <w:r w:rsidRPr="00A93B06">
        <w:t xml:space="preserve"> </w:t>
      </w:r>
      <w:r>
        <w:t>S</w:t>
      </w:r>
      <w:r w:rsidRPr="00A93B06">
        <w:t xml:space="preserve">teering </w:t>
      </w:r>
      <w:r>
        <w:t>C</w:t>
      </w:r>
      <w:r w:rsidRPr="00A93B06">
        <w:t>ommittee</w:t>
      </w:r>
      <w:r>
        <w:t xml:space="preserve"> and the Shelter Cluster Working group on Shelter Projects</w:t>
      </w:r>
      <w:r w:rsidRPr="00A93B06">
        <w:t>;</w:t>
      </w:r>
    </w:p>
    <w:p w14:paraId="18CAAB74" w14:textId="77777777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May 31</w:t>
      </w:r>
      <w:r w:rsidRPr="004303AA">
        <w:rPr>
          <w:vertAlign w:val="superscript"/>
        </w:rPr>
        <w:t>st</w:t>
      </w:r>
      <w:r>
        <w:t xml:space="preserve"> 2016: Shelter Projects W</w:t>
      </w:r>
      <w:r w:rsidRPr="00A93B06">
        <w:t>ork</w:t>
      </w:r>
      <w:r>
        <w:t>s</w:t>
      </w:r>
      <w:r w:rsidRPr="00A93B06">
        <w:t>hop</w:t>
      </w:r>
      <w:r>
        <w:t xml:space="preserve"> to review past editions and review direction for the future.</w:t>
      </w:r>
      <w:r w:rsidRPr="00A93B06">
        <w:t xml:space="preserve"> </w:t>
      </w:r>
      <w:r>
        <w:t>D</w:t>
      </w:r>
      <w:r w:rsidRPr="00A93B06">
        <w:t xml:space="preserve">efinition of an overall approach and review of existing </w:t>
      </w:r>
      <w:r>
        <w:t>case studies</w:t>
      </w:r>
      <w:r w:rsidRPr="00A93B06">
        <w:t>, data collection and case study formats;</w:t>
      </w:r>
    </w:p>
    <w:p w14:paraId="322043D4" w14:textId="77777777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September 30</w:t>
      </w:r>
      <w:r w:rsidRPr="004303AA">
        <w:rPr>
          <w:vertAlign w:val="superscript"/>
        </w:rPr>
        <w:t>th</w:t>
      </w:r>
      <w:r>
        <w:t xml:space="preserve"> 2016: Draft compilation of project summaries for review at the </w:t>
      </w:r>
      <w:r w:rsidRPr="00A93B06">
        <w:t>Global Shelter Cluster Meeting;</w:t>
      </w:r>
    </w:p>
    <w:p w14:paraId="1AD6E8D2" w14:textId="77777777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December 30</w:t>
      </w:r>
      <w:r w:rsidRPr="004303AA">
        <w:rPr>
          <w:vertAlign w:val="superscript"/>
        </w:rPr>
        <w:t>th</w:t>
      </w:r>
      <w:r>
        <w:t xml:space="preserve"> 2016: D</w:t>
      </w:r>
      <w:r w:rsidRPr="00A93B06">
        <w:t>raft</w:t>
      </w:r>
      <w:r>
        <w:t xml:space="preserve"> version for review complete;</w:t>
      </w:r>
    </w:p>
    <w:p w14:paraId="41AE7ABC" w14:textId="77777777" w:rsidR="00E6039E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March 31</w:t>
      </w:r>
      <w:r w:rsidRPr="004303AA">
        <w:rPr>
          <w:vertAlign w:val="superscript"/>
        </w:rPr>
        <w:t>st</w:t>
      </w:r>
      <w:r>
        <w:t xml:space="preserve"> 2017: Production ready pdf;</w:t>
      </w:r>
    </w:p>
    <w:p w14:paraId="5DA74BD9" w14:textId="77777777" w:rsidR="00E6039E" w:rsidRPr="00A93B06" w:rsidRDefault="00E6039E" w:rsidP="00E6039E">
      <w:pPr>
        <w:pStyle w:val="ListParagraph"/>
        <w:numPr>
          <w:ilvl w:val="0"/>
          <w:numId w:val="20"/>
        </w:numPr>
        <w:spacing w:after="0"/>
        <w:contextualSpacing w:val="0"/>
        <w:jc w:val="both"/>
      </w:pPr>
      <w:r>
        <w:t>April 30</w:t>
      </w:r>
      <w:r w:rsidRPr="004303AA">
        <w:rPr>
          <w:vertAlign w:val="superscript"/>
        </w:rPr>
        <w:t>th</w:t>
      </w:r>
      <w:r>
        <w:t xml:space="preserve"> 2017:  P</w:t>
      </w:r>
      <w:r w:rsidRPr="00A93B06">
        <w:t>rinting and dis</w:t>
      </w:r>
      <w:r>
        <w:t>tribution</w:t>
      </w:r>
      <w:r w:rsidRPr="00A93B06">
        <w:t xml:space="preserve"> </w:t>
      </w:r>
      <w:r>
        <w:t>of hard copies.</w:t>
      </w:r>
    </w:p>
    <w:p w14:paraId="05A9CAD4" w14:textId="77777777" w:rsidR="00E6039E" w:rsidRPr="00E6039E" w:rsidRDefault="00E6039E" w:rsidP="00E6039E">
      <w:pPr>
        <w:spacing w:line="240" w:lineRule="auto"/>
        <w:jc w:val="both"/>
        <w:rPr>
          <w:b/>
          <w:bCs/>
          <w:i/>
          <w:iCs/>
          <w:color w:val="17365D" w:themeColor="text2" w:themeShade="BF"/>
        </w:rPr>
      </w:pPr>
    </w:p>
    <w:p w14:paraId="3230E863" w14:textId="77777777" w:rsidR="002358C3" w:rsidRDefault="002358C3" w:rsidP="00F26873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</w:p>
    <w:p w14:paraId="26C03240" w14:textId="77777777" w:rsidR="006C70EB" w:rsidRDefault="006C70EB" w:rsidP="00AC0EE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1E9C2219" w14:textId="381B25D0" w:rsidR="00C07F57" w:rsidRDefault="003E1EA6" w:rsidP="00AC0EE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>
        <w:rPr>
          <w:rFonts w:ascii="Calibri" w:eastAsia="Times New Roman" w:hAnsi="Calibri" w:cs="Tahoma"/>
          <w:b/>
          <w:color w:val="222222"/>
          <w:u w:val="single"/>
          <w:lang w:eastAsia="en-GB"/>
        </w:rPr>
        <w:t>Next WG</w:t>
      </w:r>
      <w:r w:rsidR="00C07F57" w:rsidRPr="00B9198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meeting will be held </w:t>
      </w:r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in April 2016 (date </w:t>
      </w:r>
      <w:proofErr w:type="spellStart"/>
      <w:proofErr w:type="gramStart"/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>tbd</w:t>
      </w:r>
      <w:proofErr w:type="spellEnd"/>
      <w:proofErr w:type="gramEnd"/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>)</w:t>
      </w:r>
      <w:r w:rsidR="00AC0EE7">
        <w:rPr>
          <w:rFonts w:ascii="Calibri" w:eastAsia="Times New Roman" w:hAnsi="Calibri" w:cs="Tahoma"/>
          <w:b/>
          <w:color w:val="222222"/>
          <w:u w:val="single"/>
          <w:lang w:eastAsia="en-GB"/>
        </w:rPr>
        <w:t>.</w:t>
      </w:r>
    </w:p>
    <w:p w14:paraId="66D4D0E7" w14:textId="77777777" w:rsidR="00767BB2" w:rsidRDefault="00767BB2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0D5F1420" w14:textId="77777777" w:rsidR="00767BB2" w:rsidRDefault="00767BB2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5AB2C77C" w14:textId="1CA53A7C" w:rsidR="005122A5" w:rsidRPr="00B61751" w:rsidRDefault="005122A5" w:rsidP="00C85E0C">
      <w:pPr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sectPr w:rsidR="005122A5" w:rsidRPr="00B61751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D7764" w14:textId="77777777" w:rsidR="00972D2B" w:rsidRDefault="00972D2B" w:rsidP="0032379A">
      <w:pPr>
        <w:spacing w:after="0" w:line="240" w:lineRule="auto"/>
      </w:pPr>
      <w:r>
        <w:separator/>
      </w:r>
    </w:p>
  </w:endnote>
  <w:endnote w:type="continuationSeparator" w:id="0">
    <w:p w14:paraId="395D724E" w14:textId="77777777" w:rsidR="00972D2B" w:rsidRDefault="00972D2B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5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C4982" w14:textId="77777777" w:rsidR="00972D2B" w:rsidRDefault="00972D2B" w:rsidP="0032379A">
      <w:pPr>
        <w:spacing w:after="0" w:line="240" w:lineRule="auto"/>
      </w:pPr>
      <w:r>
        <w:separator/>
      </w:r>
    </w:p>
  </w:footnote>
  <w:footnote w:type="continuationSeparator" w:id="0">
    <w:p w14:paraId="3F70DA82" w14:textId="77777777" w:rsidR="00972D2B" w:rsidRDefault="00972D2B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33297"/>
    <w:multiLevelType w:val="hybridMultilevel"/>
    <w:tmpl w:val="5F14DDB8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2F775D"/>
    <w:multiLevelType w:val="hybridMultilevel"/>
    <w:tmpl w:val="D84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7"/>
  </w:num>
  <w:num w:numId="5">
    <w:abstractNumId w:val="0"/>
  </w:num>
  <w:num w:numId="6">
    <w:abstractNumId w:val="20"/>
  </w:num>
  <w:num w:numId="7">
    <w:abstractNumId w:val="16"/>
  </w:num>
  <w:num w:numId="8">
    <w:abstractNumId w:val="19"/>
  </w:num>
  <w:num w:numId="9">
    <w:abstractNumId w:val="2"/>
  </w:num>
  <w:num w:numId="10">
    <w:abstractNumId w:val="1"/>
  </w:num>
  <w:num w:numId="11">
    <w:abstractNumId w:val="13"/>
  </w:num>
  <w:num w:numId="12">
    <w:abstractNumId w:val="5"/>
  </w:num>
  <w:num w:numId="13">
    <w:abstractNumId w:val="12"/>
  </w:num>
  <w:num w:numId="14">
    <w:abstractNumId w:val="7"/>
  </w:num>
  <w:num w:numId="15">
    <w:abstractNumId w:val="4"/>
  </w:num>
  <w:num w:numId="16">
    <w:abstractNumId w:val="14"/>
  </w:num>
  <w:num w:numId="17">
    <w:abstractNumId w:val="10"/>
  </w:num>
  <w:num w:numId="18">
    <w:abstractNumId w:val="18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41BA9"/>
    <w:rsid w:val="00054679"/>
    <w:rsid w:val="000759D7"/>
    <w:rsid w:val="000771A1"/>
    <w:rsid w:val="0009014F"/>
    <w:rsid w:val="000960E3"/>
    <w:rsid w:val="0009642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B0439"/>
    <w:rsid w:val="001C730B"/>
    <w:rsid w:val="001E15AE"/>
    <w:rsid w:val="001F1CD0"/>
    <w:rsid w:val="00205E1B"/>
    <w:rsid w:val="002152AC"/>
    <w:rsid w:val="002157A9"/>
    <w:rsid w:val="002211DF"/>
    <w:rsid w:val="00233103"/>
    <w:rsid w:val="002358C3"/>
    <w:rsid w:val="00237B79"/>
    <w:rsid w:val="00237EB3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4774"/>
    <w:rsid w:val="003B71C2"/>
    <w:rsid w:val="003C15BB"/>
    <w:rsid w:val="003C3861"/>
    <w:rsid w:val="003C487B"/>
    <w:rsid w:val="003C5449"/>
    <w:rsid w:val="003D0A67"/>
    <w:rsid w:val="003E1EA6"/>
    <w:rsid w:val="003F161C"/>
    <w:rsid w:val="00412125"/>
    <w:rsid w:val="00420861"/>
    <w:rsid w:val="00435579"/>
    <w:rsid w:val="00443A1C"/>
    <w:rsid w:val="00457BA8"/>
    <w:rsid w:val="004723B0"/>
    <w:rsid w:val="004753E8"/>
    <w:rsid w:val="004867DD"/>
    <w:rsid w:val="004A220E"/>
    <w:rsid w:val="004A4A70"/>
    <w:rsid w:val="004A74A0"/>
    <w:rsid w:val="004B01D6"/>
    <w:rsid w:val="004B47D8"/>
    <w:rsid w:val="004C607F"/>
    <w:rsid w:val="004D2053"/>
    <w:rsid w:val="004E3CF9"/>
    <w:rsid w:val="004F2542"/>
    <w:rsid w:val="00504BCF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6EF9"/>
    <w:rsid w:val="00582091"/>
    <w:rsid w:val="00584BA3"/>
    <w:rsid w:val="00586C2F"/>
    <w:rsid w:val="005921FE"/>
    <w:rsid w:val="00594D9E"/>
    <w:rsid w:val="005A1E30"/>
    <w:rsid w:val="005A2DA5"/>
    <w:rsid w:val="005B01F6"/>
    <w:rsid w:val="005B63E3"/>
    <w:rsid w:val="005B7DFF"/>
    <w:rsid w:val="005E2E8C"/>
    <w:rsid w:val="005F5DC2"/>
    <w:rsid w:val="00620FF0"/>
    <w:rsid w:val="006228F8"/>
    <w:rsid w:val="006335E2"/>
    <w:rsid w:val="00652CC0"/>
    <w:rsid w:val="00660644"/>
    <w:rsid w:val="006616BF"/>
    <w:rsid w:val="00671461"/>
    <w:rsid w:val="00673686"/>
    <w:rsid w:val="00680132"/>
    <w:rsid w:val="00681AC6"/>
    <w:rsid w:val="0068278B"/>
    <w:rsid w:val="00683B91"/>
    <w:rsid w:val="0068730A"/>
    <w:rsid w:val="006B6A21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22333"/>
    <w:rsid w:val="007348A7"/>
    <w:rsid w:val="00741045"/>
    <w:rsid w:val="00747590"/>
    <w:rsid w:val="00750A64"/>
    <w:rsid w:val="00766BBC"/>
    <w:rsid w:val="00767BB2"/>
    <w:rsid w:val="00771924"/>
    <w:rsid w:val="007908E7"/>
    <w:rsid w:val="007916CE"/>
    <w:rsid w:val="00794E43"/>
    <w:rsid w:val="007A57AF"/>
    <w:rsid w:val="007C2242"/>
    <w:rsid w:val="007D555B"/>
    <w:rsid w:val="007E414E"/>
    <w:rsid w:val="007E4345"/>
    <w:rsid w:val="007F3F6A"/>
    <w:rsid w:val="008006EE"/>
    <w:rsid w:val="00805AA1"/>
    <w:rsid w:val="008106AB"/>
    <w:rsid w:val="00822169"/>
    <w:rsid w:val="00834B37"/>
    <w:rsid w:val="00841355"/>
    <w:rsid w:val="008476FB"/>
    <w:rsid w:val="00862AEB"/>
    <w:rsid w:val="0086493A"/>
    <w:rsid w:val="0087399F"/>
    <w:rsid w:val="00877A9F"/>
    <w:rsid w:val="008801D8"/>
    <w:rsid w:val="00880A61"/>
    <w:rsid w:val="00885DB3"/>
    <w:rsid w:val="008A0D1E"/>
    <w:rsid w:val="008C2F14"/>
    <w:rsid w:val="008C47C2"/>
    <w:rsid w:val="008E0B09"/>
    <w:rsid w:val="008E1041"/>
    <w:rsid w:val="008E577E"/>
    <w:rsid w:val="008E67A2"/>
    <w:rsid w:val="009012E0"/>
    <w:rsid w:val="00901F1B"/>
    <w:rsid w:val="009047B4"/>
    <w:rsid w:val="0091690D"/>
    <w:rsid w:val="00917098"/>
    <w:rsid w:val="00917DA8"/>
    <w:rsid w:val="00935E31"/>
    <w:rsid w:val="009530BC"/>
    <w:rsid w:val="00954FE1"/>
    <w:rsid w:val="00955F02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1751"/>
    <w:rsid w:val="00B61EE4"/>
    <w:rsid w:val="00B72D1A"/>
    <w:rsid w:val="00B813C4"/>
    <w:rsid w:val="00B8357F"/>
    <w:rsid w:val="00B842B5"/>
    <w:rsid w:val="00B8788A"/>
    <w:rsid w:val="00B91987"/>
    <w:rsid w:val="00B94664"/>
    <w:rsid w:val="00B94EB1"/>
    <w:rsid w:val="00B94F34"/>
    <w:rsid w:val="00B97694"/>
    <w:rsid w:val="00BB73BD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E2FBA"/>
    <w:rsid w:val="00CF2DC7"/>
    <w:rsid w:val="00D015E9"/>
    <w:rsid w:val="00D06A07"/>
    <w:rsid w:val="00D10B9E"/>
    <w:rsid w:val="00D11BB4"/>
    <w:rsid w:val="00D12F06"/>
    <w:rsid w:val="00D234C4"/>
    <w:rsid w:val="00D24D64"/>
    <w:rsid w:val="00D3247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E7373"/>
    <w:rsid w:val="00F112AF"/>
    <w:rsid w:val="00F13139"/>
    <w:rsid w:val="00F26873"/>
    <w:rsid w:val="00F33DD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8086-965A-419B-AFF0-7F8627F5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5</cp:revision>
  <cp:lastPrinted>2016-02-10T15:50:00Z</cp:lastPrinted>
  <dcterms:created xsi:type="dcterms:W3CDTF">2016-03-21T11:46:00Z</dcterms:created>
  <dcterms:modified xsi:type="dcterms:W3CDTF">2016-03-22T15:06:00Z</dcterms:modified>
</cp:coreProperties>
</file>