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B7A93" w14:textId="22A2C5FC" w:rsidR="003E1EA6" w:rsidRDefault="003E1EA6" w:rsidP="003E1EA6">
      <w:pPr>
        <w:pStyle w:val="Heading3"/>
        <w:spacing w:before="0"/>
      </w:pPr>
      <w:r>
        <w:t xml:space="preserve">Shelter Projects </w:t>
      </w:r>
      <w:r w:rsidR="006961C4">
        <w:t>Inception Workshop – London 11</w:t>
      </w:r>
      <w:r w:rsidR="006961C4" w:rsidRPr="006961C4">
        <w:rPr>
          <w:vertAlign w:val="superscript"/>
        </w:rPr>
        <w:t>th</w:t>
      </w:r>
      <w:r w:rsidR="006961C4">
        <w:t xml:space="preserve"> May</w:t>
      </w:r>
      <w:r>
        <w:t xml:space="preserve"> 2016</w:t>
      </w:r>
    </w:p>
    <w:p w14:paraId="0F6919D2" w14:textId="77777777" w:rsidR="00DE3731" w:rsidRDefault="00DE3731" w:rsidP="00A9667D">
      <w:pPr>
        <w:pStyle w:val="Heading3"/>
        <w:spacing w:before="0"/>
      </w:pPr>
    </w:p>
    <w:p w14:paraId="0874AB7A" w14:textId="22EE7D94" w:rsidR="003E1EA6" w:rsidRPr="00D87873" w:rsidRDefault="003E1EA6" w:rsidP="00A9667D">
      <w:pPr>
        <w:pStyle w:val="Heading3"/>
        <w:spacing w:before="0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79A1633B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</w:t>
      </w:r>
      <w:r w:rsidR="006961C4">
        <w:rPr>
          <w:rFonts w:eastAsia="Times New Roman"/>
          <w:b/>
          <w:bCs/>
        </w:rPr>
        <w:t xml:space="preserve"> and venue</w:t>
      </w:r>
      <w:r>
        <w:rPr>
          <w:rFonts w:eastAsia="Times New Roman"/>
          <w:b/>
          <w:bCs/>
        </w:rPr>
        <w:t xml:space="preserve">: </w:t>
      </w:r>
      <w:r w:rsidR="006961C4">
        <w:rPr>
          <w:rFonts w:eastAsia="Times New Roman"/>
        </w:rPr>
        <w:t>May</w:t>
      </w:r>
      <w:r w:rsidR="008106AB">
        <w:rPr>
          <w:rFonts w:eastAsia="Times New Roman"/>
        </w:rPr>
        <w:t xml:space="preserve"> 1</w:t>
      </w:r>
      <w:r w:rsidR="006961C4">
        <w:rPr>
          <w:rFonts w:eastAsia="Times New Roman"/>
        </w:rPr>
        <w:t>1</w:t>
      </w:r>
      <w:r w:rsidR="008106AB" w:rsidRPr="008106AB">
        <w:rPr>
          <w:rFonts w:eastAsia="Times New Roman"/>
          <w:vertAlign w:val="superscript"/>
        </w:rPr>
        <w:t>th</w:t>
      </w:r>
      <w:r w:rsidRPr="002211DF">
        <w:rPr>
          <w:rFonts w:eastAsia="Times New Roman"/>
        </w:rPr>
        <w:t>, 2016</w:t>
      </w:r>
      <w:r w:rsidR="006961C4">
        <w:rPr>
          <w:rFonts w:eastAsia="Times New Roman"/>
        </w:rPr>
        <w:t xml:space="preserve"> – IOM London</w:t>
      </w:r>
    </w:p>
    <w:p w14:paraId="4ECADCD7" w14:textId="77777777" w:rsidR="00F35D63" w:rsidRDefault="00F35D63" w:rsidP="003E1EA6">
      <w:pPr>
        <w:spacing w:after="0"/>
        <w:rPr>
          <w:rFonts w:eastAsia="Times New Roman"/>
          <w:b/>
          <w:bCs/>
        </w:rPr>
      </w:pPr>
    </w:p>
    <w:p w14:paraId="1A2DF2C3" w14:textId="77777777" w:rsidR="00F35D63" w:rsidRPr="009B2EF3" w:rsidRDefault="003E1EA6" w:rsidP="003E1EA6">
      <w:pPr>
        <w:spacing w:after="0"/>
        <w:rPr>
          <w:rFonts w:eastAsia="Times New Roman"/>
          <w:lang w:val="fr-CH"/>
          <w:rPrChange w:id="0" w:author="PICCIOLI Alberto [2]" w:date="2018-07-16T09:22:00Z">
            <w:rPr>
              <w:rFonts w:eastAsia="Times New Roman"/>
            </w:rPr>
          </w:rPrChange>
        </w:rPr>
      </w:pPr>
      <w:r w:rsidRPr="009B2EF3">
        <w:rPr>
          <w:rFonts w:eastAsia="Times New Roman"/>
          <w:b/>
          <w:bCs/>
          <w:lang w:val="fr-CH"/>
          <w:rPrChange w:id="1" w:author="PICCIOLI Alberto [2]" w:date="2018-07-16T09:22:00Z">
            <w:rPr>
              <w:rFonts w:eastAsia="Times New Roman"/>
              <w:b/>
              <w:bCs/>
            </w:rPr>
          </w:rPrChange>
        </w:rPr>
        <w:t>Participants:</w:t>
      </w:r>
      <w:r w:rsidRPr="009B2EF3">
        <w:rPr>
          <w:rFonts w:eastAsia="Times New Roman"/>
          <w:lang w:val="fr-CH"/>
          <w:rPrChange w:id="2" w:author="PICCIOLI Alberto [2]" w:date="2018-07-16T09:22:00Z">
            <w:rPr>
              <w:rFonts w:eastAsia="Times New Roman"/>
            </w:rPr>
          </w:rPrChange>
        </w:rPr>
        <w:t xml:space="preserve"> </w:t>
      </w:r>
    </w:p>
    <w:p w14:paraId="412B6944" w14:textId="45C5C865" w:rsidR="00F35D63" w:rsidRPr="009B2EF3" w:rsidRDefault="008106AB" w:rsidP="003E1EA6">
      <w:pPr>
        <w:spacing w:after="0"/>
        <w:rPr>
          <w:rFonts w:eastAsia="Times New Roman"/>
          <w:lang w:val="fr-CH"/>
          <w:rPrChange w:id="3" w:author="PICCIOLI Alberto [2]" w:date="2018-07-16T09:22:00Z">
            <w:rPr>
              <w:rFonts w:eastAsia="Times New Roman"/>
            </w:rPr>
          </w:rPrChange>
        </w:rPr>
      </w:pPr>
      <w:r w:rsidRPr="009B2EF3">
        <w:rPr>
          <w:rFonts w:eastAsia="Times New Roman"/>
          <w:lang w:val="fr-CH"/>
          <w:rPrChange w:id="4" w:author="PICCIOLI Alberto [2]" w:date="2018-07-16T09:22:00Z">
            <w:rPr>
              <w:rFonts w:eastAsia="Times New Roman"/>
            </w:rPr>
          </w:rPrChange>
        </w:rPr>
        <w:t>Miguel Urquia (UNHCR)</w:t>
      </w:r>
      <w:r w:rsidR="003E1EA6" w:rsidRPr="009B2EF3">
        <w:rPr>
          <w:lang w:val="fr-CH"/>
          <w:rPrChange w:id="5" w:author="PICCIOLI Alberto [2]" w:date="2018-07-16T09:22:00Z">
            <w:rPr/>
          </w:rPrChange>
        </w:rPr>
        <w:t>,</w:t>
      </w:r>
      <w:r w:rsidR="003E1EA6" w:rsidRPr="009B2EF3">
        <w:rPr>
          <w:rFonts w:eastAsia="Times New Roman"/>
          <w:lang w:val="fr-CH"/>
          <w:rPrChange w:id="6" w:author="PICCIOLI Alberto [2]" w:date="2018-07-16T09:22:00Z">
            <w:rPr>
              <w:rFonts w:eastAsia="Times New Roman"/>
            </w:rPr>
          </w:rPrChange>
        </w:rPr>
        <w:t xml:space="preserve"> </w:t>
      </w:r>
      <w:r w:rsidR="00F35D63" w:rsidRPr="009B2EF3">
        <w:rPr>
          <w:rFonts w:eastAsia="Times New Roman"/>
          <w:lang w:val="fr-CH"/>
          <w:rPrChange w:id="7" w:author="PICCIOLI Alberto [2]" w:date="2018-07-16T09:22:00Z">
            <w:rPr>
              <w:rFonts w:eastAsia="Times New Roman"/>
            </w:rPr>
          </w:rPrChange>
        </w:rPr>
        <w:tab/>
      </w:r>
      <w:r w:rsidR="00F35D63" w:rsidRPr="009B2EF3">
        <w:rPr>
          <w:rFonts w:eastAsia="Times New Roman"/>
          <w:lang w:val="fr-CH"/>
          <w:rPrChange w:id="8" w:author="PICCIOLI Alberto [2]" w:date="2018-07-16T09:22:00Z">
            <w:rPr>
              <w:rFonts w:eastAsia="Times New Roman"/>
            </w:rPr>
          </w:rPrChange>
        </w:rPr>
        <w:tab/>
      </w:r>
      <w:r w:rsidR="00F35D63" w:rsidRPr="009B2EF3">
        <w:rPr>
          <w:rFonts w:eastAsia="Times New Roman"/>
          <w:lang w:val="fr-CH"/>
          <w:rPrChange w:id="9" w:author="PICCIOLI Alberto [2]" w:date="2018-07-16T09:22:00Z">
            <w:rPr>
              <w:rFonts w:eastAsia="Times New Roman"/>
            </w:rPr>
          </w:rPrChange>
        </w:rPr>
        <w:tab/>
      </w:r>
      <w:r w:rsidRPr="009B2EF3">
        <w:rPr>
          <w:rFonts w:eastAsia="Times New Roman"/>
          <w:lang w:val="fr-CH"/>
          <w:rPrChange w:id="10" w:author="PICCIOLI Alberto [2]" w:date="2018-07-16T09:22:00Z">
            <w:rPr>
              <w:rFonts w:eastAsia="Times New Roman"/>
            </w:rPr>
          </w:rPrChange>
        </w:rPr>
        <w:t>Joseph Ashmore</w:t>
      </w:r>
      <w:r w:rsidR="003E1EA6" w:rsidRPr="009B2EF3">
        <w:rPr>
          <w:rFonts w:eastAsia="Times New Roman"/>
          <w:lang w:val="fr-CH"/>
          <w:rPrChange w:id="11" w:author="PICCIOLI Alberto [2]" w:date="2018-07-16T09:22:00Z">
            <w:rPr>
              <w:rFonts w:eastAsia="Times New Roman"/>
            </w:rPr>
          </w:rPrChange>
        </w:rPr>
        <w:t xml:space="preserve"> (IOM),</w:t>
      </w:r>
      <w:r w:rsidRPr="009B2EF3">
        <w:rPr>
          <w:rFonts w:eastAsia="Times New Roman"/>
          <w:lang w:val="fr-CH"/>
          <w:rPrChange w:id="12" w:author="PICCIOLI Alberto [2]" w:date="2018-07-16T09:22:00Z">
            <w:rPr>
              <w:rFonts w:eastAsia="Times New Roman"/>
            </w:rPr>
          </w:rPrChange>
        </w:rPr>
        <w:t xml:space="preserve"> </w:t>
      </w:r>
    </w:p>
    <w:p w14:paraId="1CE94C90" w14:textId="77777777" w:rsidR="00F35D63" w:rsidRDefault="008106AB" w:rsidP="003E1EA6">
      <w:pPr>
        <w:spacing w:after="0"/>
        <w:rPr>
          <w:rFonts w:eastAsia="Times New Roman"/>
        </w:rPr>
      </w:pPr>
      <w:r>
        <w:rPr>
          <w:rFonts w:eastAsia="Times New Roman"/>
        </w:rPr>
        <w:t>Alberto Piccioli (IOM),</w:t>
      </w:r>
      <w:r w:rsidR="003E1EA6" w:rsidRPr="0059776B">
        <w:rPr>
          <w:rFonts w:eastAsia="Times New Roman"/>
        </w:rPr>
        <w:t xml:space="preserve"> </w:t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 w:rsidR="003E1EA6" w:rsidRPr="0059776B">
        <w:rPr>
          <w:rFonts w:eastAsia="Times New Roman"/>
        </w:rPr>
        <w:t>Jake</w:t>
      </w:r>
      <w:r>
        <w:rPr>
          <w:rFonts w:eastAsia="Times New Roman"/>
        </w:rPr>
        <w:t xml:space="preserve"> Zarins (Habitat for Humanity)</w:t>
      </w:r>
      <w:r w:rsidR="006961C4">
        <w:rPr>
          <w:rFonts w:eastAsia="Times New Roman"/>
        </w:rPr>
        <w:t xml:space="preserve">, </w:t>
      </w:r>
    </w:p>
    <w:p w14:paraId="64280FA2" w14:textId="77777777" w:rsidR="00F35D63" w:rsidRDefault="006961C4" w:rsidP="003E1EA6">
      <w:pPr>
        <w:spacing w:after="0"/>
        <w:rPr>
          <w:rFonts w:eastAsia="Times New Roman"/>
        </w:rPr>
      </w:pPr>
      <w:r w:rsidRPr="0059776B">
        <w:rPr>
          <w:rFonts w:eastAsia="Times New Roman"/>
        </w:rPr>
        <w:t>Brenda Rose Daniel (World Vision)</w:t>
      </w:r>
      <w:r>
        <w:rPr>
          <w:rFonts w:eastAsia="Times New Roman"/>
        </w:rPr>
        <w:t xml:space="preserve">, </w:t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>
        <w:rPr>
          <w:rFonts w:eastAsia="Times New Roman"/>
        </w:rPr>
        <w:t xml:space="preserve">Jamie Richardson (CRS), </w:t>
      </w:r>
    </w:p>
    <w:p w14:paraId="786AE729" w14:textId="77777777" w:rsidR="00F35D63" w:rsidRDefault="006961C4" w:rsidP="003E1EA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James Kennedy (independent/IOM), </w:t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>
        <w:rPr>
          <w:rFonts w:eastAsia="Times New Roman"/>
        </w:rPr>
        <w:t xml:space="preserve">Tom Newby (CARE), </w:t>
      </w:r>
    </w:p>
    <w:p w14:paraId="4B335BFD" w14:textId="77777777" w:rsidR="00F35D63" w:rsidRDefault="006961C4" w:rsidP="003E1EA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Charles Parrack (Cendep), </w:t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>
        <w:rPr>
          <w:rFonts w:eastAsia="Times New Roman"/>
        </w:rPr>
        <w:t xml:space="preserve">Alice Olbrecht (ALNAP), </w:t>
      </w:r>
    </w:p>
    <w:p w14:paraId="7EE315B3" w14:textId="4246C614" w:rsidR="003E1EA6" w:rsidRPr="00F35D63" w:rsidRDefault="006961C4" w:rsidP="003E1EA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Oyvind Nordlie (NRC), </w:t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>
        <w:rPr>
          <w:rFonts w:eastAsia="Times New Roman"/>
        </w:rPr>
        <w:t>Victoria Stodart (IFRC)</w:t>
      </w:r>
      <w:r w:rsidR="008106AB">
        <w:rPr>
          <w:rFonts w:eastAsia="Times New Roman"/>
        </w:rPr>
        <w:t>.</w:t>
      </w:r>
    </w:p>
    <w:p w14:paraId="3029CDD9" w14:textId="77777777" w:rsidR="00F35D63" w:rsidRDefault="00F35D63" w:rsidP="003E1EA6">
      <w:pPr>
        <w:spacing w:after="0"/>
        <w:rPr>
          <w:b/>
          <w:bCs/>
        </w:rPr>
      </w:pPr>
    </w:p>
    <w:p w14:paraId="68C45E93" w14:textId="21C29E67" w:rsidR="003E1EA6" w:rsidRPr="00412125" w:rsidRDefault="003E1EA6" w:rsidP="003E1EA6">
      <w:pPr>
        <w:spacing w:after="0"/>
        <w:rPr>
          <w:rFonts w:eastAsia="Times New Roman"/>
        </w:rPr>
      </w:pPr>
      <w:r w:rsidRPr="00412125">
        <w:rPr>
          <w:b/>
          <w:bCs/>
        </w:rPr>
        <w:t>Apologies:</w:t>
      </w:r>
      <w:r w:rsidRPr="00412125">
        <w:t xml:space="preserve"> </w:t>
      </w:r>
      <w:r w:rsidR="008106AB">
        <w:t xml:space="preserve">Sandra d’Urzo (IFRC), </w:t>
      </w:r>
      <w:r w:rsidRPr="00412125">
        <w:rPr>
          <w:rFonts w:eastAsia="Times New Roman"/>
        </w:rPr>
        <w:t>Esteban Leon (UNHABITAT)</w:t>
      </w:r>
      <w:r w:rsidR="006961C4">
        <w:rPr>
          <w:rFonts w:eastAsia="Times New Roman"/>
        </w:rPr>
        <w:t>,</w:t>
      </w:r>
      <w:r w:rsidR="00CB3D10" w:rsidRPr="00412125">
        <w:rPr>
          <w:rFonts w:eastAsia="Times New Roman"/>
        </w:rPr>
        <w:t xml:space="preserve"> Charles Setchell (USAID OFDA)</w:t>
      </w:r>
      <w:r w:rsidR="006961C4">
        <w:rPr>
          <w:rFonts w:eastAsia="Times New Roman"/>
        </w:rPr>
        <w:t>, Seki Hirano (CRS).</w:t>
      </w:r>
    </w:p>
    <w:p w14:paraId="7BD7DFC2" w14:textId="77777777" w:rsidR="002C3B17" w:rsidRPr="00412125" w:rsidRDefault="002C3B17" w:rsidP="00344B1A">
      <w:pPr>
        <w:spacing w:after="0" w:line="240" w:lineRule="auto"/>
        <w:jc w:val="both"/>
        <w:rPr>
          <w:color w:val="000000" w:themeColor="text1"/>
        </w:rPr>
      </w:pPr>
    </w:p>
    <w:p w14:paraId="466DED0B" w14:textId="383D14D7" w:rsidR="00A43D37" w:rsidRPr="00F35D63" w:rsidRDefault="00592ADF" w:rsidP="00F35D63">
      <w:pPr>
        <w:spacing w:after="0" w:line="240" w:lineRule="auto"/>
        <w:jc w:val="both"/>
        <w:rPr>
          <w:b/>
          <w:bCs/>
          <w:i/>
          <w:iCs/>
          <w:color w:val="17365D" w:themeColor="text2" w:themeShade="BF"/>
        </w:rPr>
      </w:pPr>
      <w:r w:rsidRPr="00F35D63">
        <w:rPr>
          <w:b/>
          <w:bCs/>
          <w:i/>
          <w:iCs/>
          <w:color w:val="17365D" w:themeColor="text2" w:themeShade="BF"/>
        </w:rPr>
        <w:t>Decisions and Actions</w:t>
      </w:r>
    </w:p>
    <w:p w14:paraId="52AECE0E" w14:textId="36DF9792" w:rsidR="00411327" w:rsidRDefault="00411327" w:rsidP="00592ADF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</w:rPr>
      </w:pPr>
      <w:r w:rsidRPr="00411327">
        <w:rPr>
          <w:b/>
          <w:bCs/>
        </w:rPr>
        <w:t>Decisions on content:</w:t>
      </w:r>
    </w:p>
    <w:p w14:paraId="54CECE4A" w14:textId="77777777" w:rsidR="00845C9A" w:rsidRDefault="00845C9A" w:rsidP="00411327">
      <w:pPr>
        <w:pStyle w:val="ListParagraph"/>
        <w:numPr>
          <w:ilvl w:val="2"/>
          <w:numId w:val="19"/>
        </w:numPr>
        <w:spacing w:line="240" w:lineRule="auto"/>
        <w:jc w:val="both"/>
        <w:rPr>
          <w:bCs/>
        </w:rPr>
      </w:pPr>
      <w:r>
        <w:rPr>
          <w:bCs/>
        </w:rPr>
        <w:t>Main components (book, website and individual case studies) will be maintained;</w:t>
      </w:r>
    </w:p>
    <w:p w14:paraId="3AC68F96" w14:textId="6B6BC9B2" w:rsidR="00411327" w:rsidRPr="00411327" w:rsidRDefault="00411327" w:rsidP="00411327">
      <w:pPr>
        <w:pStyle w:val="ListParagraph"/>
        <w:numPr>
          <w:ilvl w:val="2"/>
          <w:numId w:val="19"/>
        </w:numPr>
        <w:spacing w:line="240" w:lineRule="auto"/>
        <w:jc w:val="both"/>
        <w:rPr>
          <w:bCs/>
        </w:rPr>
      </w:pPr>
      <w:r w:rsidRPr="00411327">
        <w:rPr>
          <w:bCs/>
        </w:rPr>
        <w:t>Include more failures rather than just “good examples”/</w:t>
      </w:r>
      <w:r w:rsidR="00454163">
        <w:rPr>
          <w:bCs/>
        </w:rPr>
        <w:t>s</w:t>
      </w:r>
      <w:r w:rsidRPr="00411327">
        <w:rPr>
          <w:bCs/>
        </w:rPr>
        <w:t>uccesses</w:t>
      </w:r>
    </w:p>
    <w:p w14:paraId="7A47CCD2" w14:textId="6B2789B4" w:rsidR="00411327" w:rsidRPr="00411327" w:rsidRDefault="00411327" w:rsidP="00411327">
      <w:pPr>
        <w:pStyle w:val="ListParagraph"/>
        <w:numPr>
          <w:ilvl w:val="2"/>
          <w:numId w:val="19"/>
        </w:numPr>
        <w:spacing w:line="240" w:lineRule="auto"/>
        <w:jc w:val="both"/>
        <w:rPr>
          <w:bCs/>
        </w:rPr>
      </w:pPr>
      <w:r w:rsidRPr="00411327">
        <w:rPr>
          <w:bCs/>
        </w:rPr>
        <w:t>Remove section 10 – quotes from stakeholders</w:t>
      </w:r>
    </w:p>
    <w:p w14:paraId="70A7A9BC" w14:textId="3717501C" w:rsidR="00411327" w:rsidRDefault="00411327" w:rsidP="00411327">
      <w:pPr>
        <w:pStyle w:val="ListParagraph"/>
        <w:numPr>
          <w:ilvl w:val="2"/>
          <w:numId w:val="19"/>
        </w:numPr>
        <w:spacing w:line="240" w:lineRule="auto"/>
        <w:jc w:val="both"/>
        <w:rPr>
          <w:bCs/>
        </w:rPr>
      </w:pPr>
      <w:r w:rsidRPr="00411327">
        <w:rPr>
          <w:bCs/>
        </w:rPr>
        <w:t>Improve the Strengths and Weaknesses section</w:t>
      </w:r>
      <w:r w:rsidR="0067253F">
        <w:rPr>
          <w:bCs/>
        </w:rPr>
        <w:t>: summary, mainstreamed in the text, and “what would you do better?” (lessons learned)</w:t>
      </w:r>
    </w:p>
    <w:p w14:paraId="46AC8077" w14:textId="62C92FBE" w:rsidR="00717601" w:rsidRDefault="00717601" w:rsidP="00411327">
      <w:pPr>
        <w:pStyle w:val="ListParagraph"/>
        <w:numPr>
          <w:ilvl w:val="2"/>
          <w:numId w:val="19"/>
        </w:numPr>
        <w:spacing w:line="240" w:lineRule="auto"/>
        <w:jc w:val="both"/>
        <w:rPr>
          <w:bCs/>
        </w:rPr>
      </w:pPr>
      <w:r>
        <w:rPr>
          <w:bCs/>
        </w:rPr>
        <w:t>Add a context analysis to each case study (and include in collection form);</w:t>
      </w:r>
    </w:p>
    <w:p w14:paraId="6A013BCE" w14:textId="5C83A46B" w:rsidR="008E573D" w:rsidRDefault="008E573D" w:rsidP="00411327">
      <w:pPr>
        <w:pStyle w:val="ListParagraph"/>
        <w:numPr>
          <w:ilvl w:val="2"/>
          <w:numId w:val="19"/>
        </w:numPr>
        <w:spacing w:line="240" w:lineRule="auto"/>
        <w:jc w:val="both"/>
        <w:rPr>
          <w:bCs/>
        </w:rPr>
      </w:pPr>
      <w:r>
        <w:rPr>
          <w:bCs/>
        </w:rPr>
        <w:t>Include more cases on: NFI distributions in conflict scenarios, Cash programs, Rental support and markets, Protection, Coordination examples, Hosting</w:t>
      </w:r>
      <w:r w:rsidR="00845C9A">
        <w:rPr>
          <w:bCs/>
        </w:rPr>
        <w:t>;</w:t>
      </w:r>
    </w:p>
    <w:p w14:paraId="797A1BA6" w14:textId="6D17FBFF" w:rsidR="00845C9A" w:rsidRDefault="00845C9A" w:rsidP="00411327">
      <w:pPr>
        <w:pStyle w:val="ListParagraph"/>
        <w:numPr>
          <w:ilvl w:val="2"/>
          <w:numId w:val="19"/>
        </w:numPr>
        <w:spacing w:line="240" w:lineRule="auto"/>
        <w:jc w:val="both"/>
        <w:rPr>
          <w:bCs/>
        </w:rPr>
      </w:pPr>
      <w:r>
        <w:rPr>
          <w:bCs/>
        </w:rPr>
        <w:t>Consider including research updates and trainings as projects or in opinion pieces;</w:t>
      </w:r>
    </w:p>
    <w:p w14:paraId="4147731D" w14:textId="063BA1A6" w:rsidR="00845C9A" w:rsidRDefault="00845C9A" w:rsidP="00411327">
      <w:pPr>
        <w:pStyle w:val="ListParagraph"/>
        <w:numPr>
          <w:ilvl w:val="2"/>
          <w:numId w:val="19"/>
        </w:numPr>
        <w:spacing w:line="240" w:lineRule="auto"/>
        <w:jc w:val="both"/>
        <w:rPr>
          <w:bCs/>
        </w:rPr>
      </w:pPr>
      <w:r>
        <w:rPr>
          <w:bCs/>
        </w:rPr>
        <w:t xml:space="preserve">Include more opinion pieces </w:t>
      </w:r>
      <w:r w:rsidRPr="00845C9A">
        <w:rPr>
          <w:bCs/>
        </w:rPr>
        <w:sym w:font="Wingdings" w:char="F0E0"/>
      </w:r>
      <w:r>
        <w:rPr>
          <w:bCs/>
        </w:rPr>
        <w:t xml:space="preserve"> </w:t>
      </w:r>
      <w:r w:rsidRPr="00845C9A">
        <w:rPr>
          <w:bCs/>
          <w:color w:val="FF0000"/>
        </w:rPr>
        <w:t>ACTION</w:t>
      </w:r>
      <w:r>
        <w:rPr>
          <w:bCs/>
        </w:rPr>
        <w:t xml:space="preserve">: define topics </w:t>
      </w:r>
      <w:hyperlink r:id="rId8" w:history="1">
        <w:r w:rsidRPr="00845C9A">
          <w:rPr>
            <w:rStyle w:val="Hyperlink"/>
            <w:bCs/>
          </w:rPr>
          <w:t>here</w:t>
        </w:r>
      </w:hyperlink>
      <w:r>
        <w:rPr>
          <w:bCs/>
        </w:rPr>
        <w:t>;</w:t>
      </w:r>
    </w:p>
    <w:p w14:paraId="2A3E678D" w14:textId="27B8D9A7" w:rsidR="0067253F" w:rsidRDefault="0067253F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67253F">
        <w:rPr>
          <w:b/>
          <w:bCs/>
        </w:rPr>
        <w:t>Decision</w:t>
      </w:r>
      <w:r>
        <w:rPr>
          <w:b/>
          <w:bCs/>
        </w:rPr>
        <w:t xml:space="preserve">: </w:t>
      </w:r>
      <w:r>
        <w:rPr>
          <w:bCs/>
        </w:rPr>
        <w:t xml:space="preserve">define the categorization of each project / enhance the keywords </w:t>
      </w:r>
      <w:r w:rsidRPr="0067253F">
        <w:rPr>
          <w:bCs/>
        </w:rPr>
        <w:sym w:font="Wingdings" w:char="F0E0"/>
      </w:r>
      <w:r>
        <w:rPr>
          <w:bCs/>
        </w:rPr>
        <w:t xml:space="preserve"> </w:t>
      </w:r>
      <w:r w:rsidRPr="0067253F">
        <w:rPr>
          <w:b/>
          <w:bCs/>
          <w:color w:val="FF0000"/>
        </w:rPr>
        <w:t>ACTION</w:t>
      </w:r>
      <w:r>
        <w:rPr>
          <w:bCs/>
        </w:rPr>
        <w:t>: all to revise the suggested list in Annex;</w:t>
      </w:r>
    </w:p>
    <w:p w14:paraId="0B14FBBC" w14:textId="12294009" w:rsidR="001B69BF" w:rsidRDefault="001B69BF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>
        <w:rPr>
          <w:b/>
          <w:bCs/>
        </w:rPr>
        <w:t>Decision:</w:t>
      </w:r>
      <w:r>
        <w:rPr>
          <w:bCs/>
        </w:rPr>
        <w:t xml:space="preserve"> improve online search ability based on the revised categorization/keywords;</w:t>
      </w:r>
    </w:p>
    <w:p w14:paraId="2EF3FAC0" w14:textId="155AA3E9" w:rsidR="0067253F" w:rsidRDefault="00717601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717601">
        <w:rPr>
          <w:b/>
          <w:bCs/>
        </w:rPr>
        <w:t>Decision</w:t>
      </w:r>
      <w:r>
        <w:rPr>
          <w:bCs/>
        </w:rPr>
        <w:t>: collect photos in a media gallery under Creative Commons license (</w:t>
      </w:r>
      <w:r w:rsidRPr="00717601">
        <w:rPr>
          <w:bCs/>
          <w:color w:val="FF0000"/>
        </w:rPr>
        <w:t>ACTION</w:t>
      </w:r>
      <w:r>
        <w:rPr>
          <w:bCs/>
        </w:rPr>
        <w:t>: liaise with Shelter Cluster that is developing a similar media gallery);</w:t>
      </w:r>
    </w:p>
    <w:p w14:paraId="2DC774D9" w14:textId="543DB3FD" w:rsidR="00D22795" w:rsidRDefault="00D22795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>
        <w:rPr>
          <w:b/>
          <w:bCs/>
        </w:rPr>
        <w:t>Decision</w:t>
      </w:r>
      <w:r w:rsidRPr="00D22795">
        <w:rPr>
          <w:bCs/>
        </w:rPr>
        <w:t>:</w:t>
      </w:r>
      <w:r>
        <w:rPr>
          <w:bCs/>
        </w:rPr>
        <w:t xml:space="preserve"> better align and integrate the website to the shelter cluster website, and consider moving to shelterprojects.org domain.</w:t>
      </w:r>
    </w:p>
    <w:p w14:paraId="50351B7B" w14:textId="514ECC47" w:rsidR="00717601" w:rsidRDefault="00717601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717601">
        <w:rPr>
          <w:b/>
          <w:bCs/>
          <w:color w:val="FF0000"/>
        </w:rPr>
        <w:t>ACTION</w:t>
      </w:r>
      <w:r>
        <w:rPr>
          <w:bCs/>
        </w:rPr>
        <w:t>: select one or two case studies (from past editions) that are well written and can be used as a template, to share as an example;</w:t>
      </w:r>
    </w:p>
    <w:p w14:paraId="56FFA731" w14:textId="2125AAD3" w:rsidR="00717601" w:rsidRDefault="00717601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717601">
        <w:rPr>
          <w:b/>
          <w:bCs/>
        </w:rPr>
        <w:t>Decision</w:t>
      </w:r>
      <w:r w:rsidRPr="00717601">
        <w:rPr>
          <w:bCs/>
        </w:rPr>
        <w:t>:</w:t>
      </w:r>
      <w:r>
        <w:rPr>
          <w:bCs/>
        </w:rPr>
        <w:t xml:space="preserve"> ask contributors for tools and resources (and decide later whether to include them or not</w:t>
      </w:r>
      <w:r w:rsidR="00454163">
        <w:rPr>
          <w:bCs/>
        </w:rPr>
        <w:t xml:space="preserve"> in the publication</w:t>
      </w:r>
      <w:r>
        <w:rPr>
          <w:bCs/>
        </w:rPr>
        <w:t xml:space="preserve">). </w:t>
      </w:r>
      <w:r w:rsidRPr="001C6D4B">
        <w:rPr>
          <w:bCs/>
          <w:color w:val="FF0000"/>
        </w:rPr>
        <w:t>ACTION</w:t>
      </w:r>
      <w:r>
        <w:rPr>
          <w:bCs/>
        </w:rPr>
        <w:t>: add a section in the data collection form;</w:t>
      </w:r>
    </w:p>
    <w:p w14:paraId="1884AC31" w14:textId="03984B0D" w:rsidR="00717601" w:rsidRDefault="001C6D4B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8E573D">
        <w:rPr>
          <w:b/>
          <w:bCs/>
        </w:rPr>
        <w:t>Decision</w:t>
      </w:r>
      <w:r>
        <w:rPr>
          <w:bCs/>
        </w:rPr>
        <w:t xml:space="preserve">: </w:t>
      </w:r>
      <w:r w:rsidR="008E573D">
        <w:rPr>
          <w:bCs/>
        </w:rPr>
        <w:t>Add questions in the project description</w:t>
      </w:r>
      <w:r w:rsidR="009C445A">
        <w:rPr>
          <w:bCs/>
        </w:rPr>
        <w:t xml:space="preserve"> related to success indicators</w:t>
      </w:r>
      <w:r w:rsidR="008E573D">
        <w:rPr>
          <w:bCs/>
        </w:rPr>
        <w:t xml:space="preserve"> (specifically on Speed, Scale and Quality, and other factor</w:t>
      </w:r>
      <w:r w:rsidR="00AC0E4E">
        <w:rPr>
          <w:bCs/>
        </w:rPr>
        <w:t>(</w:t>
      </w:r>
      <w:r w:rsidR="008E573D">
        <w:rPr>
          <w:bCs/>
        </w:rPr>
        <w:t>s</w:t>
      </w:r>
      <w:r w:rsidR="00AC0E4E">
        <w:rPr>
          <w:bCs/>
        </w:rPr>
        <w:t>)</w:t>
      </w:r>
      <w:r w:rsidR="008E573D">
        <w:rPr>
          <w:bCs/>
        </w:rPr>
        <w:t xml:space="preserve"> for success – such as Coordination, Community participation, etc</w:t>
      </w:r>
      <w:r w:rsidR="009C445A">
        <w:rPr>
          <w:bCs/>
        </w:rPr>
        <w:t>.</w:t>
      </w:r>
      <w:r w:rsidR="008E573D">
        <w:rPr>
          <w:bCs/>
        </w:rPr>
        <w:t xml:space="preserve">) </w:t>
      </w:r>
      <w:r w:rsidR="008E573D" w:rsidRPr="008E573D">
        <w:rPr>
          <w:bCs/>
        </w:rPr>
        <w:sym w:font="Wingdings" w:char="F0E0"/>
      </w:r>
      <w:r w:rsidR="008E573D">
        <w:rPr>
          <w:bCs/>
        </w:rPr>
        <w:t xml:space="preserve"> </w:t>
      </w:r>
      <w:r w:rsidR="008E573D" w:rsidRPr="008E573D">
        <w:rPr>
          <w:bCs/>
          <w:color w:val="FF0000"/>
        </w:rPr>
        <w:t>ACTION</w:t>
      </w:r>
      <w:r w:rsidR="008E573D">
        <w:rPr>
          <w:bCs/>
        </w:rPr>
        <w:t>: improve section 8 of data collection forms;</w:t>
      </w:r>
    </w:p>
    <w:p w14:paraId="49559D38" w14:textId="57433C5A" w:rsidR="008E573D" w:rsidRDefault="008E573D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8E573D">
        <w:rPr>
          <w:b/>
          <w:bCs/>
        </w:rPr>
        <w:t>Decision</w:t>
      </w:r>
      <w:r>
        <w:rPr>
          <w:bCs/>
        </w:rPr>
        <w:t xml:space="preserve">: collect more evidence on each case study, where possible </w:t>
      </w:r>
      <w:r w:rsidRPr="008E573D">
        <w:rPr>
          <w:bCs/>
        </w:rPr>
        <w:sym w:font="Wingdings" w:char="F0E0"/>
      </w:r>
      <w:r>
        <w:rPr>
          <w:bCs/>
        </w:rPr>
        <w:t xml:space="preserve"> ask for supporting documents</w:t>
      </w:r>
      <w:r w:rsidR="005A23EA">
        <w:rPr>
          <w:bCs/>
        </w:rPr>
        <w:t>/evidence (section 7 and 8)</w:t>
      </w:r>
      <w:r>
        <w:rPr>
          <w:bCs/>
        </w:rPr>
        <w:t xml:space="preserve"> and allow for extra space if key learnings emerge and are supported;</w:t>
      </w:r>
    </w:p>
    <w:p w14:paraId="52F4FD16" w14:textId="5065493C" w:rsidR="00225296" w:rsidRDefault="00225296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>
        <w:rPr>
          <w:b/>
          <w:bCs/>
        </w:rPr>
        <w:lastRenderedPageBreak/>
        <w:t>Decision</w:t>
      </w:r>
      <w:r w:rsidRPr="00225296">
        <w:rPr>
          <w:bCs/>
        </w:rPr>
        <w:t>:</w:t>
      </w:r>
      <w:r>
        <w:rPr>
          <w:bCs/>
        </w:rPr>
        <w:t xml:space="preserve"> cross reference between case studies within the text and/or at the end of each, and include links to relevant sources and documents;</w:t>
      </w:r>
    </w:p>
    <w:p w14:paraId="772F1093" w14:textId="552433A0" w:rsidR="008E573D" w:rsidRDefault="008E573D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8E573D">
        <w:rPr>
          <w:b/>
          <w:bCs/>
          <w:color w:val="FF0000"/>
        </w:rPr>
        <w:t>ACTION</w:t>
      </w:r>
      <w:r w:rsidRPr="008E573D">
        <w:rPr>
          <w:bCs/>
        </w:rPr>
        <w:t>:</w:t>
      </w:r>
      <w:r>
        <w:rPr>
          <w:bCs/>
        </w:rPr>
        <w:t xml:space="preserve"> apply for fund</w:t>
      </w:r>
      <w:r w:rsidR="00957A1D">
        <w:rPr>
          <w:bCs/>
        </w:rPr>
        <w:t>ing from the Happold Foundation</w:t>
      </w:r>
      <w:r>
        <w:rPr>
          <w:bCs/>
        </w:rPr>
        <w:t xml:space="preserve"> (and/or others) to fund an external peer review process;</w:t>
      </w:r>
    </w:p>
    <w:p w14:paraId="19B036CE" w14:textId="77777777" w:rsidR="00845C9A" w:rsidRPr="00411327" w:rsidRDefault="00845C9A" w:rsidP="00845C9A">
      <w:pPr>
        <w:pStyle w:val="ListParagraph"/>
        <w:numPr>
          <w:ilvl w:val="0"/>
          <w:numId w:val="19"/>
        </w:numPr>
        <w:spacing w:line="240" w:lineRule="auto"/>
        <w:jc w:val="both"/>
        <w:rPr>
          <w:b/>
          <w:bCs/>
          <w:i/>
          <w:color w:val="17365D" w:themeColor="text2" w:themeShade="BF"/>
        </w:rPr>
      </w:pPr>
      <w:r w:rsidRPr="0067253F">
        <w:rPr>
          <w:b/>
          <w:color w:val="FF0000"/>
        </w:rPr>
        <w:t>ACTION</w:t>
      </w:r>
      <w:r w:rsidRPr="00412125">
        <w:rPr>
          <w:color w:val="FF0000"/>
        </w:rPr>
        <w:t>:</w:t>
      </w:r>
      <w:r>
        <w:t xml:space="preserve"> Develop an online survey to receive feedback from users of the past editions and others. The survey can be found </w:t>
      </w:r>
      <w:hyperlink r:id="rId9" w:history="1">
        <w:r w:rsidRPr="00411327">
          <w:rPr>
            <w:rStyle w:val="Hyperlink"/>
          </w:rPr>
          <w:t>here</w:t>
        </w:r>
      </w:hyperlink>
      <w:r>
        <w:t>;</w:t>
      </w:r>
    </w:p>
    <w:p w14:paraId="177C615F" w14:textId="3B2EE02D" w:rsidR="00845C9A" w:rsidRDefault="005735B0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CD17BE">
        <w:rPr>
          <w:b/>
          <w:bCs/>
        </w:rPr>
        <w:t>Decision</w:t>
      </w:r>
      <w:r>
        <w:rPr>
          <w:bCs/>
        </w:rPr>
        <w:t>: explore ways to review existing case studies to identify trends</w:t>
      </w:r>
      <w:r w:rsidR="00CD17BE">
        <w:rPr>
          <w:bCs/>
        </w:rPr>
        <w:t>. For the new edition, define an analysis process to write the introduction of the book</w:t>
      </w:r>
      <w:r w:rsidR="00C27E03">
        <w:rPr>
          <w:bCs/>
        </w:rPr>
        <w:t>. This could be done in coordination with the State of Humanitarian Shelter.</w:t>
      </w:r>
      <w:r w:rsidR="00CD17BE">
        <w:rPr>
          <w:bCs/>
        </w:rPr>
        <w:t xml:space="preserve"> </w:t>
      </w:r>
      <w:r w:rsidR="00CD17BE" w:rsidRPr="00CD17BE">
        <w:rPr>
          <w:bCs/>
        </w:rPr>
        <w:sym w:font="Wingdings" w:char="F0E0"/>
      </w:r>
      <w:r w:rsidR="00CD17BE">
        <w:rPr>
          <w:bCs/>
        </w:rPr>
        <w:t xml:space="preserve"> </w:t>
      </w:r>
      <w:r w:rsidR="00CD17BE" w:rsidRPr="00CD17BE">
        <w:rPr>
          <w:bCs/>
          <w:color w:val="FF0000"/>
        </w:rPr>
        <w:t>ACTION</w:t>
      </w:r>
      <w:r w:rsidR="00CD17BE">
        <w:rPr>
          <w:bCs/>
        </w:rPr>
        <w:t>: ALNAP and Cendep to suggest possible methodologies / approaches;</w:t>
      </w:r>
    </w:p>
    <w:p w14:paraId="496F242F" w14:textId="5D69E2C2" w:rsidR="005A23EA" w:rsidRDefault="005A23EA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225296">
        <w:rPr>
          <w:b/>
          <w:bCs/>
          <w:color w:val="FF0000"/>
        </w:rPr>
        <w:t>ACTION</w:t>
      </w:r>
      <w:r w:rsidRPr="005A23EA">
        <w:rPr>
          <w:bCs/>
        </w:rPr>
        <w:t>:</w:t>
      </w:r>
      <w:r>
        <w:rPr>
          <w:bCs/>
        </w:rPr>
        <w:t xml:space="preserve"> </w:t>
      </w:r>
      <w:r w:rsidR="00225296">
        <w:rPr>
          <w:bCs/>
        </w:rPr>
        <w:t>Translations - Victoria to follow up with Translators Without Borders</w:t>
      </w:r>
      <w:r w:rsidR="009B2EF3">
        <w:rPr>
          <w:bCs/>
        </w:rPr>
        <w:t>.</w:t>
      </w:r>
      <w:bookmarkStart w:id="13" w:name="_GoBack"/>
      <w:bookmarkEnd w:id="13"/>
    </w:p>
    <w:p w14:paraId="0515EA59" w14:textId="5A37092A" w:rsidR="00CD17BE" w:rsidRPr="0067253F" w:rsidRDefault="00CD17BE" w:rsidP="0067253F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</w:rPr>
      </w:pPr>
      <w:r w:rsidRPr="00CD17BE">
        <w:rPr>
          <w:b/>
          <w:bCs/>
          <w:color w:val="FF0000"/>
        </w:rPr>
        <w:t>ACTION</w:t>
      </w:r>
      <w:r>
        <w:rPr>
          <w:bCs/>
        </w:rPr>
        <w:t xml:space="preserve">: </w:t>
      </w:r>
      <w:r w:rsidRPr="00225296">
        <w:rPr>
          <w:b/>
          <w:bCs/>
        </w:rPr>
        <w:t>all to send comments on the data collection form and follow up on above items by Friday 20</w:t>
      </w:r>
      <w:r w:rsidRPr="00225296">
        <w:rPr>
          <w:b/>
          <w:bCs/>
          <w:vertAlign w:val="superscript"/>
        </w:rPr>
        <w:t>th</w:t>
      </w:r>
      <w:r w:rsidRPr="00225296">
        <w:rPr>
          <w:b/>
          <w:bCs/>
        </w:rPr>
        <w:t xml:space="preserve"> COB.</w:t>
      </w:r>
      <w:r>
        <w:rPr>
          <w:bCs/>
        </w:rPr>
        <w:t xml:space="preserve"> Call for abstracts will follow on Monday 23</w:t>
      </w:r>
      <w:r w:rsidRPr="00CD17BE">
        <w:rPr>
          <w:bCs/>
          <w:vertAlign w:val="superscript"/>
        </w:rPr>
        <w:t>rd</w:t>
      </w:r>
      <w:r>
        <w:rPr>
          <w:bCs/>
        </w:rPr>
        <w:t xml:space="preserve"> May, with two weeks deadline.</w:t>
      </w:r>
    </w:p>
    <w:p w14:paraId="6C7C421F" w14:textId="77777777" w:rsidR="00592ADF" w:rsidRDefault="00592ADF" w:rsidP="00592ADF">
      <w:pPr>
        <w:pStyle w:val="ListParagraph"/>
        <w:spacing w:after="0"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</w:p>
    <w:p w14:paraId="5A91D0DA" w14:textId="3B231173" w:rsidR="006C70EB" w:rsidRDefault="00592ADF" w:rsidP="006C70E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Review of past editions of Shelter Projects</w:t>
      </w:r>
    </w:p>
    <w:p w14:paraId="2C130897" w14:textId="3A7CA117" w:rsidR="00592ADF" w:rsidRDefault="00592ADF" w:rsidP="00592ADF">
      <w:pPr>
        <w:pStyle w:val="ListParagraph"/>
        <w:numPr>
          <w:ilvl w:val="0"/>
          <w:numId w:val="19"/>
        </w:numPr>
        <w:spacing w:line="240" w:lineRule="auto"/>
        <w:jc w:val="both"/>
      </w:pPr>
      <w:r>
        <w:t xml:space="preserve"> </w:t>
      </w:r>
      <w:r w:rsidR="0067253F" w:rsidRPr="00957A1D">
        <w:rPr>
          <w:b/>
        </w:rPr>
        <w:t>Audience</w:t>
      </w:r>
      <w:r w:rsidR="00225296">
        <w:t>:</w:t>
      </w:r>
      <w:r w:rsidR="00C27E03">
        <w:t xml:space="preserve"> </w:t>
      </w:r>
      <w:r w:rsidR="00225296">
        <w:t>future proposal writers / programme managers, university students and researchers, national or cluster staff (to re</w:t>
      </w:r>
      <w:r w:rsidR="00957A1D">
        <w:t>ceive training), shelter practi</w:t>
      </w:r>
      <w:r w:rsidR="00225296">
        <w:t>tioners</w:t>
      </w:r>
      <w:r w:rsidR="00957A1D">
        <w:t>, local authorities (for capacity building)</w:t>
      </w:r>
      <w:r w:rsidR="00C27E03">
        <w:t>, governments (for advocacy purposes). Policy makers will be targeted more specifically with the State of Humanitarian Shelter</w:t>
      </w:r>
      <w:r w:rsidR="00957A1D">
        <w:t>;</w:t>
      </w:r>
    </w:p>
    <w:p w14:paraId="61934EF3" w14:textId="6AD0EBB4" w:rsidR="00957A1D" w:rsidRDefault="00957A1D" w:rsidP="00592ADF">
      <w:pPr>
        <w:pStyle w:val="ListParagraph"/>
        <w:numPr>
          <w:ilvl w:val="0"/>
          <w:numId w:val="19"/>
        </w:numPr>
        <w:spacing w:line="240" w:lineRule="auto"/>
        <w:jc w:val="both"/>
      </w:pPr>
      <w:r w:rsidRPr="00957A1D">
        <w:rPr>
          <w:b/>
        </w:rPr>
        <w:t>Key learnings:</w:t>
      </w:r>
      <w:r>
        <w:t xml:space="preserve"> diversity of responses, no “perfect response” – but trade-offs, focus on wider impacts rather than technical details, learn experiences from similar contexts/climates/regions;</w:t>
      </w:r>
    </w:p>
    <w:p w14:paraId="2B920DFF" w14:textId="4CE7C9B6" w:rsidR="00957A1D" w:rsidRDefault="00957A1D" w:rsidP="00592ADF">
      <w:pPr>
        <w:pStyle w:val="ListParagraph"/>
        <w:numPr>
          <w:ilvl w:val="0"/>
          <w:numId w:val="19"/>
        </w:numPr>
        <w:spacing w:line="240" w:lineRule="auto"/>
        <w:jc w:val="both"/>
      </w:pPr>
      <w:r w:rsidRPr="00957A1D">
        <w:rPr>
          <w:b/>
        </w:rPr>
        <w:t>Search ability</w:t>
      </w:r>
      <w:r>
        <w:t xml:space="preserve"> based on categories can be improved – and include also the opinion pieces;</w:t>
      </w:r>
    </w:p>
    <w:p w14:paraId="072DC839" w14:textId="73322687" w:rsidR="00957A1D" w:rsidRDefault="00957A1D" w:rsidP="00592ADF">
      <w:pPr>
        <w:pStyle w:val="ListParagraph"/>
        <w:numPr>
          <w:ilvl w:val="0"/>
          <w:numId w:val="19"/>
        </w:numPr>
        <w:spacing w:line="240" w:lineRule="auto"/>
        <w:jc w:val="both"/>
      </w:pPr>
      <w:r>
        <w:t xml:space="preserve">More space and importance should be given to </w:t>
      </w:r>
      <w:r w:rsidRPr="00957A1D">
        <w:rPr>
          <w:b/>
        </w:rPr>
        <w:t>strengths and weaknesses</w:t>
      </w:r>
      <w:r>
        <w:t>;</w:t>
      </w:r>
    </w:p>
    <w:p w14:paraId="65FCF9F5" w14:textId="70BCA4D2" w:rsidR="00957A1D" w:rsidRDefault="006C3522" w:rsidP="00592ADF">
      <w:pPr>
        <w:pStyle w:val="ListParagraph"/>
        <w:numPr>
          <w:ilvl w:val="0"/>
          <w:numId w:val="19"/>
        </w:numPr>
        <w:spacing w:line="240" w:lineRule="auto"/>
        <w:jc w:val="both"/>
      </w:pPr>
      <w:r w:rsidRPr="006C3522">
        <w:rPr>
          <w:b/>
        </w:rPr>
        <w:t>Context and external factors</w:t>
      </w:r>
      <w:r>
        <w:t xml:space="preserve"> are often missing from case studies – need to improve;</w:t>
      </w:r>
    </w:p>
    <w:p w14:paraId="100BED40" w14:textId="4144194A" w:rsidR="006C3522" w:rsidRDefault="006C3522" w:rsidP="00592ADF">
      <w:pPr>
        <w:pStyle w:val="ListParagraph"/>
        <w:numPr>
          <w:ilvl w:val="0"/>
          <w:numId w:val="19"/>
        </w:numPr>
        <w:spacing w:line="240" w:lineRule="auto"/>
        <w:jc w:val="both"/>
      </w:pPr>
      <w:r>
        <w:rPr>
          <w:b/>
        </w:rPr>
        <w:t xml:space="preserve">Specific project objectives </w:t>
      </w:r>
      <w:r>
        <w:t>are often not captured in the case studies (same as above);</w:t>
      </w:r>
    </w:p>
    <w:p w14:paraId="14B4C680" w14:textId="1B09A797" w:rsidR="00E6039E" w:rsidRPr="002211DF" w:rsidRDefault="00E6039E" w:rsidP="00592ADF">
      <w:pPr>
        <w:pStyle w:val="ListParagraph"/>
        <w:spacing w:line="240" w:lineRule="auto"/>
        <w:jc w:val="both"/>
      </w:pPr>
    </w:p>
    <w:p w14:paraId="666562F2" w14:textId="77777777" w:rsidR="006C70EB" w:rsidRDefault="006C70EB" w:rsidP="00344B1A">
      <w:pPr>
        <w:pStyle w:val="ListParagraph"/>
        <w:spacing w:line="240" w:lineRule="auto"/>
        <w:ind w:left="360"/>
        <w:jc w:val="both"/>
        <w:rPr>
          <w:b/>
          <w:bCs/>
          <w:i/>
          <w:color w:val="17365D" w:themeColor="text2" w:themeShade="BF"/>
        </w:rPr>
      </w:pPr>
    </w:p>
    <w:p w14:paraId="333EE948" w14:textId="29BF6833" w:rsidR="00CF2DC7" w:rsidRPr="003E1EA6" w:rsidRDefault="00592ADF" w:rsidP="00344B1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Vision for Shelter Projects 2015-2016 and future editions</w:t>
      </w:r>
    </w:p>
    <w:p w14:paraId="1D922AF9" w14:textId="163EED99" w:rsidR="00592ADF" w:rsidRDefault="001C6D4B" w:rsidP="00592AD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957A1D">
        <w:rPr>
          <w:b/>
        </w:rPr>
        <w:t>Selection criteria</w:t>
      </w:r>
      <w:r>
        <w:t xml:space="preserve">: particular </w:t>
      </w:r>
      <w:r w:rsidR="00957A1D">
        <w:t>aspect,</w:t>
      </w:r>
      <w:r>
        <w:t xml:space="preserve"> “why it is relevant to tell this story”</w:t>
      </w:r>
    </w:p>
    <w:p w14:paraId="68DD5977" w14:textId="0EBE09FE" w:rsidR="00957A1D" w:rsidRDefault="00957A1D" w:rsidP="00592AD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957A1D">
        <w:rPr>
          <w:b/>
        </w:rPr>
        <w:t>How do we learn as a sector</w:t>
      </w:r>
      <w:r>
        <w:t>: there is a need for more evaluations of shelter programs outcomes;</w:t>
      </w:r>
    </w:p>
    <w:p w14:paraId="1D2FB65F" w14:textId="479E6DCF" w:rsidR="00957A1D" w:rsidRDefault="00957A1D" w:rsidP="00592ADF">
      <w:pPr>
        <w:pStyle w:val="ListParagraph"/>
        <w:numPr>
          <w:ilvl w:val="0"/>
          <w:numId w:val="15"/>
        </w:numPr>
        <w:spacing w:after="0" w:line="240" w:lineRule="auto"/>
        <w:jc w:val="both"/>
      </w:pPr>
      <w:r w:rsidRPr="00957A1D">
        <w:rPr>
          <w:b/>
        </w:rPr>
        <w:t>Improve the evidence base</w:t>
      </w:r>
      <w:r>
        <w:t xml:space="preserve"> of case studies. This will also ensure that less distortions occur in the way the narrative is formulates; </w:t>
      </w:r>
    </w:p>
    <w:p w14:paraId="6C8B032C" w14:textId="5A3CBEB2" w:rsidR="006C3522" w:rsidRPr="006512AE" w:rsidRDefault="006C3522" w:rsidP="00592ADF">
      <w:pPr>
        <w:pStyle w:val="ListParagraph"/>
        <w:numPr>
          <w:ilvl w:val="0"/>
          <w:numId w:val="15"/>
        </w:numPr>
        <w:spacing w:after="0" w:line="240" w:lineRule="auto"/>
        <w:jc w:val="both"/>
      </w:pPr>
      <w:r>
        <w:rPr>
          <w:b/>
        </w:rPr>
        <w:t xml:space="preserve">Analysis: </w:t>
      </w:r>
      <w:r>
        <w:t>need for a critical analysis of trends and patterns in shelter humanitarian response</w:t>
      </w:r>
      <w:r w:rsidR="00D22795">
        <w:t xml:space="preserve"> in the timeframe that SP 2015-2016 spans</w:t>
      </w:r>
      <w:r>
        <w:t xml:space="preserve">, that can be based on the case studies </w:t>
      </w:r>
      <w:r w:rsidR="00D22795">
        <w:t xml:space="preserve">included in the new edition </w:t>
      </w:r>
      <w:r>
        <w:t>and be written up in the introduction;</w:t>
      </w:r>
      <w:r>
        <w:rPr>
          <w:b/>
        </w:rPr>
        <w:t xml:space="preserve"> </w:t>
      </w:r>
    </w:p>
    <w:p w14:paraId="7971DDA0" w14:textId="43A8F00A" w:rsidR="00C27E03" w:rsidRPr="00C27E03" w:rsidRDefault="00C27E03" w:rsidP="00C27E03">
      <w:pPr>
        <w:pStyle w:val="CommentTex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C27E03">
        <w:rPr>
          <w:sz w:val="22"/>
          <w:szCs w:val="22"/>
        </w:rPr>
        <w:t xml:space="preserve">newly proposed </w:t>
      </w:r>
      <w:r w:rsidRPr="006512AE">
        <w:rPr>
          <w:b/>
          <w:sz w:val="22"/>
          <w:szCs w:val="22"/>
        </w:rPr>
        <w:t>State of Humanitarian Shelter</w:t>
      </w:r>
      <w:r w:rsidRPr="00C27E03">
        <w:rPr>
          <w:sz w:val="22"/>
          <w:szCs w:val="22"/>
        </w:rPr>
        <w:t xml:space="preserve"> (project proposal to be shared with the SAG shortly) was discussed at the Donor Consultation meeting</w:t>
      </w:r>
      <w:r>
        <w:rPr>
          <w:sz w:val="22"/>
          <w:szCs w:val="22"/>
        </w:rPr>
        <w:t>, and it</w:t>
      </w:r>
      <w:r w:rsidRPr="00C27E03">
        <w:rPr>
          <w:sz w:val="22"/>
          <w:szCs w:val="22"/>
        </w:rPr>
        <w:t xml:space="preserve"> was proposed that the first edition of this will include an analysis of the trends coming out of all of the Shelter Projects since 2008.  </w:t>
      </w:r>
    </w:p>
    <w:p w14:paraId="5BDAF18F" w14:textId="77777777" w:rsidR="00C27E03" w:rsidRDefault="00C27E03" w:rsidP="00C27E03">
      <w:pPr>
        <w:pStyle w:val="ListParagraph"/>
        <w:spacing w:after="0" w:line="240" w:lineRule="auto"/>
        <w:jc w:val="both"/>
      </w:pPr>
    </w:p>
    <w:p w14:paraId="1C4A6FF9" w14:textId="33861200" w:rsidR="006C70EB" w:rsidRPr="0038766F" w:rsidRDefault="006C70EB" w:rsidP="00592ADF">
      <w:pPr>
        <w:spacing w:after="0" w:line="240" w:lineRule="auto"/>
      </w:pPr>
      <w:r>
        <w:br/>
      </w:r>
    </w:p>
    <w:p w14:paraId="0A789298" w14:textId="6A946CE4" w:rsidR="002358C3" w:rsidRPr="00E6039E" w:rsidRDefault="00592ADF" w:rsidP="00E6039E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t>Case study methodology and peer review process</w:t>
      </w:r>
    </w:p>
    <w:p w14:paraId="05A9CAD4" w14:textId="57D998B3" w:rsidR="00E6039E" w:rsidRPr="006C3522" w:rsidRDefault="006C3522" w:rsidP="00592ADF">
      <w:pPr>
        <w:pStyle w:val="ListParagraph"/>
        <w:numPr>
          <w:ilvl w:val="0"/>
          <w:numId w:val="20"/>
        </w:numPr>
        <w:spacing w:after="0"/>
        <w:contextualSpacing w:val="0"/>
        <w:jc w:val="both"/>
        <w:rPr>
          <w:b/>
          <w:bCs/>
          <w:i/>
          <w:iCs/>
          <w:color w:val="17365D" w:themeColor="text2" w:themeShade="BF"/>
        </w:rPr>
      </w:pPr>
      <w:r>
        <w:t>For content see presentation slides by ALNAP;</w:t>
      </w:r>
    </w:p>
    <w:p w14:paraId="5D388ABF" w14:textId="7B6DB5C6" w:rsidR="006C3522" w:rsidRPr="00E6039E" w:rsidRDefault="00AC0E4E" w:rsidP="00592ADF">
      <w:pPr>
        <w:pStyle w:val="ListParagraph"/>
        <w:numPr>
          <w:ilvl w:val="0"/>
          <w:numId w:val="20"/>
        </w:numPr>
        <w:spacing w:after="0"/>
        <w:contextualSpacing w:val="0"/>
        <w:jc w:val="both"/>
        <w:rPr>
          <w:b/>
          <w:bCs/>
          <w:i/>
          <w:iCs/>
          <w:color w:val="17365D" w:themeColor="text2" w:themeShade="BF"/>
        </w:rPr>
      </w:pPr>
      <w:r>
        <w:t>Comparative analysis based on indicators of success / causal factors: can we define these for shelter projects?</w:t>
      </w:r>
    </w:p>
    <w:p w14:paraId="3230E863" w14:textId="77777777" w:rsidR="002358C3" w:rsidRDefault="002358C3" w:rsidP="00F26873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</w:p>
    <w:p w14:paraId="373D7BB9" w14:textId="3030AABB" w:rsidR="00592ADF" w:rsidRDefault="00592ADF" w:rsidP="00592ADF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b/>
          <w:bCs/>
          <w:i/>
          <w:iCs/>
          <w:color w:val="17365D" w:themeColor="text2" w:themeShade="BF"/>
        </w:rPr>
      </w:pPr>
      <w:r>
        <w:rPr>
          <w:b/>
          <w:bCs/>
          <w:i/>
          <w:iCs/>
          <w:color w:val="17365D" w:themeColor="text2" w:themeShade="BF"/>
        </w:rPr>
        <w:lastRenderedPageBreak/>
        <w:t>Project organization/management</w:t>
      </w:r>
    </w:p>
    <w:p w14:paraId="56128B11" w14:textId="676C8AED" w:rsidR="00592ADF" w:rsidRDefault="00225296" w:rsidP="00225296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  <w:iCs/>
        </w:rPr>
      </w:pPr>
      <w:r w:rsidRPr="00225296">
        <w:rPr>
          <w:b/>
          <w:bCs/>
          <w:iCs/>
        </w:rPr>
        <w:t>Translations</w:t>
      </w:r>
      <w:r w:rsidRPr="00225296">
        <w:rPr>
          <w:bCs/>
          <w:iCs/>
          <w:color w:val="17365D" w:themeColor="text2" w:themeShade="BF"/>
        </w:rPr>
        <w:t xml:space="preserve">: </w:t>
      </w:r>
      <w:r w:rsidRPr="00225296">
        <w:rPr>
          <w:bCs/>
          <w:iCs/>
        </w:rPr>
        <w:t>Spanish is essential, French and Arabic less so in practice (as those countries usually have English as working language)</w:t>
      </w:r>
      <w:r w:rsidR="00D22795">
        <w:rPr>
          <w:bCs/>
          <w:iCs/>
        </w:rPr>
        <w:t>;</w:t>
      </w:r>
    </w:p>
    <w:p w14:paraId="65A85CC8" w14:textId="0D593544" w:rsidR="00225296" w:rsidRDefault="00225296" w:rsidP="00225296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  <w:iCs/>
        </w:rPr>
      </w:pPr>
      <w:r>
        <w:rPr>
          <w:b/>
          <w:bCs/>
          <w:iCs/>
        </w:rPr>
        <w:t>Review:</w:t>
      </w:r>
      <w:r>
        <w:rPr>
          <w:bCs/>
          <w:iCs/>
        </w:rPr>
        <w:t xml:space="preserve"> will be done within the Working Group, if no additional funding is secured for an external peer review process;</w:t>
      </w:r>
    </w:p>
    <w:p w14:paraId="1AECE6A6" w14:textId="4CA8993A" w:rsidR="00225296" w:rsidRDefault="00225296" w:rsidP="00225296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  <w:iCs/>
        </w:rPr>
      </w:pPr>
      <w:r>
        <w:rPr>
          <w:b/>
          <w:bCs/>
          <w:iCs/>
        </w:rPr>
        <w:t>Proof reading and editing:</w:t>
      </w:r>
      <w:r>
        <w:rPr>
          <w:bCs/>
          <w:iCs/>
        </w:rPr>
        <w:t xml:space="preserve"> IOM is responsible as lead agency;</w:t>
      </w:r>
    </w:p>
    <w:p w14:paraId="3A7C467A" w14:textId="737B0ED5" w:rsidR="00225296" w:rsidRPr="00225296" w:rsidRDefault="00225296" w:rsidP="00225296">
      <w:pPr>
        <w:pStyle w:val="ListParagraph"/>
        <w:numPr>
          <w:ilvl w:val="0"/>
          <w:numId w:val="19"/>
        </w:numPr>
        <w:spacing w:line="240" w:lineRule="auto"/>
        <w:jc w:val="both"/>
        <w:rPr>
          <w:bCs/>
          <w:iCs/>
        </w:rPr>
      </w:pPr>
      <w:r>
        <w:rPr>
          <w:b/>
          <w:bCs/>
          <w:iCs/>
        </w:rPr>
        <w:t>Layout:</w:t>
      </w:r>
      <w:r>
        <w:rPr>
          <w:bCs/>
          <w:iCs/>
        </w:rPr>
        <w:t xml:space="preserve"> supported by Habitat for Humanity;</w:t>
      </w:r>
    </w:p>
    <w:p w14:paraId="1B57B796" w14:textId="73281DAF" w:rsidR="00592ADF" w:rsidRPr="00592ADF" w:rsidRDefault="00592ADF" w:rsidP="00AC0E4E">
      <w:p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lang w:eastAsia="en-GB"/>
        </w:rPr>
      </w:pPr>
    </w:p>
    <w:p w14:paraId="26C03240" w14:textId="77777777" w:rsidR="006C70EB" w:rsidRDefault="006C70EB" w:rsidP="00AC0EE7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5AB2C77C" w14:textId="260912D6" w:rsidR="00026417" w:rsidRDefault="003E1EA6" w:rsidP="00AC0E4E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>
        <w:rPr>
          <w:rFonts w:ascii="Calibri" w:eastAsia="Times New Roman" w:hAnsi="Calibri" w:cs="Tahoma"/>
          <w:b/>
          <w:color w:val="222222"/>
          <w:u w:val="single"/>
          <w:lang w:eastAsia="en-GB"/>
        </w:rPr>
        <w:t>Next WG</w:t>
      </w:r>
      <w:r w:rsidR="00C07F57" w:rsidRPr="00B91987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meeting will be held </w:t>
      </w:r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in </w:t>
      </w:r>
      <w:r w:rsidR="00592ADF">
        <w:rPr>
          <w:rFonts w:ascii="Calibri" w:eastAsia="Times New Roman" w:hAnsi="Calibri" w:cs="Tahoma"/>
          <w:b/>
          <w:color w:val="222222"/>
          <w:u w:val="single"/>
          <w:lang w:eastAsia="en-GB"/>
        </w:rPr>
        <w:t>May/June</w:t>
      </w:r>
      <w:r w:rsidR="006C70EB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2016 (date tbd)</w:t>
      </w:r>
      <w:r w:rsidR="00AC0EE7">
        <w:rPr>
          <w:rFonts w:ascii="Calibri" w:eastAsia="Times New Roman" w:hAnsi="Calibri" w:cs="Tahoma"/>
          <w:b/>
          <w:color w:val="222222"/>
          <w:u w:val="single"/>
          <w:lang w:eastAsia="en-GB"/>
        </w:rPr>
        <w:t>.</w:t>
      </w:r>
      <w:r w:rsidR="00026417">
        <w:rPr>
          <w:rFonts w:ascii="Calibri" w:eastAsia="Times New Roman" w:hAnsi="Calibri" w:cs="Tahoma"/>
          <w:b/>
          <w:color w:val="222222"/>
          <w:u w:val="single"/>
          <w:lang w:eastAsia="en-GB"/>
        </w:rPr>
        <w:br w:type="page"/>
      </w:r>
    </w:p>
    <w:p w14:paraId="5B211EB5" w14:textId="77777777" w:rsidR="005122A5" w:rsidRDefault="005122A5" w:rsidP="00C85E0C">
      <w:pPr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p w14:paraId="59D9C88E" w14:textId="73568B26" w:rsidR="00026417" w:rsidRDefault="00026417" w:rsidP="00026417">
      <w:pPr>
        <w:pStyle w:val="Heading3"/>
        <w:spacing w:before="0"/>
      </w:pPr>
      <w:r>
        <w:t>Annex 1 – Keywords / Categories for case studies</w:t>
      </w:r>
    </w:p>
    <w:p w14:paraId="5D21C384" w14:textId="77777777" w:rsidR="00026417" w:rsidRDefault="00026417" w:rsidP="00026417">
      <w:pPr>
        <w:rPr>
          <w:lang w:eastAsia="ja-JP"/>
        </w:rPr>
      </w:pPr>
    </w:p>
    <w:p w14:paraId="3D172F8D" w14:textId="77777777" w:rsidR="00454163" w:rsidRDefault="00026417" w:rsidP="00454163">
      <w:pPr>
        <w:pStyle w:val="NoSpacing"/>
        <w:rPr>
          <w:lang w:eastAsia="ja-JP"/>
        </w:rPr>
      </w:pPr>
      <w:r w:rsidRPr="00454163">
        <w:rPr>
          <w:b/>
          <w:lang w:eastAsia="ja-JP"/>
        </w:rPr>
        <w:t>Context</w:t>
      </w:r>
      <w:r>
        <w:rPr>
          <w:lang w:eastAsia="ja-JP"/>
        </w:rPr>
        <w:t xml:space="preserve">: </w:t>
      </w:r>
    </w:p>
    <w:p w14:paraId="291A1BC5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Climate, </w:t>
      </w:r>
    </w:p>
    <w:p w14:paraId="6FD8EDB0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>Urban</w:t>
      </w:r>
      <w:r w:rsidR="00EC20F1">
        <w:rPr>
          <w:lang w:eastAsia="ja-JP"/>
        </w:rPr>
        <w:t xml:space="preserve"> </w:t>
      </w:r>
      <w:r>
        <w:rPr>
          <w:lang w:eastAsia="ja-JP"/>
        </w:rPr>
        <w:t>/</w:t>
      </w:r>
      <w:r w:rsidR="00EC20F1">
        <w:rPr>
          <w:lang w:eastAsia="ja-JP"/>
        </w:rPr>
        <w:t xml:space="preserve"> </w:t>
      </w:r>
      <w:r>
        <w:rPr>
          <w:lang w:eastAsia="ja-JP"/>
        </w:rPr>
        <w:t xml:space="preserve">Rural, </w:t>
      </w:r>
    </w:p>
    <w:p w14:paraId="5BBF9A8C" w14:textId="70237B4F" w:rsidR="00026417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>Natural disaster / conflict</w:t>
      </w:r>
    </w:p>
    <w:p w14:paraId="1C3E8801" w14:textId="77777777" w:rsidR="00454163" w:rsidRDefault="00454163" w:rsidP="00454163">
      <w:pPr>
        <w:pStyle w:val="NoSpacing"/>
        <w:rPr>
          <w:lang w:eastAsia="ja-JP"/>
        </w:rPr>
      </w:pPr>
    </w:p>
    <w:p w14:paraId="25F43D0C" w14:textId="77777777" w:rsidR="00454163" w:rsidRPr="00454163" w:rsidRDefault="00026417" w:rsidP="00454163">
      <w:pPr>
        <w:pStyle w:val="NoSpacing"/>
        <w:rPr>
          <w:b/>
          <w:lang w:eastAsia="ja-JP"/>
        </w:rPr>
      </w:pPr>
      <w:r w:rsidRPr="00454163">
        <w:rPr>
          <w:b/>
          <w:lang w:eastAsia="ja-JP"/>
        </w:rPr>
        <w:t>Support Method</w:t>
      </w:r>
      <w:r w:rsidR="003D229C" w:rsidRPr="00454163">
        <w:rPr>
          <w:b/>
          <w:lang w:eastAsia="ja-JP"/>
        </w:rPr>
        <w:t>s</w:t>
      </w:r>
      <w:r w:rsidRPr="00454163">
        <w:rPr>
          <w:b/>
          <w:lang w:eastAsia="ja-JP"/>
        </w:rPr>
        <w:t xml:space="preserve">: </w:t>
      </w:r>
    </w:p>
    <w:p w14:paraId="380680AE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Cash / vouchers, </w:t>
      </w:r>
    </w:p>
    <w:p w14:paraId="0965B89D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NFI Distribution (household items, construction materials, tools), </w:t>
      </w:r>
    </w:p>
    <w:p w14:paraId="19B1FC3B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Loans, </w:t>
      </w:r>
    </w:p>
    <w:p w14:paraId="3D0771C8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Advocacy/Legal, </w:t>
      </w:r>
    </w:p>
    <w:p w14:paraId="0C896389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>Site planning,</w:t>
      </w:r>
    </w:p>
    <w:p w14:paraId="0B2D868A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 Infrastructure, </w:t>
      </w:r>
    </w:p>
    <w:p w14:paraId="49AC8A72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Training, </w:t>
      </w:r>
    </w:p>
    <w:p w14:paraId="14C55391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Structural assessment, </w:t>
      </w:r>
    </w:p>
    <w:p w14:paraId="31CC9B67" w14:textId="7123A1BD" w:rsidR="00026417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Guidelines/materials/mass communications</w:t>
      </w:r>
    </w:p>
    <w:p w14:paraId="4C4101B2" w14:textId="77777777" w:rsidR="00454163" w:rsidRDefault="00454163" w:rsidP="00454163">
      <w:pPr>
        <w:pStyle w:val="NoSpacing"/>
        <w:rPr>
          <w:lang w:eastAsia="ja-JP"/>
        </w:rPr>
      </w:pPr>
    </w:p>
    <w:p w14:paraId="7F00B51C" w14:textId="77777777" w:rsidR="00454163" w:rsidRPr="00454163" w:rsidRDefault="00026417" w:rsidP="00454163">
      <w:pPr>
        <w:pStyle w:val="NoSpacing"/>
        <w:rPr>
          <w:b/>
          <w:lang w:eastAsia="ja-JP"/>
        </w:rPr>
      </w:pPr>
      <w:r w:rsidRPr="00454163">
        <w:rPr>
          <w:b/>
          <w:lang w:eastAsia="ja-JP"/>
        </w:rPr>
        <w:t xml:space="preserve">Shelter type: </w:t>
      </w:r>
    </w:p>
    <w:p w14:paraId="45A4FF3E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Emergency shelter, </w:t>
      </w:r>
    </w:p>
    <w:p w14:paraId="7C52A0AF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Transitional shelter, </w:t>
      </w:r>
    </w:p>
    <w:p w14:paraId="49194ADE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Host family support, </w:t>
      </w:r>
    </w:p>
    <w:p w14:paraId="1B6C9A97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Rental support, </w:t>
      </w:r>
    </w:p>
    <w:p w14:paraId="54F8B309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Core housing, </w:t>
      </w:r>
    </w:p>
    <w:p w14:paraId="26587100" w14:textId="63F94D83" w:rsidR="00026417" w:rsidRPr="00026417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>Housing repair and retrofitting</w:t>
      </w:r>
    </w:p>
    <w:p w14:paraId="712C88C9" w14:textId="77777777" w:rsidR="00454163" w:rsidRDefault="00454163" w:rsidP="00454163">
      <w:pPr>
        <w:pStyle w:val="NoSpacing"/>
        <w:rPr>
          <w:lang w:eastAsia="ja-JP"/>
        </w:rPr>
      </w:pPr>
    </w:p>
    <w:p w14:paraId="54886DBF" w14:textId="77777777" w:rsidR="00454163" w:rsidRPr="00454163" w:rsidRDefault="00026417" w:rsidP="00454163">
      <w:pPr>
        <w:pStyle w:val="NoSpacing"/>
        <w:rPr>
          <w:b/>
          <w:lang w:eastAsia="ja-JP"/>
        </w:rPr>
      </w:pPr>
      <w:r w:rsidRPr="00454163">
        <w:rPr>
          <w:b/>
          <w:lang w:eastAsia="ja-JP"/>
        </w:rPr>
        <w:t xml:space="preserve">Settlement option: </w:t>
      </w:r>
    </w:p>
    <w:p w14:paraId="0BE10AA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Non displaced / returns, </w:t>
      </w:r>
    </w:p>
    <w:p w14:paraId="2380E9FB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Dispersed self-settled, </w:t>
      </w:r>
    </w:p>
    <w:p w14:paraId="587A9B34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Short term land/house/apartment, </w:t>
      </w:r>
    </w:p>
    <w:p w14:paraId="237F60EF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Unplanned camps, </w:t>
      </w:r>
    </w:p>
    <w:p w14:paraId="3D7F729A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Collective centres, </w:t>
      </w:r>
    </w:p>
    <w:p w14:paraId="3C4438CF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Hosting, </w:t>
      </w:r>
    </w:p>
    <w:p w14:paraId="75C0B820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Planned and managed camps/relocation site</w:t>
      </w:r>
      <w:r w:rsidR="007F673F">
        <w:rPr>
          <w:lang w:eastAsia="ja-JP"/>
        </w:rPr>
        <w:t xml:space="preserve">s, </w:t>
      </w:r>
    </w:p>
    <w:p w14:paraId="1A40FE81" w14:textId="77777777" w:rsidR="00454163" w:rsidRDefault="007F673F" w:rsidP="00454163">
      <w:pPr>
        <w:pStyle w:val="NoSpacing"/>
        <w:rPr>
          <w:lang w:eastAsia="ja-JP"/>
        </w:rPr>
      </w:pPr>
      <w:r>
        <w:rPr>
          <w:lang w:eastAsia="ja-JP"/>
        </w:rPr>
        <w:t xml:space="preserve">Resettlements, </w:t>
      </w:r>
    </w:p>
    <w:p w14:paraId="5BE186B0" w14:textId="4A70615F" w:rsidR="00026417" w:rsidRDefault="007F673F" w:rsidP="00454163">
      <w:pPr>
        <w:pStyle w:val="NoSpacing"/>
        <w:rPr>
          <w:lang w:eastAsia="ja-JP"/>
        </w:rPr>
      </w:pPr>
      <w:r>
        <w:rPr>
          <w:lang w:eastAsia="ja-JP"/>
        </w:rPr>
        <w:t>Urban neighbourhoods</w:t>
      </w:r>
    </w:p>
    <w:p w14:paraId="5454506D" w14:textId="77777777" w:rsidR="00454163" w:rsidRDefault="00454163" w:rsidP="00454163">
      <w:pPr>
        <w:pStyle w:val="NoSpacing"/>
        <w:rPr>
          <w:lang w:eastAsia="ja-JP"/>
        </w:rPr>
      </w:pPr>
    </w:p>
    <w:p w14:paraId="419E5A69" w14:textId="77777777" w:rsidR="00454163" w:rsidRDefault="003D229C" w:rsidP="00454163">
      <w:pPr>
        <w:pStyle w:val="NoSpacing"/>
        <w:rPr>
          <w:lang w:eastAsia="ja-JP"/>
        </w:rPr>
      </w:pPr>
      <w:r w:rsidRPr="00454163">
        <w:rPr>
          <w:b/>
          <w:lang w:eastAsia="ja-JP"/>
        </w:rPr>
        <w:t>Aspect</w:t>
      </w:r>
      <w:r>
        <w:rPr>
          <w:lang w:eastAsia="ja-JP"/>
        </w:rPr>
        <w:t xml:space="preserve">: </w:t>
      </w:r>
    </w:p>
    <w:p w14:paraId="477EF473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Environment, </w:t>
      </w:r>
    </w:p>
    <w:p w14:paraId="563DE5D8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Gender, </w:t>
      </w:r>
    </w:p>
    <w:p w14:paraId="757CC1F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Risk reduction,</w:t>
      </w:r>
    </w:p>
    <w:p w14:paraId="6110940F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 Participation, </w:t>
      </w:r>
    </w:p>
    <w:p w14:paraId="10CDE0C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Coordination, </w:t>
      </w:r>
    </w:p>
    <w:p w14:paraId="3EAF7A7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Protection, </w:t>
      </w:r>
    </w:p>
    <w:p w14:paraId="70ABB23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Training/Capacity building, </w:t>
      </w:r>
    </w:p>
    <w:p w14:paraId="4060B26F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Advocacy, </w:t>
      </w:r>
    </w:p>
    <w:p w14:paraId="0E0CE764" w14:textId="58AA1381" w:rsidR="003D229C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Other…</w:t>
      </w:r>
    </w:p>
    <w:p w14:paraId="49B73C89" w14:textId="77777777" w:rsidR="00026417" w:rsidRPr="00B61751" w:rsidRDefault="00026417" w:rsidP="00C85E0C">
      <w:pPr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sectPr w:rsidR="00026417" w:rsidRPr="00B61751" w:rsidSect="00F26873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764" w14:textId="77777777" w:rsidR="00972D2B" w:rsidRDefault="00972D2B" w:rsidP="0032379A">
      <w:pPr>
        <w:spacing w:after="0" w:line="240" w:lineRule="auto"/>
      </w:pPr>
      <w:r>
        <w:separator/>
      </w:r>
    </w:p>
  </w:endnote>
  <w:endnote w:type="continuationSeparator" w:id="0">
    <w:p w14:paraId="395D724E" w14:textId="77777777" w:rsidR="00972D2B" w:rsidRDefault="00972D2B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6500B659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E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C4982" w14:textId="77777777" w:rsidR="00972D2B" w:rsidRDefault="00972D2B" w:rsidP="0032379A">
      <w:pPr>
        <w:spacing w:after="0" w:line="240" w:lineRule="auto"/>
      </w:pPr>
      <w:r>
        <w:separator/>
      </w:r>
    </w:p>
  </w:footnote>
  <w:footnote w:type="continuationSeparator" w:id="0">
    <w:p w14:paraId="3F70DA82" w14:textId="77777777" w:rsidR="00972D2B" w:rsidRDefault="00972D2B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7"/>
  </w:num>
  <w:num w:numId="5">
    <w:abstractNumId w:val="0"/>
  </w:num>
  <w:num w:numId="6">
    <w:abstractNumId w:val="20"/>
  </w:num>
  <w:num w:numId="7">
    <w:abstractNumId w:val="16"/>
  </w:num>
  <w:num w:numId="8">
    <w:abstractNumId w:val="19"/>
  </w:num>
  <w:num w:numId="9">
    <w:abstractNumId w:val="2"/>
  </w:num>
  <w:num w:numId="10">
    <w:abstractNumId w:val="1"/>
  </w:num>
  <w:num w:numId="11">
    <w:abstractNumId w:val="13"/>
  </w:num>
  <w:num w:numId="12">
    <w:abstractNumId w:val="5"/>
  </w:num>
  <w:num w:numId="13">
    <w:abstractNumId w:val="12"/>
  </w:num>
  <w:num w:numId="14">
    <w:abstractNumId w:val="7"/>
  </w:num>
  <w:num w:numId="15">
    <w:abstractNumId w:val="4"/>
  </w:num>
  <w:num w:numId="16">
    <w:abstractNumId w:val="14"/>
  </w:num>
  <w:num w:numId="17">
    <w:abstractNumId w:val="10"/>
  </w:num>
  <w:num w:numId="18">
    <w:abstractNumId w:val="18"/>
  </w:num>
  <w:num w:numId="19">
    <w:abstractNumId w:val="6"/>
  </w:num>
  <w:num w:numId="20">
    <w:abstractNumId w:val="15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CCIOLI Alberto [2]">
    <w15:presenceInfo w15:providerId="AD" w15:userId="S-1-5-21-4064896599-1321994828-1977553258-34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5443"/>
    <w:rsid w:val="00015DC5"/>
    <w:rsid w:val="00022932"/>
    <w:rsid w:val="00022F2C"/>
    <w:rsid w:val="00026417"/>
    <w:rsid w:val="00041BA9"/>
    <w:rsid w:val="00054679"/>
    <w:rsid w:val="000759D7"/>
    <w:rsid w:val="000771A1"/>
    <w:rsid w:val="0009014F"/>
    <w:rsid w:val="000960E3"/>
    <w:rsid w:val="0009642B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211DF"/>
    <w:rsid w:val="00225296"/>
    <w:rsid w:val="00233103"/>
    <w:rsid w:val="002358C3"/>
    <w:rsid w:val="00237B79"/>
    <w:rsid w:val="00237EB3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4774"/>
    <w:rsid w:val="003B71C2"/>
    <w:rsid w:val="003C15BB"/>
    <w:rsid w:val="003C3861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20861"/>
    <w:rsid w:val="00435579"/>
    <w:rsid w:val="00443A1C"/>
    <w:rsid w:val="00454163"/>
    <w:rsid w:val="00457BA8"/>
    <w:rsid w:val="004723B0"/>
    <w:rsid w:val="004753E8"/>
    <w:rsid w:val="004867DD"/>
    <w:rsid w:val="004A220E"/>
    <w:rsid w:val="004A4A70"/>
    <w:rsid w:val="004A74A0"/>
    <w:rsid w:val="004B01D6"/>
    <w:rsid w:val="004B47D8"/>
    <w:rsid w:val="004C607F"/>
    <w:rsid w:val="004D2053"/>
    <w:rsid w:val="004E3CF9"/>
    <w:rsid w:val="004F2542"/>
    <w:rsid w:val="00504BCF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E2E8C"/>
    <w:rsid w:val="005F5DC2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61C4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348A7"/>
    <w:rsid w:val="00741045"/>
    <w:rsid w:val="00747590"/>
    <w:rsid w:val="00750A64"/>
    <w:rsid w:val="00766BBC"/>
    <w:rsid w:val="00767BB2"/>
    <w:rsid w:val="00771924"/>
    <w:rsid w:val="007908E7"/>
    <w:rsid w:val="007916CE"/>
    <w:rsid w:val="00794E43"/>
    <w:rsid w:val="007A57AF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34B37"/>
    <w:rsid w:val="00841355"/>
    <w:rsid w:val="00845C9A"/>
    <w:rsid w:val="008476FB"/>
    <w:rsid w:val="00862AEB"/>
    <w:rsid w:val="0086493A"/>
    <w:rsid w:val="0087399F"/>
    <w:rsid w:val="00877A9F"/>
    <w:rsid w:val="008801D8"/>
    <w:rsid w:val="00880A61"/>
    <w:rsid w:val="00885DB3"/>
    <w:rsid w:val="008A0D1E"/>
    <w:rsid w:val="008B1370"/>
    <w:rsid w:val="008C2F14"/>
    <w:rsid w:val="008C47C2"/>
    <w:rsid w:val="008E0B09"/>
    <w:rsid w:val="008E0F33"/>
    <w:rsid w:val="008E1041"/>
    <w:rsid w:val="008E573D"/>
    <w:rsid w:val="008E577E"/>
    <w:rsid w:val="008E67A2"/>
    <w:rsid w:val="009012E0"/>
    <w:rsid w:val="00901F1B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B2EF3"/>
    <w:rsid w:val="009C1D70"/>
    <w:rsid w:val="009C2C5F"/>
    <w:rsid w:val="009C3EFE"/>
    <w:rsid w:val="009C445A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1751"/>
    <w:rsid w:val="00B61EE4"/>
    <w:rsid w:val="00B72D1A"/>
    <w:rsid w:val="00B813C4"/>
    <w:rsid w:val="00B8357F"/>
    <w:rsid w:val="00B842B5"/>
    <w:rsid w:val="00B8788A"/>
    <w:rsid w:val="00B91987"/>
    <w:rsid w:val="00B94664"/>
    <w:rsid w:val="00B94EB1"/>
    <w:rsid w:val="00B94F34"/>
    <w:rsid w:val="00B97694"/>
    <w:rsid w:val="00BB73BD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6A07"/>
    <w:rsid w:val="00D10B9E"/>
    <w:rsid w:val="00D11BB4"/>
    <w:rsid w:val="00D12F06"/>
    <w:rsid w:val="00D22795"/>
    <w:rsid w:val="00D234C4"/>
    <w:rsid w:val="00D24D64"/>
    <w:rsid w:val="00D3247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wtPUv5zTqeUfl1gwZkB-VkGys-m_t2G243MeAzpn6s/edit?usp=sharin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NF87XW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17BF-05AD-4F37-9899-DA215BF3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2</cp:revision>
  <cp:lastPrinted>2016-02-10T15:50:00Z</cp:lastPrinted>
  <dcterms:created xsi:type="dcterms:W3CDTF">2018-07-16T07:23:00Z</dcterms:created>
  <dcterms:modified xsi:type="dcterms:W3CDTF">2018-07-16T07:23:00Z</dcterms:modified>
</cp:coreProperties>
</file>