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FC2A8" w14:textId="408788EB" w:rsidR="009D2C5E" w:rsidRPr="00524289" w:rsidRDefault="00C624AD" w:rsidP="00A462D7">
      <w:pPr>
        <w:spacing w:after="120" w:line="240" w:lineRule="auto"/>
        <w:jc w:val="both"/>
        <w:rPr>
          <w:b/>
          <w:color w:val="0070C0"/>
          <w:sz w:val="24"/>
        </w:rPr>
      </w:pPr>
      <w:r>
        <w:rPr>
          <w:b/>
          <w:color w:val="0070C0"/>
          <w:sz w:val="24"/>
        </w:rPr>
        <w:t xml:space="preserve">2017 SOMALIA </w:t>
      </w:r>
      <w:bookmarkStart w:id="0" w:name="_GoBack"/>
      <w:bookmarkEnd w:id="0"/>
      <w:r w:rsidR="00341FB0">
        <w:rPr>
          <w:b/>
          <w:color w:val="0070C0"/>
          <w:sz w:val="24"/>
        </w:rPr>
        <w:t>SHELTER CLUSTER</w:t>
      </w:r>
      <w:r w:rsidR="003E2D7B">
        <w:rPr>
          <w:b/>
          <w:color w:val="0070C0"/>
          <w:sz w:val="24"/>
        </w:rPr>
        <w:t xml:space="preserve"> RESPONSE PLAN</w:t>
      </w:r>
    </w:p>
    <w:tbl>
      <w:tblPr>
        <w:tblStyle w:val="HNOtipstable"/>
        <w:tblW w:w="0" w:type="auto"/>
        <w:tblLayout w:type="fixed"/>
        <w:tblLook w:val="04A0" w:firstRow="1" w:lastRow="0" w:firstColumn="1" w:lastColumn="0" w:noHBand="0" w:noVBand="1"/>
      </w:tblPr>
      <w:tblGrid>
        <w:gridCol w:w="993"/>
        <w:gridCol w:w="18"/>
        <w:gridCol w:w="2391"/>
        <w:gridCol w:w="997"/>
        <w:gridCol w:w="846"/>
        <w:gridCol w:w="1559"/>
        <w:gridCol w:w="825"/>
        <w:gridCol w:w="2576"/>
      </w:tblGrid>
      <w:tr w:rsidR="009D2C5E" w:rsidRPr="00524289" w14:paraId="752B365D" w14:textId="77777777" w:rsidTr="00267353">
        <w:trPr>
          <w:cnfStyle w:val="100000000000" w:firstRow="1" w:lastRow="0" w:firstColumn="0" w:lastColumn="0" w:oddVBand="0" w:evenVBand="0" w:oddHBand="0" w:evenHBand="0" w:firstRowFirstColumn="0" w:firstRowLastColumn="0" w:lastRowFirstColumn="0" w:lastRowLastColumn="0"/>
          <w:trHeight w:val="510"/>
        </w:trPr>
        <w:tc>
          <w:tcPr>
            <w:tcW w:w="1011" w:type="dxa"/>
            <w:gridSpan w:val="2"/>
            <w:vAlign w:val="center"/>
          </w:tcPr>
          <w:p w14:paraId="411BB0B6" w14:textId="77777777" w:rsidR="009D2C5E" w:rsidRPr="00524289" w:rsidRDefault="009D2C5E" w:rsidP="00A462D7">
            <w:pPr>
              <w:jc w:val="both"/>
              <w:rPr>
                <w:b/>
                <w:sz w:val="20"/>
              </w:rPr>
            </w:pPr>
            <w:r w:rsidRPr="00524289">
              <w:rPr>
                <w:noProof/>
                <w:color w:val="404040"/>
                <w:sz w:val="20"/>
                <w:lang w:val="en-GB" w:eastAsia="en-GB"/>
              </w:rPr>
              <w:drawing>
                <wp:inline distT="0" distB="0" distL="0" distR="0" wp14:anchorId="27FE58A5" wp14:editId="639B8C4E">
                  <wp:extent cx="504825"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rotWithShape="1">
                          <a:blip r:embed="rId8" cstate="print">
                            <a:biLevel thresh="25000"/>
                            <a:extLst>
                              <a:ext uri="{28A0092B-C50C-407E-A947-70E740481C1C}">
                                <a14:useLocalDpi xmlns:a14="http://schemas.microsoft.com/office/drawing/2010/main" val="0"/>
                              </a:ext>
                            </a:extLst>
                          </a:blip>
                          <a:srcRect l="10145" t="14493" r="13044" b="15941"/>
                          <a:stretch/>
                        </pic:blipFill>
                        <pic:spPr bwMode="auto">
                          <a:xfrm>
                            <a:off x="0" y="0"/>
                            <a:ext cx="502477" cy="4550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94" w:type="dxa"/>
            <w:gridSpan w:val="6"/>
            <w:vAlign w:val="center"/>
          </w:tcPr>
          <w:p w14:paraId="5E571A25" w14:textId="77777777" w:rsidR="009D2C5E" w:rsidRPr="00524289" w:rsidRDefault="009D2C5E" w:rsidP="00A462D7">
            <w:pPr>
              <w:ind w:left="170" w:right="170"/>
              <w:jc w:val="both"/>
              <w:rPr>
                <w:b/>
                <w:sz w:val="20"/>
                <w:szCs w:val="20"/>
              </w:rPr>
            </w:pPr>
            <w:r w:rsidRPr="00524289">
              <w:rPr>
                <w:b/>
                <w:sz w:val="20"/>
                <w:szCs w:val="20"/>
              </w:rPr>
              <w:t xml:space="preserve">Lead agency: </w:t>
            </w:r>
            <w:r w:rsidR="00341FB0">
              <w:rPr>
                <w:b/>
                <w:sz w:val="20"/>
                <w:szCs w:val="20"/>
              </w:rPr>
              <w:t>UNHCR</w:t>
            </w:r>
          </w:p>
          <w:p w14:paraId="4E92EA16" w14:textId="77777777" w:rsidR="009D2C5E" w:rsidRPr="00524289" w:rsidRDefault="009D2C5E" w:rsidP="00A462D7">
            <w:pPr>
              <w:ind w:left="170" w:right="170"/>
              <w:jc w:val="both"/>
              <w:rPr>
                <w:b/>
                <w:sz w:val="20"/>
                <w:szCs w:val="20"/>
              </w:rPr>
            </w:pPr>
            <w:r w:rsidRPr="00524289">
              <w:rPr>
                <w:b/>
                <w:sz w:val="20"/>
                <w:szCs w:val="20"/>
              </w:rPr>
              <w:t xml:space="preserve">Contact information: </w:t>
            </w:r>
            <w:r w:rsidR="00341FB0">
              <w:rPr>
                <w:b/>
                <w:sz w:val="20"/>
                <w:szCs w:val="20"/>
              </w:rPr>
              <w:t>Martijn Goddeeris (goddeeri@unhcr.org)</w:t>
            </w:r>
          </w:p>
        </w:tc>
      </w:tr>
      <w:tr w:rsidR="009D2C5E" w:rsidRPr="00524289" w14:paraId="312637F6" w14:textId="77777777" w:rsidTr="00267353">
        <w:trPr>
          <w:trHeight w:val="312"/>
        </w:trPr>
        <w:tc>
          <w:tcPr>
            <w:tcW w:w="993" w:type="dxa"/>
          </w:tcPr>
          <w:p w14:paraId="15D18EF7" w14:textId="77777777" w:rsidR="009D2C5E" w:rsidRPr="00524289" w:rsidRDefault="009D2C5E" w:rsidP="00A462D7">
            <w:pPr>
              <w:spacing w:after="120"/>
              <w:jc w:val="both"/>
              <w:rPr>
                <w:rFonts w:eastAsia="PMingLiU" w:cs="Times New Roman"/>
                <w:color w:val="404040"/>
                <w:sz w:val="20"/>
                <w:szCs w:val="24"/>
                <w:lang w:val="en-GB" w:eastAsia="zh-TW"/>
              </w:rPr>
            </w:pPr>
            <w:r w:rsidRPr="00524289">
              <w:rPr>
                <w:rFonts w:eastAsia="PMingLiU" w:cs="Times New Roman"/>
                <w:noProof/>
                <w:color w:val="404040"/>
                <w:sz w:val="20"/>
                <w:szCs w:val="24"/>
                <w:lang w:val="en-GB" w:eastAsia="en-GB"/>
              </w:rPr>
              <w:drawing>
                <wp:inline distT="0" distB="0" distL="0" distR="0" wp14:anchorId="6162686C" wp14:editId="174CDA24">
                  <wp:extent cx="515620" cy="44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20" cy="447675"/>
                          </a:xfrm>
                          <a:prstGeom prst="rect">
                            <a:avLst/>
                          </a:prstGeom>
                          <a:noFill/>
                          <a:ln>
                            <a:noFill/>
                          </a:ln>
                        </pic:spPr>
                      </pic:pic>
                    </a:graphicData>
                  </a:graphic>
                </wp:inline>
              </w:drawing>
            </w:r>
          </w:p>
        </w:tc>
        <w:tc>
          <w:tcPr>
            <w:tcW w:w="2409" w:type="dxa"/>
            <w:gridSpan w:val="2"/>
            <w:tcBorders>
              <w:right w:val="single" w:sz="18" w:space="0" w:color="FFFFFF" w:themeColor="background1"/>
            </w:tcBorders>
          </w:tcPr>
          <w:p w14:paraId="236652E7" w14:textId="77777777" w:rsidR="009D2C5E" w:rsidRPr="00524289" w:rsidRDefault="009D2C5E" w:rsidP="00203A93">
            <w:pPr>
              <w:spacing w:after="120"/>
              <w:jc w:val="both"/>
              <w:rPr>
                <w:rFonts w:eastAsia="PMingLiU" w:cs="Times New Roman"/>
                <w:color w:val="404040"/>
                <w:sz w:val="20"/>
                <w:szCs w:val="24"/>
                <w:lang w:val="en-GB" w:eastAsia="zh-TW"/>
              </w:rPr>
            </w:pPr>
            <w:r w:rsidRPr="00524289">
              <w:rPr>
                <w:rFonts w:eastAsia="PMingLiU" w:cs="Times New Roman"/>
                <w:color w:val="404040" w:themeColor="text1" w:themeTint="BF"/>
                <w:sz w:val="18"/>
                <w:szCs w:val="24"/>
                <w:lang w:val="en-GB" w:eastAsia="zh-TW"/>
              </w:rPr>
              <w:t>PEOPLE IN NEED</w:t>
            </w:r>
            <w:r w:rsidR="00203A93" w:rsidRPr="00203A93">
              <w:rPr>
                <w:rStyle w:val="FootnoteReference"/>
                <w:rFonts w:eastAsia="PMingLiU" w:cs="Times New Roman"/>
                <w:color w:val="auto"/>
                <w:sz w:val="22"/>
                <w:lang w:val="en-GB" w:eastAsia="zh-TW"/>
              </w:rPr>
              <w:footnoteReference w:id="1"/>
            </w:r>
            <w:r w:rsidRPr="00524289">
              <w:rPr>
                <w:rFonts w:eastAsia="PMingLiU" w:cs="Times New Roman"/>
                <w:color w:val="F47932"/>
                <w:sz w:val="50"/>
                <w:szCs w:val="50"/>
                <w:lang w:val="en-GB" w:eastAsia="zh-TW"/>
              </w:rPr>
              <w:br/>
            </w:r>
            <w:r w:rsidR="00203A93">
              <w:rPr>
                <w:rFonts w:eastAsia="PMingLiU" w:cs="Times New Roman"/>
                <w:color w:val="A6A6A6" w:themeColor="background1" w:themeShade="A6"/>
                <w:sz w:val="48"/>
                <w:szCs w:val="48"/>
                <w:lang w:val="en-GB" w:eastAsia="zh-TW"/>
              </w:rPr>
              <w:t>1,20</w:t>
            </w:r>
            <w:r w:rsidR="00FA7A09">
              <w:rPr>
                <w:rFonts w:eastAsia="PMingLiU" w:cs="Times New Roman"/>
                <w:color w:val="A6A6A6" w:themeColor="background1" w:themeShade="A6"/>
                <w:sz w:val="48"/>
                <w:szCs w:val="48"/>
                <w:lang w:val="en-GB" w:eastAsia="zh-TW"/>
              </w:rPr>
              <w:t>0</w:t>
            </w:r>
            <w:r w:rsidR="00670DDD">
              <w:rPr>
                <w:rFonts w:eastAsia="PMingLiU" w:cs="Times New Roman"/>
                <w:color w:val="A6A6A6" w:themeColor="background1" w:themeShade="A6"/>
                <w:sz w:val="48"/>
                <w:szCs w:val="48"/>
                <w:lang w:val="en-GB" w:eastAsia="zh-TW"/>
              </w:rPr>
              <w:t>,</w:t>
            </w:r>
            <w:r w:rsidR="00FA7A09">
              <w:rPr>
                <w:rFonts w:eastAsia="PMingLiU" w:cs="Times New Roman"/>
                <w:color w:val="A6A6A6" w:themeColor="background1" w:themeShade="A6"/>
                <w:sz w:val="48"/>
                <w:szCs w:val="48"/>
                <w:lang w:val="en-GB" w:eastAsia="zh-TW"/>
              </w:rPr>
              <w:t>000</w:t>
            </w:r>
          </w:p>
        </w:tc>
        <w:tc>
          <w:tcPr>
            <w:tcW w:w="997" w:type="dxa"/>
            <w:tcBorders>
              <w:left w:val="single" w:sz="18" w:space="0" w:color="FFFFFF" w:themeColor="background1"/>
            </w:tcBorders>
          </w:tcPr>
          <w:p w14:paraId="27873219" w14:textId="77777777" w:rsidR="009D2C5E" w:rsidRPr="00524289" w:rsidRDefault="009D2C5E" w:rsidP="00A462D7">
            <w:pPr>
              <w:jc w:val="both"/>
              <w:rPr>
                <w:color w:val="404040"/>
                <w:sz w:val="20"/>
              </w:rPr>
            </w:pPr>
            <w:r w:rsidRPr="00524289">
              <w:rPr>
                <w:noProof/>
                <w:color w:val="404040"/>
                <w:sz w:val="20"/>
                <w:lang w:val="en-GB" w:eastAsia="en-GB"/>
              </w:rPr>
              <w:drawing>
                <wp:inline distT="0" distB="0" distL="0" distR="0" wp14:anchorId="7A5967EC" wp14:editId="52F4C890">
                  <wp:extent cx="515620" cy="447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620" cy="447675"/>
                          </a:xfrm>
                          <a:prstGeom prst="rect">
                            <a:avLst/>
                          </a:prstGeom>
                          <a:noFill/>
                          <a:ln>
                            <a:noFill/>
                          </a:ln>
                        </pic:spPr>
                      </pic:pic>
                    </a:graphicData>
                  </a:graphic>
                </wp:inline>
              </w:drawing>
            </w:r>
          </w:p>
        </w:tc>
        <w:tc>
          <w:tcPr>
            <w:tcW w:w="2405" w:type="dxa"/>
            <w:gridSpan w:val="2"/>
            <w:tcBorders>
              <w:right w:val="single" w:sz="18" w:space="0" w:color="FFFFFF" w:themeColor="background1"/>
            </w:tcBorders>
          </w:tcPr>
          <w:p w14:paraId="0899BC2E" w14:textId="3E7B9CC2" w:rsidR="009D2C5E" w:rsidRPr="00524289" w:rsidRDefault="009D2C5E" w:rsidP="00FC252D">
            <w:pPr>
              <w:spacing w:after="120"/>
              <w:jc w:val="both"/>
              <w:rPr>
                <w:rFonts w:eastAsia="PMingLiU" w:cs="Times New Roman"/>
                <w:color w:val="F47932"/>
                <w:sz w:val="50"/>
                <w:szCs w:val="50"/>
                <w:lang w:val="en-GB" w:eastAsia="zh-TW"/>
              </w:rPr>
            </w:pPr>
            <w:r w:rsidRPr="00524289">
              <w:rPr>
                <w:rFonts w:eastAsia="PMingLiU" w:cs="Times New Roman"/>
                <w:color w:val="404040" w:themeColor="text1" w:themeTint="BF"/>
                <w:sz w:val="18"/>
                <w:szCs w:val="24"/>
                <w:lang w:val="en-GB" w:eastAsia="zh-TW"/>
              </w:rPr>
              <w:t>PEOPLE TARGETED</w:t>
            </w:r>
            <w:r w:rsidRPr="00524289">
              <w:rPr>
                <w:rFonts w:eastAsia="PMingLiU" w:cs="Times New Roman"/>
                <w:color w:val="F47932"/>
                <w:sz w:val="50"/>
                <w:szCs w:val="50"/>
                <w:lang w:val="en-GB" w:eastAsia="zh-TW"/>
              </w:rPr>
              <w:t xml:space="preserve"> </w:t>
            </w:r>
            <w:r w:rsidRPr="00524289">
              <w:rPr>
                <w:rFonts w:eastAsia="PMingLiU" w:cs="Times New Roman"/>
                <w:color w:val="F47932"/>
                <w:sz w:val="50"/>
                <w:szCs w:val="50"/>
                <w:lang w:val="en-GB" w:eastAsia="zh-TW"/>
              </w:rPr>
              <w:br/>
            </w:r>
            <w:r w:rsidR="00FC252D">
              <w:rPr>
                <w:rFonts w:eastAsia="PMingLiU" w:cs="Times New Roman"/>
                <w:color w:val="F47932"/>
                <w:sz w:val="48"/>
                <w:szCs w:val="48"/>
                <w:lang w:val="en-GB" w:eastAsia="zh-TW"/>
              </w:rPr>
              <w:t>570000</w:t>
            </w:r>
          </w:p>
        </w:tc>
        <w:tc>
          <w:tcPr>
            <w:tcW w:w="825" w:type="dxa"/>
            <w:tcBorders>
              <w:left w:val="single" w:sz="18" w:space="0" w:color="FFFFFF" w:themeColor="background1"/>
            </w:tcBorders>
          </w:tcPr>
          <w:p w14:paraId="0CD4F50D" w14:textId="77777777" w:rsidR="009D2C5E" w:rsidRPr="00524289" w:rsidRDefault="009D2C5E" w:rsidP="00A462D7">
            <w:pPr>
              <w:jc w:val="both"/>
              <w:rPr>
                <w:color w:val="404040"/>
                <w:sz w:val="20"/>
              </w:rPr>
            </w:pPr>
            <w:r w:rsidRPr="00524289">
              <w:rPr>
                <w:noProof/>
                <w:color w:val="404040"/>
                <w:sz w:val="20"/>
                <w:lang w:val="en-GB" w:eastAsia="en-GB"/>
              </w:rPr>
              <w:drawing>
                <wp:inline distT="0" distB="0" distL="0" distR="0" wp14:anchorId="13BF11A9" wp14:editId="24152F9A">
                  <wp:extent cx="418465" cy="44767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465" cy="447675"/>
                          </a:xfrm>
                          <a:prstGeom prst="rect">
                            <a:avLst/>
                          </a:prstGeom>
                          <a:noFill/>
                          <a:ln>
                            <a:noFill/>
                          </a:ln>
                        </pic:spPr>
                      </pic:pic>
                    </a:graphicData>
                  </a:graphic>
                </wp:inline>
              </w:drawing>
            </w:r>
          </w:p>
        </w:tc>
        <w:tc>
          <w:tcPr>
            <w:tcW w:w="2576" w:type="dxa"/>
          </w:tcPr>
          <w:p w14:paraId="60C99A02" w14:textId="6641FC5B" w:rsidR="009D2C5E" w:rsidRPr="00524289" w:rsidRDefault="009D2C5E" w:rsidP="00FC252D">
            <w:pPr>
              <w:spacing w:after="120"/>
              <w:jc w:val="both"/>
              <w:rPr>
                <w:rFonts w:eastAsia="PMingLiU" w:cs="Times New Roman"/>
                <w:color w:val="026CB6"/>
                <w:sz w:val="50"/>
                <w:szCs w:val="72"/>
                <w:lang w:val="en-GB" w:eastAsia="zh-TW"/>
              </w:rPr>
            </w:pPr>
            <w:r w:rsidRPr="00524289">
              <w:rPr>
                <w:rFonts w:eastAsia="PMingLiU" w:cs="Times New Roman"/>
                <w:color w:val="404040" w:themeColor="text1" w:themeTint="BF"/>
                <w:sz w:val="18"/>
                <w:szCs w:val="24"/>
                <w:lang w:val="en-GB" w:eastAsia="zh-TW"/>
              </w:rPr>
              <w:t>REQUIREMENTS (US$)</w:t>
            </w:r>
            <w:r w:rsidRPr="00524289">
              <w:rPr>
                <w:rFonts w:eastAsia="PMingLiU" w:cs="Times New Roman"/>
                <w:color w:val="F47932"/>
                <w:sz w:val="50"/>
                <w:szCs w:val="50"/>
                <w:lang w:val="en-GB" w:eastAsia="zh-TW"/>
              </w:rPr>
              <w:t xml:space="preserve"> </w:t>
            </w:r>
            <w:r w:rsidRPr="00524289">
              <w:rPr>
                <w:rFonts w:eastAsia="PMingLiU" w:cs="Times New Roman"/>
                <w:color w:val="F47932"/>
                <w:sz w:val="50"/>
                <w:szCs w:val="50"/>
                <w:lang w:val="en-GB" w:eastAsia="zh-TW"/>
              </w:rPr>
              <w:br/>
            </w:r>
            <w:r w:rsidR="00FC252D">
              <w:rPr>
                <w:rFonts w:eastAsia="PMingLiU" w:cs="Times New Roman"/>
                <w:color w:val="A6A6A6" w:themeColor="background1" w:themeShade="A6"/>
                <w:sz w:val="48"/>
                <w:szCs w:val="48"/>
                <w:lang w:val="en-GB" w:eastAsia="zh-TW"/>
              </w:rPr>
              <w:t>54M</w:t>
            </w:r>
          </w:p>
        </w:tc>
      </w:tr>
      <w:tr w:rsidR="009D2C5E" w:rsidRPr="00524289" w14:paraId="603133AF" w14:textId="77777777" w:rsidTr="00AF27F8">
        <w:trPr>
          <w:trHeight w:val="918"/>
        </w:trPr>
        <w:tc>
          <w:tcPr>
            <w:tcW w:w="993" w:type="dxa"/>
          </w:tcPr>
          <w:p w14:paraId="223DAE2A" w14:textId="77777777" w:rsidR="009D2C5E" w:rsidRPr="00524289" w:rsidRDefault="009D2C5E" w:rsidP="00A462D7">
            <w:pPr>
              <w:spacing w:after="120"/>
              <w:jc w:val="both"/>
              <w:rPr>
                <w:rFonts w:eastAsia="PMingLiU" w:cs="Times New Roman"/>
                <w:noProof/>
                <w:color w:val="404040"/>
                <w:sz w:val="20"/>
                <w:szCs w:val="24"/>
                <w:lang w:val="en-GB" w:eastAsia="en-GB"/>
              </w:rPr>
            </w:pPr>
            <w:r w:rsidRPr="00524289">
              <w:rPr>
                <w:rFonts w:eastAsia="PMingLiU" w:cs="Times New Roman"/>
                <w:noProof/>
                <w:color w:val="404040"/>
                <w:sz w:val="20"/>
                <w:szCs w:val="24"/>
                <w:lang w:val="en-GB" w:eastAsia="en-GB"/>
              </w:rPr>
              <w:drawing>
                <wp:inline distT="0" distB="0" distL="0" distR="0" wp14:anchorId="5BCFEB0E" wp14:editId="52795632">
                  <wp:extent cx="407670" cy="4076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4252" w:type="dxa"/>
            <w:gridSpan w:val="4"/>
            <w:tcBorders>
              <w:right w:val="single" w:sz="18" w:space="0" w:color="FFFFFF" w:themeColor="background1"/>
            </w:tcBorders>
          </w:tcPr>
          <w:p w14:paraId="334F33E9" w14:textId="6AE28541" w:rsidR="009D2C5E" w:rsidRPr="00524289" w:rsidRDefault="009D2C5E" w:rsidP="00FC252D">
            <w:pPr>
              <w:spacing w:after="120"/>
              <w:jc w:val="both"/>
              <w:rPr>
                <w:rFonts w:eastAsia="PMingLiU" w:cs="Times New Roman"/>
                <w:color w:val="404040"/>
                <w:sz w:val="20"/>
                <w:szCs w:val="24"/>
                <w:lang w:val="en-GB" w:eastAsia="zh-TW"/>
              </w:rPr>
            </w:pPr>
            <w:r w:rsidRPr="00524289">
              <w:rPr>
                <w:rFonts w:eastAsia="PMingLiU" w:cs="Times New Roman"/>
                <w:color w:val="404040" w:themeColor="text1" w:themeTint="BF"/>
                <w:sz w:val="18"/>
                <w:szCs w:val="24"/>
                <w:lang w:val="en-GB" w:eastAsia="zh-TW"/>
              </w:rPr>
              <w:t># OF PARTNERS</w:t>
            </w:r>
            <w:r w:rsidRPr="00524289">
              <w:rPr>
                <w:rFonts w:eastAsia="PMingLiU" w:cs="Times New Roman"/>
                <w:color w:val="F47932"/>
                <w:sz w:val="50"/>
                <w:szCs w:val="50"/>
                <w:lang w:val="en-GB" w:eastAsia="zh-TW"/>
              </w:rPr>
              <w:t xml:space="preserve"> </w:t>
            </w:r>
            <w:r w:rsidRPr="00524289">
              <w:rPr>
                <w:rFonts w:eastAsia="PMingLiU" w:cs="Times New Roman"/>
                <w:color w:val="F47932"/>
                <w:sz w:val="50"/>
                <w:szCs w:val="50"/>
                <w:lang w:val="en-GB" w:eastAsia="zh-TW"/>
              </w:rPr>
              <w:br/>
            </w:r>
            <w:r w:rsidR="00FC252D">
              <w:rPr>
                <w:rFonts w:eastAsia="PMingLiU" w:cs="Times New Roman"/>
                <w:color w:val="026CB6"/>
                <w:sz w:val="48"/>
                <w:szCs w:val="48"/>
                <w:lang w:val="en-GB" w:eastAsia="zh-TW"/>
              </w:rPr>
              <w:t>14</w:t>
            </w:r>
          </w:p>
        </w:tc>
        <w:tc>
          <w:tcPr>
            <w:tcW w:w="4960" w:type="dxa"/>
            <w:gridSpan w:val="3"/>
            <w:tcBorders>
              <w:left w:val="single" w:sz="18" w:space="0" w:color="FFFFFF" w:themeColor="background1"/>
            </w:tcBorders>
          </w:tcPr>
          <w:p w14:paraId="00874365" w14:textId="2DF945E7" w:rsidR="009D2C5E" w:rsidRPr="00524289" w:rsidRDefault="009D2C5E" w:rsidP="00A462D7">
            <w:pPr>
              <w:spacing w:after="120"/>
              <w:jc w:val="both"/>
              <w:rPr>
                <w:rFonts w:eastAsia="PMingLiU" w:cs="Times New Roman"/>
                <w:color w:val="404040"/>
                <w:sz w:val="20"/>
                <w:szCs w:val="24"/>
                <w:lang w:val="en-GB" w:eastAsia="zh-TW"/>
              </w:rPr>
            </w:pPr>
            <w:r w:rsidRPr="00524289">
              <w:rPr>
                <w:rFonts w:eastAsia="PMingLiU" w:cs="Times New Roman"/>
                <w:noProof/>
                <w:color w:val="404040"/>
                <w:sz w:val="20"/>
                <w:szCs w:val="24"/>
                <w:lang w:val="en-GB" w:eastAsia="en-GB"/>
              </w:rPr>
              <w:drawing>
                <wp:inline distT="0" distB="0" distL="0" distR="0" wp14:anchorId="13EC9B67" wp14:editId="509FF763">
                  <wp:extent cx="2934586" cy="574159"/>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E3217" w:rsidRPr="00AF27F8">
              <w:rPr>
                <w:rStyle w:val="FootnoteReference"/>
                <w:rFonts w:eastAsia="PMingLiU" w:cs="Times New Roman"/>
                <w:color w:val="404040"/>
                <w:sz w:val="20"/>
                <w:szCs w:val="20"/>
                <w:lang w:val="en-GB" w:eastAsia="zh-TW"/>
              </w:rPr>
              <w:footnoteReference w:id="2"/>
            </w:r>
          </w:p>
        </w:tc>
      </w:tr>
    </w:tbl>
    <w:p w14:paraId="5A98B10B" w14:textId="77777777" w:rsidR="009D2C5E" w:rsidRDefault="009D2C5E" w:rsidP="00A462D7">
      <w:pPr>
        <w:spacing w:after="120" w:line="240" w:lineRule="auto"/>
        <w:jc w:val="both"/>
      </w:pPr>
    </w:p>
    <w:p w14:paraId="2ECCCA97" w14:textId="24FFE0C5" w:rsidR="008135B1" w:rsidRDefault="00741654" w:rsidP="00BC639F">
      <w:pPr>
        <w:spacing w:after="120" w:line="240" w:lineRule="auto"/>
        <w:jc w:val="both"/>
      </w:pPr>
      <w:r w:rsidRPr="00F6101F">
        <w:t>The Shelter Cluster</w:t>
      </w:r>
      <w:r w:rsidR="00341FB0" w:rsidRPr="00F6101F">
        <w:t>s’</w:t>
      </w:r>
      <w:r w:rsidRPr="00F6101F">
        <w:t xml:space="preserve"> main target population </w:t>
      </w:r>
      <w:r w:rsidR="002A75FD" w:rsidRPr="00F6101F">
        <w:t>was previously</w:t>
      </w:r>
      <w:r w:rsidR="001C3226" w:rsidRPr="00F6101F">
        <w:t xml:space="preserve"> </w:t>
      </w:r>
      <w:r w:rsidRPr="00F6101F">
        <w:t xml:space="preserve">restricted to the internally displaced populations. </w:t>
      </w:r>
      <w:r w:rsidR="002A75FD" w:rsidRPr="00F6101F">
        <w:t xml:space="preserve">However, since the beginning of the year 2016, the refugee return component has been added to the cluster coordination system. </w:t>
      </w:r>
      <w:r w:rsidRPr="00F6101F">
        <w:t xml:space="preserve">There </w:t>
      </w:r>
      <w:r w:rsidR="00796137" w:rsidRPr="00F6101F">
        <w:t xml:space="preserve">remain </w:t>
      </w:r>
      <w:r w:rsidRPr="00F6101F">
        <w:t xml:space="preserve">an estimated 1.1 </w:t>
      </w:r>
      <w:r w:rsidR="00796137" w:rsidRPr="00F6101F">
        <w:t xml:space="preserve">million protracted </w:t>
      </w:r>
      <w:r w:rsidRPr="00F6101F">
        <w:t>IDPs in Somalia</w:t>
      </w:r>
      <w:r w:rsidR="00796137" w:rsidRPr="00F6101F">
        <w:t xml:space="preserve">, which </w:t>
      </w:r>
      <w:r w:rsidR="002A75FD" w:rsidRPr="00F6101F">
        <w:t>has remained static for more than</w:t>
      </w:r>
      <w:r w:rsidR="00796137" w:rsidRPr="00F6101F">
        <w:t xml:space="preserve"> three years. </w:t>
      </w:r>
      <w:r w:rsidR="0005366A" w:rsidRPr="00F6101F">
        <w:t>Since the end of 2014 until August 2016</w:t>
      </w:r>
      <w:r w:rsidR="00DC4FC1">
        <w:rPr>
          <w:rStyle w:val="FootnoteReference"/>
        </w:rPr>
        <w:footnoteReference w:id="3"/>
      </w:r>
      <w:r w:rsidR="0005366A" w:rsidRPr="00F6101F">
        <w:t>, in total 50,152 Somalia persons have returned from both Yemen (28,458) and Kenya (21,694). 135,000</w:t>
      </w:r>
      <w:r w:rsidR="00DC4FC1">
        <w:rPr>
          <w:rStyle w:val="FootnoteReference"/>
        </w:rPr>
        <w:footnoteReference w:id="4"/>
      </w:r>
      <w:r w:rsidR="0005366A" w:rsidRPr="00F6101F">
        <w:t xml:space="preserve"> Somali refugees are projected to return to Somalia by the end of the year 2017. </w:t>
      </w:r>
      <w:r w:rsidRPr="00F6101F">
        <w:t>The needs of different categories of IDPs</w:t>
      </w:r>
      <w:r w:rsidR="00034864" w:rsidRPr="00F6101F">
        <w:t xml:space="preserve"> and refugee returnees vary. For IDPs</w:t>
      </w:r>
      <w:r w:rsidRPr="00F6101F">
        <w:t xml:space="preserve">, people who have been </w:t>
      </w:r>
      <w:r w:rsidR="00796137" w:rsidRPr="00F6101F">
        <w:t xml:space="preserve">displaced </w:t>
      </w:r>
      <w:r w:rsidRPr="00F6101F">
        <w:t>for nearly two decades and tho</w:t>
      </w:r>
      <w:r w:rsidR="00034864" w:rsidRPr="00F6101F">
        <w:t>se displaced more recently have different needs in terms of shelter solutions</w:t>
      </w:r>
      <w:r w:rsidRPr="00F6101F">
        <w:t xml:space="preserve">. </w:t>
      </w:r>
      <w:r w:rsidR="00034864" w:rsidRPr="00F6101F">
        <w:t>Whereas for refugee returnees, the needs vary depending on whether the return they seek is urban or rural. Since the beginning of 2016</w:t>
      </w:r>
      <w:r w:rsidR="003B03C7" w:rsidRPr="00F6101F">
        <w:rPr>
          <w:rStyle w:val="FootnoteReference"/>
        </w:rPr>
        <w:footnoteReference w:id="5"/>
      </w:r>
      <w:r w:rsidR="008135B1" w:rsidRPr="00F6101F">
        <w:t xml:space="preserve">, more than </w:t>
      </w:r>
      <w:r w:rsidR="007E0FB8" w:rsidRPr="00F6101F">
        <w:t>98</w:t>
      </w:r>
      <w:r w:rsidR="008135B1" w:rsidRPr="00F6101F">
        <w:t xml:space="preserve">,000 persons have been assisted with emergency non-food assistance, needs arising mainly from displacements related to flooding, offensive, clan-conflict and evictions. </w:t>
      </w:r>
      <w:r w:rsidR="00E13294" w:rsidRPr="00F6101F">
        <w:t>More than 27,000 Refugee returns have also been assisted with NFI packages. Shelter Cluster has not been able to cover the emergency needs due to lack of funding and availability of stocks. D</w:t>
      </w:r>
      <w:r w:rsidR="00034864" w:rsidRPr="00F6101F">
        <w:t>rough</w:t>
      </w:r>
      <w:r w:rsidR="00FA7A09" w:rsidRPr="00F6101F">
        <w:t>t</w:t>
      </w:r>
      <w:r w:rsidR="008135B1" w:rsidRPr="00F6101F">
        <w:t xml:space="preserve"> is expected to aggravate the situation</w:t>
      </w:r>
      <w:r w:rsidR="00034864" w:rsidRPr="00F6101F">
        <w:t xml:space="preserve"> further in Puntland and Somaliland</w:t>
      </w:r>
      <w:r w:rsidR="00BC639F" w:rsidRPr="00F6101F">
        <w:t>.</w:t>
      </w:r>
    </w:p>
    <w:p w14:paraId="0184C34C" w14:textId="418B26CE" w:rsidR="00796137" w:rsidRDefault="00796137" w:rsidP="00A462D7">
      <w:pPr>
        <w:spacing w:after="120" w:line="240" w:lineRule="auto"/>
        <w:jc w:val="both"/>
      </w:pPr>
      <w:r w:rsidRPr="00741654">
        <w:t xml:space="preserve">The Shelter cluster strategy has three main </w:t>
      </w:r>
      <w:r w:rsidR="0065434F">
        <w:t>objectives</w:t>
      </w:r>
      <w:r w:rsidRPr="00741654">
        <w:t xml:space="preserve">: Emergency, Transitional and Durable Solutions. </w:t>
      </w:r>
      <w:r w:rsidR="00E13294">
        <w:t>A strong c</w:t>
      </w:r>
      <w:r w:rsidRPr="00741654">
        <w:t xml:space="preserve">apacity building/coordination component has been </w:t>
      </w:r>
      <w:r w:rsidR="00011E33">
        <w:t>embedded within all of the pillars.</w:t>
      </w:r>
    </w:p>
    <w:p w14:paraId="5D44F62D" w14:textId="77777777" w:rsidR="00796137" w:rsidRDefault="00741654" w:rsidP="00A462D7">
      <w:pPr>
        <w:spacing w:after="120" w:line="240" w:lineRule="auto"/>
        <w:jc w:val="both"/>
      </w:pPr>
      <w:r w:rsidRPr="00741654">
        <w:t xml:space="preserve">The cluster will continue to provide </w:t>
      </w:r>
      <w:r w:rsidRPr="00FA7A09">
        <w:rPr>
          <w:b/>
        </w:rPr>
        <w:t>emergency assistance</w:t>
      </w:r>
      <w:r w:rsidRPr="00741654">
        <w:t xml:space="preserve"> to newly displaced people affected by natural and man-made disasters (flood, fire, drought, conflict and evictions). It will distribute a minimum Non-Food Item kit</w:t>
      </w:r>
      <w:r w:rsidR="00796137">
        <w:rPr>
          <w:rStyle w:val="FootnoteReference"/>
        </w:rPr>
        <w:footnoteReference w:id="6"/>
      </w:r>
      <w:r w:rsidRPr="00741654">
        <w:t xml:space="preserve"> and an Emergency Shelter Kit (if necessary) for those in need</w:t>
      </w:r>
      <w:r w:rsidR="00011E33">
        <w:t xml:space="preserve"> through </w:t>
      </w:r>
      <w:r w:rsidRPr="00741654">
        <w:t xml:space="preserve">prepositioned stocks </w:t>
      </w:r>
      <w:proofErr w:type="gramStart"/>
      <w:r w:rsidRPr="00741654">
        <w:lastRenderedPageBreak/>
        <w:t>held</w:t>
      </w:r>
      <w:proofErr w:type="gramEnd"/>
      <w:r w:rsidRPr="00741654">
        <w:t xml:space="preserve"> across Somalia</w:t>
      </w:r>
      <w:r w:rsidR="007256CD">
        <w:t xml:space="preserve"> or through alternative modalities like cash/voucher systems where market</w:t>
      </w:r>
      <w:r w:rsidR="00BC639F">
        <w:t xml:space="preserve"> </w:t>
      </w:r>
      <w:r w:rsidR="007256CD">
        <w:t>s</w:t>
      </w:r>
      <w:r w:rsidR="00BC639F">
        <w:t>ystems</w:t>
      </w:r>
      <w:r w:rsidR="007256CD">
        <w:t xml:space="preserve"> function</w:t>
      </w:r>
      <w:r w:rsidRPr="00741654">
        <w:t xml:space="preserve">. </w:t>
      </w:r>
      <w:r w:rsidR="00796137">
        <w:t>The Shelter Cluster will continue to ensure that adequate mechanisms are put in place to ensure time</w:t>
      </w:r>
      <w:r w:rsidR="00011E33">
        <w:t xml:space="preserve">ly delivery of emergency assistance (standard inter-cluster needs assessment, standard reports, lead-agency/shelter </w:t>
      </w:r>
      <w:r w:rsidR="00823559">
        <w:t>partners’</w:t>
      </w:r>
      <w:r w:rsidR="00011E33">
        <w:t xml:space="preserve"> roles and responsibilities, infrastructure mapping </w:t>
      </w:r>
      <w:r w:rsidR="001C4CEA">
        <w:t>activities</w:t>
      </w:r>
      <w:r w:rsidR="00011E33">
        <w:t>…)</w:t>
      </w:r>
    </w:p>
    <w:p w14:paraId="39A505B3" w14:textId="21DC5CA7" w:rsidR="00741654" w:rsidRPr="00F6101F" w:rsidRDefault="00741654" w:rsidP="00A462D7">
      <w:pPr>
        <w:spacing w:after="120" w:line="240" w:lineRule="auto"/>
        <w:jc w:val="both"/>
      </w:pPr>
      <w:r w:rsidRPr="00741654">
        <w:t xml:space="preserve">As durable solutions are not </w:t>
      </w:r>
      <w:r w:rsidR="00101F86">
        <w:t xml:space="preserve">achievable in </w:t>
      </w:r>
      <w:r w:rsidRPr="00741654">
        <w:t xml:space="preserve">all protracted situations, there is also a need to </w:t>
      </w:r>
      <w:r w:rsidR="003B03C7">
        <w:t xml:space="preserve">stabilize the living conditions of these communities through a sustainable </w:t>
      </w:r>
      <w:r w:rsidR="0065434F">
        <w:t>approach</w:t>
      </w:r>
      <w:r w:rsidRPr="00741654">
        <w:t>.</w:t>
      </w:r>
      <w:r w:rsidR="00796137">
        <w:t xml:space="preserve"> </w:t>
      </w:r>
      <w:r w:rsidRPr="00FA7A09">
        <w:rPr>
          <w:b/>
        </w:rPr>
        <w:t xml:space="preserve">Transitional shelter </w:t>
      </w:r>
      <w:r w:rsidR="009C2093">
        <w:rPr>
          <w:rStyle w:val="FootnoteReference"/>
          <w:b/>
        </w:rPr>
        <w:footnoteReference w:id="7"/>
      </w:r>
      <w:r w:rsidR="00101F86" w:rsidRPr="00FA7A09">
        <w:rPr>
          <w:b/>
        </w:rPr>
        <w:t>solutions</w:t>
      </w:r>
      <w:r w:rsidR="00101F86">
        <w:t xml:space="preserve"> that are relevant to the displacement situation</w:t>
      </w:r>
      <w:r w:rsidR="008D0ABF">
        <w:t>, and which take into account prevailing tenure considerations</w:t>
      </w:r>
      <w:r w:rsidR="00101F86">
        <w:t xml:space="preserve"> </w:t>
      </w:r>
      <w:r w:rsidRPr="00741654">
        <w:t xml:space="preserve">will be provided in </w:t>
      </w:r>
      <w:r w:rsidR="003B03C7">
        <w:t>protracted</w:t>
      </w:r>
      <w:r w:rsidR="003B03C7" w:rsidRPr="00741654">
        <w:t xml:space="preserve"> </w:t>
      </w:r>
      <w:r w:rsidRPr="00741654">
        <w:t xml:space="preserve">IDP settlements that have traditionally been located in and </w:t>
      </w:r>
      <w:r w:rsidRPr="00F6101F">
        <w:t>arou</w:t>
      </w:r>
      <w:r w:rsidR="009C2093" w:rsidRPr="00F6101F">
        <w:t>nd the urban centers of Somalia</w:t>
      </w:r>
      <w:r w:rsidRPr="00F6101F">
        <w:t xml:space="preserve">. </w:t>
      </w:r>
    </w:p>
    <w:p w14:paraId="0AD871CE" w14:textId="125C7C0A" w:rsidR="005828CA" w:rsidRPr="00F6101F" w:rsidRDefault="006E283A" w:rsidP="00A462D7">
      <w:pPr>
        <w:spacing w:after="120" w:line="240" w:lineRule="auto"/>
        <w:jc w:val="both"/>
      </w:pPr>
      <w:r w:rsidRPr="00F6101F">
        <w:t>Under suitable conditions</w:t>
      </w:r>
      <w:r w:rsidR="00FA7A09" w:rsidRPr="00F6101F">
        <w:t>,</w:t>
      </w:r>
      <w:r w:rsidR="003B03C7" w:rsidRPr="00F6101F">
        <w:t xml:space="preserve"> </w:t>
      </w:r>
      <w:r w:rsidR="00AF27F8" w:rsidRPr="00F6101F">
        <w:rPr>
          <w:b/>
        </w:rPr>
        <w:t>durable</w:t>
      </w:r>
      <w:r w:rsidR="00AF27F8" w:rsidRPr="00F6101F">
        <w:t xml:space="preserve"> </w:t>
      </w:r>
      <w:r w:rsidR="003B03C7" w:rsidRPr="00F6101F">
        <w:t xml:space="preserve">shelter support </w:t>
      </w:r>
      <w:r w:rsidRPr="00F6101F">
        <w:t>will be</w:t>
      </w:r>
      <w:r w:rsidR="00FA7A09" w:rsidRPr="00F6101F">
        <w:t xml:space="preserve"> provided </w:t>
      </w:r>
      <w:r w:rsidR="003B03C7" w:rsidRPr="00F6101F">
        <w:t>for both IDPs</w:t>
      </w:r>
      <w:r w:rsidR="006F3F27" w:rsidRPr="00F6101F">
        <w:t xml:space="preserve"> and refugee returnees</w:t>
      </w:r>
      <w:r w:rsidR="003B03C7" w:rsidRPr="00F6101F">
        <w:t xml:space="preserve"> that are willing to locally integrate and those that are willing to return to their place of origin.  In this regard, the Shelter Cluster (in strong cooperation with the Protection Cluster) will continue to advocate for more secure forms of tenure and work with the authorities to work towards </w:t>
      </w:r>
      <w:r w:rsidR="00E13294" w:rsidRPr="00F6101F">
        <w:t xml:space="preserve">more longer term </w:t>
      </w:r>
      <w:r w:rsidR="003B03C7" w:rsidRPr="00F6101F">
        <w:t xml:space="preserve">solutions for the IDPs. </w:t>
      </w:r>
      <w:r w:rsidR="00741654" w:rsidRPr="00F6101F">
        <w:t>In Puntland, Somaliland and certain regions of southern and central (</w:t>
      </w:r>
      <w:proofErr w:type="spellStart"/>
      <w:r w:rsidR="00741654" w:rsidRPr="00F6101F">
        <w:t>Baidoa</w:t>
      </w:r>
      <w:proofErr w:type="spellEnd"/>
      <w:r w:rsidR="00741654" w:rsidRPr="00F6101F">
        <w:t xml:space="preserve">, </w:t>
      </w:r>
      <w:proofErr w:type="spellStart"/>
      <w:r w:rsidR="00741654" w:rsidRPr="00F6101F">
        <w:t>Doolow</w:t>
      </w:r>
      <w:proofErr w:type="spellEnd"/>
      <w:r w:rsidR="00823559" w:rsidRPr="00F6101F">
        <w:t xml:space="preserve">, </w:t>
      </w:r>
      <w:proofErr w:type="spellStart"/>
      <w:r w:rsidR="00823559" w:rsidRPr="00F6101F">
        <w:t>Kismaayo</w:t>
      </w:r>
      <w:proofErr w:type="spellEnd"/>
      <w:r w:rsidR="00741654" w:rsidRPr="00F6101F">
        <w:t xml:space="preserve">), the authorities </w:t>
      </w:r>
      <w:r w:rsidR="003B03C7" w:rsidRPr="00F6101F">
        <w:t>have demonstrated</w:t>
      </w:r>
      <w:r w:rsidR="00741654" w:rsidRPr="00F6101F">
        <w:t xml:space="preserve"> the desire to address the IDP situation by providing land tenure. </w:t>
      </w:r>
      <w:r w:rsidR="00E13294" w:rsidRPr="00F6101F">
        <w:t xml:space="preserve">Humanitarian actors have started to work closely with the </w:t>
      </w:r>
      <w:proofErr w:type="spellStart"/>
      <w:r w:rsidR="00E13294" w:rsidRPr="00F6101F">
        <w:t>Jubaland</w:t>
      </w:r>
      <w:proofErr w:type="spellEnd"/>
      <w:r w:rsidR="00E13294" w:rsidRPr="00F6101F">
        <w:t xml:space="preserve"> State Authorities in a big relocation strategy in an attempt to stabilize the IDP situation and provide a strong foundation for investments for refugee returnees. </w:t>
      </w:r>
      <w:r w:rsidR="00741654" w:rsidRPr="00F6101F">
        <w:t xml:space="preserve">The nature of this tenure varies from short term rights of use to the right to use and inherit land indefinitely. </w:t>
      </w:r>
      <w:r w:rsidR="00341FB0" w:rsidRPr="00F6101F">
        <w:t>The Shelter Cluster</w:t>
      </w:r>
      <w:r w:rsidR="003B03C7" w:rsidRPr="00F6101F">
        <w:t xml:space="preserve"> will work closely together </w:t>
      </w:r>
      <w:r w:rsidR="005828CA" w:rsidRPr="00F6101F">
        <w:t xml:space="preserve">with the sector coordination structure regarding refugees </w:t>
      </w:r>
      <w:r w:rsidR="003B03C7" w:rsidRPr="00F6101F">
        <w:t>to ensure complementarity in the shelter approaches.</w:t>
      </w:r>
      <w:r w:rsidR="005828CA" w:rsidRPr="00F6101F">
        <w:t xml:space="preserve"> </w:t>
      </w:r>
      <w:r w:rsidR="003516A2" w:rsidRPr="00F6101F">
        <w:t>Settlement planning and strong integrated approaches will key to the success of any durable solution.</w:t>
      </w:r>
    </w:p>
    <w:p w14:paraId="7D52159A" w14:textId="1F805EAA" w:rsidR="00801AC3" w:rsidRPr="00F6101F" w:rsidRDefault="00E13294" w:rsidP="00E13294">
      <w:pPr>
        <w:spacing w:after="120" w:line="240" w:lineRule="auto"/>
        <w:jc w:val="both"/>
      </w:pPr>
      <w:r w:rsidRPr="00F6101F">
        <w:t xml:space="preserve">Sustainable shelter solutions are a strategic focus of the Shelter Cluster. The approach steps away from looking at housing as a product, but linking it more to process. A strong livelihoods strategy is embedded in this approach and could provide potential solutions in the urban context. The Shelter Cluster has identified 7 key concepts that show that “A shelter is more than a roof”.  Since mid-2016 the Shelter Cluster has started pilots in different regions looking at local building culture and building back safer. </w:t>
      </w:r>
      <w:r w:rsidR="00801AC3" w:rsidRPr="00F6101F">
        <w:t xml:space="preserve">The Shelter Cluster is broadening up its perspective, linking relief rehabilitation and development through the creation of cooperatives, vocational training and a strong livelihoods approach. </w:t>
      </w:r>
    </w:p>
    <w:p w14:paraId="7BF8EB37" w14:textId="279B3243" w:rsidR="00E13294" w:rsidRPr="00F6101F" w:rsidRDefault="00801AC3" w:rsidP="00E13294">
      <w:pPr>
        <w:spacing w:after="120" w:line="240" w:lineRule="auto"/>
        <w:jc w:val="both"/>
      </w:pPr>
      <w:r w:rsidRPr="00F6101F">
        <w:t xml:space="preserve">The Shelter Cluster will invest in a strong advocacy strategy to push towards sustainable shelter solutions with a strong emphasis on strengthening the </w:t>
      </w:r>
      <w:r w:rsidR="00E13294" w:rsidRPr="00F6101F">
        <w:t>public-private partnerships in the low-cost housing sector through a local area-based approach</w:t>
      </w:r>
      <w:r w:rsidRPr="00F6101F">
        <w:t>. The Shelter Cluster is looking at an overarching strategy that does not distinguish displacement affected populations like IDPs and refugee returns with the urban poor host communities.</w:t>
      </w:r>
      <w:r w:rsidR="00E13294" w:rsidRPr="00F6101F">
        <w:t xml:space="preserve"> The specific objective should contribute to the NDP of the Somalia government and should complement other existing initiatives such as the JPLG (Joint </w:t>
      </w:r>
      <w:proofErr w:type="spellStart"/>
      <w:r w:rsidR="00E13294" w:rsidRPr="00F6101F">
        <w:t>programme</w:t>
      </w:r>
      <w:proofErr w:type="spellEnd"/>
      <w:r w:rsidR="00E13294" w:rsidRPr="00F6101F">
        <w:t xml:space="preserve"> for Local Governance UNICEF, UNHABITAT and UNDP) on governance, urban planning and other more development oriented projects. It also complements the more resilience oriented projects that humanitarian partners are implementing</w:t>
      </w:r>
      <w:r w:rsidR="00E13294" w:rsidRPr="00F6101F">
        <w:rPr>
          <w:rStyle w:val="FootnoteReference"/>
        </w:rPr>
        <w:footnoteReference w:id="8"/>
      </w:r>
      <w:r w:rsidR="00E13294" w:rsidRPr="00F6101F">
        <w:t xml:space="preserve">. </w:t>
      </w:r>
    </w:p>
    <w:p w14:paraId="2C92B425" w14:textId="17648A87" w:rsidR="003B03C7" w:rsidRDefault="003B03C7" w:rsidP="00E13294">
      <w:pPr>
        <w:spacing w:after="0" w:line="240" w:lineRule="auto"/>
        <w:jc w:val="both"/>
      </w:pPr>
      <w:r w:rsidRPr="00F6101F">
        <w:t xml:space="preserve">The provision of </w:t>
      </w:r>
      <w:r w:rsidR="004343EE" w:rsidRPr="00F6101F">
        <w:t>all</w:t>
      </w:r>
      <w:r w:rsidR="003516A2" w:rsidRPr="00F6101F">
        <w:t xml:space="preserve"> </w:t>
      </w:r>
      <w:r w:rsidRPr="00F6101F">
        <w:t>shelter</w:t>
      </w:r>
      <w:r w:rsidR="003516A2" w:rsidRPr="00F6101F">
        <w:t xml:space="preserve"> solutions</w:t>
      </w:r>
      <w:r w:rsidRPr="00F6101F">
        <w:t xml:space="preserve"> will be preceded by consultations with women, girls, boys and men from the community on the proper layout of the site, plot demarcation, fire prevention and the provision of basic services, which will be addressed concurrently in coordination with the other relevant clusters (i.e. WASH, Health, Education and Food). In particular</w:t>
      </w:r>
      <w:r w:rsidRPr="00741654">
        <w:t>, the views of women</w:t>
      </w:r>
      <w:r>
        <w:t xml:space="preserve"> and girls</w:t>
      </w:r>
      <w:r w:rsidRPr="00741654">
        <w:t xml:space="preserve">, specifically on protection needs, will be considered during the design of the shelter </w:t>
      </w:r>
      <w:r>
        <w:t xml:space="preserve">and planning of settlements </w:t>
      </w:r>
      <w:r w:rsidRPr="00741654">
        <w:t xml:space="preserve">so that </w:t>
      </w:r>
      <w:r w:rsidRPr="00741654">
        <w:lastRenderedPageBreak/>
        <w:t xml:space="preserve">a safe and secure environment can be created. SPHERE standards will </w:t>
      </w:r>
      <w:r>
        <w:t>help guide the process of shelter design</w:t>
      </w:r>
      <w:r w:rsidRPr="00741654">
        <w:t>.</w:t>
      </w:r>
      <w:r w:rsidRPr="00C05D85">
        <w:t xml:space="preserve"> </w:t>
      </w:r>
      <w:r w:rsidRPr="00741654">
        <w:t>Community participation and ownership are underlying themes which are embedded in all cluster activities</w:t>
      </w:r>
      <w:r>
        <w:t>, with a strong focus on shifting away from</w:t>
      </w:r>
      <w:r w:rsidRPr="00341FB0">
        <w:t xml:space="preserve"> contractor-driven to owner-driven approaches</w:t>
      </w:r>
      <w:r>
        <w:t>.</w:t>
      </w:r>
      <w:r w:rsidR="0097709B">
        <w:t xml:space="preserve"> The Shelter Cluster monitoring and evaluation framework will be used for project implementation purposes.</w:t>
      </w:r>
    </w:p>
    <w:p w14:paraId="1315ADC9" w14:textId="70056F3C" w:rsidR="00341FB0" w:rsidRDefault="002E625F" w:rsidP="00A462D7">
      <w:pPr>
        <w:spacing w:after="120" w:line="240" w:lineRule="auto"/>
        <w:jc w:val="both"/>
      </w:pPr>
      <w:r>
        <w:t>A main obstacle in Somalia remains access to the field and access to qualitative information. T</w:t>
      </w:r>
      <w:r w:rsidR="00352378">
        <w:t xml:space="preserve">he Shelter Cluster </w:t>
      </w:r>
      <w:r w:rsidR="003516A2">
        <w:t>has a strong focus on capacity building</w:t>
      </w:r>
      <w:r w:rsidR="0005695E">
        <w:t xml:space="preserve"> and promoting tools regarding remote management in Somalia</w:t>
      </w:r>
      <w:r w:rsidR="003516A2">
        <w:t>, looking at a strong service delivery approach.</w:t>
      </w:r>
      <w:r w:rsidR="0005695E">
        <w:t xml:space="preserve"> Mobile technology has supported the accountability of the cluster to get field evidence data in a systematic way (mapping exercises, assessments, 4W monitoring…).</w:t>
      </w:r>
      <w:r>
        <w:t xml:space="preserve"> General mainstreaming sessions and trainings will be organized in close partnership with the protection cluster in the following fields: HLP</w:t>
      </w:r>
      <w:r w:rsidR="001D2C56">
        <w:rPr>
          <w:rStyle w:val="FootnoteReference"/>
        </w:rPr>
        <w:footnoteReference w:id="9"/>
      </w:r>
      <w:r>
        <w:t>, assessments &amp; analysis, site planning and the use of cash/voucher systems.</w:t>
      </w:r>
      <w:r w:rsidR="0005695E">
        <w:t xml:space="preserve"> The Shelter Cluster will further expand the infrastructure mapping exercise to get a full up-to-date picture of the IDP situation all over Somalia.</w:t>
      </w:r>
    </w:p>
    <w:p w14:paraId="0E95610E" w14:textId="4B03A9C6" w:rsidR="001B737A" w:rsidRPr="001B737A" w:rsidRDefault="001B737A" w:rsidP="00A462D7">
      <w:pPr>
        <w:spacing w:after="120" w:line="240" w:lineRule="auto"/>
        <w:jc w:val="both"/>
        <w:rPr>
          <w:b/>
          <w:u w:val="single"/>
        </w:rPr>
      </w:pPr>
      <w:r w:rsidRPr="001B737A">
        <w:rPr>
          <w:b/>
          <w:u w:val="single"/>
        </w:rPr>
        <w:t>Linking the humanitarian strategy with the National Development Plan</w:t>
      </w:r>
    </w:p>
    <w:p w14:paraId="04051AB4" w14:textId="6391FF6D" w:rsidR="001B737A" w:rsidRDefault="001B737A" w:rsidP="001B737A">
      <w:pPr>
        <w:spacing w:after="0" w:line="240" w:lineRule="auto"/>
        <w:jc w:val="both"/>
      </w:pPr>
      <w:r>
        <w:t>In a Somalia context with a new evolving government, there is a necessity to bridge the gap in-between humanitarian and development actors. Linking relief, rehabilitation and development</w:t>
      </w:r>
      <w:r w:rsidR="00DC4FC1">
        <w:t xml:space="preserve"> (LRRD)</w:t>
      </w:r>
      <w:r>
        <w:t xml:space="preserve"> in the overall construction sector in Somalia is crucial in achieving longer term solutions. The shelter cluster is already looking at a step-by-step </w:t>
      </w:r>
      <w:r w:rsidR="00DC4FC1">
        <w:t xml:space="preserve">complementary </w:t>
      </w:r>
      <w:r>
        <w:t xml:space="preserve">approach to strengthen the role of the government in this process and also looking at potential and practical ways for development actors to engage in the displacement context in Somalia. The Shelter Cluster hopes through pilots to get attraction from the development sector to strengthen the construction sector as a whole through an area-based and locality driven approach. </w:t>
      </w:r>
      <w:r w:rsidR="00DC4FC1">
        <w:t>The</w:t>
      </w:r>
      <w:r>
        <w:t xml:space="preserve"> concept note </w:t>
      </w:r>
      <w:r w:rsidR="00DC4FC1">
        <w:t xml:space="preserve">on LRRD </w:t>
      </w:r>
      <w:r w:rsidRPr="009D44EA">
        <w:t>is not only about starting new plans, but building into existing humanitarian and development ones to address displacement affected communities’ needs and contribute to a comprehensive effort.</w:t>
      </w:r>
      <w:r w:rsidR="00DC4FC1">
        <w:t xml:space="preserve"> The Shelter Cluster will continue to ensure to advocate for longer term solutions for displaced populations groups, embedding this in the National Development </w:t>
      </w:r>
      <w:proofErr w:type="gramStart"/>
      <w:r w:rsidR="00DC4FC1">
        <w:t>Plan .</w:t>
      </w:r>
      <w:proofErr w:type="gramEnd"/>
    </w:p>
    <w:p w14:paraId="41B8B04A" w14:textId="6694DC28" w:rsidR="001B737A" w:rsidRDefault="001B737A">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544"/>
        <w:gridCol w:w="1790"/>
        <w:gridCol w:w="3897"/>
        <w:gridCol w:w="1291"/>
        <w:gridCol w:w="1684"/>
      </w:tblGrid>
      <w:tr w:rsidR="009D2C5E" w:rsidRPr="00524289" w14:paraId="0584DA10" w14:textId="77777777" w:rsidTr="00267353">
        <w:trPr>
          <w:trHeight w:val="387"/>
          <w:jc w:val="center"/>
        </w:trPr>
        <w:tc>
          <w:tcPr>
            <w:tcW w:w="7231" w:type="dxa"/>
            <w:gridSpan w:val="3"/>
            <w:tcBorders>
              <w:bottom w:val="single" w:sz="4" w:space="0" w:color="FFFFFF" w:themeColor="background1"/>
              <w:right w:val="single" w:sz="4" w:space="0" w:color="FFFFFF" w:themeColor="background1"/>
            </w:tcBorders>
            <w:shd w:val="clear" w:color="auto" w:fill="F2F2F2" w:themeFill="background1" w:themeFillShade="F2"/>
            <w:vAlign w:val="center"/>
          </w:tcPr>
          <w:p w14:paraId="654FF088" w14:textId="61D18E7B" w:rsidR="009D2C5E" w:rsidRPr="00524289" w:rsidRDefault="009D2C5E" w:rsidP="00A462D7">
            <w:pPr>
              <w:jc w:val="both"/>
              <w:rPr>
                <w:rFonts w:ascii="Arial" w:hAnsi="Arial"/>
                <w:b/>
                <w:bCs/>
                <w:color w:val="026CB6"/>
                <w:sz w:val="18"/>
                <w:lang w:val="en-GB"/>
              </w:rPr>
            </w:pPr>
            <w:r w:rsidRPr="00524289">
              <w:rPr>
                <w:rFonts w:ascii="Arial" w:hAnsi="Arial"/>
                <w:b/>
                <w:bCs/>
                <w:color w:val="026CB6"/>
                <w:sz w:val="18"/>
                <w:lang w:val="en-GB"/>
              </w:rPr>
              <w:lastRenderedPageBreak/>
              <w:t xml:space="preserve">Cluster Objective 1:  </w:t>
            </w:r>
            <w:r w:rsidR="00A93988" w:rsidRPr="00A93988">
              <w:rPr>
                <w:rFonts w:ascii="Arial" w:hAnsi="Arial"/>
                <w:b/>
                <w:bCs/>
                <w:color w:val="026CB6"/>
                <w:sz w:val="18"/>
                <w:lang w:val="en-GB"/>
              </w:rPr>
              <w:t>Contribute to the protection of newly displaced</w:t>
            </w:r>
            <w:r w:rsidR="00DC01F3">
              <w:rPr>
                <w:rStyle w:val="FootnoteReference"/>
                <w:rFonts w:ascii="Arial" w:hAnsi="Arial"/>
                <w:b/>
                <w:bCs/>
                <w:color w:val="026CB6"/>
                <w:sz w:val="18"/>
                <w:lang w:val="en-GB"/>
              </w:rPr>
              <w:footnoteReference w:id="10"/>
            </w:r>
            <w:r w:rsidR="00A93988" w:rsidRPr="00A93988">
              <w:rPr>
                <w:rFonts w:ascii="Arial" w:hAnsi="Arial"/>
                <w:b/>
                <w:bCs/>
                <w:color w:val="026CB6"/>
                <w:sz w:val="18"/>
                <w:lang w:val="en-GB"/>
              </w:rPr>
              <w:t xml:space="preserve"> people</w:t>
            </w:r>
            <w:r w:rsidR="00692B0E">
              <w:rPr>
                <w:rFonts w:ascii="Arial" w:hAnsi="Arial"/>
                <w:b/>
                <w:bCs/>
                <w:color w:val="026CB6"/>
                <w:sz w:val="18"/>
                <w:lang w:val="en-GB"/>
              </w:rPr>
              <w:t>, refugee returns</w:t>
            </w:r>
            <w:r w:rsidR="00A93988" w:rsidRPr="00A93988">
              <w:rPr>
                <w:rFonts w:ascii="Arial" w:hAnsi="Arial"/>
                <w:b/>
                <w:bCs/>
                <w:color w:val="026CB6"/>
                <w:sz w:val="18"/>
                <w:lang w:val="en-GB"/>
              </w:rPr>
              <w:t xml:space="preserve"> and those affected by natural hazards </w:t>
            </w:r>
          </w:p>
        </w:tc>
        <w:tc>
          <w:tcPr>
            <w:tcW w:w="2975" w:type="dxa"/>
            <w:gridSpan w:val="2"/>
            <w:tcBorders>
              <w:left w:val="single" w:sz="4" w:space="0" w:color="FFFFFF" w:themeColor="background1"/>
              <w:bottom w:val="single" w:sz="4" w:space="0" w:color="FFFFFF" w:themeColor="background1"/>
            </w:tcBorders>
            <w:shd w:val="clear" w:color="auto" w:fill="F2F2F2" w:themeFill="background1" w:themeFillShade="F2"/>
            <w:vAlign w:val="center"/>
          </w:tcPr>
          <w:p w14:paraId="46CB6F97" w14:textId="77777777" w:rsidR="009D2C5E" w:rsidRPr="00524289" w:rsidRDefault="009D2C5E" w:rsidP="00A462D7">
            <w:pPr>
              <w:jc w:val="both"/>
              <w:rPr>
                <w:rFonts w:ascii="Arial" w:hAnsi="Arial"/>
                <w:b/>
                <w:bCs/>
                <w:color w:val="026CB6"/>
                <w:sz w:val="18"/>
                <w:lang w:val="en-GB"/>
              </w:rPr>
            </w:pPr>
            <w:r w:rsidRPr="00524289">
              <w:rPr>
                <w:rFonts w:ascii="Arial" w:hAnsi="Arial"/>
                <w:b/>
                <w:bCs/>
                <w:color w:val="026CB6"/>
                <w:sz w:val="18"/>
                <w:lang w:val="en-GB"/>
              </w:rPr>
              <w:t xml:space="preserve">Supports Strategic Objective </w:t>
            </w:r>
            <w:r w:rsidR="00556665">
              <w:rPr>
                <w:rFonts w:ascii="Arial" w:hAnsi="Arial"/>
                <w:b/>
                <w:bCs/>
                <w:color w:val="026CB6"/>
                <w:sz w:val="18"/>
                <w:lang w:val="en-GB"/>
              </w:rPr>
              <w:t>1 and 2</w:t>
            </w:r>
          </w:p>
        </w:tc>
      </w:tr>
      <w:tr w:rsidR="009D2C5E" w:rsidRPr="00524289" w14:paraId="156DAAE8" w14:textId="77777777" w:rsidTr="00267353">
        <w:trPr>
          <w:trHeight w:val="509"/>
          <w:jc w:val="center"/>
        </w:trPr>
        <w:tc>
          <w:tcPr>
            <w:tcW w:w="7231"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4AE41FF" w14:textId="77777777" w:rsidR="009D2C5E" w:rsidRPr="00524289" w:rsidRDefault="009D2C5E" w:rsidP="00A462D7">
            <w:pPr>
              <w:jc w:val="both"/>
              <w:rPr>
                <w:rFonts w:ascii="Arial" w:eastAsia="PMingLiU" w:hAnsi="Arial" w:cs="Times New Roman"/>
                <w:b/>
                <w:color w:val="026CB6"/>
                <w:sz w:val="18"/>
                <w:lang w:val="en-GB" w:eastAsia="zh-TW"/>
              </w:rPr>
            </w:pPr>
            <w:r w:rsidRPr="00524289">
              <w:rPr>
                <w:rFonts w:ascii="Arial" w:eastAsia="PMingLiU" w:hAnsi="Arial" w:cs="Times New Roman"/>
                <w:b/>
                <w:color w:val="026CB6"/>
                <w:sz w:val="18"/>
                <w:lang w:val="en-GB" w:eastAsia="zh-TW"/>
              </w:rPr>
              <w:t>Indicator</w:t>
            </w:r>
          </w:p>
        </w:tc>
        <w:tc>
          <w:tcPr>
            <w:tcW w:w="1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C26B797" w14:textId="77777777" w:rsidR="009D2C5E" w:rsidRPr="00524289" w:rsidRDefault="009D2C5E" w:rsidP="00A462D7">
            <w:pPr>
              <w:jc w:val="both"/>
              <w:rPr>
                <w:rFonts w:ascii="Arial" w:hAnsi="Arial"/>
                <w:b/>
                <w:bCs/>
                <w:sz w:val="18"/>
                <w:lang w:val="en-GB"/>
              </w:rPr>
            </w:pPr>
            <w:r w:rsidRPr="00524289">
              <w:rPr>
                <w:rFonts w:ascii="Arial" w:hAnsi="Arial"/>
                <w:b/>
                <w:bCs/>
                <w:color w:val="026CB6"/>
                <w:sz w:val="18"/>
                <w:lang w:val="en-GB"/>
              </w:rPr>
              <w:t>Baseline</w:t>
            </w:r>
          </w:p>
        </w:tc>
        <w:tc>
          <w:tcPr>
            <w:tcW w:w="1684" w:type="dxa"/>
            <w:tcBorders>
              <w:top w:val="single" w:sz="4" w:space="0" w:color="FFFFFF" w:themeColor="background1"/>
              <w:left w:val="single" w:sz="4" w:space="0" w:color="FFFFFF" w:themeColor="background1"/>
              <w:bottom w:val="single" w:sz="4" w:space="0" w:color="FFFFFF" w:themeColor="background1"/>
            </w:tcBorders>
            <w:shd w:val="clear" w:color="auto" w:fill="F2F2F2" w:themeFill="background1" w:themeFillShade="F2"/>
            <w:vAlign w:val="center"/>
          </w:tcPr>
          <w:p w14:paraId="345E0189" w14:textId="77777777" w:rsidR="009D2C5E" w:rsidRPr="00524289" w:rsidRDefault="009D2C5E" w:rsidP="00A462D7">
            <w:pPr>
              <w:jc w:val="both"/>
              <w:rPr>
                <w:rFonts w:ascii="Arial" w:hAnsi="Arial"/>
                <w:b/>
                <w:bCs/>
                <w:color w:val="026CB6"/>
                <w:sz w:val="18"/>
                <w:lang w:val="en-GB"/>
              </w:rPr>
            </w:pPr>
            <w:r w:rsidRPr="00524289">
              <w:rPr>
                <w:rFonts w:ascii="Arial" w:hAnsi="Arial"/>
                <w:b/>
                <w:bCs/>
                <w:color w:val="026CB6"/>
                <w:sz w:val="18"/>
                <w:lang w:val="en-GB"/>
              </w:rPr>
              <w:t>Target</w:t>
            </w:r>
          </w:p>
        </w:tc>
      </w:tr>
      <w:tr w:rsidR="009D2C5E" w:rsidRPr="00524289" w14:paraId="5323FCDB" w14:textId="77777777" w:rsidTr="00267353">
        <w:trPr>
          <w:trHeight w:val="509"/>
          <w:jc w:val="center"/>
        </w:trPr>
        <w:tc>
          <w:tcPr>
            <w:tcW w:w="7231"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423A5C" w14:textId="77777777" w:rsidR="009D2C5E" w:rsidRPr="00524289" w:rsidRDefault="009D2C5E" w:rsidP="00DC01F3">
            <w:pPr>
              <w:jc w:val="both"/>
              <w:rPr>
                <w:rFonts w:ascii="Arial" w:hAnsi="Arial"/>
                <w:color w:val="FFFFFF" w:themeColor="background1"/>
                <w:sz w:val="18"/>
                <w:szCs w:val="18"/>
                <w:lang w:val="en-GB"/>
              </w:rPr>
            </w:pPr>
            <w:r w:rsidRPr="00524289">
              <w:rPr>
                <w:rFonts w:ascii="Arial" w:hAnsi="Arial" w:cs="Times New Roman"/>
                <w:color w:val="595959" w:themeColor="text1" w:themeTint="A6"/>
                <w:sz w:val="18"/>
                <w:szCs w:val="18"/>
                <w:lang w:val="en-GB" w:eastAsia="zh-TW"/>
              </w:rPr>
              <w:t xml:space="preserve">1.  </w:t>
            </w:r>
            <w:r w:rsidR="00DC01F3" w:rsidRPr="00DC01F3">
              <w:rPr>
                <w:rFonts w:ascii="ArialMT" w:hAnsi="ArialMT" w:cs="ArialMT"/>
                <w:color w:val="404040"/>
                <w:sz w:val="19"/>
                <w:szCs w:val="19"/>
                <w:lang w:val="en-GB"/>
              </w:rPr>
              <w:t xml:space="preserve"># of </w:t>
            </w:r>
            <w:r w:rsidR="007256CD">
              <w:rPr>
                <w:rFonts w:ascii="ArialMT" w:hAnsi="ArialMT" w:cs="ArialMT"/>
                <w:color w:val="404040"/>
                <w:sz w:val="19"/>
                <w:szCs w:val="19"/>
                <w:lang w:val="en-GB"/>
              </w:rPr>
              <w:t xml:space="preserve">displaced </w:t>
            </w:r>
            <w:r w:rsidR="00DC01F3" w:rsidRPr="00DC01F3">
              <w:rPr>
                <w:rFonts w:ascii="ArialMT" w:hAnsi="ArialMT" w:cs="ArialMT"/>
                <w:color w:val="404040"/>
                <w:sz w:val="19"/>
                <w:szCs w:val="19"/>
                <w:lang w:val="en-GB"/>
              </w:rPr>
              <w:t xml:space="preserve">people in need of emergency </w:t>
            </w:r>
            <w:r w:rsidR="00DC01F3">
              <w:rPr>
                <w:rFonts w:ascii="ArialMT" w:hAnsi="ArialMT" w:cs="ArialMT"/>
                <w:color w:val="404040"/>
                <w:sz w:val="19"/>
                <w:szCs w:val="19"/>
                <w:lang w:val="en-GB"/>
              </w:rPr>
              <w:t xml:space="preserve">assistance </w:t>
            </w:r>
            <w:r w:rsidR="00DC01F3" w:rsidRPr="00DC01F3">
              <w:rPr>
                <w:rFonts w:ascii="ArialMT" w:hAnsi="ArialMT" w:cs="ArialMT"/>
                <w:color w:val="404040"/>
                <w:sz w:val="19"/>
                <w:szCs w:val="19"/>
                <w:lang w:val="en-GB"/>
              </w:rPr>
              <w:t xml:space="preserve">receiving </w:t>
            </w:r>
            <w:r w:rsidR="00DC01F3">
              <w:rPr>
                <w:rFonts w:ascii="ArialMT" w:hAnsi="ArialMT" w:cs="ArialMT"/>
                <w:color w:val="404040"/>
                <w:sz w:val="19"/>
                <w:szCs w:val="19"/>
                <w:lang w:val="en-GB"/>
              </w:rPr>
              <w:t>relevant assistance in regards to NFIs and emergency shelter</w:t>
            </w:r>
          </w:p>
        </w:tc>
        <w:tc>
          <w:tcPr>
            <w:tcW w:w="1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6C5981E" w14:textId="77777777" w:rsidR="00670DDD" w:rsidRDefault="00670DDD" w:rsidP="00670DDD">
            <w:pPr>
              <w:jc w:val="both"/>
              <w:rPr>
                <w:rFonts w:ascii="Arial" w:hAnsi="Arial"/>
                <w:color w:val="808080" w:themeColor="background1" w:themeShade="80"/>
                <w:sz w:val="18"/>
                <w:szCs w:val="16"/>
              </w:rPr>
            </w:pPr>
          </w:p>
          <w:p w14:paraId="05696F53" w14:textId="77777777" w:rsidR="00670DDD" w:rsidRPr="00524289" w:rsidRDefault="00C0442B" w:rsidP="00670DDD">
            <w:pPr>
              <w:jc w:val="both"/>
              <w:rPr>
                <w:rFonts w:ascii="Arial" w:hAnsi="Arial" w:cs="Times New Roman"/>
                <w:color w:val="808080" w:themeColor="background1" w:themeShade="80"/>
                <w:sz w:val="18"/>
                <w:szCs w:val="16"/>
                <w:lang w:val="en-GB" w:eastAsia="zh-TW"/>
              </w:rPr>
            </w:pPr>
            <w:r>
              <w:rPr>
                <w:rFonts w:ascii="Arial" w:hAnsi="Arial"/>
                <w:color w:val="808080" w:themeColor="background1" w:themeShade="80"/>
                <w:sz w:val="18"/>
                <w:szCs w:val="16"/>
              </w:rPr>
              <w:t>XXXXXX</w:t>
            </w:r>
            <w:r w:rsidR="00670DDD">
              <w:rPr>
                <w:rStyle w:val="FootnoteReference"/>
                <w:rFonts w:ascii="Arial" w:hAnsi="Arial"/>
                <w:color w:val="808080" w:themeColor="background1" w:themeShade="80"/>
                <w:sz w:val="18"/>
                <w:szCs w:val="16"/>
              </w:rPr>
              <w:footnoteReference w:id="11"/>
            </w:r>
          </w:p>
          <w:p w14:paraId="38E06E03" w14:textId="77777777" w:rsidR="009D2C5E" w:rsidRPr="00524289" w:rsidRDefault="009D2C5E" w:rsidP="00A462D7">
            <w:pPr>
              <w:jc w:val="both"/>
              <w:rPr>
                <w:rFonts w:ascii="Arial" w:hAnsi="Arial"/>
                <w:color w:val="404040"/>
                <w:sz w:val="18"/>
                <w:szCs w:val="18"/>
              </w:rPr>
            </w:pPr>
          </w:p>
        </w:tc>
        <w:tc>
          <w:tcPr>
            <w:tcW w:w="1684" w:type="dxa"/>
            <w:tcBorders>
              <w:top w:val="single" w:sz="4" w:space="0" w:color="FFFFFF" w:themeColor="background1"/>
              <w:left w:val="single" w:sz="4" w:space="0" w:color="FFFFFF" w:themeColor="background1"/>
              <w:bottom w:val="single" w:sz="4" w:space="0" w:color="FFFFFF" w:themeColor="background1"/>
            </w:tcBorders>
            <w:shd w:val="clear" w:color="auto" w:fill="F2F2F2" w:themeFill="background1" w:themeFillShade="F2"/>
            <w:vAlign w:val="center"/>
          </w:tcPr>
          <w:p w14:paraId="14E93F09" w14:textId="07E40EDB" w:rsidR="009D2C5E" w:rsidRPr="00524289" w:rsidRDefault="00692B0E" w:rsidP="00692B0E">
            <w:pPr>
              <w:jc w:val="both"/>
              <w:rPr>
                <w:rFonts w:ascii="Arial" w:hAnsi="Arial"/>
                <w:color w:val="404040"/>
                <w:sz w:val="18"/>
                <w:szCs w:val="18"/>
              </w:rPr>
            </w:pPr>
            <w:r>
              <w:rPr>
                <w:rFonts w:ascii="Arial" w:hAnsi="Arial"/>
                <w:color w:val="404040"/>
                <w:sz w:val="18"/>
                <w:szCs w:val="18"/>
              </w:rPr>
              <w:t>330</w:t>
            </w:r>
            <w:r w:rsidR="00762256">
              <w:rPr>
                <w:rFonts w:ascii="Arial" w:hAnsi="Arial"/>
                <w:color w:val="404040"/>
                <w:sz w:val="18"/>
                <w:szCs w:val="18"/>
              </w:rPr>
              <w:t>,000</w:t>
            </w:r>
          </w:p>
        </w:tc>
      </w:tr>
      <w:tr w:rsidR="009D2C5E" w:rsidRPr="00524289" w14:paraId="21AF2FB5" w14:textId="77777777" w:rsidTr="00267353">
        <w:trPr>
          <w:trHeight w:val="127"/>
          <w:jc w:val="center"/>
        </w:trPr>
        <w:tc>
          <w:tcPr>
            <w:tcW w:w="10206" w:type="dxa"/>
            <w:gridSpan w:val="5"/>
            <w:shd w:val="clear" w:color="auto" w:fill="FFFFFF" w:themeFill="background1"/>
            <w:vAlign w:val="center"/>
          </w:tcPr>
          <w:p w14:paraId="26A84D6E" w14:textId="77777777" w:rsidR="009D2C5E" w:rsidRPr="00524289" w:rsidRDefault="009D2C5E" w:rsidP="00A462D7">
            <w:pPr>
              <w:jc w:val="both"/>
              <w:rPr>
                <w:rFonts w:ascii="Arial" w:hAnsi="Arial"/>
                <w:bCs/>
                <w:color w:val="026CB6"/>
                <w:sz w:val="20"/>
                <w:lang w:val="en-GB"/>
              </w:rPr>
            </w:pPr>
          </w:p>
        </w:tc>
      </w:tr>
      <w:tr w:rsidR="009D2C5E" w:rsidRPr="00524289" w14:paraId="2BD5CA2B" w14:textId="77777777" w:rsidTr="00267353">
        <w:trPr>
          <w:trHeight w:val="252"/>
          <w:jc w:val="center"/>
        </w:trPr>
        <w:tc>
          <w:tcPr>
            <w:tcW w:w="1544" w:type="dxa"/>
            <w:tcBorders>
              <w:bottom w:val="single" w:sz="6" w:space="0" w:color="808080" w:themeColor="background1" w:themeShade="80"/>
            </w:tcBorders>
            <w:shd w:val="clear" w:color="auto" w:fill="FFFFFF" w:themeFill="background1"/>
            <w:vAlign w:val="center"/>
          </w:tcPr>
          <w:p w14:paraId="58C5F5D0" w14:textId="77777777" w:rsidR="009D2C5E" w:rsidRPr="00524289" w:rsidRDefault="009D2C5E" w:rsidP="00A462D7">
            <w:pPr>
              <w:jc w:val="both"/>
              <w:rPr>
                <w:rFonts w:ascii="Arial" w:hAnsi="Arial"/>
                <w:b/>
                <w:bCs/>
                <w:sz w:val="18"/>
                <w:szCs w:val="18"/>
                <w:lang w:val="en-GB"/>
              </w:rPr>
            </w:pPr>
            <w:r w:rsidRPr="00524289">
              <w:rPr>
                <w:rFonts w:ascii="Arial" w:hAnsi="Arial"/>
                <w:b/>
                <w:bCs/>
                <w:sz w:val="18"/>
                <w:szCs w:val="18"/>
                <w:lang w:val="en-GB"/>
              </w:rPr>
              <w:t>Activities</w:t>
            </w:r>
          </w:p>
        </w:tc>
        <w:tc>
          <w:tcPr>
            <w:tcW w:w="1790" w:type="dxa"/>
            <w:tcBorders>
              <w:bottom w:val="single" w:sz="6" w:space="0" w:color="808080" w:themeColor="background1" w:themeShade="80"/>
            </w:tcBorders>
            <w:shd w:val="clear" w:color="auto" w:fill="FFFFFF" w:themeFill="background1"/>
            <w:vAlign w:val="center"/>
          </w:tcPr>
          <w:p w14:paraId="3D741C35" w14:textId="77777777" w:rsidR="009D2C5E" w:rsidRPr="00524289" w:rsidRDefault="009D2C5E" w:rsidP="00A462D7">
            <w:pPr>
              <w:jc w:val="both"/>
              <w:rPr>
                <w:rFonts w:ascii="Arial" w:hAnsi="Arial"/>
                <w:b/>
                <w:bCs/>
                <w:sz w:val="18"/>
                <w:szCs w:val="18"/>
                <w:lang w:val="en-GB"/>
              </w:rPr>
            </w:pPr>
            <w:r w:rsidRPr="00524289">
              <w:rPr>
                <w:rFonts w:ascii="Arial" w:hAnsi="Arial"/>
                <w:b/>
                <w:bCs/>
                <w:sz w:val="18"/>
                <w:szCs w:val="18"/>
                <w:lang w:val="en-GB"/>
              </w:rPr>
              <w:t>Locations</w:t>
            </w:r>
          </w:p>
        </w:tc>
        <w:tc>
          <w:tcPr>
            <w:tcW w:w="3897" w:type="dxa"/>
            <w:tcBorders>
              <w:bottom w:val="single" w:sz="6" w:space="0" w:color="808080" w:themeColor="background1" w:themeShade="80"/>
            </w:tcBorders>
            <w:shd w:val="clear" w:color="auto" w:fill="FFFFFF" w:themeFill="background1"/>
            <w:vAlign w:val="center"/>
          </w:tcPr>
          <w:p w14:paraId="2A6AE975" w14:textId="77777777" w:rsidR="009D2C5E" w:rsidRPr="00524289" w:rsidRDefault="009D2C5E" w:rsidP="00A462D7">
            <w:pPr>
              <w:jc w:val="both"/>
              <w:rPr>
                <w:rFonts w:ascii="Arial" w:hAnsi="Arial"/>
                <w:b/>
                <w:bCs/>
                <w:noProof/>
                <w:sz w:val="18"/>
                <w:szCs w:val="18"/>
                <w:lang w:val="en-GB" w:eastAsia="en-GB"/>
              </w:rPr>
            </w:pPr>
            <w:r w:rsidRPr="00524289">
              <w:rPr>
                <w:rFonts w:ascii="Arial" w:hAnsi="Arial"/>
                <w:b/>
                <w:bCs/>
                <w:sz w:val="18"/>
                <w:szCs w:val="18"/>
                <w:lang w:val="en-GB"/>
              </w:rPr>
              <w:t>Indicator</w:t>
            </w:r>
          </w:p>
        </w:tc>
        <w:tc>
          <w:tcPr>
            <w:tcW w:w="1291" w:type="dxa"/>
            <w:tcBorders>
              <w:bottom w:val="single" w:sz="6" w:space="0" w:color="808080" w:themeColor="background1" w:themeShade="80"/>
            </w:tcBorders>
            <w:shd w:val="clear" w:color="auto" w:fill="FFFFFF" w:themeFill="background1"/>
            <w:vAlign w:val="center"/>
          </w:tcPr>
          <w:p w14:paraId="628AFCED" w14:textId="77777777" w:rsidR="009D2C5E" w:rsidRPr="00524289" w:rsidRDefault="009D2C5E" w:rsidP="00A462D7">
            <w:pPr>
              <w:jc w:val="both"/>
              <w:rPr>
                <w:rFonts w:ascii="Arial" w:hAnsi="Arial"/>
                <w:b/>
                <w:bCs/>
                <w:sz w:val="18"/>
                <w:szCs w:val="18"/>
                <w:lang w:val="en-GB"/>
              </w:rPr>
            </w:pPr>
            <w:r w:rsidRPr="00524289">
              <w:rPr>
                <w:rFonts w:ascii="Arial" w:hAnsi="Arial"/>
                <w:b/>
                <w:bCs/>
                <w:sz w:val="18"/>
                <w:szCs w:val="18"/>
                <w:lang w:val="en-GB"/>
              </w:rPr>
              <w:t xml:space="preserve">Baseline </w:t>
            </w:r>
          </w:p>
        </w:tc>
        <w:tc>
          <w:tcPr>
            <w:tcW w:w="1684" w:type="dxa"/>
            <w:tcBorders>
              <w:bottom w:val="single" w:sz="6" w:space="0" w:color="808080" w:themeColor="background1" w:themeShade="80"/>
            </w:tcBorders>
            <w:shd w:val="clear" w:color="auto" w:fill="FFFFFF" w:themeFill="background1"/>
            <w:vAlign w:val="center"/>
          </w:tcPr>
          <w:p w14:paraId="0915FE9F" w14:textId="77777777" w:rsidR="009D2C5E" w:rsidRPr="00524289" w:rsidRDefault="009D2C5E" w:rsidP="00A462D7">
            <w:pPr>
              <w:jc w:val="both"/>
              <w:rPr>
                <w:rFonts w:ascii="Arial" w:hAnsi="Arial"/>
                <w:b/>
                <w:bCs/>
                <w:sz w:val="18"/>
                <w:szCs w:val="18"/>
                <w:lang w:val="en-GB"/>
              </w:rPr>
            </w:pPr>
            <w:r w:rsidRPr="00524289">
              <w:rPr>
                <w:rFonts w:ascii="Arial" w:hAnsi="Arial"/>
                <w:b/>
                <w:bCs/>
                <w:sz w:val="18"/>
                <w:szCs w:val="18"/>
                <w:lang w:val="en-GB"/>
              </w:rPr>
              <w:t>Target</w:t>
            </w:r>
          </w:p>
        </w:tc>
      </w:tr>
      <w:tr w:rsidR="009D2C5E" w:rsidRPr="00524289" w14:paraId="522AD0B8" w14:textId="77777777" w:rsidTr="00267353">
        <w:trPr>
          <w:trHeight w:val="845"/>
          <w:jc w:val="center"/>
        </w:trPr>
        <w:tc>
          <w:tcPr>
            <w:tcW w:w="1544"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43B99422" w14:textId="77777777" w:rsidR="009D2C5E" w:rsidRPr="00524289" w:rsidRDefault="00A60E44" w:rsidP="00A462D7">
            <w:pPr>
              <w:jc w:val="both"/>
              <w:rPr>
                <w:rFonts w:ascii="Arial" w:hAnsi="Arial"/>
                <w:color w:val="595959" w:themeColor="text1" w:themeTint="A6"/>
                <w:sz w:val="18"/>
                <w:szCs w:val="20"/>
                <w:lang w:val="en-GB"/>
              </w:rPr>
            </w:pPr>
            <w:r w:rsidRPr="00A60E44">
              <w:rPr>
                <w:rFonts w:ascii="Arial" w:hAnsi="Arial"/>
                <w:color w:val="595959" w:themeColor="text1" w:themeTint="A6"/>
                <w:sz w:val="18"/>
                <w:szCs w:val="16"/>
                <w:lang w:val="en-GB"/>
              </w:rPr>
              <w:t>Provide newly</w:t>
            </w:r>
            <w:r>
              <w:rPr>
                <w:rFonts w:ascii="Arial" w:hAnsi="Arial"/>
                <w:color w:val="595959" w:themeColor="text1" w:themeTint="A6"/>
                <w:sz w:val="18"/>
                <w:szCs w:val="16"/>
                <w:lang w:val="en-GB"/>
              </w:rPr>
              <w:t xml:space="preserve"> </w:t>
            </w:r>
            <w:r w:rsidRPr="00A60E44">
              <w:rPr>
                <w:rFonts w:ascii="Arial" w:hAnsi="Arial"/>
                <w:color w:val="595959" w:themeColor="text1" w:themeTint="A6"/>
                <w:sz w:val="18"/>
                <w:szCs w:val="16"/>
                <w:lang w:val="en-GB"/>
              </w:rPr>
              <w:t>displaced people with</w:t>
            </w:r>
            <w:r>
              <w:rPr>
                <w:rFonts w:ascii="Arial" w:hAnsi="Arial"/>
                <w:color w:val="595959" w:themeColor="text1" w:themeTint="A6"/>
                <w:sz w:val="18"/>
                <w:szCs w:val="16"/>
                <w:lang w:val="en-GB"/>
              </w:rPr>
              <w:t xml:space="preserve"> </w:t>
            </w:r>
            <w:r w:rsidRPr="00A60E44">
              <w:rPr>
                <w:rFonts w:ascii="Arial" w:hAnsi="Arial"/>
                <w:color w:val="595959" w:themeColor="text1" w:themeTint="A6"/>
                <w:sz w:val="18"/>
                <w:szCs w:val="16"/>
                <w:lang w:val="en-GB"/>
              </w:rPr>
              <w:t>Emergency Assistance Packages</w:t>
            </w:r>
          </w:p>
        </w:tc>
        <w:tc>
          <w:tcPr>
            <w:tcW w:w="1790"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4174C540" w14:textId="77777777" w:rsidR="009D2C5E" w:rsidRPr="00524289" w:rsidRDefault="00A60E44" w:rsidP="00A462D7">
            <w:pPr>
              <w:jc w:val="both"/>
              <w:rPr>
                <w:rFonts w:ascii="Arial" w:hAnsi="Arial"/>
                <w:color w:val="595959" w:themeColor="text1" w:themeTint="A6"/>
                <w:sz w:val="18"/>
                <w:szCs w:val="16"/>
                <w:lang w:val="en-GB"/>
              </w:rPr>
            </w:pPr>
            <w:r>
              <w:rPr>
                <w:rFonts w:ascii="Arial" w:hAnsi="Arial"/>
                <w:color w:val="595959" w:themeColor="text1" w:themeTint="A6"/>
                <w:sz w:val="18"/>
                <w:szCs w:val="16"/>
                <w:lang w:val="en-GB"/>
              </w:rPr>
              <w:t>ALL SOMALIA</w:t>
            </w:r>
            <w:r w:rsidR="00556665">
              <w:rPr>
                <w:rFonts w:ascii="Arial" w:hAnsi="Arial"/>
                <w:color w:val="595959" w:themeColor="text1" w:themeTint="A6"/>
                <w:sz w:val="18"/>
                <w:szCs w:val="16"/>
                <w:lang w:val="en-GB"/>
              </w:rPr>
              <w:t xml:space="preserve"> (mainly South Central)</w:t>
            </w:r>
          </w:p>
        </w:tc>
        <w:tc>
          <w:tcPr>
            <w:tcW w:w="3897" w:type="dxa"/>
            <w:tcBorders>
              <w:top w:val="single" w:sz="6" w:space="0" w:color="808080" w:themeColor="background1" w:themeShade="80"/>
              <w:bottom w:val="single" w:sz="4" w:space="0" w:color="D9D9D9" w:themeColor="background1" w:themeShade="D9"/>
            </w:tcBorders>
            <w:shd w:val="clear" w:color="auto" w:fill="FFFFFF" w:themeFill="background1"/>
          </w:tcPr>
          <w:p w14:paraId="37C00D7B" w14:textId="77777777" w:rsidR="009D2C5E" w:rsidRPr="00524289" w:rsidRDefault="00556665" w:rsidP="00A462D7">
            <w:pPr>
              <w:numPr>
                <w:ilvl w:val="0"/>
                <w:numId w:val="1"/>
              </w:numPr>
              <w:ind w:left="142" w:hanging="142"/>
              <w:jc w:val="both"/>
              <w:rPr>
                <w:rFonts w:ascii="Arial" w:hAnsi="Arial"/>
                <w:color w:val="595959" w:themeColor="text1" w:themeTint="A6"/>
                <w:sz w:val="18"/>
                <w:szCs w:val="16"/>
                <w:lang w:val="en-GB"/>
              </w:rPr>
            </w:pPr>
            <w:proofErr w:type="spellStart"/>
            <w:r>
              <w:rPr>
                <w:rFonts w:ascii="Arial" w:hAnsi="Arial"/>
                <w:color w:val="595959" w:themeColor="text1" w:themeTint="A6"/>
                <w:sz w:val="18"/>
                <w:szCs w:val="16"/>
                <w:lang w:val="en-GB"/>
              </w:rPr>
              <w:t>Nr</w:t>
            </w:r>
            <w:proofErr w:type="spellEnd"/>
            <w:r>
              <w:rPr>
                <w:rFonts w:ascii="Arial" w:hAnsi="Arial"/>
                <w:color w:val="595959" w:themeColor="text1" w:themeTint="A6"/>
                <w:sz w:val="18"/>
                <w:szCs w:val="16"/>
                <w:lang w:val="en-GB"/>
              </w:rPr>
              <w:t xml:space="preserve"> of people in need receiving non-food items</w:t>
            </w:r>
          </w:p>
          <w:p w14:paraId="5DD1EA5E" w14:textId="77777777" w:rsidR="009D2C5E" w:rsidRPr="00524289" w:rsidRDefault="009D2C5E" w:rsidP="00A462D7">
            <w:pPr>
              <w:jc w:val="both"/>
              <w:rPr>
                <w:rFonts w:ascii="Arial" w:hAnsi="Arial"/>
                <w:color w:val="595959" w:themeColor="text1" w:themeTint="A6"/>
                <w:sz w:val="18"/>
                <w:szCs w:val="16"/>
                <w:lang w:val="en-GB"/>
              </w:rPr>
            </w:pPr>
          </w:p>
          <w:p w14:paraId="59190B50" w14:textId="77777777" w:rsidR="009D2C5E" w:rsidRPr="00524289" w:rsidRDefault="00556665" w:rsidP="00A462D7">
            <w:pPr>
              <w:numPr>
                <w:ilvl w:val="0"/>
                <w:numId w:val="1"/>
              </w:numPr>
              <w:ind w:left="142" w:hanging="142"/>
              <w:jc w:val="both"/>
              <w:rPr>
                <w:rFonts w:ascii="Arial" w:hAnsi="Arial"/>
                <w:color w:val="595959" w:themeColor="text1" w:themeTint="A6"/>
                <w:sz w:val="18"/>
                <w:szCs w:val="16"/>
                <w:lang w:val="da-DK"/>
              </w:rPr>
            </w:pPr>
            <w:r>
              <w:rPr>
                <w:rFonts w:ascii="Arial" w:hAnsi="Arial"/>
                <w:color w:val="595959" w:themeColor="text1" w:themeTint="A6"/>
                <w:sz w:val="18"/>
                <w:szCs w:val="16"/>
                <w:lang w:val="da-DK"/>
              </w:rPr>
              <w:t>Nr of people in need receiving emergency shelter kits.</w:t>
            </w:r>
          </w:p>
        </w:tc>
        <w:tc>
          <w:tcPr>
            <w:tcW w:w="1291" w:type="dxa"/>
            <w:tcBorders>
              <w:top w:val="single" w:sz="6" w:space="0" w:color="808080" w:themeColor="background1" w:themeShade="80"/>
              <w:bottom w:val="single" w:sz="4" w:space="0" w:color="D9D9D9" w:themeColor="background1" w:themeShade="D9"/>
            </w:tcBorders>
            <w:shd w:val="clear" w:color="auto" w:fill="FFFFFF" w:themeFill="background1"/>
          </w:tcPr>
          <w:p w14:paraId="30D3DCDF" w14:textId="77777777" w:rsidR="00164671" w:rsidRDefault="00762256"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XXXXXX</w:t>
            </w:r>
          </w:p>
          <w:p w14:paraId="4ACD2490" w14:textId="77777777" w:rsidR="00164671" w:rsidRDefault="00164671" w:rsidP="00A462D7">
            <w:pPr>
              <w:jc w:val="both"/>
              <w:rPr>
                <w:rFonts w:ascii="Arial" w:hAnsi="Arial"/>
                <w:color w:val="808080" w:themeColor="background1" w:themeShade="80"/>
                <w:sz w:val="18"/>
                <w:szCs w:val="16"/>
              </w:rPr>
            </w:pPr>
          </w:p>
          <w:p w14:paraId="3B008214" w14:textId="77777777" w:rsidR="00762256" w:rsidRPr="00524289" w:rsidRDefault="00762256" w:rsidP="00A462D7">
            <w:pPr>
              <w:jc w:val="both"/>
              <w:rPr>
                <w:rFonts w:ascii="Arial" w:hAnsi="Arial"/>
                <w:color w:val="808080" w:themeColor="background1" w:themeShade="80"/>
                <w:sz w:val="18"/>
                <w:szCs w:val="16"/>
              </w:rPr>
            </w:pPr>
          </w:p>
          <w:p w14:paraId="1D8B03F9" w14:textId="77777777" w:rsidR="009D2C5E" w:rsidRDefault="00762256"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XXXXXX</w:t>
            </w:r>
            <w:r w:rsidR="00164671">
              <w:rPr>
                <w:rStyle w:val="FootnoteReference"/>
                <w:rFonts w:ascii="Arial" w:hAnsi="Arial"/>
                <w:color w:val="808080" w:themeColor="background1" w:themeShade="80"/>
                <w:sz w:val="18"/>
                <w:szCs w:val="16"/>
              </w:rPr>
              <w:footnoteReference w:id="12"/>
            </w:r>
          </w:p>
          <w:p w14:paraId="79241E9A" w14:textId="77777777" w:rsidR="00164671" w:rsidRPr="00524289" w:rsidRDefault="00164671" w:rsidP="00A462D7">
            <w:pPr>
              <w:jc w:val="both"/>
              <w:rPr>
                <w:rFonts w:ascii="Arial" w:hAnsi="Arial"/>
                <w:color w:val="808080" w:themeColor="background1" w:themeShade="80"/>
                <w:sz w:val="18"/>
                <w:szCs w:val="16"/>
              </w:rPr>
            </w:pPr>
          </w:p>
        </w:tc>
        <w:tc>
          <w:tcPr>
            <w:tcW w:w="1684" w:type="dxa"/>
            <w:tcBorders>
              <w:top w:val="single" w:sz="6" w:space="0" w:color="808080" w:themeColor="background1" w:themeShade="80"/>
              <w:bottom w:val="single" w:sz="4" w:space="0" w:color="D9D9D9" w:themeColor="background1" w:themeShade="D9"/>
            </w:tcBorders>
            <w:shd w:val="clear" w:color="auto" w:fill="FFFFFF" w:themeFill="background1"/>
          </w:tcPr>
          <w:p w14:paraId="79B6EE28" w14:textId="531AAB38" w:rsidR="009D2C5E" w:rsidRPr="00524289" w:rsidRDefault="00692B0E"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330</w:t>
            </w:r>
            <w:r w:rsidR="00762256">
              <w:rPr>
                <w:rFonts w:ascii="Arial" w:hAnsi="Arial"/>
                <w:color w:val="808080" w:themeColor="background1" w:themeShade="80"/>
                <w:sz w:val="18"/>
                <w:szCs w:val="16"/>
              </w:rPr>
              <w:t>,000</w:t>
            </w:r>
          </w:p>
          <w:p w14:paraId="79DB6A3E" w14:textId="77777777" w:rsidR="009D2C5E" w:rsidRDefault="009D2C5E" w:rsidP="00A462D7">
            <w:pPr>
              <w:jc w:val="both"/>
              <w:rPr>
                <w:rFonts w:ascii="Arial" w:hAnsi="Arial"/>
                <w:color w:val="808080" w:themeColor="background1" w:themeShade="80"/>
                <w:sz w:val="18"/>
                <w:szCs w:val="16"/>
              </w:rPr>
            </w:pPr>
          </w:p>
          <w:p w14:paraId="7187B426" w14:textId="77777777" w:rsidR="00164671" w:rsidRPr="00524289" w:rsidRDefault="00164671" w:rsidP="00A462D7">
            <w:pPr>
              <w:jc w:val="both"/>
              <w:rPr>
                <w:rFonts w:ascii="Arial" w:hAnsi="Arial"/>
                <w:color w:val="808080" w:themeColor="background1" w:themeShade="80"/>
                <w:sz w:val="18"/>
                <w:szCs w:val="16"/>
              </w:rPr>
            </w:pPr>
          </w:p>
          <w:p w14:paraId="7E16F7BC" w14:textId="77777777" w:rsidR="009D2C5E" w:rsidRPr="00524289" w:rsidRDefault="00762256"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180,000</w:t>
            </w:r>
          </w:p>
        </w:tc>
      </w:tr>
      <w:tr w:rsidR="009D2C5E" w:rsidRPr="00524289" w14:paraId="76D9C7AB" w14:textId="77777777" w:rsidTr="00267353">
        <w:trPr>
          <w:trHeight w:val="733"/>
          <w:jc w:val="center"/>
        </w:trPr>
        <w:tc>
          <w:tcPr>
            <w:tcW w:w="1544"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4F961290" w14:textId="77777777" w:rsidR="009D2C5E" w:rsidRPr="00524289" w:rsidRDefault="00556665" w:rsidP="00A462D7">
            <w:pPr>
              <w:jc w:val="both"/>
              <w:rPr>
                <w:rFonts w:ascii="Arial" w:hAnsi="Arial"/>
                <w:color w:val="595959" w:themeColor="text1" w:themeTint="A6"/>
                <w:sz w:val="18"/>
                <w:szCs w:val="20"/>
                <w:lang w:val="da-DK"/>
              </w:rPr>
            </w:pPr>
            <w:r>
              <w:rPr>
                <w:rFonts w:ascii="Arial" w:hAnsi="Arial"/>
                <w:color w:val="595959" w:themeColor="text1" w:themeTint="A6"/>
                <w:sz w:val="18"/>
                <w:szCs w:val="16"/>
                <w:lang w:val="da-DK"/>
              </w:rPr>
              <w:t>D</w:t>
            </w:r>
            <w:r w:rsidRPr="00556665">
              <w:rPr>
                <w:rFonts w:ascii="Arial" w:hAnsi="Arial"/>
                <w:color w:val="595959" w:themeColor="text1" w:themeTint="A6"/>
                <w:sz w:val="18"/>
                <w:szCs w:val="16"/>
                <w:lang w:val="da-DK"/>
              </w:rPr>
              <w:t>istributions are</w:t>
            </w:r>
            <w:r>
              <w:rPr>
                <w:rFonts w:ascii="Arial" w:hAnsi="Arial"/>
                <w:color w:val="595959" w:themeColor="text1" w:themeTint="A6"/>
                <w:sz w:val="18"/>
                <w:szCs w:val="16"/>
                <w:lang w:val="da-DK"/>
              </w:rPr>
              <w:t xml:space="preserve"> </w:t>
            </w:r>
            <w:r w:rsidRPr="00556665">
              <w:rPr>
                <w:rFonts w:ascii="Arial" w:hAnsi="Arial"/>
                <w:color w:val="595959" w:themeColor="text1" w:themeTint="A6"/>
                <w:sz w:val="18"/>
                <w:szCs w:val="16"/>
                <w:lang w:val="da-DK"/>
              </w:rPr>
              <w:t>monitored using a</w:t>
            </w:r>
            <w:r>
              <w:rPr>
                <w:rFonts w:ascii="Arial" w:hAnsi="Arial"/>
                <w:color w:val="595959" w:themeColor="text1" w:themeTint="A6"/>
                <w:sz w:val="18"/>
                <w:szCs w:val="16"/>
                <w:lang w:val="da-DK"/>
              </w:rPr>
              <w:t xml:space="preserve"> </w:t>
            </w:r>
            <w:r w:rsidRPr="00556665">
              <w:rPr>
                <w:rFonts w:ascii="Arial" w:hAnsi="Arial"/>
                <w:color w:val="595959" w:themeColor="text1" w:themeTint="A6"/>
                <w:sz w:val="18"/>
                <w:szCs w:val="16"/>
                <w:lang w:val="da-DK"/>
              </w:rPr>
              <w:t>standardized</w:t>
            </w:r>
            <w:r>
              <w:rPr>
                <w:rFonts w:ascii="Arial" w:hAnsi="Arial"/>
                <w:color w:val="595959" w:themeColor="text1" w:themeTint="A6"/>
                <w:sz w:val="18"/>
                <w:szCs w:val="16"/>
                <w:lang w:val="da-DK"/>
              </w:rPr>
              <w:t xml:space="preserve"> </w:t>
            </w:r>
            <w:r w:rsidRPr="00556665">
              <w:rPr>
                <w:rFonts w:ascii="Arial" w:hAnsi="Arial"/>
                <w:color w:val="595959" w:themeColor="text1" w:themeTint="A6"/>
                <w:sz w:val="18"/>
                <w:szCs w:val="16"/>
                <w:lang w:val="da-DK"/>
              </w:rPr>
              <w:t>methodology to ensure</w:t>
            </w:r>
            <w:r>
              <w:rPr>
                <w:rFonts w:ascii="Arial" w:hAnsi="Arial"/>
                <w:color w:val="595959" w:themeColor="text1" w:themeTint="A6"/>
                <w:sz w:val="18"/>
                <w:szCs w:val="16"/>
                <w:lang w:val="da-DK"/>
              </w:rPr>
              <w:t xml:space="preserve"> </w:t>
            </w:r>
            <w:r w:rsidRPr="00556665">
              <w:rPr>
                <w:rFonts w:ascii="Arial" w:hAnsi="Arial"/>
                <w:color w:val="595959" w:themeColor="text1" w:themeTint="A6"/>
                <w:sz w:val="18"/>
                <w:szCs w:val="16"/>
                <w:lang w:val="da-DK"/>
              </w:rPr>
              <w:t>accountability and to</w:t>
            </w:r>
            <w:r>
              <w:rPr>
                <w:rFonts w:ascii="Arial" w:hAnsi="Arial"/>
                <w:color w:val="595959" w:themeColor="text1" w:themeTint="A6"/>
                <w:sz w:val="18"/>
                <w:szCs w:val="16"/>
                <w:lang w:val="da-DK"/>
              </w:rPr>
              <w:t xml:space="preserve"> </w:t>
            </w:r>
            <w:r w:rsidRPr="00556665">
              <w:rPr>
                <w:rFonts w:ascii="Arial" w:hAnsi="Arial"/>
                <w:color w:val="595959" w:themeColor="text1" w:themeTint="A6"/>
                <w:sz w:val="18"/>
                <w:szCs w:val="16"/>
                <w:lang w:val="da-DK"/>
              </w:rPr>
              <w:t>improve programming.</w:t>
            </w:r>
          </w:p>
        </w:tc>
        <w:tc>
          <w:tcPr>
            <w:tcW w:w="1790"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4B52F17C" w14:textId="77777777" w:rsidR="009D2C5E" w:rsidRPr="00524289" w:rsidRDefault="00556665" w:rsidP="00A462D7">
            <w:pPr>
              <w:jc w:val="both"/>
              <w:rPr>
                <w:rFonts w:ascii="Arial" w:hAnsi="Arial"/>
                <w:color w:val="595959" w:themeColor="text1" w:themeTint="A6"/>
                <w:sz w:val="18"/>
                <w:szCs w:val="16"/>
              </w:rPr>
            </w:pPr>
            <w:r>
              <w:rPr>
                <w:rFonts w:ascii="Arial" w:hAnsi="Arial"/>
                <w:color w:val="595959" w:themeColor="text1" w:themeTint="A6"/>
                <w:sz w:val="18"/>
                <w:szCs w:val="16"/>
                <w:lang w:val="en-GB"/>
              </w:rPr>
              <w:t>ALL SOMALIA (mainly South Central)</w:t>
            </w:r>
          </w:p>
        </w:tc>
        <w:tc>
          <w:tcPr>
            <w:tcW w:w="3897" w:type="dxa"/>
            <w:tcBorders>
              <w:top w:val="single" w:sz="4" w:space="0" w:color="D9D9D9" w:themeColor="background1" w:themeShade="D9"/>
              <w:bottom w:val="single" w:sz="4" w:space="0" w:color="D9D9D9" w:themeColor="background1" w:themeShade="D9"/>
            </w:tcBorders>
            <w:shd w:val="clear" w:color="auto" w:fill="FFFFFF" w:themeFill="background1"/>
          </w:tcPr>
          <w:p w14:paraId="4806ED5A" w14:textId="77777777" w:rsidR="009D2C5E" w:rsidRPr="00C412CB" w:rsidRDefault="00556665" w:rsidP="00A462D7">
            <w:pPr>
              <w:numPr>
                <w:ilvl w:val="0"/>
                <w:numId w:val="1"/>
              </w:numPr>
              <w:ind w:left="142" w:hanging="142"/>
              <w:jc w:val="both"/>
              <w:rPr>
                <w:rFonts w:ascii="Arial" w:hAnsi="Arial"/>
                <w:color w:val="595959" w:themeColor="text1" w:themeTint="A6"/>
                <w:sz w:val="18"/>
                <w:szCs w:val="16"/>
                <w:lang w:val="en-GB"/>
              </w:rPr>
            </w:pPr>
            <w:r>
              <w:rPr>
                <w:rFonts w:ascii="Arial" w:hAnsi="Arial"/>
                <w:color w:val="595959" w:themeColor="text1" w:themeTint="A6"/>
                <w:sz w:val="18"/>
                <w:szCs w:val="16"/>
                <w:lang w:val="en-GB"/>
              </w:rPr>
              <w:t>Percentages of distributions having undergone PDM</w:t>
            </w:r>
          </w:p>
          <w:p w14:paraId="4CCC5E3A" w14:textId="77777777" w:rsidR="009D2C5E" w:rsidRPr="00524289" w:rsidRDefault="009D2C5E" w:rsidP="00A462D7">
            <w:pPr>
              <w:ind w:left="142"/>
              <w:jc w:val="both"/>
              <w:rPr>
                <w:rFonts w:ascii="Arial" w:hAnsi="Arial"/>
                <w:color w:val="595959" w:themeColor="text1" w:themeTint="A6"/>
                <w:sz w:val="18"/>
                <w:szCs w:val="16"/>
                <w:lang w:val="en-GB"/>
              </w:rPr>
            </w:pPr>
          </w:p>
          <w:p w14:paraId="5747AA51" w14:textId="77777777" w:rsidR="009D2C5E" w:rsidRPr="00524289" w:rsidRDefault="00556665" w:rsidP="00A462D7">
            <w:pPr>
              <w:numPr>
                <w:ilvl w:val="0"/>
                <w:numId w:val="1"/>
              </w:numPr>
              <w:ind w:left="142" w:hanging="142"/>
              <w:jc w:val="both"/>
              <w:rPr>
                <w:rFonts w:ascii="Arial" w:hAnsi="Arial"/>
                <w:color w:val="595959" w:themeColor="text1" w:themeTint="A6"/>
                <w:sz w:val="18"/>
                <w:szCs w:val="16"/>
                <w:lang w:val="da-DK"/>
              </w:rPr>
            </w:pPr>
            <w:r>
              <w:rPr>
                <w:rFonts w:ascii="Arial" w:hAnsi="Arial"/>
                <w:color w:val="595959" w:themeColor="text1" w:themeTint="A6"/>
                <w:sz w:val="18"/>
                <w:szCs w:val="16"/>
                <w:lang w:val="da-DK"/>
              </w:rPr>
              <w:t>Percentage of emergency NFI kits distributed in a time-ly manner</w:t>
            </w:r>
            <w:r w:rsidR="00E253E7">
              <w:rPr>
                <w:rStyle w:val="FootnoteReference"/>
                <w:rFonts w:ascii="Arial" w:hAnsi="Arial"/>
                <w:color w:val="595959" w:themeColor="text1" w:themeTint="A6"/>
                <w:sz w:val="18"/>
                <w:szCs w:val="16"/>
                <w:lang w:val="da-DK"/>
              </w:rPr>
              <w:footnoteReference w:id="13"/>
            </w:r>
          </w:p>
        </w:tc>
        <w:tc>
          <w:tcPr>
            <w:tcW w:w="1291" w:type="dxa"/>
            <w:tcBorders>
              <w:top w:val="single" w:sz="4" w:space="0" w:color="D9D9D9" w:themeColor="background1" w:themeShade="D9"/>
              <w:bottom w:val="single" w:sz="4" w:space="0" w:color="D9D9D9" w:themeColor="background1" w:themeShade="D9"/>
            </w:tcBorders>
            <w:shd w:val="clear" w:color="auto" w:fill="FFFFFF" w:themeFill="background1"/>
          </w:tcPr>
          <w:p w14:paraId="735DB7B2" w14:textId="77777777" w:rsidR="009D2C5E" w:rsidRPr="00524289" w:rsidRDefault="009C43BB"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90%</w:t>
            </w:r>
            <w:r>
              <w:rPr>
                <w:rStyle w:val="FootnoteReference"/>
                <w:rFonts w:ascii="Arial" w:hAnsi="Arial"/>
                <w:color w:val="808080" w:themeColor="background1" w:themeShade="80"/>
                <w:sz w:val="18"/>
                <w:szCs w:val="16"/>
              </w:rPr>
              <w:footnoteReference w:id="14"/>
            </w:r>
          </w:p>
          <w:p w14:paraId="6D5D126F" w14:textId="77777777" w:rsidR="00C412CB" w:rsidRDefault="00C412CB" w:rsidP="00A462D7">
            <w:pPr>
              <w:jc w:val="both"/>
              <w:rPr>
                <w:rFonts w:ascii="Arial" w:hAnsi="Arial"/>
                <w:color w:val="808080" w:themeColor="background1" w:themeShade="80"/>
                <w:sz w:val="18"/>
                <w:szCs w:val="16"/>
              </w:rPr>
            </w:pPr>
          </w:p>
          <w:p w14:paraId="26992662" w14:textId="77777777" w:rsidR="009C43BB" w:rsidRDefault="009C43BB" w:rsidP="00A462D7">
            <w:pPr>
              <w:jc w:val="both"/>
              <w:rPr>
                <w:rFonts w:ascii="Arial" w:hAnsi="Arial"/>
                <w:color w:val="808080" w:themeColor="background1" w:themeShade="80"/>
                <w:sz w:val="18"/>
                <w:szCs w:val="16"/>
              </w:rPr>
            </w:pPr>
          </w:p>
          <w:p w14:paraId="5C625365" w14:textId="77777777" w:rsidR="009D2C5E" w:rsidRPr="00524289" w:rsidRDefault="009C43BB" w:rsidP="009C43BB">
            <w:pPr>
              <w:jc w:val="both"/>
              <w:rPr>
                <w:rFonts w:ascii="Arial" w:hAnsi="Arial"/>
                <w:color w:val="808080" w:themeColor="background1" w:themeShade="80"/>
                <w:sz w:val="18"/>
                <w:szCs w:val="16"/>
              </w:rPr>
            </w:pPr>
            <w:r>
              <w:rPr>
                <w:rFonts w:ascii="Arial" w:hAnsi="Arial"/>
                <w:color w:val="808080" w:themeColor="background1" w:themeShade="80"/>
                <w:sz w:val="18"/>
                <w:szCs w:val="16"/>
              </w:rPr>
              <w:t>unknown</w:t>
            </w:r>
          </w:p>
        </w:tc>
        <w:tc>
          <w:tcPr>
            <w:tcW w:w="1684" w:type="dxa"/>
            <w:tcBorders>
              <w:top w:val="single" w:sz="4" w:space="0" w:color="D9D9D9" w:themeColor="background1" w:themeShade="D9"/>
              <w:bottom w:val="single" w:sz="4" w:space="0" w:color="D9D9D9" w:themeColor="background1" w:themeShade="D9"/>
            </w:tcBorders>
            <w:shd w:val="clear" w:color="auto" w:fill="FFFFFF" w:themeFill="background1"/>
          </w:tcPr>
          <w:p w14:paraId="432622B5" w14:textId="77777777" w:rsidR="009D2C5E" w:rsidRPr="00524289" w:rsidRDefault="009C43BB"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100</w:t>
            </w:r>
            <w:r w:rsidR="00C412CB">
              <w:rPr>
                <w:rFonts w:ascii="Arial" w:hAnsi="Arial"/>
                <w:color w:val="808080" w:themeColor="background1" w:themeShade="80"/>
                <w:sz w:val="18"/>
                <w:szCs w:val="16"/>
              </w:rPr>
              <w:t>%</w:t>
            </w:r>
          </w:p>
          <w:p w14:paraId="290E4B81" w14:textId="77777777" w:rsidR="009D2C5E" w:rsidRPr="00524289" w:rsidRDefault="009D2C5E" w:rsidP="00A462D7">
            <w:pPr>
              <w:jc w:val="both"/>
              <w:rPr>
                <w:rFonts w:ascii="Arial" w:hAnsi="Arial"/>
                <w:color w:val="808080" w:themeColor="background1" w:themeShade="80"/>
                <w:sz w:val="18"/>
                <w:szCs w:val="16"/>
              </w:rPr>
            </w:pPr>
          </w:p>
          <w:p w14:paraId="24734DDC" w14:textId="77777777" w:rsidR="009D2C5E" w:rsidRPr="00524289" w:rsidRDefault="009D2C5E" w:rsidP="00A462D7">
            <w:pPr>
              <w:jc w:val="both"/>
              <w:rPr>
                <w:rFonts w:ascii="Arial" w:hAnsi="Arial"/>
                <w:color w:val="808080" w:themeColor="background1" w:themeShade="80"/>
                <w:sz w:val="18"/>
                <w:szCs w:val="16"/>
              </w:rPr>
            </w:pPr>
          </w:p>
          <w:p w14:paraId="767EBB06" w14:textId="77777777" w:rsidR="009D2C5E" w:rsidRPr="00524289" w:rsidRDefault="009C43BB"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50</w:t>
            </w:r>
            <w:r w:rsidR="00C412CB">
              <w:rPr>
                <w:rFonts w:ascii="Arial" w:hAnsi="Arial"/>
                <w:color w:val="808080" w:themeColor="background1" w:themeShade="80"/>
                <w:sz w:val="18"/>
                <w:szCs w:val="16"/>
              </w:rPr>
              <w:t>%</w:t>
            </w:r>
          </w:p>
        </w:tc>
      </w:tr>
      <w:tr w:rsidR="009D2C5E" w:rsidRPr="00524289" w14:paraId="61287C15" w14:textId="77777777" w:rsidTr="00267353">
        <w:trPr>
          <w:trHeight w:val="387"/>
          <w:jc w:val="center"/>
        </w:trPr>
        <w:tc>
          <w:tcPr>
            <w:tcW w:w="7231" w:type="dxa"/>
            <w:gridSpan w:val="3"/>
            <w:tcBorders>
              <w:bottom w:val="single" w:sz="4" w:space="0" w:color="FFFFFF" w:themeColor="background1"/>
              <w:right w:val="single" w:sz="4" w:space="0" w:color="FFFFFF" w:themeColor="background1"/>
            </w:tcBorders>
            <w:shd w:val="clear" w:color="auto" w:fill="F2F2F2" w:themeFill="background1" w:themeFillShade="F2"/>
            <w:vAlign w:val="center"/>
          </w:tcPr>
          <w:p w14:paraId="43750ED2" w14:textId="77777777" w:rsidR="009D2C5E" w:rsidRPr="00524289" w:rsidRDefault="009D2C5E" w:rsidP="0073658B">
            <w:pPr>
              <w:jc w:val="both"/>
              <w:rPr>
                <w:rFonts w:ascii="Arial" w:hAnsi="Arial"/>
                <w:b/>
                <w:bCs/>
                <w:color w:val="026CB6"/>
                <w:sz w:val="18"/>
                <w:lang w:val="en-GB"/>
              </w:rPr>
            </w:pPr>
            <w:r w:rsidRPr="00524289">
              <w:rPr>
                <w:rFonts w:ascii="Arial" w:hAnsi="Arial"/>
                <w:b/>
                <w:bCs/>
                <w:color w:val="026CB6"/>
                <w:sz w:val="18"/>
                <w:lang w:val="en-GB"/>
              </w:rPr>
              <w:t xml:space="preserve">Cluster Objective 2:  </w:t>
            </w:r>
            <w:r w:rsidR="00556665" w:rsidRPr="00556665">
              <w:rPr>
                <w:rFonts w:ascii="Arial" w:hAnsi="Arial"/>
                <w:b/>
                <w:bCs/>
                <w:color w:val="026CB6"/>
                <w:sz w:val="18"/>
                <w:lang w:val="en-GB"/>
              </w:rPr>
              <w:t xml:space="preserve">Improve the living conditions </w:t>
            </w:r>
            <w:r w:rsidR="00556665">
              <w:rPr>
                <w:rFonts w:ascii="Arial" w:hAnsi="Arial"/>
                <w:b/>
                <w:bCs/>
                <w:color w:val="026CB6"/>
                <w:sz w:val="18"/>
                <w:lang w:val="en-GB"/>
              </w:rPr>
              <w:t xml:space="preserve">of </w:t>
            </w:r>
            <w:r w:rsidR="0073658B">
              <w:rPr>
                <w:rFonts w:ascii="Arial" w:hAnsi="Arial"/>
                <w:b/>
                <w:bCs/>
                <w:color w:val="026CB6"/>
                <w:sz w:val="18"/>
                <w:lang w:val="en-GB"/>
              </w:rPr>
              <w:t>the protracted internally displaced persons</w:t>
            </w:r>
          </w:p>
        </w:tc>
        <w:tc>
          <w:tcPr>
            <w:tcW w:w="2975" w:type="dxa"/>
            <w:gridSpan w:val="2"/>
            <w:tcBorders>
              <w:left w:val="single" w:sz="4" w:space="0" w:color="FFFFFF" w:themeColor="background1"/>
              <w:bottom w:val="single" w:sz="4" w:space="0" w:color="FFFFFF" w:themeColor="background1"/>
            </w:tcBorders>
            <w:shd w:val="clear" w:color="auto" w:fill="F2F2F2" w:themeFill="background1" w:themeFillShade="F2"/>
            <w:vAlign w:val="center"/>
          </w:tcPr>
          <w:p w14:paraId="7CC65E9C" w14:textId="77777777" w:rsidR="009D2C5E" w:rsidRPr="00524289" w:rsidRDefault="009D2C5E" w:rsidP="00A462D7">
            <w:pPr>
              <w:jc w:val="both"/>
              <w:rPr>
                <w:rFonts w:ascii="Arial" w:hAnsi="Arial"/>
                <w:b/>
                <w:bCs/>
                <w:color w:val="026CB6"/>
                <w:sz w:val="18"/>
                <w:lang w:val="en-GB"/>
              </w:rPr>
            </w:pPr>
            <w:r w:rsidRPr="00524289">
              <w:rPr>
                <w:rFonts w:ascii="Arial" w:hAnsi="Arial"/>
                <w:b/>
                <w:bCs/>
                <w:color w:val="026CB6"/>
                <w:sz w:val="18"/>
                <w:lang w:val="en-GB"/>
              </w:rPr>
              <w:t xml:space="preserve">Supports Strategic Objective </w:t>
            </w:r>
            <w:r w:rsidR="008B62A4">
              <w:rPr>
                <w:rFonts w:ascii="Arial" w:hAnsi="Arial"/>
                <w:b/>
                <w:bCs/>
                <w:color w:val="026CB6"/>
                <w:sz w:val="18"/>
                <w:lang w:val="en-GB"/>
              </w:rPr>
              <w:t>3</w:t>
            </w:r>
          </w:p>
        </w:tc>
      </w:tr>
      <w:tr w:rsidR="009D2C5E" w:rsidRPr="00524289" w14:paraId="5581B6A4" w14:textId="77777777" w:rsidTr="00267353">
        <w:trPr>
          <w:trHeight w:val="509"/>
          <w:jc w:val="center"/>
        </w:trPr>
        <w:tc>
          <w:tcPr>
            <w:tcW w:w="7231"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92D23BE" w14:textId="77777777" w:rsidR="009D2C5E" w:rsidRPr="00524289" w:rsidRDefault="005F6EB7" w:rsidP="00A462D7">
            <w:pPr>
              <w:jc w:val="both"/>
              <w:rPr>
                <w:rFonts w:ascii="Arial" w:eastAsia="PMingLiU" w:hAnsi="Arial" w:cs="Times New Roman"/>
                <w:b/>
                <w:color w:val="026CB6"/>
                <w:sz w:val="18"/>
                <w:lang w:val="en-GB" w:eastAsia="zh-TW"/>
              </w:rPr>
            </w:pPr>
            <w:r>
              <w:rPr>
                <w:rFonts w:ascii="Arial" w:eastAsia="PMingLiU" w:hAnsi="Arial" w:cs="Times New Roman"/>
                <w:b/>
                <w:color w:val="026CB6"/>
                <w:sz w:val="18"/>
                <w:lang w:val="en-GB" w:eastAsia="zh-TW"/>
              </w:rPr>
              <w:t xml:space="preserve">Outcome-level </w:t>
            </w:r>
            <w:r w:rsidR="009D2C5E" w:rsidRPr="00524289">
              <w:rPr>
                <w:rFonts w:ascii="Arial" w:eastAsia="PMingLiU" w:hAnsi="Arial" w:cs="Times New Roman"/>
                <w:b/>
                <w:color w:val="026CB6"/>
                <w:sz w:val="18"/>
                <w:lang w:val="en-GB" w:eastAsia="zh-TW"/>
              </w:rPr>
              <w:t>Indicator</w:t>
            </w:r>
            <w:r>
              <w:rPr>
                <w:rFonts w:ascii="Arial" w:eastAsia="PMingLiU" w:hAnsi="Arial" w:cs="Times New Roman"/>
                <w:b/>
                <w:color w:val="026CB6"/>
                <w:sz w:val="18"/>
                <w:lang w:val="en-GB" w:eastAsia="zh-TW"/>
              </w:rPr>
              <w:t>s</w:t>
            </w:r>
          </w:p>
        </w:tc>
        <w:tc>
          <w:tcPr>
            <w:tcW w:w="1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3C1225E" w14:textId="77777777" w:rsidR="009D2C5E" w:rsidRPr="00524289" w:rsidRDefault="009D2C5E" w:rsidP="00A462D7">
            <w:pPr>
              <w:jc w:val="both"/>
              <w:rPr>
                <w:rFonts w:ascii="Arial" w:hAnsi="Arial"/>
                <w:b/>
                <w:bCs/>
                <w:sz w:val="18"/>
                <w:lang w:val="en-GB"/>
              </w:rPr>
            </w:pPr>
            <w:r w:rsidRPr="00524289">
              <w:rPr>
                <w:rFonts w:ascii="Arial" w:hAnsi="Arial"/>
                <w:b/>
                <w:bCs/>
                <w:color w:val="026CB6"/>
                <w:sz w:val="18"/>
                <w:lang w:val="en-GB"/>
              </w:rPr>
              <w:t>Baseline</w:t>
            </w:r>
          </w:p>
        </w:tc>
        <w:tc>
          <w:tcPr>
            <w:tcW w:w="1684" w:type="dxa"/>
            <w:tcBorders>
              <w:top w:val="single" w:sz="4" w:space="0" w:color="FFFFFF" w:themeColor="background1"/>
              <w:left w:val="single" w:sz="4" w:space="0" w:color="FFFFFF" w:themeColor="background1"/>
              <w:bottom w:val="single" w:sz="4" w:space="0" w:color="FFFFFF" w:themeColor="background1"/>
            </w:tcBorders>
            <w:shd w:val="clear" w:color="auto" w:fill="F2F2F2" w:themeFill="background1" w:themeFillShade="F2"/>
            <w:vAlign w:val="center"/>
          </w:tcPr>
          <w:p w14:paraId="23502AAB" w14:textId="77777777" w:rsidR="009D2C5E" w:rsidRPr="00524289" w:rsidRDefault="009D2C5E" w:rsidP="00A462D7">
            <w:pPr>
              <w:jc w:val="both"/>
              <w:rPr>
                <w:rFonts w:ascii="Arial" w:hAnsi="Arial"/>
                <w:b/>
                <w:bCs/>
                <w:color w:val="026CB6"/>
                <w:sz w:val="18"/>
                <w:lang w:val="en-GB"/>
              </w:rPr>
            </w:pPr>
            <w:r w:rsidRPr="00524289">
              <w:rPr>
                <w:rFonts w:ascii="Arial" w:hAnsi="Arial"/>
                <w:b/>
                <w:bCs/>
                <w:color w:val="026CB6"/>
                <w:sz w:val="18"/>
                <w:lang w:val="en-GB"/>
              </w:rPr>
              <w:t>Target</w:t>
            </w:r>
          </w:p>
        </w:tc>
      </w:tr>
      <w:tr w:rsidR="009D2C5E" w:rsidRPr="00524289" w14:paraId="5508C113" w14:textId="77777777" w:rsidTr="00267353">
        <w:trPr>
          <w:trHeight w:val="509"/>
          <w:jc w:val="center"/>
        </w:trPr>
        <w:tc>
          <w:tcPr>
            <w:tcW w:w="7231"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C488738" w14:textId="77777777" w:rsidR="009D2C5E" w:rsidRPr="00524289" w:rsidRDefault="009D2C5E" w:rsidP="00C0442B">
            <w:pPr>
              <w:jc w:val="both"/>
              <w:rPr>
                <w:rFonts w:ascii="Arial" w:hAnsi="Arial"/>
                <w:color w:val="FFFFFF" w:themeColor="background1"/>
                <w:sz w:val="18"/>
                <w:szCs w:val="18"/>
                <w:lang w:val="en-GB"/>
              </w:rPr>
            </w:pPr>
            <w:r w:rsidRPr="00524289">
              <w:rPr>
                <w:rFonts w:ascii="Arial" w:hAnsi="Arial" w:cs="Times New Roman"/>
                <w:color w:val="595959" w:themeColor="text1" w:themeTint="A6"/>
                <w:sz w:val="18"/>
                <w:szCs w:val="18"/>
                <w:lang w:val="en-GB" w:eastAsia="zh-TW"/>
              </w:rPr>
              <w:t xml:space="preserve">1.  </w:t>
            </w:r>
            <w:proofErr w:type="spellStart"/>
            <w:r w:rsidR="00A56400">
              <w:rPr>
                <w:rFonts w:ascii="Arial" w:hAnsi="Arial" w:cs="Times New Roman"/>
                <w:color w:val="595959" w:themeColor="text1" w:themeTint="A6"/>
                <w:sz w:val="18"/>
                <w:szCs w:val="18"/>
                <w:lang w:val="en-GB" w:eastAsia="zh-TW"/>
              </w:rPr>
              <w:t>Nr</w:t>
            </w:r>
            <w:proofErr w:type="spellEnd"/>
            <w:r w:rsidR="00A56400">
              <w:rPr>
                <w:rFonts w:ascii="Arial" w:hAnsi="Arial" w:cs="Times New Roman"/>
                <w:color w:val="595959" w:themeColor="text1" w:themeTint="A6"/>
                <w:sz w:val="18"/>
                <w:szCs w:val="18"/>
                <w:lang w:val="en-GB" w:eastAsia="zh-TW"/>
              </w:rPr>
              <w:t xml:space="preserve"> of protracted Internally Displaced Persons</w:t>
            </w:r>
            <w:r w:rsidR="008B62A4">
              <w:rPr>
                <w:rFonts w:ascii="Arial" w:hAnsi="Arial" w:cs="Times New Roman"/>
                <w:color w:val="595959" w:themeColor="text1" w:themeTint="A6"/>
                <w:sz w:val="18"/>
                <w:szCs w:val="18"/>
                <w:lang w:val="en-GB" w:eastAsia="zh-TW"/>
              </w:rPr>
              <w:t xml:space="preserve"> that </w:t>
            </w:r>
            <w:r w:rsidR="00C0442B">
              <w:rPr>
                <w:rFonts w:ascii="Arial" w:hAnsi="Arial" w:cs="Times New Roman"/>
                <w:color w:val="595959" w:themeColor="text1" w:themeTint="A6"/>
                <w:sz w:val="18"/>
                <w:szCs w:val="18"/>
                <w:lang w:val="en-GB" w:eastAsia="zh-TW"/>
              </w:rPr>
              <w:t>have been provided with a safe and habitable shelter</w:t>
            </w:r>
            <w:r w:rsidR="00823559">
              <w:rPr>
                <w:rStyle w:val="FootnoteReference"/>
                <w:rFonts w:ascii="Arial" w:hAnsi="Arial" w:cs="Times New Roman"/>
                <w:color w:val="595959" w:themeColor="text1" w:themeTint="A6"/>
                <w:sz w:val="18"/>
                <w:szCs w:val="18"/>
                <w:lang w:val="en-GB" w:eastAsia="zh-TW"/>
              </w:rPr>
              <w:footnoteReference w:id="15"/>
            </w:r>
            <w:r w:rsidR="005F6EB7">
              <w:rPr>
                <w:rFonts w:ascii="Arial" w:hAnsi="Arial" w:cs="Times New Roman"/>
                <w:color w:val="595959" w:themeColor="text1" w:themeTint="A6"/>
                <w:sz w:val="18"/>
                <w:szCs w:val="18"/>
                <w:lang w:val="en-GB" w:eastAsia="zh-TW"/>
              </w:rPr>
              <w:t xml:space="preserve"> with improved land tenure.</w:t>
            </w:r>
            <w:r w:rsidR="00E253E7">
              <w:rPr>
                <w:rStyle w:val="FootnoteReference"/>
                <w:rFonts w:ascii="Arial" w:hAnsi="Arial" w:cs="Times New Roman"/>
                <w:color w:val="595959" w:themeColor="text1" w:themeTint="A6"/>
                <w:sz w:val="18"/>
                <w:szCs w:val="18"/>
                <w:lang w:val="en-GB" w:eastAsia="zh-TW"/>
              </w:rPr>
              <w:footnoteReference w:id="16"/>
            </w:r>
          </w:p>
        </w:tc>
        <w:tc>
          <w:tcPr>
            <w:tcW w:w="1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57860C9" w14:textId="77777777" w:rsidR="009D2C5E" w:rsidRPr="00524289" w:rsidRDefault="003272D7" w:rsidP="003272D7">
            <w:pPr>
              <w:jc w:val="both"/>
              <w:rPr>
                <w:rFonts w:ascii="Arial" w:hAnsi="Arial"/>
                <w:color w:val="404040"/>
                <w:sz w:val="18"/>
                <w:szCs w:val="18"/>
              </w:rPr>
            </w:pPr>
            <w:r>
              <w:rPr>
                <w:rFonts w:ascii="Arial" w:hAnsi="Arial"/>
                <w:color w:val="808080" w:themeColor="background1" w:themeShade="80"/>
                <w:sz w:val="18"/>
                <w:szCs w:val="18"/>
              </w:rPr>
              <w:t>937,010</w:t>
            </w:r>
          </w:p>
        </w:tc>
        <w:tc>
          <w:tcPr>
            <w:tcW w:w="1684" w:type="dxa"/>
            <w:tcBorders>
              <w:top w:val="single" w:sz="4" w:space="0" w:color="FFFFFF" w:themeColor="background1"/>
              <w:left w:val="single" w:sz="4" w:space="0" w:color="FFFFFF" w:themeColor="background1"/>
              <w:bottom w:val="single" w:sz="4" w:space="0" w:color="FFFFFF" w:themeColor="background1"/>
            </w:tcBorders>
            <w:shd w:val="clear" w:color="auto" w:fill="F2F2F2" w:themeFill="background1" w:themeFillShade="F2"/>
            <w:vAlign w:val="center"/>
          </w:tcPr>
          <w:p w14:paraId="6625D928" w14:textId="77777777" w:rsidR="009D2C5E" w:rsidRPr="00524289" w:rsidRDefault="003272D7" w:rsidP="003272D7">
            <w:pPr>
              <w:jc w:val="both"/>
              <w:rPr>
                <w:rFonts w:ascii="Arial" w:hAnsi="Arial"/>
                <w:color w:val="404040"/>
                <w:sz w:val="18"/>
                <w:szCs w:val="18"/>
              </w:rPr>
            </w:pPr>
            <w:r>
              <w:rPr>
                <w:rFonts w:ascii="Arial" w:hAnsi="Arial"/>
                <w:color w:val="808080" w:themeColor="background1" w:themeShade="80"/>
                <w:sz w:val="18"/>
                <w:szCs w:val="18"/>
              </w:rPr>
              <w:t>215,200</w:t>
            </w:r>
          </w:p>
        </w:tc>
      </w:tr>
      <w:tr w:rsidR="009D2C5E" w:rsidRPr="00524289" w14:paraId="1CC8544E" w14:textId="77777777" w:rsidTr="00267353">
        <w:trPr>
          <w:trHeight w:val="417"/>
          <w:jc w:val="center"/>
        </w:trPr>
        <w:tc>
          <w:tcPr>
            <w:tcW w:w="7231" w:type="dxa"/>
            <w:gridSpan w:val="3"/>
            <w:tcBorders>
              <w:top w:val="single" w:sz="4" w:space="0" w:color="FFFFFF" w:themeColor="background1"/>
              <w:right w:val="single" w:sz="4" w:space="0" w:color="FFFFFF" w:themeColor="background1"/>
            </w:tcBorders>
            <w:shd w:val="clear" w:color="auto" w:fill="F2F2F2" w:themeFill="background1" w:themeFillShade="F2"/>
            <w:vAlign w:val="center"/>
          </w:tcPr>
          <w:p w14:paraId="4BE3E52C" w14:textId="77777777" w:rsidR="009D2C5E" w:rsidRPr="00524289" w:rsidRDefault="009D2C5E" w:rsidP="00A56400">
            <w:pPr>
              <w:jc w:val="both"/>
              <w:rPr>
                <w:rFonts w:ascii="Arial" w:eastAsia="PMingLiU" w:hAnsi="Arial" w:cs="Times New Roman"/>
                <w:color w:val="026CB6"/>
                <w:sz w:val="18"/>
                <w:lang w:val="da-DK" w:eastAsia="zh-TW"/>
              </w:rPr>
            </w:pPr>
            <w:r w:rsidRPr="00524289">
              <w:rPr>
                <w:rFonts w:ascii="Arial" w:eastAsia="PMingLiU" w:hAnsi="Arial" w:cs="Times New Roman"/>
                <w:color w:val="595959" w:themeColor="text1" w:themeTint="A6"/>
                <w:sz w:val="18"/>
                <w:szCs w:val="18"/>
                <w:lang w:val="da-DK" w:eastAsia="zh-TW"/>
              </w:rPr>
              <w:t xml:space="preserve">2. </w:t>
            </w:r>
            <w:r w:rsidR="008B62A4">
              <w:rPr>
                <w:rFonts w:ascii="Arial" w:eastAsia="PMingLiU" w:hAnsi="Arial" w:cs="Times New Roman"/>
                <w:color w:val="595959" w:themeColor="text1" w:themeTint="A6"/>
                <w:sz w:val="18"/>
                <w:szCs w:val="18"/>
                <w:lang w:val="da-DK" w:eastAsia="zh-TW"/>
              </w:rPr>
              <w:t xml:space="preserve"> Nr of protracted I</w:t>
            </w:r>
            <w:r w:rsidR="00A56400">
              <w:rPr>
                <w:rFonts w:ascii="Arial" w:eastAsia="PMingLiU" w:hAnsi="Arial" w:cs="Times New Roman"/>
                <w:color w:val="595959" w:themeColor="text1" w:themeTint="A6"/>
                <w:sz w:val="18"/>
                <w:szCs w:val="18"/>
                <w:lang w:val="da-DK" w:eastAsia="zh-TW"/>
              </w:rPr>
              <w:t>nternally Displaced Persons</w:t>
            </w:r>
            <w:r w:rsidR="008B62A4">
              <w:rPr>
                <w:rFonts w:ascii="Arial" w:eastAsia="PMingLiU" w:hAnsi="Arial" w:cs="Times New Roman"/>
                <w:color w:val="595959" w:themeColor="text1" w:themeTint="A6"/>
                <w:sz w:val="18"/>
                <w:szCs w:val="18"/>
                <w:lang w:val="da-DK" w:eastAsia="zh-TW"/>
              </w:rPr>
              <w:t xml:space="preserve"> that have received non-food items through direct distribution, vouchers or cash mechanisms. </w:t>
            </w:r>
          </w:p>
        </w:tc>
        <w:tc>
          <w:tcPr>
            <w:tcW w:w="1291"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vAlign w:val="center"/>
          </w:tcPr>
          <w:p w14:paraId="00DB98B6" w14:textId="77777777" w:rsidR="009D2C5E" w:rsidRPr="00524289" w:rsidRDefault="003272D7" w:rsidP="00A462D7">
            <w:pPr>
              <w:jc w:val="both"/>
              <w:rPr>
                <w:rFonts w:ascii="Arial" w:hAnsi="Arial"/>
                <w:color w:val="404040"/>
                <w:sz w:val="18"/>
              </w:rPr>
            </w:pPr>
            <w:r>
              <w:rPr>
                <w:rFonts w:ascii="Arial" w:hAnsi="Arial"/>
                <w:color w:val="808080" w:themeColor="background1" w:themeShade="80"/>
                <w:sz w:val="18"/>
                <w:szCs w:val="18"/>
              </w:rPr>
              <w:t>937,010</w:t>
            </w:r>
          </w:p>
        </w:tc>
        <w:tc>
          <w:tcPr>
            <w:tcW w:w="1684" w:type="dxa"/>
            <w:tcBorders>
              <w:top w:val="single" w:sz="4" w:space="0" w:color="FFFFFF" w:themeColor="background1"/>
              <w:left w:val="single" w:sz="4" w:space="0" w:color="FFFFFF" w:themeColor="background1"/>
            </w:tcBorders>
            <w:shd w:val="clear" w:color="auto" w:fill="F2F2F2" w:themeFill="background1" w:themeFillShade="F2"/>
            <w:vAlign w:val="center"/>
          </w:tcPr>
          <w:p w14:paraId="037E3BCA" w14:textId="77777777" w:rsidR="009D2C5E" w:rsidRPr="00524289" w:rsidRDefault="003272D7" w:rsidP="00A462D7">
            <w:pPr>
              <w:jc w:val="both"/>
              <w:rPr>
                <w:rFonts w:ascii="Arial" w:hAnsi="Arial"/>
                <w:color w:val="404040"/>
                <w:sz w:val="18"/>
              </w:rPr>
            </w:pPr>
            <w:r>
              <w:rPr>
                <w:rFonts w:ascii="Arial" w:hAnsi="Arial"/>
                <w:color w:val="808080" w:themeColor="background1" w:themeShade="80"/>
                <w:sz w:val="18"/>
                <w:szCs w:val="18"/>
              </w:rPr>
              <w:t>182,900</w:t>
            </w:r>
          </w:p>
        </w:tc>
      </w:tr>
      <w:tr w:rsidR="009D2C5E" w:rsidRPr="00524289" w14:paraId="40EE9D4A" w14:textId="77777777" w:rsidTr="00267353">
        <w:trPr>
          <w:trHeight w:val="127"/>
          <w:jc w:val="center"/>
        </w:trPr>
        <w:tc>
          <w:tcPr>
            <w:tcW w:w="10206" w:type="dxa"/>
            <w:gridSpan w:val="5"/>
            <w:shd w:val="clear" w:color="auto" w:fill="FFFFFF" w:themeFill="background1"/>
            <w:vAlign w:val="center"/>
          </w:tcPr>
          <w:p w14:paraId="4C5701D8" w14:textId="77777777" w:rsidR="009D2C5E" w:rsidRPr="00524289" w:rsidRDefault="009D2C5E" w:rsidP="00A462D7">
            <w:pPr>
              <w:jc w:val="both"/>
              <w:rPr>
                <w:rFonts w:ascii="Arial" w:hAnsi="Arial"/>
                <w:bCs/>
                <w:color w:val="026CB6"/>
                <w:sz w:val="20"/>
                <w:lang w:val="en-GB"/>
              </w:rPr>
            </w:pPr>
          </w:p>
        </w:tc>
      </w:tr>
      <w:tr w:rsidR="009D2C5E" w:rsidRPr="00524289" w14:paraId="72699BF4" w14:textId="77777777" w:rsidTr="00267353">
        <w:trPr>
          <w:trHeight w:val="252"/>
          <w:jc w:val="center"/>
        </w:trPr>
        <w:tc>
          <w:tcPr>
            <w:tcW w:w="1544" w:type="dxa"/>
            <w:tcBorders>
              <w:bottom w:val="single" w:sz="6" w:space="0" w:color="808080" w:themeColor="background1" w:themeShade="80"/>
            </w:tcBorders>
            <w:shd w:val="clear" w:color="auto" w:fill="FFFFFF" w:themeFill="background1"/>
            <w:vAlign w:val="center"/>
          </w:tcPr>
          <w:p w14:paraId="1D14EB90" w14:textId="77777777" w:rsidR="009D2C5E" w:rsidRPr="00524289" w:rsidRDefault="009D2C5E" w:rsidP="00A462D7">
            <w:pPr>
              <w:jc w:val="both"/>
              <w:rPr>
                <w:rFonts w:ascii="Arial" w:hAnsi="Arial"/>
                <w:b/>
                <w:bCs/>
                <w:sz w:val="18"/>
                <w:szCs w:val="18"/>
                <w:lang w:val="en-GB"/>
              </w:rPr>
            </w:pPr>
            <w:r w:rsidRPr="00524289">
              <w:rPr>
                <w:rFonts w:ascii="Arial" w:hAnsi="Arial"/>
                <w:b/>
                <w:bCs/>
                <w:sz w:val="18"/>
                <w:szCs w:val="18"/>
                <w:lang w:val="en-GB"/>
              </w:rPr>
              <w:t>Activities</w:t>
            </w:r>
          </w:p>
        </w:tc>
        <w:tc>
          <w:tcPr>
            <w:tcW w:w="1790" w:type="dxa"/>
            <w:tcBorders>
              <w:bottom w:val="single" w:sz="6" w:space="0" w:color="808080" w:themeColor="background1" w:themeShade="80"/>
            </w:tcBorders>
            <w:shd w:val="clear" w:color="auto" w:fill="FFFFFF" w:themeFill="background1"/>
            <w:vAlign w:val="center"/>
          </w:tcPr>
          <w:p w14:paraId="469DB852" w14:textId="77777777" w:rsidR="009D2C5E" w:rsidRPr="00524289" w:rsidRDefault="009D2C5E" w:rsidP="00A462D7">
            <w:pPr>
              <w:jc w:val="both"/>
              <w:rPr>
                <w:rFonts w:ascii="Arial" w:hAnsi="Arial"/>
                <w:b/>
                <w:bCs/>
                <w:sz w:val="18"/>
                <w:szCs w:val="18"/>
                <w:lang w:val="en-GB"/>
              </w:rPr>
            </w:pPr>
            <w:r w:rsidRPr="00524289">
              <w:rPr>
                <w:rFonts w:ascii="Arial" w:hAnsi="Arial"/>
                <w:b/>
                <w:bCs/>
                <w:sz w:val="18"/>
                <w:szCs w:val="18"/>
                <w:lang w:val="en-GB"/>
              </w:rPr>
              <w:t>Locations</w:t>
            </w:r>
          </w:p>
        </w:tc>
        <w:tc>
          <w:tcPr>
            <w:tcW w:w="3897" w:type="dxa"/>
            <w:tcBorders>
              <w:bottom w:val="single" w:sz="6" w:space="0" w:color="808080" w:themeColor="background1" w:themeShade="80"/>
            </w:tcBorders>
            <w:shd w:val="clear" w:color="auto" w:fill="FFFFFF" w:themeFill="background1"/>
            <w:vAlign w:val="center"/>
          </w:tcPr>
          <w:p w14:paraId="2BB506CB" w14:textId="77777777" w:rsidR="009D2C5E" w:rsidRPr="00524289" w:rsidRDefault="009D2C5E" w:rsidP="00A462D7">
            <w:pPr>
              <w:jc w:val="both"/>
              <w:rPr>
                <w:rFonts w:ascii="Arial" w:hAnsi="Arial"/>
                <w:b/>
                <w:bCs/>
                <w:noProof/>
                <w:sz w:val="18"/>
                <w:szCs w:val="18"/>
                <w:lang w:val="en-GB" w:eastAsia="en-GB"/>
              </w:rPr>
            </w:pPr>
            <w:r w:rsidRPr="00524289">
              <w:rPr>
                <w:rFonts w:ascii="Arial" w:hAnsi="Arial"/>
                <w:b/>
                <w:bCs/>
                <w:sz w:val="18"/>
                <w:szCs w:val="18"/>
                <w:lang w:val="en-GB"/>
              </w:rPr>
              <w:t>Indicator</w:t>
            </w:r>
          </w:p>
        </w:tc>
        <w:tc>
          <w:tcPr>
            <w:tcW w:w="1291" w:type="dxa"/>
            <w:tcBorders>
              <w:bottom w:val="single" w:sz="6" w:space="0" w:color="808080" w:themeColor="background1" w:themeShade="80"/>
            </w:tcBorders>
            <w:shd w:val="clear" w:color="auto" w:fill="FFFFFF" w:themeFill="background1"/>
            <w:vAlign w:val="center"/>
          </w:tcPr>
          <w:p w14:paraId="5AD26DE4" w14:textId="77777777" w:rsidR="009D2C5E" w:rsidRPr="00524289" w:rsidRDefault="009D2C5E" w:rsidP="00A462D7">
            <w:pPr>
              <w:jc w:val="both"/>
              <w:rPr>
                <w:rFonts w:ascii="Arial" w:hAnsi="Arial"/>
                <w:b/>
                <w:bCs/>
                <w:sz w:val="18"/>
                <w:szCs w:val="18"/>
                <w:lang w:val="en-GB"/>
              </w:rPr>
            </w:pPr>
            <w:r w:rsidRPr="00524289">
              <w:rPr>
                <w:rFonts w:ascii="Arial" w:hAnsi="Arial"/>
                <w:b/>
                <w:bCs/>
                <w:sz w:val="18"/>
                <w:szCs w:val="18"/>
                <w:lang w:val="en-GB"/>
              </w:rPr>
              <w:t xml:space="preserve">Baseline </w:t>
            </w:r>
          </w:p>
        </w:tc>
        <w:tc>
          <w:tcPr>
            <w:tcW w:w="1684" w:type="dxa"/>
            <w:tcBorders>
              <w:bottom w:val="single" w:sz="6" w:space="0" w:color="808080" w:themeColor="background1" w:themeShade="80"/>
            </w:tcBorders>
            <w:shd w:val="clear" w:color="auto" w:fill="FFFFFF" w:themeFill="background1"/>
            <w:vAlign w:val="center"/>
          </w:tcPr>
          <w:p w14:paraId="55CE9CFE" w14:textId="77777777" w:rsidR="009D2C5E" w:rsidRPr="00524289" w:rsidRDefault="009D2C5E" w:rsidP="00A462D7">
            <w:pPr>
              <w:jc w:val="both"/>
              <w:rPr>
                <w:rFonts w:ascii="Arial" w:hAnsi="Arial"/>
                <w:b/>
                <w:bCs/>
                <w:sz w:val="18"/>
                <w:szCs w:val="18"/>
                <w:lang w:val="en-GB"/>
              </w:rPr>
            </w:pPr>
            <w:r w:rsidRPr="00524289">
              <w:rPr>
                <w:rFonts w:ascii="Arial" w:hAnsi="Arial"/>
                <w:b/>
                <w:bCs/>
                <w:sz w:val="18"/>
                <w:szCs w:val="18"/>
                <w:lang w:val="en-GB"/>
              </w:rPr>
              <w:t>Target</w:t>
            </w:r>
          </w:p>
        </w:tc>
      </w:tr>
      <w:tr w:rsidR="009D2C5E" w:rsidRPr="00524289" w14:paraId="75CA92E2" w14:textId="77777777" w:rsidTr="00267353">
        <w:trPr>
          <w:trHeight w:val="845"/>
          <w:jc w:val="center"/>
        </w:trPr>
        <w:tc>
          <w:tcPr>
            <w:tcW w:w="1544"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5890DE1E" w14:textId="77777777" w:rsidR="009D2C5E" w:rsidRPr="0059683A" w:rsidRDefault="008B62A4" w:rsidP="00A462D7">
            <w:pPr>
              <w:numPr>
                <w:ilvl w:val="0"/>
                <w:numId w:val="1"/>
              </w:numPr>
              <w:ind w:left="142" w:hanging="142"/>
              <w:jc w:val="both"/>
              <w:rPr>
                <w:rFonts w:ascii="Arial" w:hAnsi="Arial"/>
                <w:color w:val="595959" w:themeColor="text1" w:themeTint="A6"/>
                <w:sz w:val="18"/>
                <w:szCs w:val="20"/>
                <w:lang w:val="en-GB"/>
              </w:rPr>
            </w:pPr>
            <w:r>
              <w:rPr>
                <w:rFonts w:ascii="Arial" w:hAnsi="Arial"/>
                <w:color w:val="595959" w:themeColor="text1" w:themeTint="A6"/>
                <w:sz w:val="18"/>
                <w:szCs w:val="16"/>
                <w:lang w:val="en-GB"/>
              </w:rPr>
              <w:lastRenderedPageBreak/>
              <w:t xml:space="preserve">Provide protracted IDPs with </w:t>
            </w:r>
            <w:r w:rsidR="0073658B">
              <w:rPr>
                <w:rFonts w:ascii="Arial" w:hAnsi="Arial"/>
                <w:color w:val="595959" w:themeColor="text1" w:themeTint="A6"/>
                <w:sz w:val="18"/>
                <w:szCs w:val="16"/>
                <w:lang w:val="en-GB"/>
              </w:rPr>
              <w:t xml:space="preserve">relevant </w:t>
            </w:r>
            <w:r>
              <w:rPr>
                <w:rFonts w:ascii="Arial" w:hAnsi="Arial"/>
                <w:color w:val="595959" w:themeColor="text1" w:themeTint="A6"/>
                <w:sz w:val="18"/>
                <w:szCs w:val="16"/>
                <w:lang w:val="en-GB"/>
              </w:rPr>
              <w:t xml:space="preserve">shelter </w:t>
            </w:r>
            <w:r w:rsidR="0059683A">
              <w:rPr>
                <w:rFonts w:ascii="Arial" w:hAnsi="Arial"/>
                <w:color w:val="595959" w:themeColor="text1" w:themeTint="A6"/>
                <w:sz w:val="18"/>
                <w:szCs w:val="16"/>
                <w:lang w:val="en-GB"/>
              </w:rPr>
              <w:t>and non-food item</w:t>
            </w:r>
          </w:p>
        </w:tc>
        <w:tc>
          <w:tcPr>
            <w:tcW w:w="1790"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48A6161D" w14:textId="77777777" w:rsidR="009D2C5E" w:rsidRPr="00524289" w:rsidRDefault="008B62A4" w:rsidP="00A462D7">
            <w:pPr>
              <w:jc w:val="both"/>
              <w:rPr>
                <w:rFonts w:ascii="Arial" w:hAnsi="Arial"/>
                <w:color w:val="595959" w:themeColor="text1" w:themeTint="A6"/>
                <w:sz w:val="18"/>
                <w:szCs w:val="16"/>
                <w:lang w:val="en-GB"/>
              </w:rPr>
            </w:pPr>
            <w:r>
              <w:rPr>
                <w:rFonts w:ascii="Arial" w:hAnsi="Arial"/>
                <w:color w:val="595959" w:themeColor="text1" w:themeTint="A6"/>
                <w:sz w:val="18"/>
                <w:szCs w:val="16"/>
                <w:lang w:val="en-GB"/>
              </w:rPr>
              <w:t>ALL SOMALIA</w:t>
            </w:r>
          </w:p>
        </w:tc>
        <w:tc>
          <w:tcPr>
            <w:tcW w:w="3897" w:type="dxa"/>
            <w:tcBorders>
              <w:top w:val="single" w:sz="6" w:space="0" w:color="808080" w:themeColor="background1" w:themeShade="80"/>
              <w:bottom w:val="single" w:sz="4" w:space="0" w:color="D9D9D9" w:themeColor="background1" w:themeShade="D9"/>
            </w:tcBorders>
            <w:shd w:val="clear" w:color="auto" w:fill="FFFFFF" w:themeFill="background1"/>
          </w:tcPr>
          <w:p w14:paraId="26AB41FC" w14:textId="77777777" w:rsidR="009D2C5E" w:rsidRPr="00524289" w:rsidRDefault="008B62A4" w:rsidP="00A462D7">
            <w:pPr>
              <w:ind w:left="142"/>
              <w:jc w:val="both"/>
              <w:rPr>
                <w:rFonts w:ascii="Arial" w:hAnsi="Arial"/>
                <w:color w:val="595959" w:themeColor="text1" w:themeTint="A6"/>
                <w:sz w:val="18"/>
                <w:szCs w:val="16"/>
                <w:lang w:val="en-GB"/>
              </w:rPr>
            </w:pPr>
            <w:proofErr w:type="spellStart"/>
            <w:r>
              <w:rPr>
                <w:rFonts w:ascii="Arial" w:hAnsi="Arial" w:cs="Times New Roman"/>
                <w:color w:val="595959" w:themeColor="text1" w:themeTint="A6"/>
                <w:sz w:val="18"/>
                <w:szCs w:val="18"/>
                <w:lang w:val="en-GB" w:eastAsia="zh-TW"/>
              </w:rPr>
              <w:t>Nr</w:t>
            </w:r>
            <w:proofErr w:type="spellEnd"/>
            <w:r>
              <w:rPr>
                <w:rFonts w:ascii="Arial" w:hAnsi="Arial" w:cs="Times New Roman"/>
                <w:color w:val="595959" w:themeColor="text1" w:themeTint="A6"/>
                <w:sz w:val="18"/>
                <w:szCs w:val="18"/>
                <w:lang w:val="en-GB" w:eastAsia="zh-TW"/>
              </w:rPr>
              <w:t xml:space="preserve"> of </w:t>
            </w:r>
            <w:r w:rsidR="005F6EB7">
              <w:rPr>
                <w:rFonts w:ascii="Arial" w:hAnsi="Arial" w:cs="Times New Roman"/>
                <w:color w:val="595959" w:themeColor="text1" w:themeTint="A6"/>
                <w:sz w:val="18"/>
                <w:szCs w:val="18"/>
                <w:lang w:val="en-GB" w:eastAsia="zh-TW"/>
              </w:rPr>
              <w:t xml:space="preserve">protracted IDPs </w:t>
            </w:r>
            <w:r>
              <w:rPr>
                <w:rFonts w:ascii="Arial" w:hAnsi="Arial" w:cs="Times New Roman"/>
                <w:color w:val="595959" w:themeColor="text1" w:themeTint="A6"/>
                <w:sz w:val="18"/>
                <w:szCs w:val="18"/>
                <w:lang w:val="en-GB" w:eastAsia="zh-TW"/>
              </w:rPr>
              <w:t>that have received transitional shelter</w:t>
            </w:r>
          </w:p>
          <w:p w14:paraId="130F2629" w14:textId="77777777" w:rsidR="009D2C5E" w:rsidRPr="00524289" w:rsidRDefault="009D2C5E" w:rsidP="00A462D7">
            <w:pPr>
              <w:ind w:left="142"/>
              <w:jc w:val="both"/>
              <w:rPr>
                <w:rFonts w:ascii="Arial" w:hAnsi="Arial"/>
                <w:color w:val="595959" w:themeColor="text1" w:themeTint="A6"/>
                <w:sz w:val="18"/>
                <w:szCs w:val="16"/>
                <w:lang w:val="en-GB"/>
              </w:rPr>
            </w:pPr>
          </w:p>
          <w:p w14:paraId="47379C8E" w14:textId="77777777" w:rsidR="009D2C5E" w:rsidRPr="0059683A" w:rsidRDefault="008B62A4" w:rsidP="0059683A">
            <w:pPr>
              <w:numPr>
                <w:ilvl w:val="0"/>
                <w:numId w:val="1"/>
              </w:numPr>
              <w:ind w:left="142" w:hanging="142"/>
              <w:jc w:val="both"/>
              <w:rPr>
                <w:rFonts w:ascii="Arial" w:hAnsi="Arial"/>
                <w:color w:val="595959" w:themeColor="text1" w:themeTint="A6"/>
                <w:sz w:val="18"/>
                <w:szCs w:val="16"/>
                <w:lang w:val="da-DK"/>
              </w:rPr>
            </w:pPr>
            <w:r>
              <w:rPr>
                <w:rFonts w:ascii="Arial" w:eastAsia="PMingLiU" w:hAnsi="Arial" w:cs="Times New Roman"/>
                <w:color w:val="595959" w:themeColor="text1" w:themeTint="A6"/>
                <w:sz w:val="18"/>
                <w:szCs w:val="18"/>
                <w:lang w:val="da-DK" w:eastAsia="zh-TW"/>
              </w:rPr>
              <w:t>Nr of protracted IDP</w:t>
            </w:r>
            <w:r w:rsidR="005F6EB7">
              <w:rPr>
                <w:rFonts w:ascii="Arial" w:eastAsia="PMingLiU" w:hAnsi="Arial" w:cs="Times New Roman"/>
                <w:color w:val="595959" w:themeColor="text1" w:themeTint="A6"/>
                <w:sz w:val="18"/>
                <w:szCs w:val="18"/>
                <w:lang w:val="da-DK" w:eastAsia="zh-TW"/>
              </w:rPr>
              <w:t>s</w:t>
            </w:r>
            <w:r>
              <w:rPr>
                <w:rFonts w:ascii="Arial" w:eastAsia="PMingLiU" w:hAnsi="Arial" w:cs="Times New Roman"/>
                <w:color w:val="595959" w:themeColor="text1" w:themeTint="A6"/>
                <w:sz w:val="18"/>
                <w:szCs w:val="18"/>
                <w:lang w:val="da-DK" w:eastAsia="zh-TW"/>
              </w:rPr>
              <w:t xml:space="preserve"> that have received non-food items through direct distribution, vouchers or cash mechanisms.</w:t>
            </w:r>
          </w:p>
        </w:tc>
        <w:tc>
          <w:tcPr>
            <w:tcW w:w="1291" w:type="dxa"/>
            <w:tcBorders>
              <w:top w:val="single" w:sz="6" w:space="0" w:color="808080" w:themeColor="background1" w:themeShade="80"/>
              <w:bottom w:val="single" w:sz="4" w:space="0" w:color="D9D9D9" w:themeColor="background1" w:themeShade="D9"/>
            </w:tcBorders>
            <w:shd w:val="clear" w:color="auto" w:fill="FFFFFF" w:themeFill="background1"/>
          </w:tcPr>
          <w:p w14:paraId="3B7DCD20" w14:textId="77777777" w:rsidR="009D2C5E" w:rsidRPr="00524289" w:rsidRDefault="00FA7A09" w:rsidP="00A462D7">
            <w:pPr>
              <w:jc w:val="both"/>
              <w:rPr>
                <w:rFonts w:ascii="Arial" w:hAnsi="Arial" w:cs="Times New Roman"/>
                <w:color w:val="808080" w:themeColor="background1" w:themeShade="80"/>
                <w:sz w:val="18"/>
                <w:szCs w:val="16"/>
                <w:lang w:val="en-GB" w:eastAsia="zh-TW"/>
              </w:rPr>
            </w:pPr>
            <w:r>
              <w:rPr>
                <w:rFonts w:ascii="Arial" w:hAnsi="Arial"/>
                <w:color w:val="808080" w:themeColor="background1" w:themeShade="80"/>
                <w:sz w:val="18"/>
                <w:szCs w:val="16"/>
              </w:rPr>
              <w:t>900,000</w:t>
            </w:r>
            <w:r w:rsidR="00647853">
              <w:rPr>
                <w:rStyle w:val="FootnoteReference"/>
                <w:rFonts w:ascii="Arial" w:hAnsi="Arial"/>
                <w:color w:val="808080" w:themeColor="background1" w:themeShade="80"/>
                <w:sz w:val="18"/>
                <w:szCs w:val="16"/>
              </w:rPr>
              <w:footnoteReference w:id="17"/>
            </w:r>
          </w:p>
          <w:p w14:paraId="643320C9" w14:textId="77777777" w:rsidR="009D2C5E" w:rsidRPr="00524289" w:rsidRDefault="009D2C5E" w:rsidP="00A462D7">
            <w:pPr>
              <w:jc w:val="both"/>
              <w:rPr>
                <w:rFonts w:ascii="Arial" w:hAnsi="Arial"/>
                <w:color w:val="808080" w:themeColor="background1" w:themeShade="80"/>
                <w:sz w:val="18"/>
                <w:szCs w:val="16"/>
              </w:rPr>
            </w:pPr>
          </w:p>
          <w:p w14:paraId="187DA8E5" w14:textId="77777777" w:rsidR="009D2C5E" w:rsidRPr="00524289" w:rsidRDefault="009D2C5E" w:rsidP="00A462D7">
            <w:pPr>
              <w:jc w:val="both"/>
              <w:rPr>
                <w:rFonts w:ascii="Arial" w:hAnsi="Arial"/>
                <w:color w:val="808080" w:themeColor="background1" w:themeShade="80"/>
                <w:sz w:val="18"/>
                <w:szCs w:val="16"/>
              </w:rPr>
            </w:pPr>
          </w:p>
          <w:p w14:paraId="27C525EB" w14:textId="77777777" w:rsidR="009D2C5E" w:rsidRPr="00524289" w:rsidRDefault="00FA7A09"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900,00</w:t>
            </w:r>
            <w:r w:rsidR="0059683A">
              <w:rPr>
                <w:rFonts w:ascii="Arial" w:hAnsi="Arial"/>
                <w:color w:val="808080" w:themeColor="background1" w:themeShade="80"/>
                <w:sz w:val="18"/>
                <w:szCs w:val="16"/>
              </w:rPr>
              <w:t>0</w:t>
            </w:r>
          </w:p>
        </w:tc>
        <w:tc>
          <w:tcPr>
            <w:tcW w:w="1684" w:type="dxa"/>
            <w:tcBorders>
              <w:top w:val="single" w:sz="6" w:space="0" w:color="808080" w:themeColor="background1" w:themeShade="80"/>
              <w:bottom w:val="single" w:sz="4" w:space="0" w:color="D9D9D9" w:themeColor="background1" w:themeShade="D9"/>
            </w:tcBorders>
            <w:shd w:val="clear" w:color="auto" w:fill="FFFFFF" w:themeFill="background1"/>
          </w:tcPr>
          <w:p w14:paraId="514C8236" w14:textId="77777777" w:rsidR="009D2C5E" w:rsidRPr="00524289" w:rsidRDefault="00FA7A09"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TBC</w:t>
            </w:r>
          </w:p>
          <w:p w14:paraId="7F2C2349" w14:textId="77777777" w:rsidR="009D2C5E" w:rsidRPr="00524289" w:rsidRDefault="009D2C5E" w:rsidP="00A462D7">
            <w:pPr>
              <w:jc w:val="both"/>
              <w:rPr>
                <w:rFonts w:ascii="Arial" w:hAnsi="Arial"/>
                <w:color w:val="808080" w:themeColor="background1" w:themeShade="80"/>
                <w:sz w:val="18"/>
                <w:szCs w:val="16"/>
              </w:rPr>
            </w:pPr>
          </w:p>
          <w:p w14:paraId="5B52A745" w14:textId="77777777" w:rsidR="009D2C5E" w:rsidRPr="00524289" w:rsidRDefault="009D2C5E" w:rsidP="00A462D7">
            <w:pPr>
              <w:jc w:val="both"/>
              <w:rPr>
                <w:rFonts w:ascii="Arial" w:hAnsi="Arial"/>
                <w:color w:val="808080" w:themeColor="background1" w:themeShade="80"/>
                <w:sz w:val="18"/>
                <w:szCs w:val="16"/>
              </w:rPr>
            </w:pPr>
          </w:p>
          <w:p w14:paraId="0CE7F6BC" w14:textId="77777777" w:rsidR="00C412CB" w:rsidRDefault="00FA7A09"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TBC</w:t>
            </w:r>
          </w:p>
          <w:p w14:paraId="39F136A8" w14:textId="77777777" w:rsidR="009D2C5E" w:rsidRPr="00524289" w:rsidRDefault="009D2C5E" w:rsidP="00A462D7">
            <w:pPr>
              <w:jc w:val="both"/>
              <w:rPr>
                <w:rFonts w:ascii="Arial" w:hAnsi="Arial"/>
                <w:color w:val="808080" w:themeColor="background1" w:themeShade="80"/>
                <w:sz w:val="18"/>
                <w:szCs w:val="16"/>
              </w:rPr>
            </w:pPr>
          </w:p>
        </w:tc>
      </w:tr>
      <w:tr w:rsidR="009D2C5E" w:rsidRPr="00524289" w14:paraId="25E13A2C" w14:textId="77777777" w:rsidTr="00267353">
        <w:trPr>
          <w:trHeight w:val="733"/>
          <w:jc w:val="center"/>
        </w:trPr>
        <w:tc>
          <w:tcPr>
            <w:tcW w:w="1544"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7771EFB8" w14:textId="77777777" w:rsidR="009D2C5E" w:rsidRPr="00524289" w:rsidRDefault="008B62A4" w:rsidP="00A462D7">
            <w:pPr>
              <w:numPr>
                <w:ilvl w:val="0"/>
                <w:numId w:val="1"/>
              </w:numPr>
              <w:ind w:left="142" w:hanging="142"/>
              <w:jc w:val="both"/>
              <w:rPr>
                <w:rFonts w:ascii="Arial" w:hAnsi="Arial"/>
                <w:color w:val="595959" w:themeColor="text1" w:themeTint="A6"/>
                <w:sz w:val="18"/>
                <w:szCs w:val="20"/>
                <w:lang w:val="da-DK"/>
              </w:rPr>
            </w:pPr>
            <w:r>
              <w:rPr>
                <w:rFonts w:ascii="Arial" w:hAnsi="Arial"/>
                <w:color w:val="595959" w:themeColor="text1" w:themeTint="A6"/>
                <w:sz w:val="18"/>
                <w:szCs w:val="16"/>
                <w:lang w:val="da-DK"/>
              </w:rPr>
              <w:t>provide protracted IDPs with improved land tenure</w:t>
            </w:r>
            <w:r w:rsidR="009D2C5E" w:rsidRPr="00524289">
              <w:rPr>
                <w:rFonts w:ascii="Arial" w:hAnsi="Arial"/>
                <w:color w:val="595959" w:themeColor="text1" w:themeTint="A6"/>
                <w:sz w:val="18"/>
                <w:szCs w:val="16"/>
                <w:lang w:val="da-DK"/>
              </w:rPr>
              <w:t xml:space="preserve"> </w:t>
            </w:r>
          </w:p>
        </w:tc>
        <w:tc>
          <w:tcPr>
            <w:tcW w:w="1790"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69065D5A" w14:textId="77777777" w:rsidR="009D2C5E" w:rsidRPr="00524289" w:rsidRDefault="008B62A4" w:rsidP="00A462D7">
            <w:pPr>
              <w:jc w:val="both"/>
              <w:rPr>
                <w:rFonts w:ascii="Arial" w:hAnsi="Arial"/>
                <w:color w:val="595959" w:themeColor="text1" w:themeTint="A6"/>
                <w:sz w:val="18"/>
                <w:szCs w:val="16"/>
              </w:rPr>
            </w:pPr>
            <w:r>
              <w:rPr>
                <w:rFonts w:ascii="Arial" w:hAnsi="Arial"/>
                <w:color w:val="595959" w:themeColor="text1" w:themeTint="A6"/>
                <w:sz w:val="18"/>
                <w:szCs w:val="16"/>
                <w:lang w:val="en-GB"/>
              </w:rPr>
              <w:t>ALL SOMALIA</w:t>
            </w:r>
          </w:p>
        </w:tc>
        <w:tc>
          <w:tcPr>
            <w:tcW w:w="3897" w:type="dxa"/>
            <w:tcBorders>
              <w:top w:val="single" w:sz="4" w:space="0" w:color="D9D9D9" w:themeColor="background1" w:themeShade="D9"/>
              <w:bottom w:val="single" w:sz="4" w:space="0" w:color="D9D9D9" w:themeColor="background1" w:themeShade="D9"/>
            </w:tcBorders>
            <w:shd w:val="clear" w:color="auto" w:fill="FFFFFF" w:themeFill="background1"/>
          </w:tcPr>
          <w:p w14:paraId="34383B1C" w14:textId="77777777" w:rsidR="009D2C5E" w:rsidRPr="0059683A" w:rsidRDefault="00647853" w:rsidP="0059683A">
            <w:pPr>
              <w:numPr>
                <w:ilvl w:val="0"/>
                <w:numId w:val="1"/>
              </w:numPr>
              <w:ind w:left="142" w:hanging="142"/>
              <w:jc w:val="both"/>
              <w:rPr>
                <w:rFonts w:ascii="Arial" w:hAnsi="Arial"/>
                <w:color w:val="595959" w:themeColor="text1" w:themeTint="A6"/>
                <w:sz w:val="18"/>
                <w:szCs w:val="16"/>
                <w:lang w:val="en-GB"/>
              </w:rPr>
            </w:pPr>
            <w:r>
              <w:rPr>
                <w:rFonts w:ascii="Arial" w:hAnsi="Arial"/>
                <w:color w:val="595959" w:themeColor="text1" w:themeTint="A6"/>
                <w:sz w:val="18"/>
                <w:szCs w:val="16"/>
                <w:lang w:val="en-GB"/>
              </w:rPr>
              <w:t xml:space="preserve">% </w:t>
            </w:r>
            <w:r w:rsidR="005F6EB7">
              <w:rPr>
                <w:rFonts w:ascii="Arial" w:hAnsi="Arial"/>
                <w:color w:val="595959" w:themeColor="text1" w:themeTint="A6"/>
                <w:sz w:val="18"/>
                <w:szCs w:val="16"/>
                <w:lang w:val="en-GB"/>
              </w:rPr>
              <w:t>of protracted IDP households</w:t>
            </w:r>
            <w:r w:rsidR="0059683A">
              <w:rPr>
                <w:rFonts w:ascii="Arial" w:hAnsi="Arial"/>
                <w:color w:val="595959" w:themeColor="text1" w:themeTint="A6"/>
                <w:sz w:val="18"/>
                <w:szCs w:val="16"/>
                <w:lang w:val="en-GB"/>
              </w:rPr>
              <w:t xml:space="preserve"> served</w:t>
            </w:r>
            <w:r w:rsidR="005F6EB7">
              <w:rPr>
                <w:rFonts w:ascii="Arial" w:hAnsi="Arial"/>
                <w:color w:val="595959" w:themeColor="text1" w:themeTint="A6"/>
                <w:sz w:val="18"/>
                <w:szCs w:val="16"/>
                <w:lang w:val="en-GB"/>
              </w:rPr>
              <w:t xml:space="preserve"> that have improved land tenure.</w:t>
            </w:r>
          </w:p>
        </w:tc>
        <w:tc>
          <w:tcPr>
            <w:tcW w:w="1291" w:type="dxa"/>
            <w:tcBorders>
              <w:top w:val="single" w:sz="4" w:space="0" w:color="D9D9D9" w:themeColor="background1" w:themeShade="D9"/>
              <w:bottom w:val="single" w:sz="4" w:space="0" w:color="D9D9D9" w:themeColor="background1" w:themeShade="D9"/>
            </w:tcBorders>
            <w:shd w:val="clear" w:color="auto" w:fill="FFFFFF" w:themeFill="background1"/>
          </w:tcPr>
          <w:p w14:paraId="6C406CD9" w14:textId="77777777" w:rsidR="00647853" w:rsidRDefault="00647853"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Unknown</w:t>
            </w:r>
          </w:p>
          <w:p w14:paraId="7E9CAC33" w14:textId="77777777" w:rsidR="009D2C5E" w:rsidRPr="00524289" w:rsidRDefault="009D2C5E" w:rsidP="00A462D7">
            <w:pPr>
              <w:jc w:val="both"/>
              <w:rPr>
                <w:rFonts w:ascii="Arial" w:hAnsi="Arial" w:cs="Times New Roman"/>
                <w:color w:val="808080" w:themeColor="background1" w:themeShade="80"/>
                <w:sz w:val="18"/>
                <w:szCs w:val="16"/>
                <w:lang w:val="en-GB" w:eastAsia="zh-TW"/>
              </w:rPr>
            </w:pPr>
          </w:p>
          <w:p w14:paraId="5B872BF8" w14:textId="77777777" w:rsidR="009D2C5E" w:rsidRPr="00524289" w:rsidRDefault="009D2C5E" w:rsidP="00A462D7">
            <w:pPr>
              <w:jc w:val="both"/>
              <w:rPr>
                <w:rFonts w:ascii="Arial" w:hAnsi="Arial"/>
                <w:color w:val="808080" w:themeColor="background1" w:themeShade="80"/>
                <w:sz w:val="18"/>
                <w:szCs w:val="16"/>
              </w:rPr>
            </w:pPr>
          </w:p>
        </w:tc>
        <w:tc>
          <w:tcPr>
            <w:tcW w:w="1684" w:type="dxa"/>
            <w:tcBorders>
              <w:top w:val="single" w:sz="4" w:space="0" w:color="D9D9D9" w:themeColor="background1" w:themeShade="D9"/>
              <w:bottom w:val="single" w:sz="4" w:space="0" w:color="D9D9D9" w:themeColor="background1" w:themeShade="D9"/>
            </w:tcBorders>
            <w:shd w:val="clear" w:color="auto" w:fill="FFFFFF" w:themeFill="background1"/>
          </w:tcPr>
          <w:p w14:paraId="6BAEA447" w14:textId="77777777" w:rsidR="009D2C5E" w:rsidRPr="00524289" w:rsidRDefault="00C412CB"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85%</w:t>
            </w:r>
          </w:p>
        </w:tc>
      </w:tr>
      <w:tr w:rsidR="009D2C5E" w:rsidRPr="00524289" w14:paraId="20FBADCA" w14:textId="77777777" w:rsidTr="00267353">
        <w:trPr>
          <w:trHeight w:val="733"/>
          <w:jc w:val="center"/>
        </w:trPr>
        <w:tc>
          <w:tcPr>
            <w:tcW w:w="1544"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4C815F8F" w14:textId="77777777" w:rsidR="009D2C5E" w:rsidRPr="00A462D7" w:rsidRDefault="005F6EB7" w:rsidP="00A462D7">
            <w:pPr>
              <w:pStyle w:val="ListParagraph"/>
              <w:numPr>
                <w:ilvl w:val="0"/>
                <w:numId w:val="3"/>
              </w:numPr>
              <w:ind w:left="173" w:hanging="173"/>
              <w:jc w:val="both"/>
              <w:rPr>
                <w:rFonts w:ascii="Arial" w:hAnsi="Arial"/>
                <w:color w:val="595959" w:themeColor="text1" w:themeTint="A6"/>
                <w:sz w:val="18"/>
                <w:szCs w:val="16"/>
                <w:lang w:val="da-DK"/>
              </w:rPr>
            </w:pPr>
            <w:r w:rsidRPr="00A462D7">
              <w:rPr>
                <w:rFonts w:ascii="Arial" w:hAnsi="Arial"/>
                <w:color w:val="595959" w:themeColor="text1" w:themeTint="A6"/>
                <w:sz w:val="18"/>
                <w:szCs w:val="16"/>
                <w:lang w:val="da-DK"/>
              </w:rPr>
              <w:t xml:space="preserve">Ensure that settlements are planned with basic services </w:t>
            </w:r>
            <w:r w:rsidR="000A2795">
              <w:rPr>
                <w:rFonts w:ascii="Arial" w:hAnsi="Arial"/>
                <w:color w:val="595959" w:themeColor="text1" w:themeTint="A6"/>
                <w:sz w:val="18"/>
                <w:szCs w:val="16"/>
                <w:lang w:val="da-DK"/>
              </w:rPr>
              <w:t xml:space="preserve">to </w:t>
            </w:r>
            <w:r w:rsidRPr="00A462D7">
              <w:rPr>
                <w:rFonts w:ascii="Arial" w:hAnsi="Arial"/>
                <w:color w:val="595959" w:themeColor="text1" w:themeTint="A6"/>
                <w:sz w:val="18"/>
                <w:szCs w:val="16"/>
                <w:lang w:val="da-DK"/>
              </w:rPr>
              <w:t>mitigate the risks of fire and outbreaks.</w:t>
            </w:r>
          </w:p>
        </w:tc>
        <w:tc>
          <w:tcPr>
            <w:tcW w:w="1790"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1A3BC5EC" w14:textId="77777777" w:rsidR="009D2C5E" w:rsidRPr="00524289" w:rsidRDefault="000A2795" w:rsidP="00A462D7">
            <w:pPr>
              <w:jc w:val="both"/>
              <w:rPr>
                <w:rFonts w:ascii="Arial" w:hAnsi="Arial"/>
                <w:color w:val="595959" w:themeColor="text1" w:themeTint="A6"/>
                <w:sz w:val="18"/>
                <w:szCs w:val="16"/>
              </w:rPr>
            </w:pPr>
            <w:r>
              <w:rPr>
                <w:rFonts w:ascii="Arial" w:hAnsi="Arial"/>
                <w:color w:val="595959" w:themeColor="text1" w:themeTint="A6"/>
                <w:sz w:val="18"/>
                <w:szCs w:val="16"/>
                <w:lang w:val="en-GB"/>
              </w:rPr>
              <w:t>ALL SOMALIA</w:t>
            </w:r>
          </w:p>
        </w:tc>
        <w:tc>
          <w:tcPr>
            <w:tcW w:w="3897" w:type="dxa"/>
            <w:tcBorders>
              <w:top w:val="single" w:sz="4" w:space="0" w:color="D9D9D9" w:themeColor="background1" w:themeShade="D9"/>
              <w:bottom w:val="single" w:sz="4" w:space="0" w:color="D9D9D9" w:themeColor="background1" w:themeShade="D9"/>
            </w:tcBorders>
            <w:shd w:val="clear" w:color="auto" w:fill="FFFFFF" w:themeFill="background1"/>
          </w:tcPr>
          <w:p w14:paraId="0224A177" w14:textId="77777777" w:rsidR="009D2C5E" w:rsidRPr="00A462D7" w:rsidRDefault="000A2795" w:rsidP="00A462D7">
            <w:pPr>
              <w:numPr>
                <w:ilvl w:val="0"/>
                <w:numId w:val="1"/>
              </w:numPr>
              <w:ind w:left="142" w:hanging="142"/>
              <w:jc w:val="both"/>
              <w:rPr>
                <w:rFonts w:ascii="Arial" w:hAnsi="Arial"/>
                <w:color w:val="595959" w:themeColor="text1" w:themeTint="A6"/>
                <w:sz w:val="18"/>
                <w:szCs w:val="16"/>
                <w:lang w:val="da-DK"/>
              </w:rPr>
            </w:pPr>
            <w:r>
              <w:rPr>
                <w:rFonts w:ascii="Arial" w:hAnsi="Arial"/>
                <w:color w:val="595959" w:themeColor="text1" w:themeTint="A6"/>
                <w:sz w:val="18"/>
                <w:szCs w:val="16"/>
                <w:lang w:val="en-GB"/>
              </w:rPr>
              <w:t>% of transitional shelter projects that have received site planning</w:t>
            </w:r>
            <w:r w:rsidR="00522533">
              <w:rPr>
                <w:rFonts w:ascii="Arial" w:hAnsi="Arial"/>
                <w:color w:val="595959" w:themeColor="text1" w:themeTint="A6"/>
                <w:sz w:val="18"/>
                <w:szCs w:val="16"/>
                <w:lang w:val="en-GB"/>
              </w:rPr>
              <w:t xml:space="preserve"> support</w:t>
            </w:r>
            <w:r>
              <w:rPr>
                <w:rFonts w:ascii="Arial" w:hAnsi="Arial"/>
                <w:color w:val="595959" w:themeColor="text1" w:themeTint="A6"/>
                <w:sz w:val="18"/>
                <w:szCs w:val="16"/>
                <w:lang w:val="en-GB"/>
              </w:rPr>
              <w:t>.</w:t>
            </w:r>
          </w:p>
          <w:p w14:paraId="52530495" w14:textId="77777777" w:rsidR="00DB1D34" w:rsidRDefault="00DB1D34" w:rsidP="00A462D7">
            <w:pPr>
              <w:jc w:val="both"/>
              <w:rPr>
                <w:rFonts w:ascii="Arial" w:hAnsi="Arial"/>
                <w:color w:val="595959" w:themeColor="text1" w:themeTint="A6"/>
                <w:sz w:val="18"/>
                <w:szCs w:val="16"/>
                <w:lang w:val="da-DK"/>
              </w:rPr>
            </w:pPr>
          </w:p>
          <w:p w14:paraId="55E3A45E" w14:textId="77777777" w:rsidR="00DB1D34" w:rsidRPr="00524289" w:rsidRDefault="003E2D7B" w:rsidP="00A462D7">
            <w:pPr>
              <w:numPr>
                <w:ilvl w:val="0"/>
                <w:numId w:val="1"/>
              </w:numPr>
              <w:ind w:left="142" w:hanging="142"/>
              <w:jc w:val="both"/>
              <w:rPr>
                <w:rFonts w:ascii="Arial" w:hAnsi="Arial"/>
                <w:color w:val="595959" w:themeColor="text1" w:themeTint="A6"/>
                <w:sz w:val="18"/>
                <w:szCs w:val="16"/>
                <w:lang w:val="da-DK"/>
              </w:rPr>
            </w:pPr>
            <w:r>
              <w:rPr>
                <w:rFonts w:ascii="Arial" w:hAnsi="Arial"/>
                <w:color w:val="595959" w:themeColor="text1" w:themeTint="A6"/>
                <w:sz w:val="18"/>
                <w:szCs w:val="16"/>
                <w:lang w:val="da-DK"/>
              </w:rPr>
              <w:t>% of IDP settlement basic services mapped out.</w:t>
            </w:r>
          </w:p>
        </w:tc>
        <w:tc>
          <w:tcPr>
            <w:tcW w:w="1291" w:type="dxa"/>
            <w:tcBorders>
              <w:top w:val="single" w:sz="4" w:space="0" w:color="D9D9D9" w:themeColor="background1" w:themeShade="D9"/>
              <w:bottom w:val="single" w:sz="4" w:space="0" w:color="D9D9D9" w:themeColor="background1" w:themeShade="D9"/>
            </w:tcBorders>
            <w:shd w:val="clear" w:color="auto" w:fill="FFFFFF" w:themeFill="background1"/>
          </w:tcPr>
          <w:p w14:paraId="19258BA2" w14:textId="77777777" w:rsidR="009D2C5E" w:rsidRPr="00524289" w:rsidRDefault="00647853" w:rsidP="00A462D7">
            <w:pPr>
              <w:jc w:val="both"/>
              <w:rPr>
                <w:rFonts w:ascii="Arial" w:hAnsi="Arial" w:cs="Times New Roman"/>
                <w:color w:val="808080" w:themeColor="background1" w:themeShade="80"/>
                <w:sz w:val="18"/>
                <w:szCs w:val="16"/>
                <w:lang w:val="en-GB" w:eastAsia="zh-TW"/>
              </w:rPr>
            </w:pPr>
            <w:r>
              <w:rPr>
                <w:rFonts w:ascii="Arial" w:hAnsi="Arial"/>
                <w:color w:val="808080" w:themeColor="background1" w:themeShade="80"/>
                <w:sz w:val="18"/>
                <w:szCs w:val="16"/>
              </w:rPr>
              <w:t>Unknown</w:t>
            </w:r>
          </w:p>
          <w:p w14:paraId="506A8564" w14:textId="77777777" w:rsidR="009D2C5E" w:rsidRPr="00524289" w:rsidRDefault="009D2C5E" w:rsidP="00A462D7">
            <w:pPr>
              <w:jc w:val="both"/>
              <w:rPr>
                <w:rFonts w:ascii="Arial" w:hAnsi="Arial"/>
                <w:color w:val="808080" w:themeColor="background1" w:themeShade="80"/>
                <w:sz w:val="18"/>
                <w:szCs w:val="16"/>
              </w:rPr>
            </w:pPr>
          </w:p>
          <w:p w14:paraId="218C285E" w14:textId="77777777" w:rsidR="009D2C5E" w:rsidRPr="00524289" w:rsidRDefault="009D2C5E" w:rsidP="00A462D7">
            <w:pPr>
              <w:jc w:val="both"/>
              <w:rPr>
                <w:rFonts w:ascii="Arial" w:hAnsi="Arial"/>
                <w:color w:val="808080" w:themeColor="background1" w:themeShade="80"/>
                <w:sz w:val="18"/>
                <w:szCs w:val="16"/>
              </w:rPr>
            </w:pPr>
          </w:p>
          <w:p w14:paraId="18F56C3A" w14:textId="77777777" w:rsidR="009D2C5E" w:rsidRPr="00524289" w:rsidRDefault="00647853"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60%</w:t>
            </w:r>
            <w:r>
              <w:rPr>
                <w:rStyle w:val="FootnoteReference"/>
                <w:rFonts w:ascii="Arial" w:hAnsi="Arial"/>
                <w:color w:val="808080" w:themeColor="background1" w:themeShade="80"/>
                <w:sz w:val="18"/>
                <w:szCs w:val="16"/>
              </w:rPr>
              <w:footnoteReference w:id="18"/>
            </w:r>
          </w:p>
        </w:tc>
        <w:tc>
          <w:tcPr>
            <w:tcW w:w="1684" w:type="dxa"/>
            <w:tcBorders>
              <w:top w:val="single" w:sz="4" w:space="0" w:color="D9D9D9" w:themeColor="background1" w:themeShade="D9"/>
              <w:bottom w:val="single" w:sz="4" w:space="0" w:color="D9D9D9" w:themeColor="background1" w:themeShade="D9"/>
            </w:tcBorders>
            <w:shd w:val="clear" w:color="auto" w:fill="FFFFFF" w:themeFill="background1"/>
          </w:tcPr>
          <w:p w14:paraId="1A45AAE4" w14:textId="77777777" w:rsidR="009D2C5E" w:rsidRPr="00524289" w:rsidRDefault="00C412CB"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85%</w:t>
            </w:r>
          </w:p>
          <w:p w14:paraId="7DB99AAE" w14:textId="77777777" w:rsidR="009D2C5E" w:rsidRPr="00524289" w:rsidRDefault="009D2C5E" w:rsidP="00A462D7">
            <w:pPr>
              <w:jc w:val="both"/>
              <w:rPr>
                <w:rFonts w:ascii="Arial" w:hAnsi="Arial"/>
                <w:color w:val="808080" w:themeColor="background1" w:themeShade="80"/>
                <w:sz w:val="18"/>
                <w:szCs w:val="16"/>
              </w:rPr>
            </w:pPr>
          </w:p>
          <w:p w14:paraId="54700BB5" w14:textId="77777777" w:rsidR="009D2C5E" w:rsidRPr="00524289" w:rsidRDefault="009D2C5E" w:rsidP="00A462D7">
            <w:pPr>
              <w:jc w:val="both"/>
              <w:rPr>
                <w:rFonts w:ascii="Arial" w:hAnsi="Arial"/>
                <w:color w:val="808080" w:themeColor="background1" w:themeShade="80"/>
                <w:sz w:val="18"/>
                <w:szCs w:val="16"/>
              </w:rPr>
            </w:pPr>
          </w:p>
          <w:p w14:paraId="697DFA64" w14:textId="77777777" w:rsidR="009D2C5E" w:rsidRPr="00524289" w:rsidRDefault="003E2D7B" w:rsidP="00A462D7">
            <w:pPr>
              <w:jc w:val="both"/>
              <w:rPr>
                <w:rFonts w:ascii="Arial" w:hAnsi="Arial"/>
                <w:color w:val="808080" w:themeColor="background1" w:themeShade="80"/>
                <w:sz w:val="18"/>
                <w:szCs w:val="16"/>
              </w:rPr>
            </w:pPr>
            <w:r>
              <w:rPr>
                <w:rFonts w:ascii="Arial" w:hAnsi="Arial"/>
                <w:color w:val="808080" w:themeColor="background1" w:themeShade="80"/>
                <w:sz w:val="18"/>
                <w:szCs w:val="16"/>
              </w:rPr>
              <w:t>100</w:t>
            </w:r>
            <w:r w:rsidR="00C412CB">
              <w:rPr>
                <w:rFonts w:ascii="Arial" w:hAnsi="Arial"/>
                <w:color w:val="808080" w:themeColor="background1" w:themeShade="80"/>
                <w:sz w:val="18"/>
                <w:szCs w:val="16"/>
              </w:rPr>
              <w:t>%</w:t>
            </w:r>
          </w:p>
        </w:tc>
      </w:tr>
    </w:tbl>
    <w:p w14:paraId="7246E197" w14:textId="77777777" w:rsidR="007B6A68" w:rsidRDefault="007B6A68" w:rsidP="00A462D7">
      <w:pPr>
        <w:spacing w:after="120" w:line="240" w:lineRule="auto"/>
        <w:jc w:val="both"/>
      </w:pPr>
    </w:p>
    <w:p w14:paraId="24495B70" w14:textId="77777777" w:rsidR="0059683A" w:rsidRDefault="0059683A" w:rsidP="00A462D7">
      <w:pPr>
        <w:spacing w:after="120" w:line="240" w:lineRule="auto"/>
        <w:jc w:val="both"/>
      </w:pPr>
    </w:p>
    <w:p w14:paraId="2D459BA6" w14:textId="77777777" w:rsidR="0059683A" w:rsidRDefault="0059683A" w:rsidP="00A462D7">
      <w:pPr>
        <w:spacing w:after="120" w:line="240" w:lineRule="auto"/>
        <w:jc w:val="both"/>
      </w:pPr>
    </w:p>
    <w:p w14:paraId="6270FF7A" w14:textId="77777777" w:rsidR="0059683A" w:rsidRDefault="0059683A" w:rsidP="00A462D7">
      <w:pPr>
        <w:spacing w:after="120" w:line="240" w:lineRule="auto"/>
        <w:jc w:val="both"/>
      </w:pPr>
    </w:p>
    <w:p w14:paraId="2405D2CC" w14:textId="77777777" w:rsidR="0059683A" w:rsidRDefault="0059683A" w:rsidP="00A462D7">
      <w:pPr>
        <w:spacing w:after="120" w:line="240" w:lineRule="auto"/>
        <w:jc w:val="both"/>
      </w:pPr>
    </w:p>
    <w:p w14:paraId="0E74B008" w14:textId="77777777" w:rsidR="00EB2370" w:rsidRDefault="00EB2370" w:rsidP="00A462D7">
      <w:pPr>
        <w:spacing w:after="120" w:line="240" w:lineRule="auto"/>
        <w:jc w:val="both"/>
      </w:pPr>
    </w:p>
    <w:p w14:paraId="2D91E72B" w14:textId="77777777" w:rsidR="0059683A" w:rsidRDefault="0059683A" w:rsidP="00A462D7">
      <w:pPr>
        <w:spacing w:after="120" w:line="240" w:lineRule="auto"/>
        <w:jc w:val="both"/>
      </w:pPr>
    </w:p>
    <w:p w14:paraId="515E224E" w14:textId="77777777" w:rsidR="0059683A" w:rsidRDefault="0059683A" w:rsidP="00A462D7">
      <w:pPr>
        <w:spacing w:after="120" w:line="240" w:lineRule="auto"/>
        <w:jc w:val="both"/>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544"/>
        <w:gridCol w:w="1790"/>
        <w:gridCol w:w="3897"/>
        <w:gridCol w:w="1291"/>
        <w:gridCol w:w="1684"/>
      </w:tblGrid>
      <w:tr w:rsidR="00EB2370" w:rsidRPr="00524289" w14:paraId="7BA2355B" w14:textId="77777777" w:rsidTr="00173D43">
        <w:trPr>
          <w:trHeight w:val="387"/>
          <w:jc w:val="center"/>
        </w:trPr>
        <w:tc>
          <w:tcPr>
            <w:tcW w:w="7231" w:type="dxa"/>
            <w:gridSpan w:val="3"/>
            <w:tcBorders>
              <w:bottom w:val="single" w:sz="4" w:space="0" w:color="FFFFFF" w:themeColor="background1"/>
              <w:right w:val="single" w:sz="4" w:space="0" w:color="FFFFFF" w:themeColor="background1"/>
            </w:tcBorders>
            <w:shd w:val="clear" w:color="auto" w:fill="F2F2F2" w:themeFill="background1" w:themeFillShade="F2"/>
            <w:vAlign w:val="center"/>
          </w:tcPr>
          <w:p w14:paraId="2356E154" w14:textId="77777777" w:rsidR="00EB2370" w:rsidRPr="00524289" w:rsidRDefault="00EB2370" w:rsidP="00EB2370">
            <w:pPr>
              <w:jc w:val="both"/>
              <w:rPr>
                <w:rFonts w:ascii="Arial" w:hAnsi="Arial"/>
                <w:b/>
                <w:bCs/>
                <w:color w:val="026CB6"/>
                <w:sz w:val="18"/>
                <w:lang w:val="en-GB"/>
              </w:rPr>
            </w:pPr>
            <w:r>
              <w:rPr>
                <w:rFonts w:ascii="Arial" w:hAnsi="Arial"/>
                <w:b/>
                <w:bCs/>
                <w:color w:val="026CB6"/>
                <w:sz w:val="18"/>
                <w:lang w:val="en-GB"/>
              </w:rPr>
              <w:t>Cluster Objective 3</w:t>
            </w:r>
            <w:r w:rsidRPr="00524289">
              <w:rPr>
                <w:rFonts w:ascii="Arial" w:hAnsi="Arial"/>
                <w:b/>
                <w:bCs/>
                <w:color w:val="026CB6"/>
                <w:sz w:val="18"/>
                <w:lang w:val="en-GB"/>
              </w:rPr>
              <w:t xml:space="preserve">:  </w:t>
            </w:r>
            <w:r>
              <w:rPr>
                <w:rFonts w:ascii="Arial" w:hAnsi="Arial"/>
                <w:b/>
                <w:bCs/>
                <w:color w:val="026CB6"/>
                <w:sz w:val="18"/>
                <w:lang w:val="en-GB"/>
              </w:rPr>
              <w:t>Facilitate access to durable solutions for IDPs that are willing to locally integrate or r</w:t>
            </w:r>
            <w:r w:rsidR="00762256">
              <w:rPr>
                <w:rFonts w:ascii="Arial" w:hAnsi="Arial"/>
                <w:b/>
                <w:bCs/>
                <w:color w:val="026CB6"/>
                <w:sz w:val="18"/>
                <w:lang w:val="en-GB"/>
              </w:rPr>
              <w:t>eturn to their place of origin.</w:t>
            </w:r>
          </w:p>
        </w:tc>
        <w:tc>
          <w:tcPr>
            <w:tcW w:w="2975" w:type="dxa"/>
            <w:gridSpan w:val="2"/>
            <w:tcBorders>
              <w:left w:val="single" w:sz="4" w:space="0" w:color="FFFFFF" w:themeColor="background1"/>
              <w:bottom w:val="single" w:sz="4" w:space="0" w:color="FFFFFF" w:themeColor="background1"/>
            </w:tcBorders>
            <w:shd w:val="clear" w:color="auto" w:fill="F2F2F2" w:themeFill="background1" w:themeFillShade="F2"/>
            <w:vAlign w:val="center"/>
          </w:tcPr>
          <w:p w14:paraId="570F28EF" w14:textId="77777777" w:rsidR="00EB2370" w:rsidRPr="00524289" w:rsidRDefault="00EB2370" w:rsidP="00173D43">
            <w:pPr>
              <w:jc w:val="both"/>
              <w:rPr>
                <w:rFonts w:ascii="Arial" w:hAnsi="Arial"/>
                <w:b/>
                <w:bCs/>
                <w:color w:val="026CB6"/>
                <w:sz w:val="18"/>
                <w:lang w:val="en-GB"/>
              </w:rPr>
            </w:pPr>
            <w:r w:rsidRPr="00524289">
              <w:rPr>
                <w:rFonts w:ascii="Arial" w:hAnsi="Arial"/>
                <w:b/>
                <w:bCs/>
                <w:color w:val="026CB6"/>
                <w:sz w:val="18"/>
                <w:lang w:val="en-GB"/>
              </w:rPr>
              <w:t xml:space="preserve">Supports Strategic Objective </w:t>
            </w:r>
            <w:r>
              <w:rPr>
                <w:rFonts w:ascii="Arial" w:hAnsi="Arial"/>
                <w:b/>
                <w:bCs/>
                <w:color w:val="026CB6"/>
                <w:sz w:val="18"/>
                <w:lang w:val="en-GB"/>
              </w:rPr>
              <w:t>3</w:t>
            </w:r>
          </w:p>
        </w:tc>
      </w:tr>
      <w:tr w:rsidR="00EB2370" w:rsidRPr="00524289" w14:paraId="378D2E8E" w14:textId="77777777" w:rsidTr="00173D43">
        <w:trPr>
          <w:trHeight w:val="509"/>
          <w:jc w:val="center"/>
        </w:trPr>
        <w:tc>
          <w:tcPr>
            <w:tcW w:w="7231"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8E5F0C7" w14:textId="77777777" w:rsidR="00EB2370" w:rsidRPr="00524289" w:rsidRDefault="00EB2370" w:rsidP="00173D43">
            <w:pPr>
              <w:jc w:val="both"/>
              <w:rPr>
                <w:rFonts w:ascii="Arial" w:eastAsia="PMingLiU" w:hAnsi="Arial" w:cs="Times New Roman"/>
                <w:b/>
                <w:color w:val="026CB6"/>
                <w:sz w:val="18"/>
                <w:lang w:val="en-GB" w:eastAsia="zh-TW"/>
              </w:rPr>
            </w:pPr>
            <w:r>
              <w:rPr>
                <w:rFonts w:ascii="Arial" w:eastAsia="PMingLiU" w:hAnsi="Arial" w:cs="Times New Roman"/>
                <w:b/>
                <w:color w:val="026CB6"/>
                <w:sz w:val="18"/>
                <w:lang w:val="en-GB" w:eastAsia="zh-TW"/>
              </w:rPr>
              <w:t xml:space="preserve">Outcome-level </w:t>
            </w:r>
            <w:r w:rsidRPr="00524289">
              <w:rPr>
                <w:rFonts w:ascii="Arial" w:eastAsia="PMingLiU" w:hAnsi="Arial" w:cs="Times New Roman"/>
                <w:b/>
                <w:color w:val="026CB6"/>
                <w:sz w:val="18"/>
                <w:lang w:val="en-GB" w:eastAsia="zh-TW"/>
              </w:rPr>
              <w:t>Indicator</w:t>
            </w:r>
            <w:r>
              <w:rPr>
                <w:rFonts w:ascii="Arial" w:eastAsia="PMingLiU" w:hAnsi="Arial" w:cs="Times New Roman"/>
                <w:b/>
                <w:color w:val="026CB6"/>
                <w:sz w:val="18"/>
                <w:lang w:val="en-GB" w:eastAsia="zh-TW"/>
              </w:rPr>
              <w:t>s</w:t>
            </w:r>
          </w:p>
        </w:tc>
        <w:tc>
          <w:tcPr>
            <w:tcW w:w="1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852BA90" w14:textId="77777777" w:rsidR="00EB2370" w:rsidRPr="00524289" w:rsidRDefault="00EB2370" w:rsidP="00173D43">
            <w:pPr>
              <w:jc w:val="both"/>
              <w:rPr>
                <w:rFonts w:ascii="Arial" w:hAnsi="Arial"/>
                <w:b/>
                <w:bCs/>
                <w:sz w:val="18"/>
                <w:lang w:val="en-GB"/>
              </w:rPr>
            </w:pPr>
            <w:r w:rsidRPr="00524289">
              <w:rPr>
                <w:rFonts w:ascii="Arial" w:hAnsi="Arial"/>
                <w:b/>
                <w:bCs/>
                <w:color w:val="026CB6"/>
                <w:sz w:val="18"/>
                <w:lang w:val="en-GB"/>
              </w:rPr>
              <w:t>Baseline</w:t>
            </w:r>
          </w:p>
        </w:tc>
        <w:tc>
          <w:tcPr>
            <w:tcW w:w="1684" w:type="dxa"/>
            <w:tcBorders>
              <w:top w:val="single" w:sz="4" w:space="0" w:color="FFFFFF" w:themeColor="background1"/>
              <w:left w:val="single" w:sz="4" w:space="0" w:color="FFFFFF" w:themeColor="background1"/>
              <w:bottom w:val="single" w:sz="4" w:space="0" w:color="FFFFFF" w:themeColor="background1"/>
            </w:tcBorders>
            <w:shd w:val="clear" w:color="auto" w:fill="F2F2F2" w:themeFill="background1" w:themeFillShade="F2"/>
            <w:vAlign w:val="center"/>
          </w:tcPr>
          <w:p w14:paraId="28CC0FF7" w14:textId="77777777" w:rsidR="00EB2370" w:rsidRPr="00524289" w:rsidRDefault="00EB2370" w:rsidP="00173D43">
            <w:pPr>
              <w:jc w:val="both"/>
              <w:rPr>
                <w:rFonts w:ascii="Arial" w:hAnsi="Arial"/>
                <w:b/>
                <w:bCs/>
                <w:color w:val="026CB6"/>
                <w:sz w:val="18"/>
                <w:lang w:val="en-GB"/>
              </w:rPr>
            </w:pPr>
            <w:r w:rsidRPr="00524289">
              <w:rPr>
                <w:rFonts w:ascii="Arial" w:hAnsi="Arial"/>
                <w:b/>
                <w:bCs/>
                <w:color w:val="026CB6"/>
                <w:sz w:val="18"/>
                <w:lang w:val="en-GB"/>
              </w:rPr>
              <w:t>Target</w:t>
            </w:r>
          </w:p>
        </w:tc>
      </w:tr>
      <w:tr w:rsidR="00EB2370" w:rsidRPr="00524289" w14:paraId="201FE25F" w14:textId="77777777" w:rsidTr="00173D43">
        <w:trPr>
          <w:trHeight w:val="509"/>
          <w:jc w:val="center"/>
        </w:trPr>
        <w:tc>
          <w:tcPr>
            <w:tcW w:w="7231"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3FBD6D" w14:textId="77777777" w:rsidR="00EB2370" w:rsidRPr="00524289" w:rsidRDefault="00EB2370" w:rsidP="00C0442B">
            <w:pPr>
              <w:jc w:val="both"/>
              <w:rPr>
                <w:rFonts w:ascii="Arial" w:hAnsi="Arial"/>
                <w:color w:val="FFFFFF" w:themeColor="background1"/>
                <w:sz w:val="18"/>
                <w:szCs w:val="18"/>
                <w:lang w:val="en-GB"/>
              </w:rPr>
            </w:pPr>
            <w:r w:rsidRPr="00524289">
              <w:rPr>
                <w:rFonts w:ascii="Arial" w:hAnsi="Arial" w:cs="Times New Roman"/>
                <w:color w:val="595959" w:themeColor="text1" w:themeTint="A6"/>
                <w:sz w:val="18"/>
                <w:szCs w:val="18"/>
                <w:lang w:val="en-GB" w:eastAsia="zh-TW"/>
              </w:rPr>
              <w:t xml:space="preserve">1.  </w:t>
            </w:r>
            <w:proofErr w:type="spellStart"/>
            <w:r>
              <w:rPr>
                <w:rFonts w:ascii="Arial" w:hAnsi="Arial" w:cs="Times New Roman"/>
                <w:color w:val="595959" w:themeColor="text1" w:themeTint="A6"/>
                <w:sz w:val="18"/>
                <w:szCs w:val="18"/>
                <w:lang w:val="en-GB" w:eastAsia="zh-TW"/>
              </w:rPr>
              <w:t>Nr</w:t>
            </w:r>
            <w:proofErr w:type="spellEnd"/>
            <w:r>
              <w:rPr>
                <w:rFonts w:ascii="Arial" w:hAnsi="Arial" w:cs="Times New Roman"/>
                <w:color w:val="595959" w:themeColor="text1" w:themeTint="A6"/>
                <w:sz w:val="18"/>
                <w:szCs w:val="18"/>
                <w:lang w:val="en-GB" w:eastAsia="zh-TW"/>
              </w:rPr>
              <w:t xml:space="preserve"> of</w:t>
            </w:r>
            <w:r w:rsidR="00C0442B">
              <w:rPr>
                <w:rFonts w:ascii="Arial" w:hAnsi="Arial" w:cs="Times New Roman"/>
                <w:color w:val="595959" w:themeColor="text1" w:themeTint="A6"/>
                <w:sz w:val="18"/>
                <w:szCs w:val="18"/>
                <w:lang w:val="en-GB" w:eastAsia="zh-TW"/>
              </w:rPr>
              <w:t xml:space="preserve"> pr</w:t>
            </w:r>
            <w:r>
              <w:rPr>
                <w:rFonts w:ascii="Arial" w:hAnsi="Arial" w:cs="Times New Roman"/>
                <w:color w:val="595959" w:themeColor="text1" w:themeTint="A6"/>
                <w:sz w:val="18"/>
                <w:szCs w:val="18"/>
                <w:lang w:val="en-GB" w:eastAsia="zh-TW"/>
              </w:rPr>
              <w:t>otracted Internally Displaced Persons</w:t>
            </w:r>
            <w:r w:rsidR="00C0442B">
              <w:rPr>
                <w:rFonts w:ascii="Arial" w:hAnsi="Arial" w:cs="Times New Roman"/>
                <w:color w:val="595959" w:themeColor="text1" w:themeTint="A6"/>
                <w:sz w:val="18"/>
                <w:szCs w:val="18"/>
                <w:lang w:val="en-GB" w:eastAsia="zh-TW"/>
              </w:rPr>
              <w:t xml:space="preserve"> those are willing to locally integrate or return</w:t>
            </w:r>
            <w:r>
              <w:rPr>
                <w:rFonts w:ascii="Arial" w:hAnsi="Arial" w:cs="Times New Roman"/>
                <w:color w:val="595959" w:themeColor="text1" w:themeTint="A6"/>
                <w:sz w:val="18"/>
                <w:szCs w:val="18"/>
                <w:lang w:val="en-GB" w:eastAsia="zh-TW"/>
              </w:rPr>
              <w:t xml:space="preserve"> </w:t>
            </w:r>
            <w:r w:rsidR="00C0442B">
              <w:rPr>
                <w:rFonts w:ascii="Arial" w:hAnsi="Arial" w:cs="Times New Roman"/>
                <w:color w:val="595959" w:themeColor="text1" w:themeTint="A6"/>
                <w:sz w:val="18"/>
                <w:szCs w:val="18"/>
                <w:lang w:val="en-GB" w:eastAsia="zh-TW"/>
              </w:rPr>
              <w:t xml:space="preserve">that have been provided with a </w:t>
            </w:r>
            <w:r>
              <w:rPr>
                <w:rFonts w:ascii="Arial" w:hAnsi="Arial" w:cs="Times New Roman"/>
                <w:color w:val="595959" w:themeColor="text1" w:themeTint="A6"/>
                <w:sz w:val="18"/>
                <w:szCs w:val="18"/>
                <w:lang w:val="en-GB" w:eastAsia="zh-TW"/>
              </w:rPr>
              <w:t>safe, habitable shelter</w:t>
            </w:r>
            <w:r>
              <w:rPr>
                <w:rStyle w:val="FootnoteReference"/>
                <w:rFonts w:ascii="Arial" w:hAnsi="Arial" w:cs="Times New Roman"/>
                <w:color w:val="595959" w:themeColor="text1" w:themeTint="A6"/>
                <w:sz w:val="18"/>
                <w:szCs w:val="18"/>
                <w:lang w:val="en-GB" w:eastAsia="zh-TW"/>
              </w:rPr>
              <w:footnoteReference w:id="19"/>
            </w:r>
            <w:r>
              <w:rPr>
                <w:rFonts w:ascii="Arial" w:hAnsi="Arial" w:cs="Times New Roman"/>
                <w:color w:val="595959" w:themeColor="text1" w:themeTint="A6"/>
                <w:sz w:val="18"/>
                <w:szCs w:val="18"/>
                <w:lang w:val="en-GB" w:eastAsia="zh-TW"/>
              </w:rPr>
              <w:t xml:space="preserve"> with improved land tenure.</w:t>
            </w:r>
            <w:r>
              <w:rPr>
                <w:rStyle w:val="FootnoteReference"/>
                <w:rFonts w:ascii="Arial" w:hAnsi="Arial" w:cs="Times New Roman"/>
                <w:color w:val="595959" w:themeColor="text1" w:themeTint="A6"/>
                <w:sz w:val="18"/>
                <w:szCs w:val="18"/>
                <w:lang w:val="en-GB" w:eastAsia="zh-TW"/>
              </w:rPr>
              <w:footnoteReference w:id="20"/>
            </w:r>
          </w:p>
        </w:tc>
        <w:tc>
          <w:tcPr>
            <w:tcW w:w="1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E52CF26" w14:textId="77777777" w:rsidR="00EB2370" w:rsidRPr="00524289" w:rsidRDefault="00762256" w:rsidP="00173D43">
            <w:pPr>
              <w:jc w:val="both"/>
              <w:rPr>
                <w:rFonts w:ascii="Arial" w:hAnsi="Arial"/>
                <w:color w:val="404040"/>
                <w:sz w:val="18"/>
                <w:szCs w:val="18"/>
              </w:rPr>
            </w:pPr>
            <w:r>
              <w:rPr>
                <w:rFonts w:ascii="Arial" w:hAnsi="Arial"/>
                <w:color w:val="808080" w:themeColor="background1" w:themeShade="80"/>
                <w:sz w:val="18"/>
                <w:szCs w:val="18"/>
              </w:rPr>
              <w:t>To be confirmed</w:t>
            </w:r>
          </w:p>
        </w:tc>
        <w:tc>
          <w:tcPr>
            <w:tcW w:w="1684" w:type="dxa"/>
            <w:tcBorders>
              <w:top w:val="single" w:sz="4" w:space="0" w:color="FFFFFF" w:themeColor="background1"/>
              <w:left w:val="single" w:sz="4" w:space="0" w:color="FFFFFF" w:themeColor="background1"/>
              <w:bottom w:val="single" w:sz="4" w:space="0" w:color="FFFFFF" w:themeColor="background1"/>
            </w:tcBorders>
            <w:shd w:val="clear" w:color="auto" w:fill="F2F2F2" w:themeFill="background1" w:themeFillShade="F2"/>
            <w:vAlign w:val="center"/>
          </w:tcPr>
          <w:p w14:paraId="39E1A265" w14:textId="77777777" w:rsidR="00EB2370" w:rsidRPr="00524289" w:rsidRDefault="00762256" w:rsidP="00173D43">
            <w:pPr>
              <w:jc w:val="both"/>
              <w:rPr>
                <w:rFonts w:ascii="Arial" w:hAnsi="Arial"/>
                <w:color w:val="404040"/>
                <w:sz w:val="18"/>
                <w:szCs w:val="18"/>
              </w:rPr>
            </w:pPr>
            <w:r>
              <w:rPr>
                <w:rFonts w:ascii="Arial" w:hAnsi="Arial"/>
                <w:color w:val="808080" w:themeColor="background1" w:themeShade="80"/>
                <w:sz w:val="18"/>
                <w:szCs w:val="18"/>
              </w:rPr>
              <w:t>To be confirmed</w:t>
            </w:r>
          </w:p>
        </w:tc>
      </w:tr>
      <w:tr w:rsidR="00EB2370" w:rsidRPr="00524289" w14:paraId="15E82F09" w14:textId="77777777" w:rsidTr="00173D43">
        <w:trPr>
          <w:trHeight w:val="417"/>
          <w:jc w:val="center"/>
        </w:trPr>
        <w:tc>
          <w:tcPr>
            <w:tcW w:w="7231" w:type="dxa"/>
            <w:gridSpan w:val="3"/>
            <w:tcBorders>
              <w:top w:val="single" w:sz="4" w:space="0" w:color="FFFFFF" w:themeColor="background1"/>
              <w:right w:val="single" w:sz="4" w:space="0" w:color="FFFFFF" w:themeColor="background1"/>
            </w:tcBorders>
            <w:shd w:val="clear" w:color="auto" w:fill="F2F2F2" w:themeFill="background1" w:themeFillShade="F2"/>
            <w:vAlign w:val="center"/>
          </w:tcPr>
          <w:p w14:paraId="023C1CA6" w14:textId="77777777" w:rsidR="00EB2370" w:rsidRPr="00524289" w:rsidRDefault="00EB2370" w:rsidP="00173D43">
            <w:pPr>
              <w:jc w:val="both"/>
              <w:rPr>
                <w:rFonts w:ascii="Arial" w:eastAsia="PMingLiU" w:hAnsi="Arial" w:cs="Times New Roman"/>
                <w:color w:val="026CB6"/>
                <w:sz w:val="18"/>
                <w:lang w:val="da-DK" w:eastAsia="zh-TW"/>
              </w:rPr>
            </w:pPr>
            <w:r w:rsidRPr="00524289">
              <w:rPr>
                <w:rFonts w:ascii="Arial" w:eastAsia="PMingLiU" w:hAnsi="Arial" w:cs="Times New Roman"/>
                <w:color w:val="595959" w:themeColor="text1" w:themeTint="A6"/>
                <w:sz w:val="18"/>
                <w:szCs w:val="18"/>
                <w:lang w:val="da-DK" w:eastAsia="zh-TW"/>
              </w:rPr>
              <w:t xml:space="preserve">2. </w:t>
            </w:r>
            <w:r>
              <w:rPr>
                <w:rFonts w:ascii="Arial" w:eastAsia="PMingLiU" w:hAnsi="Arial" w:cs="Times New Roman"/>
                <w:color w:val="595959" w:themeColor="text1" w:themeTint="A6"/>
                <w:sz w:val="18"/>
                <w:szCs w:val="18"/>
                <w:lang w:val="da-DK" w:eastAsia="zh-TW"/>
              </w:rPr>
              <w:t xml:space="preserve"> Nr of protracted Internally Displaced Persons that have received non-food items through direct distribution, vouchers or cash mechanisms. </w:t>
            </w:r>
          </w:p>
        </w:tc>
        <w:tc>
          <w:tcPr>
            <w:tcW w:w="1291"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vAlign w:val="center"/>
          </w:tcPr>
          <w:p w14:paraId="5723C061" w14:textId="77777777" w:rsidR="00EB2370" w:rsidRPr="00524289" w:rsidRDefault="00762256" w:rsidP="00173D43">
            <w:pPr>
              <w:jc w:val="both"/>
              <w:rPr>
                <w:rFonts w:ascii="Arial" w:hAnsi="Arial"/>
                <w:color w:val="404040"/>
                <w:sz w:val="18"/>
              </w:rPr>
            </w:pPr>
            <w:r>
              <w:rPr>
                <w:rFonts w:ascii="Arial" w:hAnsi="Arial"/>
                <w:color w:val="808080" w:themeColor="background1" w:themeShade="80"/>
                <w:sz w:val="18"/>
                <w:szCs w:val="18"/>
              </w:rPr>
              <w:t>To be confirmed</w:t>
            </w:r>
          </w:p>
        </w:tc>
        <w:tc>
          <w:tcPr>
            <w:tcW w:w="1684" w:type="dxa"/>
            <w:tcBorders>
              <w:top w:val="single" w:sz="4" w:space="0" w:color="FFFFFF" w:themeColor="background1"/>
              <w:left w:val="single" w:sz="4" w:space="0" w:color="FFFFFF" w:themeColor="background1"/>
            </w:tcBorders>
            <w:shd w:val="clear" w:color="auto" w:fill="F2F2F2" w:themeFill="background1" w:themeFillShade="F2"/>
            <w:vAlign w:val="center"/>
          </w:tcPr>
          <w:p w14:paraId="11982C4D" w14:textId="77777777" w:rsidR="00EB2370" w:rsidRPr="00524289" w:rsidRDefault="00762256" w:rsidP="00173D43">
            <w:pPr>
              <w:jc w:val="both"/>
              <w:rPr>
                <w:rFonts w:ascii="Arial" w:hAnsi="Arial"/>
                <w:color w:val="404040"/>
                <w:sz w:val="18"/>
              </w:rPr>
            </w:pPr>
            <w:r>
              <w:rPr>
                <w:rFonts w:ascii="Arial" w:hAnsi="Arial"/>
                <w:color w:val="808080" w:themeColor="background1" w:themeShade="80"/>
                <w:sz w:val="18"/>
                <w:szCs w:val="18"/>
              </w:rPr>
              <w:t>To be confirmed</w:t>
            </w:r>
          </w:p>
        </w:tc>
      </w:tr>
      <w:tr w:rsidR="00EB2370" w:rsidRPr="00524289" w14:paraId="3725105E" w14:textId="77777777" w:rsidTr="00173D43">
        <w:trPr>
          <w:trHeight w:val="127"/>
          <w:jc w:val="center"/>
        </w:trPr>
        <w:tc>
          <w:tcPr>
            <w:tcW w:w="10206" w:type="dxa"/>
            <w:gridSpan w:val="5"/>
            <w:shd w:val="clear" w:color="auto" w:fill="FFFFFF" w:themeFill="background1"/>
            <w:vAlign w:val="center"/>
          </w:tcPr>
          <w:p w14:paraId="0761346E" w14:textId="77777777" w:rsidR="00EB2370" w:rsidRPr="00524289" w:rsidRDefault="00EB2370" w:rsidP="00173D43">
            <w:pPr>
              <w:jc w:val="both"/>
              <w:rPr>
                <w:rFonts w:ascii="Arial" w:hAnsi="Arial"/>
                <w:bCs/>
                <w:color w:val="026CB6"/>
                <w:sz w:val="20"/>
                <w:lang w:val="en-GB"/>
              </w:rPr>
            </w:pPr>
          </w:p>
        </w:tc>
      </w:tr>
      <w:tr w:rsidR="0059683A" w:rsidRPr="00524289" w14:paraId="511A27D9" w14:textId="77777777" w:rsidTr="00173D43">
        <w:trPr>
          <w:trHeight w:val="252"/>
          <w:jc w:val="center"/>
        </w:trPr>
        <w:tc>
          <w:tcPr>
            <w:tcW w:w="1544" w:type="dxa"/>
            <w:tcBorders>
              <w:bottom w:val="single" w:sz="6" w:space="0" w:color="808080" w:themeColor="background1" w:themeShade="80"/>
            </w:tcBorders>
            <w:shd w:val="clear" w:color="auto" w:fill="FFFFFF" w:themeFill="background1"/>
            <w:vAlign w:val="center"/>
          </w:tcPr>
          <w:p w14:paraId="23F1A6AA" w14:textId="77777777" w:rsidR="0059683A" w:rsidRPr="00524289" w:rsidRDefault="0059683A" w:rsidP="00173D43">
            <w:pPr>
              <w:jc w:val="both"/>
              <w:rPr>
                <w:rFonts w:ascii="Arial" w:hAnsi="Arial"/>
                <w:b/>
                <w:bCs/>
                <w:sz w:val="18"/>
                <w:szCs w:val="18"/>
                <w:lang w:val="en-GB"/>
              </w:rPr>
            </w:pPr>
            <w:r w:rsidRPr="00524289">
              <w:rPr>
                <w:rFonts w:ascii="Arial" w:hAnsi="Arial"/>
                <w:b/>
                <w:bCs/>
                <w:sz w:val="18"/>
                <w:szCs w:val="18"/>
                <w:lang w:val="en-GB"/>
              </w:rPr>
              <w:t>Activities</w:t>
            </w:r>
          </w:p>
        </w:tc>
        <w:tc>
          <w:tcPr>
            <w:tcW w:w="1790" w:type="dxa"/>
            <w:tcBorders>
              <w:bottom w:val="single" w:sz="6" w:space="0" w:color="808080" w:themeColor="background1" w:themeShade="80"/>
            </w:tcBorders>
            <w:shd w:val="clear" w:color="auto" w:fill="FFFFFF" w:themeFill="background1"/>
            <w:vAlign w:val="center"/>
          </w:tcPr>
          <w:p w14:paraId="08938A4C" w14:textId="77777777" w:rsidR="0059683A" w:rsidRPr="00524289" w:rsidRDefault="0059683A" w:rsidP="00173D43">
            <w:pPr>
              <w:jc w:val="both"/>
              <w:rPr>
                <w:rFonts w:ascii="Arial" w:hAnsi="Arial"/>
                <w:b/>
                <w:bCs/>
                <w:sz w:val="18"/>
                <w:szCs w:val="18"/>
                <w:lang w:val="en-GB"/>
              </w:rPr>
            </w:pPr>
            <w:r w:rsidRPr="00524289">
              <w:rPr>
                <w:rFonts w:ascii="Arial" w:hAnsi="Arial"/>
                <w:b/>
                <w:bCs/>
                <w:sz w:val="18"/>
                <w:szCs w:val="18"/>
                <w:lang w:val="en-GB"/>
              </w:rPr>
              <w:t>Locations</w:t>
            </w:r>
          </w:p>
        </w:tc>
        <w:tc>
          <w:tcPr>
            <w:tcW w:w="3897" w:type="dxa"/>
            <w:tcBorders>
              <w:bottom w:val="single" w:sz="6" w:space="0" w:color="808080" w:themeColor="background1" w:themeShade="80"/>
            </w:tcBorders>
            <w:shd w:val="clear" w:color="auto" w:fill="FFFFFF" w:themeFill="background1"/>
            <w:vAlign w:val="center"/>
          </w:tcPr>
          <w:p w14:paraId="1F2D447A" w14:textId="77777777" w:rsidR="0059683A" w:rsidRPr="00524289" w:rsidRDefault="0059683A" w:rsidP="00173D43">
            <w:pPr>
              <w:jc w:val="both"/>
              <w:rPr>
                <w:rFonts w:ascii="Arial" w:hAnsi="Arial"/>
                <w:b/>
                <w:bCs/>
                <w:noProof/>
                <w:sz w:val="18"/>
                <w:szCs w:val="18"/>
                <w:lang w:val="en-GB" w:eastAsia="en-GB"/>
              </w:rPr>
            </w:pPr>
            <w:r w:rsidRPr="00524289">
              <w:rPr>
                <w:rFonts w:ascii="Arial" w:hAnsi="Arial"/>
                <w:b/>
                <w:bCs/>
                <w:sz w:val="18"/>
                <w:szCs w:val="18"/>
                <w:lang w:val="en-GB"/>
              </w:rPr>
              <w:t>Indicator</w:t>
            </w:r>
          </w:p>
        </w:tc>
        <w:tc>
          <w:tcPr>
            <w:tcW w:w="1291" w:type="dxa"/>
            <w:tcBorders>
              <w:bottom w:val="single" w:sz="6" w:space="0" w:color="808080" w:themeColor="background1" w:themeShade="80"/>
            </w:tcBorders>
            <w:shd w:val="clear" w:color="auto" w:fill="FFFFFF" w:themeFill="background1"/>
            <w:vAlign w:val="center"/>
          </w:tcPr>
          <w:p w14:paraId="26A8BF02" w14:textId="77777777" w:rsidR="0059683A" w:rsidRPr="00524289" w:rsidRDefault="0059683A" w:rsidP="00173D43">
            <w:pPr>
              <w:jc w:val="both"/>
              <w:rPr>
                <w:rFonts w:ascii="Arial" w:hAnsi="Arial"/>
                <w:b/>
                <w:bCs/>
                <w:sz w:val="18"/>
                <w:szCs w:val="18"/>
                <w:lang w:val="en-GB"/>
              </w:rPr>
            </w:pPr>
            <w:r w:rsidRPr="00524289">
              <w:rPr>
                <w:rFonts w:ascii="Arial" w:hAnsi="Arial"/>
                <w:b/>
                <w:bCs/>
                <w:sz w:val="18"/>
                <w:szCs w:val="18"/>
                <w:lang w:val="en-GB"/>
              </w:rPr>
              <w:t xml:space="preserve">Baseline </w:t>
            </w:r>
          </w:p>
        </w:tc>
        <w:tc>
          <w:tcPr>
            <w:tcW w:w="1684" w:type="dxa"/>
            <w:tcBorders>
              <w:bottom w:val="single" w:sz="6" w:space="0" w:color="808080" w:themeColor="background1" w:themeShade="80"/>
            </w:tcBorders>
            <w:shd w:val="clear" w:color="auto" w:fill="FFFFFF" w:themeFill="background1"/>
            <w:vAlign w:val="center"/>
          </w:tcPr>
          <w:p w14:paraId="32B47C87" w14:textId="77777777" w:rsidR="0059683A" w:rsidRPr="00524289" w:rsidRDefault="0059683A" w:rsidP="00173D43">
            <w:pPr>
              <w:jc w:val="both"/>
              <w:rPr>
                <w:rFonts w:ascii="Arial" w:hAnsi="Arial"/>
                <w:b/>
                <w:bCs/>
                <w:sz w:val="18"/>
                <w:szCs w:val="18"/>
                <w:lang w:val="en-GB"/>
              </w:rPr>
            </w:pPr>
            <w:r w:rsidRPr="00524289">
              <w:rPr>
                <w:rFonts w:ascii="Arial" w:hAnsi="Arial"/>
                <w:b/>
                <w:bCs/>
                <w:sz w:val="18"/>
                <w:szCs w:val="18"/>
                <w:lang w:val="en-GB"/>
              </w:rPr>
              <w:t>Target</w:t>
            </w:r>
          </w:p>
        </w:tc>
      </w:tr>
      <w:tr w:rsidR="0059683A" w:rsidRPr="00524289" w14:paraId="0C9D01CA" w14:textId="77777777" w:rsidTr="00173D43">
        <w:trPr>
          <w:trHeight w:val="845"/>
          <w:jc w:val="center"/>
        </w:trPr>
        <w:tc>
          <w:tcPr>
            <w:tcW w:w="1544"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7377A3BE" w14:textId="77777777" w:rsidR="0059683A" w:rsidRPr="0059683A" w:rsidRDefault="0059683A" w:rsidP="00173D43">
            <w:pPr>
              <w:numPr>
                <w:ilvl w:val="0"/>
                <w:numId w:val="1"/>
              </w:numPr>
              <w:ind w:left="142" w:hanging="142"/>
              <w:jc w:val="both"/>
              <w:rPr>
                <w:rFonts w:ascii="Arial" w:hAnsi="Arial"/>
                <w:color w:val="595959" w:themeColor="text1" w:themeTint="A6"/>
                <w:sz w:val="18"/>
                <w:szCs w:val="20"/>
                <w:lang w:val="en-GB"/>
              </w:rPr>
            </w:pPr>
            <w:r>
              <w:rPr>
                <w:rFonts w:ascii="Arial" w:hAnsi="Arial"/>
                <w:color w:val="595959" w:themeColor="text1" w:themeTint="A6"/>
                <w:sz w:val="18"/>
                <w:szCs w:val="16"/>
                <w:lang w:val="en-GB"/>
              </w:rPr>
              <w:t>Provide protracted IDPs with relevant shelter and non-food items</w:t>
            </w:r>
          </w:p>
        </w:tc>
        <w:tc>
          <w:tcPr>
            <w:tcW w:w="1790"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4FD1B026" w14:textId="77777777" w:rsidR="0059683A" w:rsidRPr="00524289" w:rsidRDefault="0059683A" w:rsidP="00173D43">
            <w:pPr>
              <w:jc w:val="both"/>
              <w:rPr>
                <w:rFonts w:ascii="Arial" w:hAnsi="Arial"/>
                <w:color w:val="595959" w:themeColor="text1" w:themeTint="A6"/>
                <w:sz w:val="18"/>
                <w:szCs w:val="16"/>
                <w:lang w:val="en-GB"/>
              </w:rPr>
            </w:pPr>
            <w:r>
              <w:rPr>
                <w:rFonts w:ascii="Arial" w:hAnsi="Arial"/>
                <w:color w:val="595959" w:themeColor="text1" w:themeTint="A6"/>
                <w:sz w:val="18"/>
                <w:szCs w:val="16"/>
                <w:lang w:val="en-GB"/>
              </w:rPr>
              <w:t>ALL SOMALIA</w:t>
            </w:r>
          </w:p>
        </w:tc>
        <w:tc>
          <w:tcPr>
            <w:tcW w:w="3897" w:type="dxa"/>
            <w:tcBorders>
              <w:top w:val="single" w:sz="6" w:space="0" w:color="808080" w:themeColor="background1" w:themeShade="80"/>
              <w:bottom w:val="single" w:sz="4" w:space="0" w:color="D9D9D9" w:themeColor="background1" w:themeShade="D9"/>
            </w:tcBorders>
            <w:shd w:val="clear" w:color="auto" w:fill="FFFFFF" w:themeFill="background1"/>
          </w:tcPr>
          <w:p w14:paraId="3A5F9306" w14:textId="77777777" w:rsidR="0059683A" w:rsidRPr="00A462D7" w:rsidRDefault="0059683A" w:rsidP="00173D43">
            <w:pPr>
              <w:numPr>
                <w:ilvl w:val="0"/>
                <w:numId w:val="1"/>
              </w:numPr>
              <w:ind w:left="142" w:hanging="142"/>
              <w:jc w:val="both"/>
              <w:rPr>
                <w:rFonts w:ascii="Arial" w:hAnsi="Arial"/>
                <w:color w:val="595959" w:themeColor="text1" w:themeTint="A6"/>
                <w:sz w:val="18"/>
                <w:szCs w:val="16"/>
                <w:lang w:val="da-DK"/>
              </w:rPr>
            </w:pPr>
            <w:r>
              <w:rPr>
                <w:rFonts w:ascii="Arial" w:eastAsia="PMingLiU" w:hAnsi="Arial" w:cs="Times New Roman"/>
                <w:color w:val="595959" w:themeColor="text1" w:themeTint="A6"/>
                <w:sz w:val="18"/>
                <w:szCs w:val="18"/>
                <w:lang w:val="da-DK" w:eastAsia="zh-TW"/>
              </w:rPr>
              <w:t>Nr of protracted IDPs that have received permanent shelter</w:t>
            </w:r>
          </w:p>
          <w:p w14:paraId="7F981243" w14:textId="77777777" w:rsidR="0059683A" w:rsidRDefault="0059683A" w:rsidP="00173D43">
            <w:pPr>
              <w:pStyle w:val="ListParagraph"/>
              <w:rPr>
                <w:rFonts w:ascii="Arial" w:hAnsi="Arial"/>
                <w:color w:val="595959" w:themeColor="text1" w:themeTint="A6"/>
                <w:sz w:val="18"/>
                <w:szCs w:val="16"/>
                <w:lang w:val="da-DK"/>
              </w:rPr>
            </w:pPr>
          </w:p>
          <w:p w14:paraId="08018051" w14:textId="77777777" w:rsidR="0059683A" w:rsidRPr="00524289" w:rsidRDefault="0059683A" w:rsidP="00173D43">
            <w:pPr>
              <w:numPr>
                <w:ilvl w:val="0"/>
                <w:numId w:val="1"/>
              </w:numPr>
              <w:ind w:left="142" w:hanging="142"/>
              <w:jc w:val="both"/>
              <w:rPr>
                <w:rFonts w:ascii="Arial" w:hAnsi="Arial"/>
                <w:color w:val="595959" w:themeColor="text1" w:themeTint="A6"/>
                <w:sz w:val="18"/>
                <w:szCs w:val="16"/>
                <w:lang w:val="da-DK"/>
              </w:rPr>
            </w:pPr>
            <w:r>
              <w:rPr>
                <w:rFonts w:ascii="Arial" w:hAnsi="Arial"/>
                <w:color w:val="595959" w:themeColor="text1" w:themeTint="A6"/>
                <w:sz w:val="18"/>
                <w:szCs w:val="16"/>
                <w:lang w:val="da-DK"/>
              </w:rPr>
              <w:t>% of IDPs that are occupying the permanent shelter after three months</w:t>
            </w:r>
          </w:p>
        </w:tc>
        <w:tc>
          <w:tcPr>
            <w:tcW w:w="1291" w:type="dxa"/>
            <w:tcBorders>
              <w:top w:val="single" w:sz="6" w:space="0" w:color="808080" w:themeColor="background1" w:themeShade="80"/>
              <w:bottom w:val="single" w:sz="4" w:space="0" w:color="D9D9D9" w:themeColor="background1" w:themeShade="D9"/>
            </w:tcBorders>
            <w:shd w:val="clear" w:color="auto" w:fill="FFFFFF" w:themeFill="background1"/>
          </w:tcPr>
          <w:p w14:paraId="3CA44D29" w14:textId="41275E02" w:rsidR="0059683A" w:rsidRPr="00524289" w:rsidRDefault="00692B0E" w:rsidP="00173D43">
            <w:pPr>
              <w:jc w:val="both"/>
              <w:rPr>
                <w:rFonts w:ascii="Arial" w:hAnsi="Arial" w:cs="Times New Roman"/>
                <w:color w:val="808080" w:themeColor="background1" w:themeShade="80"/>
                <w:sz w:val="18"/>
                <w:szCs w:val="16"/>
                <w:lang w:val="en-GB" w:eastAsia="zh-TW"/>
              </w:rPr>
            </w:pPr>
            <w:r>
              <w:rPr>
                <w:rFonts w:ascii="Arial" w:hAnsi="Arial"/>
                <w:color w:val="808080" w:themeColor="background1" w:themeShade="80"/>
                <w:sz w:val="18"/>
                <w:szCs w:val="16"/>
              </w:rPr>
              <w:t>1,030,000</w:t>
            </w:r>
            <w:r w:rsidR="0059683A">
              <w:rPr>
                <w:rStyle w:val="FootnoteReference"/>
                <w:rFonts w:ascii="Arial" w:hAnsi="Arial"/>
                <w:color w:val="808080" w:themeColor="background1" w:themeShade="80"/>
                <w:sz w:val="18"/>
                <w:szCs w:val="16"/>
              </w:rPr>
              <w:footnoteReference w:id="21"/>
            </w:r>
          </w:p>
          <w:p w14:paraId="0630FE68" w14:textId="77777777" w:rsidR="0059683A" w:rsidRPr="00524289" w:rsidRDefault="0059683A" w:rsidP="00173D43">
            <w:pPr>
              <w:jc w:val="both"/>
              <w:rPr>
                <w:rFonts w:ascii="Arial" w:hAnsi="Arial"/>
                <w:color w:val="808080" w:themeColor="background1" w:themeShade="80"/>
                <w:sz w:val="18"/>
                <w:szCs w:val="16"/>
              </w:rPr>
            </w:pPr>
          </w:p>
          <w:p w14:paraId="209C8D76" w14:textId="77777777" w:rsidR="0059683A" w:rsidRPr="00524289" w:rsidRDefault="0059683A" w:rsidP="00173D43">
            <w:pPr>
              <w:jc w:val="both"/>
              <w:rPr>
                <w:rFonts w:ascii="Arial" w:hAnsi="Arial"/>
                <w:color w:val="808080" w:themeColor="background1" w:themeShade="80"/>
                <w:sz w:val="18"/>
                <w:szCs w:val="16"/>
              </w:rPr>
            </w:pPr>
          </w:p>
          <w:p w14:paraId="5C28D451" w14:textId="3B9FF693" w:rsidR="0059683A" w:rsidRPr="00524289" w:rsidRDefault="00692B0E" w:rsidP="00173D43">
            <w:pPr>
              <w:jc w:val="both"/>
              <w:rPr>
                <w:rFonts w:ascii="Arial" w:hAnsi="Arial"/>
                <w:color w:val="808080" w:themeColor="background1" w:themeShade="80"/>
                <w:sz w:val="18"/>
                <w:szCs w:val="16"/>
              </w:rPr>
            </w:pPr>
            <w:r>
              <w:rPr>
                <w:rFonts w:ascii="Arial" w:hAnsi="Arial"/>
                <w:color w:val="808080" w:themeColor="background1" w:themeShade="80"/>
                <w:sz w:val="18"/>
                <w:szCs w:val="16"/>
              </w:rPr>
              <w:t>1,030,000</w:t>
            </w:r>
          </w:p>
        </w:tc>
        <w:tc>
          <w:tcPr>
            <w:tcW w:w="1684" w:type="dxa"/>
            <w:tcBorders>
              <w:top w:val="single" w:sz="6" w:space="0" w:color="808080" w:themeColor="background1" w:themeShade="80"/>
              <w:bottom w:val="single" w:sz="4" w:space="0" w:color="D9D9D9" w:themeColor="background1" w:themeShade="D9"/>
            </w:tcBorders>
            <w:shd w:val="clear" w:color="auto" w:fill="FFFFFF" w:themeFill="background1"/>
          </w:tcPr>
          <w:p w14:paraId="25661306" w14:textId="02C337C1" w:rsidR="0059683A" w:rsidRPr="00524289" w:rsidRDefault="00692B0E" w:rsidP="00173D43">
            <w:pPr>
              <w:jc w:val="both"/>
              <w:rPr>
                <w:rFonts w:ascii="Arial" w:hAnsi="Arial"/>
                <w:color w:val="808080" w:themeColor="background1" w:themeShade="80"/>
                <w:sz w:val="18"/>
                <w:szCs w:val="16"/>
              </w:rPr>
            </w:pPr>
            <w:r>
              <w:rPr>
                <w:rFonts w:ascii="Arial" w:hAnsi="Arial"/>
                <w:color w:val="808080" w:themeColor="background1" w:themeShade="80"/>
                <w:sz w:val="18"/>
                <w:szCs w:val="16"/>
              </w:rPr>
              <w:t>195,000</w:t>
            </w:r>
            <w:r>
              <w:rPr>
                <w:rStyle w:val="FootnoteReference"/>
                <w:rFonts w:ascii="Arial" w:hAnsi="Arial"/>
                <w:color w:val="808080" w:themeColor="background1" w:themeShade="80"/>
                <w:sz w:val="18"/>
                <w:szCs w:val="16"/>
              </w:rPr>
              <w:footnoteReference w:id="22"/>
            </w:r>
          </w:p>
          <w:p w14:paraId="57F4A0B9" w14:textId="77777777" w:rsidR="0059683A" w:rsidRPr="00524289" w:rsidRDefault="0059683A" w:rsidP="00173D43">
            <w:pPr>
              <w:jc w:val="both"/>
              <w:rPr>
                <w:rFonts w:ascii="Arial" w:hAnsi="Arial"/>
                <w:color w:val="808080" w:themeColor="background1" w:themeShade="80"/>
                <w:sz w:val="18"/>
                <w:szCs w:val="16"/>
              </w:rPr>
            </w:pPr>
          </w:p>
          <w:p w14:paraId="5EC6C75A" w14:textId="77777777" w:rsidR="0059683A" w:rsidRPr="00524289" w:rsidRDefault="0059683A" w:rsidP="00173D43">
            <w:pPr>
              <w:jc w:val="both"/>
              <w:rPr>
                <w:rFonts w:ascii="Arial" w:hAnsi="Arial"/>
                <w:color w:val="808080" w:themeColor="background1" w:themeShade="80"/>
                <w:sz w:val="18"/>
                <w:szCs w:val="16"/>
              </w:rPr>
            </w:pPr>
          </w:p>
          <w:p w14:paraId="0ADAA1FD" w14:textId="163E8C21" w:rsidR="0059683A" w:rsidRDefault="00692B0E" w:rsidP="00173D43">
            <w:pPr>
              <w:jc w:val="both"/>
              <w:rPr>
                <w:rFonts w:ascii="Arial" w:hAnsi="Arial"/>
                <w:color w:val="808080" w:themeColor="background1" w:themeShade="80"/>
                <w:sz w:val="18"/>
                <w:szCs w:val="16"/>
              </w:rPr>
            </w:pPr>
            <w:r>
              <w:rPr>
                <w:rFonts w:ascii="Arial" w:hAnsi="Arial"/>
                <w:color w:val="808080" w:themeColor="background1" w:themeShade="80"/>
                <w:sz w:val="18"/>
                <w:szCs w:val="16"/>
              </w:rPr>
              <w:t>195,000</w:t>
            </w:r>
          </w:p>
          <w:p w14:paraId="008515AB" w14:textId="77777777" w:rsidR="0059683A" w:rsidRPr="00524289" w:rsidRDefault="0059683A" w:rsidP="00173D43">
            <w:pPr>
              <w:jc w:val="both"/>
              <w:rPr>
                <w:rFonts w:ascii="Arial" w:hAnsi="Arial"/>
                <w:color w:val="808080" w:themeColor="background1" w:themeShade="80"/>
                <w:sz w:val="18"/>
                <w:szCs w:val="16"/>
              </w:rPr>
            </w:pPr>
          </w:p>
        </w:tc>
      </w:tr>
      <w:tr w:rsidR="0059683A" w:rsidRPr="00524289" w14:paraId="2DD7987D" w14:textId="77777777" w:rsidTr="00173D43">
        <w:trPr>
          <w:trHeight w:val="733"/>
          <w:jc w:val="center"/>
        </w:trPr>
        <w:tc>
          <w:tcPr>
            <w:tcW w:w="1544"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7E5A4C7D" w14:textId="77777777" w:rsidR="0059683A" w:rsidRPr="00524289" w:rsidRDefault="0059683A" w:rsidP="00173D43">
            <w:pPr>
              <w:numPr>
                <w:ilvl w:val="0"/>
                <w:numId w:val="1"/>
              </w:numPr>
              <w:ind w:left="142" w:hanging="142"/>
              <w:jc w:val="both"/>
              <w:rPr>
                <w:rFonts w:ascii="Arial" w:hAnsi="Arial"/>
                <w:color w:val="595959" w:themeColor="text1" w:themeTint="A6"/>
                <w:sz w:val="18"/>
                <w:szCs w:val="20"/>
                <w:lang w:val="da-DK"/>
              </w:rPr>
            </w:pPr>
            <w:r>
              <w:rPr>
                <w:rFonts w:ascii="Arial" w:hAnsi="Arial"/>
                <w:color w:val="595959" w:themeColor="text1" w:themeTint="A6"/>
                <w:sz w:val="18"/>
                <w:szCs w:val="16"/>
                <w:lang w:val="da-DK"/>
              </w:rPr>
              <w:t>provide protracted IDPs with improved land tenure</w:t>
            </w:r>
            <w:r w:rsidRPr="00524289">
              <w:rPr>
                <w:rFonts w:ascii="Arial" w:hAnsi="Arial"/>
                <w:color w:val="595959" w:themeColor="text1" w:themeTint="A6"/>
                <w:sz w:val="18"/>
                <w:szCs w:val="16"/>
                <w:lang w:val="da-DK"/>
              </w:rPr>
              <w:t xml:space="preserve"> </w:t>
            </w:r>
          </w:p>
        </w:tc>
        <w:tc>
          <w:tcPr>
            <w:tcW w:w="1790"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69356642" w14:textId="77777777" w:rsidR="0059683A" w:rsidRPr="00524289" w:rsidRDefault="0059683A" w:rsidP="00173D43">
            <w:pPr>
              <w:jc w:val="both"/>
              <w:rPr>
                <w:rFonts w:ascii="Arial" w:hAnsi="Arial"/>
                <w:color w:val="595959" w:themeColor="text1" w:themeTint="A6"/>
                <w:sz w:val="18"/>
                <w:szCs w:val="16"/>
              </w:rPr>
            </w:pPr>
            <w:r>
              <w:rPr>
                <w:rFonts w:ascii="Arial" w:hAnsi="Arial"/>
                <w:color w:val="595959" w:themeColor="text1" w:themeTint="A6"/>
                <w:sz w:val="18"/>
                <w:szCs w:val="16"/>
                <w:lang w:val="en-GB"/>
              </w:rPr>
              <w:t>ALL SOMALIA</w:t>
            </w:r>
          </w:p>
        </w:tc>
        <w:tc>
          <w:tcPr>
            <w:tcW w:w="3897" w:type="dxa"/>
            <w:tcBorders>
              <w:top w:val="single" w:sz="4" w:space="0" w:color="D9D9D9" w:themeColor="background1" w:themeShade="D9"/>
              <w:bottom w:val="single" w:sz="4" w:space="0" w:color="D9D9D9" w:themeColor="background1" w:themeShade="D9"/>
            </w:tcBorders>
            <w:shd w:val="clear" w:color="auto" w:fill="FFFFFF" w:themeFill="background1"/>
          </w:tcPr>
          <w:p w14:paraId="40A0EA89" w14:textId="77777777" w:rsidR="0059683A" w:rsidRPr="00524289" w:rsidRDefault="0059683A" w:rsidP="00173D43">
            <w:pPr>
              <w:numPr>
                <w:ilvl w:val="0"/>
                <w:numId w:val="1"/>
              </w:numPr>
              <w:ind w:left="142" w:hanging="142"/>
              <w:jc w:val="both"/>
              <w:rPr>
                <w:rFonts w:ascii="Arial" w:hAnsi="Arial"/>
                <w:color w:val="595959" w:themeColor="text1" w:themeTint="A6"/>
                <w:sz w:val="18"/>
                <w:szCs w:val="16"/>
                <w:lang w:val="da-DK"/>
              </w:rPr>
            </w:pPr>
            <w:proofErr w:type="spellStart"/>
            <w:r>
              <w:rPr>
                <w:rFonts w:ascii="Arial" w:hAnsi="Arial"/>
                <w:color w:val="595959" w:themeColor="text1" w:themeTint="A6"/>
                <w:sz w:val="18"/>
                <w:szCs w:val="16"/>
                <w:lang w:val="en-GB"/>
              </w:rPr>
              <w:t>Nr</w:t>
            </w:r>
            <w:proofErr w:type="spellEnd"/>
            <w:r>
              <w:rPr>
                <w:rFonts w:ascii="Arial" w:hAnsi="Arial"/>
                <w:color w:val="595959" w:themeColor="text1" w:themeTint="A6"/>
                <w:sz w:val="18"/>
                <w:szCs w:val="16"/>
                <w:lang w:val="en-GB"/>
              </w:rPr>
              <w:t xml:space="preserve"> of protracted IDPs that have permanent land tenure agreements (local integration)</w:t>
            </w:r>
          </w:p>
        </w:tc>
        <w:tc>
          <w:tcPr>
            <w:tcW w:w="1291" w:type="dxa"/>
            <w:tcBorders>
              <w:top w:val="single" w:sz="4" w:space="0" w:color="D9D9D9" w:themeColor="background1" w:themeShade="D9"/>
              <w:bottom w:val="single" w:sz="4" w:space="0" w:color="D9D9D9" w:themeColor="background1" w:themeShade="D9"/>
            </w:tcBorders>
            <w:shd w:val="clear" w:color="auto" w:fill="FFFFFF" w:themeFill="background1"/>
          </w:tcPr>
          <w:p w14:paraId="78526D92" w14:textId="77777777" w:rsidR="0059683A" w:rsidRPr="0059683A" w:rsidRDefault="0059683A" w:rsidP="00173D43">
            <w:pPr>
              <w:jc w:val="both"/>
              <w:rPr>
                <w:rFonts w:ascii="Arial" w:hAnsi="Arial"/>
                <w:color w:val="808080" w:themeColor="background1" w:themeShade="80"/>
                <w:sz w:val="18"/>
                <w:szCs w:val="16"/>
              </w:rPr>
            </w:pPr>
            <w:r>
              <w:rPr>
                <w:rFonts w:ascii="Arial" w:hAnsi="Arial"/>
                <w:color w:val="808080" w:themeColor="background1" w:themeShade="80"/>
                <w:sz w:val="18"/>
                <w:szCs w:val="16"/>
              </w:rPr>
              <w:t>Unknown</w:t>
            </w:r>
          </w:p>
          <w:p w14:paraId="0D427826" w14:textId="77777777" w:rsidR="0059683A" w:rsidRPr="00524289" w:rsidRDefault="0059683A" w:rsidP="00173D43">
            <w:pPr>
              <w:jc w:val="both"/>
              <w:rPr>
                <w:rFonts w:ascii="Arial" w:hAnsi="Arial"/>
                <w:color w:val="808080" w:themeColor="background1" w:themeShade="80"/>
                <w:sz w:val="18"/>
                <w:szCs w:val="16"/>
              </w:rPr>
            </w:pPr>
          </w:p>
        </w:tc>
        <w:tc>
          <w:tcPr>
            <w:tcW w:w="1684" w:type="dxa"/>
            <w:tcBorders>
              <w:top w:val="single" w:sz="4" w:space="0" w:color="D9D9D9" w:themeColor="background1" w:themeShade="D9"/>
              <w:bottom w:val="single" w:sz="4" w:space="0" w:color="D9D9D9" w:themeColor="background1" w:themeShade="D9"/>
            </w:tcBorders>
            <w:shd w:val="clear" w:color="auto" w:fill="FFFFFF" w:themeFill="background1"/>
          </w:tcPr>
          <w:p w14:paraId="4A07F1E4" w14:textId="78929D7D" w:rsidR="0059683A" w:rsidRPr="00524289" w:rsidRDefault="00692B0E" w:rsidP="00173D43">
            <w:pPr>
              <w:jc w:val="both"/>
              <w:rPr>
                <w:rFonts w:ascii="Arial" w:hAnsi="Arial"/>
                <w:color w:val="808080" w:themeColor="background1" w:themeShade="80"/>
                <w:sz w:val="18"/>
                <w:szCs w:val="16"/>
              </w:rPr>
            </w:pPr>
            <w:r>
              <w:rPr>
                <w:rFonts w:ascii="Arial" w:hAnsi="Arial"/>
                <w:color w:val="808080" w:themeColor="background1" w:themeShade="80"/>
                <w:sz w:val="18"/>
                <w:szCs w:val="16"/>
              </w:rPr>
              <w:t>195,000</w:t>
            </w:r>
          </w:p>
        </w:tc>
      </w:tr>
      <w:tr w:rsidR="0059683A" w:rsidRPr="00524289" w14:paraId="7E727FFF" w14:textId="77777777" w:rsidTr="00173D43">
        <w:trPr>
          <w:trHeight w:val="733"/>
          <w:jc w:val="center"/>
        </w:trPr>
        <w:tc>
          <w:tcPr>
            <w:tcW w:w="1544"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4301B306" w14:textId="77777777" w:rsidR="0059683A" w:rsidRPr="00A462D7" w:rsidRDefault="0059683A" w:rsidP="00173D43">
            <w:pPr>
              <w:pStyle w:val="ListParagraph"/>
              <w:numPr>
                <w:ilvl w:val="0"/>
                <w:numId w:val="3"/>
              </w:numPr>
              <w:ind w:left="173" w:hanging="173"/>
              <w:jc w:val="both"/>
              <w:rPr>
                <w:rFonts w:ascii="Arial" w:hAnsi="Arial"/>
                <w:color w:val="595959" w:themeColor="text1" w:themeTint="A6"/>
                <w:sz w:val="18"/>
                <w:szCs w:val="16"/>
                <w:lang w:val="da-DK"/>
              </w:rPr>
            </w:pPr>
            <w:r w:rsidRPr="00A462D7">
              <w:rPr>
                <w:rFonts w:ascii="Arial" w:hAnsi="Arial"/>
                <w:color w:val="595959" w:themeColor="text1" w:themeTint="A6"/>
                <w:sz w:val="18"/>
                <w:szCs w:val="16"/>
                <w:lang w:val="da-DK"/>
              </w:rPr>
              <w:t xml:space="preserve">Ensure that settlements are planned with basic services </w:t>
            </w:r>
            <w:r>
              <w:rPr>
                <w:rFonts w:ascii="Arial" w:hAnsi="Arial"/>
                <w:color w:val="595959" w:themeColor="text1" w:themeTint="A6"/>
                <w:sz w:val="18"/>
                <w:szCs w:val="16"/>
                <w:lang w:val="da-DK"/>
              </w:rPr>
              <w:t xml:space="preserve">to </w:t>
            </w:r>
            <w:r w:rsidRPr="00A462D7">
              <w:rPr>
                <w:rFonts w:ascii="Arial" w:hAnsi="Arial"/>
                <w:color w:val="595959" w:themeColor="text1" w:themeTint="A6"/>
                <w:sz w:val="18"/>
                <w:szCs w:val="16"/>
                <w:lang w:val="da-DK"/>
              </w:rPr>
              <w:t>mitigate the risks of fire and outbreaks.</w:t>
            </w:r>
          </w:p>
        </w:tc>
        <w:tc>
          <w:tcPr>
            <w:tcW w:w="1790"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333DCF30" w14:textId="77777777" w:rsidR="0059683A" w:rsidRPr="00524289" w:rsidRDefault="0059683A" w:rsidP="00173D43">
            <w:pPr>
              <w:jc w:val="both"/>
              <w:rPr>
                <w:rFonts w:ascii="Arial" w:hAnsi="Arial"/>
                <w:color w:val="595959" w:themeColor="text1" w:themeTint="A6"/>
                <w:sz w:val="18"/>
                <w:szCs w:val="16"/>
              </w:rPr>
            </w:pPr>
            <w:r>
              <w:rPr>
                <w:rFonts w:ascii="Arial" w:hAnsi="Arial"/>
                <w:color w:val="595959" w:themeColor="text1" w:themeTint="A6"/>
                <w:sz w:val="18"/>
                <w:szCs w:val="16"/>
                <w:lang w:val="en-GB"/>
              </w:rPr>
              <w:t>ALL SOMALIA</w:t>
            </w:r>
          </w:p>
        </w:tc>
        <w:tc>
          <w:tcPr>
            <w:tcW w:w="3897" w:type="dxa"/>
            <w:tcBorders>
              <w:top w:val="single" w:sz="4" w:space="0" w:color="D9D9D9" w:themeColor="background1" w:themeShade="D9"/>
              <w:bottom w:val="single" w:sz="4" w:space="0" w:color="D9D9D9" w:themeColor="background1" w:themeShade="D9"/>
            </w:tcBorders>
            <w:shd w:val="clear" w:color="auto" w:fill="FFFFFF" w:themeFill="background1"/>
          </w:tcPr>
          <w:p w14:paraId="65422E64" w14:textId="77777777" w:rsidR="0059683A" w:rsidRPr="0059683A" w:rsidRDefault="0059683A" w:rsidP="0059683A">
            <w:pPr>
              <w:numPr>
                <w:ilvl w:val="0"/>
                <w:numId w:val="1"/>
              </w:numPr>
              <w:ind w:left="142" w:hanging="142"/>
              <w:jc w:val="both"/>
              <w:rPr>
                <w:rFonts w:ascii="Arial" w:hAnsi="Arial"/>
                <w:color w:val="595959" w:themeColor="text1" w:themeTint="A6"/>
                <w:sz w:val="18"/>
                <w:szCs w:val="16"/>
                <w:lang w:val="da-DK"/>
              </w:rPr>
            </w:pPr>
            <w:r>
              <w:rPr>
                <w:rFonts w:ascii="Arial" w:hAnsi="Arial"/>
                <w:color w:val="595959" w:themeColor="text1" w:themeTint="A6"/>
                <w:sz w:val="18"/>
                <w:szCs w:val="16"/>
                <w:lang w:val="en-GB"/>
              </w:rPr>
              <w:t>% of permanent shelter projects that have received site planning support</w:t>
            </w:r>
          </w:p>
        </w:tc>
        <w:tc>
          <w:tcPr>
            <w:tcW w:w="1291" w:type="dxa"/>
            <w:tcBorders>
              <w:top w:val="single" w:sz="4" w:space="0" w:color="D9D9D9" w:themeColor="background1" w:themeShade="D9"/>
              <w:bottom w:val="single" w:sz="4" w:space="0" w:color="D9D9D9" w:themeColor="background1" w:themeShade="D9"/>
            </w:tcBorders>
            <w:shd w:val="clear" w:color="auto" w:fill="FFFFFF" w:themeFill="background1"/>
          </w:tcPr>
          <w:p w14:paraId="36FA96E2" w14:textId="77777777" w:rsidR="0059683A" w:rsidRPr="0059683A" w:rsidRDefault="0059683A" w:rsidP="0059683A">
            <w:pPr>
              <w:jc w:val="both"/>
              <w:rPr>
                <w:rFonts w:ascii="Arial" w:hAnsi="Arial" w:cs="Times New Roman"/>
                <w:color w:val="808080" w:themeColor="background1" w:themeShade="80"/>
                <w:sz w:val="18"/>
                <w:szCs w:val="16"/>
                <w:lang w:val="en-GB" w:eastAsia="zh-TW"/>
              </w:rPr>
            </w:pPr>
            <w:r>
              <w:rPr>
                <w:rFonts w:ascii="Arial" w:hAnsi="Arial"/>
                <w:color w:val="808080" w:themeColor="background1" w:themeShade="80"/>
                <w:sz w:val="18"/>
                <w:szCs w:val="16"/>
              </w:rPr>
              <w:t>Unknown</w:t>
            </w:r>
          </w:p>
        </w:tc>
        <w:tc>
          <w:tcPr>
            <w:tcW w:w="1684" w:type="dxa"/>
            <w:tcBorders>
              <w:top w:val="single" w:sz="4" w:space="0" w:color="D9D9D9" w:themeColor="background1" w:themeShade="D9"/>
              <w:bottom w:val="single" w:sz="4" w:space="0" w:color="D9D9D9" w:themeColor="background1" w:themeShade="D9"/>
            </w:tcBorders>
            <w:shd w:val="clear" w:color="auto" w:fill="FFFFFF" w:themeFill="background1"/>
          </w:tcPr>
          <w:p w14:paraId="467B2CCD" w14:textId="77777777" w:rsidR="0059683A" w:rsidRPr="00524289" w:rsidRDefault="0059683A" w:rsidP="0059683A">
            <w:pPr>
              <w:jc w:val="both"/>
              <w:rPr>
                <w:rFonts w:ascii="Arial" w:hAnsi="Arial"/>
                <w:color w:val="808080" w:themeColor="background1" w:themeShade="80"/>
                <w:sz w:val="18"/>
                <w:szCs w:val="16"/>
              </w:rPr>
            </w:pPr>
            <w:r>
              <w:rPr>
                <w:rFonts w:ascii="Arial" w:hAnsi="Arial"/>
                <w:color w:val="808080" w:themeColor="background1" w:themeShade="80"/>
                <w:sz w:val="18"/>
                <w:szCs w:val="16"/>
              </w:rPr>
              <w:t>100%</w:t>
            </w:r>
          </w:p>
        </w:tc>
      </w:tr>
    </w:tbl>
    <w:p w14:paraId="09A55D70" w14:textId="77777777" w:rsidR="00EB2370" w:rsidRDefault="00EB2370" w:rsidP="00A462D7">
      <w:pPr>
        <w:spacing w:after="120" w:line="240" w:lineRule="auto"/>
        <w:jc w:val="both"/>
      </w:pPr>
    </w:p>
    <w:sectPr w:rsidR="00EB23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F03EC" w14:textId="77777777" w:rsidR="004831E4" w:rsidRDefault="004831E4" w:rsidP="00796137">
      <w:pPr>
        <w:spacing w:after="0" w:line="240" w:lineRule="auto"/>
      </w:pPr>
      <w:r>
        <w:separator/>
      </w:r>
    </w:p>
  </w:endnote>
  <w:endnote w:type="continuationSeparator" w:id="0">
    <w:p w14:paraId="75DF7DDF" w14:textId="77777777" w:rsidR="004831E4" w:rsidRDefault="004831E4" w:rsidP="0079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5D766" w14:textId="77777777" w:rsidR="004831E4" w:rsidRDefault="004831E4" w:rsidP="00796137">
      <w:pPr>
        <w:spacing w:after="0" w:line="240" w:lineRule="auto"/>
      </w:pPr>
      <w:r>
        <w:separator/>
      </w:r>
    </w:p>
  </w:footnote>
  <w:footnote w:type="continuationSeparator" w:id="0">
    <w:p w14:paraId="342879B0" w14:textId="77777777" w:rsidR="004831E4" w:rsidRDefault="004831E4" w:rsidP="00796137">
      <w:pPr>
        <w:spacing w:after="0" w:line="240" w:lineRule="auto"/>
      </w:pPr>
      <w:r>
        <w:continuationSeparator/>
      </w:r>
    </w:p>
  </w:footnote>
  <w:footnote w:id="1">
    <w:p w14:paraId="096D3D88" w14:textId="77777777" w:rsidR="00203A93" w:rsidRDefault="00203A93" w:rsidP="00DC4FC1">
      <w:pPr>
        <w:pStyle w:val="FootnoteText"/>
        <w:jc w:val="both"/>
      </w:pPr>
      <w:r>
        <w:rPr>
          <w:rStyle w:val="FootnoteReference"/>
        </w:rPr>
        <w:footnoteRef/>
      </w:r>
      <w:r>
        <w:t xml:space="preserve"> The figure is calculated as follows. In total we have 1.1 million IDPs (estimated). Although we have been promoting transitional and permanent shelter solutions for many IDPs, this figure has remained static due to new displacements happening. Added to this is the projected figure of 100000 refugee returnees.</w:t>
      </w:r>
    </w:p>
  </w:footnote>
  <w:footnote w:id="2">
    <w:p w14:paraId="4EFB6936" w14:textId="47549206" w:rsidR="00EE3217" w:rsidRDefault="00EE3217" w:rsidP="00DC4FC1">
      <w:pPr>
        <w:pStyle w:val="FootnoteText"/>
        <w:jc w:val="both"/>
      </w:pPr>
      <w:r>
        <w:rPr>
          <w:rStyle w:val="FootnoteReference"/>
        </w:rPr>
        <w:footnoteRef/>
      </w:r>
      <w:r>
        <w:t xml:space="preserve"> This will be updated after the projects are submitted.</w:t>
      </w:r>
    </w:p>
  </w:footnote>
  <w:footnote w:id="3">
    <w:p w14:paraId="262723A1" w14:textId="714E88FA" w:rsidR="00DC4FC1" w:rsidRDefault="00DC4FC1">
      <w:pPr>
        <w:pStyle w:val="FootnoteText"/>
      </w:pPr>
      <w:r>
        <w:rPr>
          <w:rStyle w:val="FootnoteReference"/>
        </w:rPr>
        <w:footnoteRef/>
      </w:r>
      <w:r>
        <w:t xml:space="preserve"> Will be updated later with the latest figures of UNHCR</w:t>
      </w:r>
    </w:p>
  </w:footnote>
  <w:footnote w:id="4">
    <w:p w14:paraId="075E9A3F" w14:textId="7F31E6B0" w:rsidR="00DC4FC1" w:rsidRDefault="00DC4FC1">
      <w:pPr>
        <w:pStyle w:val="FootnoteText"/>
      </w:pPr>
      <w:r>
        <w:rPr>
          <w:rStyle w:val="FootnoteReference"/>
        </w:rPr>
        <w:footnoteRef/>
      </w:r>
      <w:r>
        <w:t xml:space="preserve"> This number needs to be clarified with UNHCR. It will all depend what happens with the Tri-Partite discussions. The planning figures for UNHCR are 63.000 for 2016 and 75.000 for 2016.</w:t>
      </w:r>
    </w:p>
  </w:footnote>
  <w:footnote w:id="5">
    <w:p w14:paraId="3EDE3D6F" w14:textId="77777777" w:rsidR="003B03C7" w:rsidRDefault="003B03C7" w:rsidP="00DC4FC1">
      <w:pPr>
        <w:pStyle w:val="FootnoteText"/>
        <w:jc w:val="both"/>
      </w:pPr>
      <w:r>
        <w:rPr>
          <w:rStyle w:val="FootnoteReference"/>
        </w:rPr>
        <w:footnoteRef/>
      </w:r>
      <w:r>
        <w:t xml:space="preserve"> January to September: Single Reporting Format</w:t>
      </w:r>
    </w:p>
  </w:footnote>
  <w:footnote w:id="6">
    <w:p w14:paraId="6EE7998C" w14:textId="77777777" w:rsidR="00796137" w:rsidRPr="00A462D7" w:rsidRDefault="00796137" w:rsidP="00DC4FC1">
      <w:pPr>
        <w:pStyle w:val="FootnoteText"/>
        <w:jc w:val="both"/>
        <w:rPr>
          <w:lang w:val="en-GB"/>
        </w:rPr>
      </w:pPr>
      <w:r>
        <w:rPr>
          <w:rStyle w:val="FootnoteReference"/>
        </w:rPr>
        <w:footnoteRef/>
      </w:r>
      <w:r>
        <w:t xml:space="preserve"> EAP minimum package consists of one reinforced plastic tarpaulins (4m x 5m), three woven dry raised blanket (150 x200 cm), one synthetic sleeping mat (2.7m x 1.8m), one kitchen set, two non-collapsible jerry cans (20 </w:t>
      </w:r>
      <w:proofErr w:type="spellStart"/>
      <w:r>
        <w:t>litres</w:t>
      </w:r>
      <w:proofErr w:type="spellEnd"/>
      <w:r>
        <w:t>), sanitary clothes, underwear and one bar of soap (750g) agreed by the cluster in 2011.</w:t>
      </w:r>
    </w:p>
  </w:footnote>
  <w:footnote w:id="7">
    <w:p w14:paraId="5CBE7977" w14:textId="30EB93FD" w:rsidR="009C2093" w:rsidRDefault="009C2093" w:rsidP="00DC4FC1">
      <w:pPr>
        <w:pStyle w:val="FootnoteText"/>
        <w:jc w:val="both"/>
      </w:pPr>
      <w:r>
        <w:rPr>
          <w:rStyle w:val="FootnoteReference"/>
        </w:rPr>
        <w:footnoteRef/>
      </w:r>
      <w:r>
        <w:t xml:space="preserve"> </w:t>
      </w:r>
      <w:r>
        <w:rPr>
          <w:lang w:val="en-GB"/>
        </w:rPr>
        <w:t>See definition paper on Sustainable Shelter Solutions: www.sheltercluster.org</w:t>
      </w:r>
    </w:p>
  </w:footnote>
  <w:footnote w:id="8">
    <w:p w14:paraId="1EC92635" w14:textId="77777777" w:rsidR="00E13294" w:rsidRDefault="00E13294" w:rsidP="00DC4FC1">
      <w:pPr>
        <w:pStyle w:val="FootnoteText"/>
        <w:jc w:val="both"/>
      </w:pPr>
      <w:r>
        <w:rPr>
          <w:rStyle w:val="FootnoteReference"/>
        </w:rPr>
        <w:footnoteRef/>
      </w:r>
      <w:r>
        <w:t xml:space="preserve"> These projects seek to leverage on beneficiaries access to loans, grants, and remittances to provide owner driven shelter solutions and rental subsidies.</w:t>
      </w:r>
    </w:p>
  </w:footnote>
  <w:footnote w:id="9">
    <w:p w14:paraId="36591FE0" w14:textId="77777777" w:rsidR="001D2C56" w:rsidRPr="00A462D7" w:rsidRDefault="001D2C56" w:rsidP="00DC4FC1">
      <w:pPr>
        <w:pStyle w:val="FootnoteText"/>
        <w:jc w:val="both"/>
        <w:rPr>
          <w:lang w:val="en-GB"/>
        </w:rPr>
      </w:pPr>
      <w:r>
        <w:rPr>
          <w:rStyle w:val="FootnoteReference"/>
        </w:rPr>
        <w:footnoteRef/>
      </w:r>
      <w:r>
        <w:t xml:space="preserve"> </w:t>
      </w:r>
      <w:r>
        <w:rPr>
          <w:lang w:val="en-GB"/>
        </w:rPr>
        <w:t>Housing, Land and Property</w:t>
      </w:r>
    </w:p>
  </w:footnote>
  <w:footnote w:id="10">
    <w:p w14:paraId="142895DE" w14:textId="77777777" w:rsidR="00DC01F3" w:rsidRPr="00DC01F3" w:rsidRDefault="00DC01F3" w:rsidP="00DC4FC1">
      <w:pPr>
        <w:pStyle w:val="FootnoteText"/>
        <w:jc w:val="both"/>
      </w:pPr>
      <w:r>
        <w:rPr>
          <w:rStyle w:val="FootnoteReference"/>
        </w:rPr>
        <w:footnoteRef/>
      </w:r>
      <w:r>
        <w:t xml:space="preserve"> </w:t>
      </w:r>
      <w:r w:rsidR="00164671">
        <w:t>Newly displaced denotes any person that is displaced during the time of the project period, irrespective of whether they are being displaced for the first time, or whether they were in an existing displacement situation at the time they were affected. This includes, but is not limited to, displacement due to military offensives, inter-clan conflict, forced evictions and/or natural disasters.</w:t>
      </w:r>
    </w:p>
  </w:footnote>
  <w:footnote w:id="11">
    <w:p w14:paraId="740A0FAE" w14:textId="262C1DFF" w:rsidR="00670DDD" w:rsidRPr="00164671" w:rsidRDefault="00670DDD" w:rsidP="00DC4FC1">
      <w:pPr>
        <w:pStyle w:val="FootnoteText"/>
        <w:jc w:val="both"/>
      </w:pPr>
      <w:r>
        <w:rPr>
          <w:rStyle w:val="FootnoteReference"/>
        </w:rPr>
        <w:footnoteRef/>
      </w:r>
      <w:r>
        <w:t xml:space="preserve"> Through </w:t>
      </w:r>
      <w:r w:rsidR="007B62BA">
        <w:t xml:space="preserve">evidence from displacement </w:t>
      </w:r>
      <w:r>
        <w:t xml:space="preserve">estimations </w:t>
      </w:r>
      <w:r w:rsidR="007B62BA">
        <w:t>in the last 4 years</w:t>
      </w:r>
      <w:r>
        <w:t xml:space="preserve"> (offensive, floods, evictions…), there will be a need of emergency assistance for </w:t>
      </w:r>
      <w:r w:rsidR="00C0442B">
        <w:t xml:space="preserve">around </w:t>
      </w:r>
      <w:r w:rsidR="00692B0E">
        <w:t>200,000</w:t>
      </w:r>
      <w:r>
        <w:t xml:space="preserve"> persons in </w:t>
      </w:r>
      <w:r w:rsidR="007B62BA">
        <w:t>2017</w:t>
      </w:r>
      <w:r>
        <w:t xml:space="preserve">. 60% of the </w:t>
      </w:r>
      <w:r w:rsidR="00C0442B">
        <w:t xml:space="preserve">300.000 </w:t>
      </w:r>
      <w:r>
        <w:t>persons are also in need of emergency assistance.</w:t>
      </w:r>
      <w:r w:rsidR="00692B0E">
        <w:t xml:space="preserve"> An additional case load of 130.000 persons is expected from refugee returns.</w:t>
      </w:r>
    </w:p>
  </w:footnote>
  <w:footnote w:id="12">
    <w:p w14:paraId="41088298" w14:textId="77777777" w:rsidR="00164671" w:rsidRPr="00164671" w:rsidRDefault="00164671" w:rsidP="00DC4FC1">
      <w:pPr>
        <w:pStyle w:val="FootnoteText"/>
        <w:jc w:val="both"/>
      </w:pPr>
      <w:r>
        <w:rPr>
          <w:rStyle w:val="FootnoteReference"/>
        </w:rPr>
        <w:footnoteRef/>
      </w:r>
      <w:r>
        <w:t xml:space="preserve"> The Shelter estimates that 40% will have shelter through host families. 60% of the </w:t>
      </w:r>
      <w:r w:rsidR="00C0442B">
        <w:t xml:space="preserve">300.000 </w:t>
      </w:r>
      <w:r>
        <w:t>persons are also in need of emergency assistance.</w:t>
      </w:r>
    </w:p>
  </w:footnote>
  <w:footnote w:id="13">
    <w:p w14:paraId="7E86C8C6" w14:textId="77777777" w:rsidR="00E253E7" w:rsidRPr="00E253E7" w:rsidRDefault="00E253E7" w:rsidP="00DC4FC1">
      <w:pPr>
        <w:pStyle w:val="FootnoteText"/>
        <w:jc w:val="both"/>
      </w:pPr>
      <w:r>
        <w:rPr>
          <w:rStyle w:val="FootnoteReference"/>
        </w:rPr>
        <w:footnoteRef/>
      </w:r>
      <w:r>
        <w:t xml:space="preserve"> Definition of time-</w:t>
      </w:r>
      <w:proofErr w:type="spellStart"/>
      <w:r>
        <w:t>ly</w:t>
      </w:r>
      <w:proofErr w:type="spellEnd"/>
      <w:r>
        <w:t xml:space="preserve"> manner: </w:t>
      </w:r>
      <w:r w:rsidR="009C43BB">
        <w:t xml:space="preserve">Emergency assistance in the past has been very slow due to several reasons: difficult access, non-accurate information, late decision making… </w:t>
      </w:r>
      <w:r w:rsidR="00A62404">
        <w:t>Shelter Cluster partners will try to ensure to respond within 4 weeks</w:t>
      </w:r>
      <w:r w:rsidR="009C43BB">
        <w:t xml:space="preserve"> </w:t>
      </w:r>
      <w:proofErr w:type="gramStart"/>
      <w:r w:rsidR="009C43BB">
        <w:t xml:space="preserve">( </w:t>
      </w:r>
      <w:r w:rsidR="00A62404">
        <w:t>2</w:t>
      </w:r>
      <w:proofErr w:type="gramEnd"/>
      <w:r w:rsidR="00A62404">
        <w:t xml:space="preserve"> weeks fo</w:t>
      </w:r>
      <w:r w:rsidR="009C43BB">
        <w:t>r assessment and</w:t>
      </w:r>
      <w:r w:rsidR="00A62404">
        <w:t xml:space="preserve"> 2</w:t>
      </w:r>
      <w:r w:rsidR="009C43BB">
        <w:t xml:space="preserve"> </w:t>
      </w:r>
      <w:r w:rsidR="00A62404">
        <w:t xml:space="preserve">weeks </w:t>
      </w:r>
      <w:r w:rsidR="009C43BB">
        <w:t>for intervention)</w:t>
      </w:r>
      <w:r w:rsidR="00A62404">
        <w:t>.</w:t>
      </w:r>
    </w:p>
  </w:footnote>
  <w:footnote w:id="14">
    <w:p w14:paraId="13D13FAE" w14:textId="77777777" w:rsidR="009C43BB" w:rsidRPr="00D67023" w:rsidRDefault="009C43BB" w:rsidP="00DC4FC1">
      <w:pPr>
        <w:pStyle w:val="FootnoteText"/>
        <w:jc w:val="both"/>
        <w:rPr>
          <w:lang w:val="en-GB"/>
        </w:rPr>
      </w:pPr>
      <w:r>
        <w:rPr>
          <w:rStyle w:val="FootnoteReference"/>
        </w:rPr>
        <w:footnoteRef/>
      </w:r>
      <w:r>
        <w:t xml:space="preserve"> </w:t>
      </w:r>
      <w:r>
        <w:rPr>
          <w:lang w:val="en-GB"/>
        </w:rPr>
        <w:t>For most Shelter Cluster partners, PDM is standard practice and is always implemented.</w:t>
      </w:r>
    </w:p>
  </w:footnote>
  <w:footnote w:id="15">
    <w:p w14:paraId="5D84B17A" w14:textId="77777777" w:rsidR="00823559" w:rsidRPr="00823559" w:rsidRDefault="00823559" w:rsidP="00DC4FC1">
      <w:pPr>
        <w:pStyle w:val="FootnoteText"/>
        <w:jc w:val="both"/>
      </w:pPr>
      <w:r>
        <w:rPr>
          <w:rStyle w:val="FootnoteReference"/>
        </w:rPr>
        <w:footnoteRef/>
      </w:r>
      <w:r>
        <w:t xml:space="preserve"> </w:t>
      </w:r>
      <w:r w:rsidR="00E01CA2">
        <w:t>Both Permanent and Transitional shelter fall under this definition</w:t>
      </w:r>
    </w:p>
  </w:footnote>
  <w:footnote w:id="16">
    <w:p w14:paraId="46998929" w14:textId="4AB51087" w:rsidR="00E253E7" w:rsidRPr="0078585F" w:rsidRDefault="00E253E7" w:rsidP="00DC4FC1">
      <w:pPr>
        <w:pStyle w:val="FootnoteText"/>
        <w:jc w:val="both"/>
      </w:pPr>
      <w:r>
        <w:rPr>
          <w:rStyle w:val="FootnoteReference"/>
        </w:rPr>
        <w:footnoteRef/>
      </w:r>
      <w:r>
        <w:t xml:space="preserve">Land tenure agreements range from </w:t>
      </w:r>
      <w:r>
        <w:rPr>
          <w:i/>
        </w:rPr>
        <w:t>no agreements</w:t>
      </w:r>
      <w:r w:rsidR="003272D7">
        <w:rPr>
          <w:i/>
        </w:rPr>
        <w:t xml:space="preserve">; informal agreements; lease agreements; </w:t>
      </w:r>
      <w:r>
        <w:rPr>
          <w:i/>
        </w:rPr>
        <w:t>p</w:t>
      </w:r>
      <w:r w:rsidR="003272D7">
        <w:rPr>
          <w:i/>
        </w:rPr>
        <w:t>ermanent land tenure agreements, communal land tenure agreements…</w:t>
      </w:r>
      <w:r w:rsidR="0078585F">
        <w:rPr>
          <w:i/>
        </w:rPr>
        <w:t xml:space="preserve"> </w:t>
      </w:r>
      <w:r w:rsidR="0078585F">
        <w:t xml:space="preserve">Rental </w:t>
      </w:r>
      <w:r w:rsidR="00DC4FC1">
        <w:t>programs</w:t>
      </w:r>
      <w:r w:rsidR="0078585F">
        <w:t xml:space="preserve"> are also included in this approach.</w:t>
      </w:r>
    </w:p>
  </w:footnote>
  <w:footnote w:id="17">
    <w:p w14:paraId="0B2FBCB2" w14:textId="0F054BF8" w:rsidR="00647853" w:rsidRPr="00D67023" w:rsidRDefault="00647853" w:rsidP="00DC4FC1">
      <w:pPr>
        <w:pStyle w:val="FootnoteText"/>
        <w:jc w:val="both"/>
        <w:rPr>
          <w:lang w:val="en-GB"/>
        </w:rPr>
      </w:pPr>
      <w:r>
        <w:rPr>
          <w:rStyle w:val="FootnoteReference"/>
        </w:rPr>
        <w:footnoteRef/>
      </w:r>
      <w:r>
        <w:t xml:space="preserve"> </w:t>
      </w:r>
      <w:r>
        <w:rPr>
          <w:lang w:val="en-GB"/>
        </w:rPr>
        <w:t>The Shelter Cluster has provided concrete assistance to IDPs in the form of transitional shelter and permanent housing to 169,741 persons</w:t>
      </w:r>
      <w:r w:rsidR="007B62BA">
        <w:rPr>
          <w:lang w:val="en-GB"/>
        </w:rPr>
        <w:t xml:space="preserve"> from 2011 until 2015</w:t>
      </w:r>
      <w:r>
        <w:rPr>
          <w:lang w:val="en-GB"/>
        </w:rPr>
        <w:t xml:space="preserve">. </w:t>
      </w:r>
      <w:r w:rsidR="007B62BA">
        <w:rPr>
          <w:lang w:val="en-GB"/>
        </w:rPr>
        <w:t xml:space="preserve">T-shelter has been provided only in limited numbers in 2016. </w:t>
      </w:r>
      <w:r>
        <w:rPr>
          <w:lang w:val="en-GB"/>
        </w:rPr>
        <w:t xml:space="preserve">The baseline is calculated by subtracting this number from the total </w:t>
      </w:r>
      <w:proofErr w:type="spellStart"/>
      <w:r>
        <w:rPr>
          <w:lang w:val="en-GB"/>
        </w:rPr>
        <w:t>nr</w:t>
      </w:r>
      <w:proofErr w:type="spellEnd"/>
      <w:r>
        <w:rPr>
          <w:lang w:val="en-GB"/>
        </w:rPr>
        <w:t xml:space="preserve"> of IDPs.</w:t>
      </w:r>
    </w:p>
  </w:footnote>
  <w:footnote w:id="18">
    <w:p w14:paraId="4166A120" w14:textId="77777777" w:rsidR="00647853" w:rsidRPr="00D67023" w:rsidRDefault="00647853" w:rsidP="00DC4FC1">
      <w:pPr>
        <w:pStyle w:val="FootnoteText"/>
        <w:jc w:val="both"/>
        <w:rPr>
          <w:lang w:val="en-GB"/>
        </w:rPr>
      </w:pPr>
      <w:r>
        <w:rPr>
          <w:rStyle w:val="FootnoteReference"/>
        </w:rPr>
        <w:footnoteRef/>
      </w:r>
      <w:r>
        <w:t xml:space="preserve"> </w:t>
      </w:r>
      <w:r>
        <w:rPr>
          <w:lang w:val="en-GB"/>
        </w:rPr>
        <w:t xml:space="preserve">The Shelter Cluster has already mapped out all IDP settlements in Mogadishu, </w:t>
      </w:r>
      <w:proofErr w:type="spellStart"/>
      <w:r>
        <w:rPr>
          <w:lang w:val="en-GB"/>
        </w:rPr>
        <w:t>Bossaso</w:t>
      </w:r>
      <w:proofErr w:type="spellEnd"/>
      <w:r>
        <w:rPr>
          <w:lang w:val="en-GB"/>
        </w:rPr>
        <w:t xml:space="preserve">, </w:t>
      </w:r>
      <w:proofErr w:type="spellStart"/>
      <w:r>
        <w:rPr>
          <w:lang w:val="en-GB"/>
        </w:rPr>
        <w:t>gaalkacyo</w:t>
      </w:r>
      <w:proofErr w:type="spellEnd"/>
      <w:r>
        <w:rPr>
          <w:lang w:val="en-GB"/>
        </w:rPr>
        <w:t xml:space="preserve">, </w:t>
      </w:r>
      <w:proofErr w:type="spellStart"/>
      <w:r>
        <w:rPr>
          <w:lang w:val="en-GB"/>
        </w:rPr>
        <w:t>Kismaayo</w:t>
      </w:r>
      <w:proofErr w:type="spellEnd"/>
      <w:r>
        <w:rPr>
          <w:lang w:val="en-GB"/>
        </w:rPr>
        <w:t xml:space="preserve">, </w:t>
      </w:r>
      <w:proofErr w:type="spellStart"/>
      <w:r w:rsidR="00670DDD">
        <w:rPr>
          <w:lang w:val="en-GB"/>
        </w:rPr>
        <w:t>Baidoa</w:t>
      </w:r>
      <w:proofErr w:type="spellEnd"/>
      <w:r w:rsidR="00670DDD">
        <w:rPr>
          <w:lang w:val="en-GB"/>
        </w:rPr>
        <w:t>. The remaining settlements should be mapped out early 2015.</w:t>
      </w:r>
    </w:p>
  </w:footnote>
  <w:footnote w:id="19">
    <w:p w14:paraId="194025C3" w14:textId="058789BF" w:rsidR="00EB2370" w:rsidRPr="00823559" w:rsidRDefault="00EB2370" w:rsidP="00DC4FC1">
      <w:pPr>
        <w:pStyle w:val="FootnoteText"/>
        <w:jc w:val="both"/>
      </w:pPr>
      <w:r>
        <w:rPr>
          <w:rStyle w:val="FootnoteReference"/>
        </w:rPr>
        <w:footnoteRef/>
      </w:r>
      <w:r>
        <w:t xml:space="preserve"> </w:t>
      </w:r>
      <w:r w:rsidR="00692B0E">
        <w:t>Sustainable shelter solutions are at the base of the definition of permanent shelters. The typology depends on the local building culture and components of building back safer.</w:t>
      </w:r>
    </w:p>
  </w:footnote>
  <w:footnote w:id="20">
    <w:p w14:paraId="4CF57B36" w14:textId="77777777" w:rsidR="00EB2370" w:rsidRPr="00823559" w:rsidRDefault="00EB2370" w:rsidP="00DC4FC1">
      <w:pPr>
        <w:pStyle w:val="FootnoteText"/>
        <w:jc w:val="both"/>
        <w:rPr>
          <w:i/>
        </w:rPr>
      </w:pPr>
      <w:r>
        <w:rPr>
          <w:rStyle w:val="FootnoteReference"/>
        </w:rPr>
        <w:footnoteRef/>
      </w:r>
      <w:r>
        <w:t xml:space="preserve">Land tenure agreements range from </w:t>
      </w:r>
      <w:r>
        <w:rPr>
          <w:i/>
        </w:rPr>
        <w:t>no agreements; informal agreements; lease agreements; permanent land tenure agreements, communal land tenure agreements…</w:t>
      </w:r>
    </w:p>
  </w:footnote>
  <w:footnote w:id="21">
    <w:p w14:paraId="0084AA80" w14:textId="2E8A8410" w:rsidR="0059683A" w:rsidRPr="00D67023" w:rsidRDefault="0059683A" w:rsidP="00DC4FC1">
      <w:pPr>
        <w:pStyle w:val="FootnoteText"/>
        <w:jc w:val="both"/>
        <w:rPr>
          <w:lang w:val="en-GB"/>
        </w:rPr>
      </w:pPr>
      <w:r>
        <w:rPr>
          <w:rStyle w:val="FootnoteReference"/>
        </w:rPr>
        <w:footnoteRef/>
      </w:r>
      <w:r>
        <w:t xml:space="preserve"> </w:t>
      </w:r>
      <w:r>
        <w:rPr>
          <w:lang w:val="en-GB"/>
        </w:rPr>
        <w:t xml:space="preserve">The Shelter Cluster has provided concrete assistance to IDPs in the form of transitional shelter and permanent housing to 169,741 persons. The baseline is calculated by subtracting this number from the total </w:t>
      </w:r>
      <w:proofErr w:type="spellStart"/>
      <w:r>
        <w:rPr>
          <w:lang w:val="en-GB"/>
        </w:rPr>
        <w:t>nr</w:t>
      </w:r>
      <w:proofErr w:type="spellEnd"/>
      <w:r>
        <w:rPr>
          <w:lang w:val="en-GB"/>
        </w:rPr>
        <w:t xml:space="preserve"> of IDPs.</w:t>
      </w:r>
      <w:r w:rsidR="00692B0E">
        <w:rPr>
          <w:lang w:val="en-GB"/>
        </w:rPr>
        <w:t xml:space="preserve"> An additional 130.000 refugee returnees have been added to this objective.</w:t>
      </w:r>
    </w:p>
  </w:footnote>
  <w:footnote w:id="22">
    <w:p w14:paraId="62C77EE3" w14:textId="095335AA" w:rsidR="00692B0E" w:rsidRDefault="00692B0E" w:rsidP="00DC4FC1">
      <w:pPr>
        <w:pStyle w:val="FootnoteText"/>
        <w:jc w:val="both"/>
      </w:pPr>
      <w:r>
        <w:rPr>
          <w:rStyle w:val="FootnoteReference"/>
        </w:rPr>
        <w:footnoteRef/>
      </w:r>
      <w:r>
        <w:t xml:space="preserve"> There are an estimated 130.000 refugee returns that will be in need of permanent shelters. To ensure do no harm for the IDP populations and the urban poor host communities, an additional 50% case load has been added to ensure a balance targeting.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D48BA"/>
    <w:multiLevelType w:val="hybridMultilevel"/>
    <w:tmpl w:val="82429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953F94"/>
    <w:multiLevelType w:val="hybridMultilevel"/>
    <w:tmpl w:val="AF20D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7868A1"/>
    <w:multiLevelType w:val="multilevel"/>
    <w:tmpl w:val="65A4C76E"/>
    <w:lvl w:ilvl="0">
      <w:numFmt w:val="bullet"/>
      <w:lvlText w:val="•"/>
      <w:lvlJc w:val="left"/>
      <w:rPr>
        <w:rFonts w:ascii="Calibri" w:eastAsia="Calibri" w:hAnsi="Calibri" w:cs="Calibri"/>
        <w:b/>
        <w:bCs/>
        <w:position w:val="0"/>
        <w:rtl w:val="0"/>
      </w:rPr>
    </w:lvl>
    <w:lvl w:ilvl="1">
      <w:start w:val="1"/>
      <w:numFmt w:val="bullet"/>
      <w:lvlText w:val="o"/>
      <w:lvlJc w:val="left"/>
      <w:rPr>
        <w:rFonts w:ascii="Calibri" w:eastAsia="Calibri" w:hAnsi="Calibri" w:cs="Calibri"/>
        <w:b/>
        <w:bCs/>
        <w:position w:val="0"/>
        <w:rtl w:val="0"/>
      </w:rPr>
    </w:lvl>
    <w:lvl w:ilvl="2">
      <w:start w:val="1"/>
      <w:numFmt w:val="bullet"/>
      <w:lvlText w:val="▪"/>
      <w:lvlJc w:val="left"/>
      <w:rPr>
        <w:rFonts w:ascii="Calibri" w:eastAsia="Calibri" w:hAnsi="Calibri" w:cs="Calibri"/>
        <w:b/>
        <w:bCs/>
        <w:position w:val="0"/>
        <w:rtl w:val="0"/>
      </w:rPr>
    </w:lvl>
    <w:lvl w:ilvl="3">
      <w:start w:val="1"/>
      <w:numFmt w:val="bullet"/>
      <w:lvlText w:val="•"/>
      <w:lvlJc w:val="left"/>
      <w:rPr>
        <w:rFonts w:ascii="Calibri" w:eastAsia="Calibri" w:hAnsi="Calibri" w:cs="Calibri"/>
        <w:b/>
        <w:bCs/>
        <w:position w:val="0"/>
        <w:rtl w:val="0"/>
      </w:rPr>
    </w:lvl>
    <w:lvl w:ilvl="4">
      <w:start w:val="1"/>
      <w:numFmt w:val="bullet"/>
      <w:lvlText w:val="o"/>
      <w:lvlJc w:val="left"/>
      <w:rPr>
        <w:rFonts w:ascii="Calibri" w:eastAsia="Calibri" w:hAnsi="Calibri" w:cs="Calibri"/>
        <w:b/>
        <w:bCs/>
        <w:position w:val="0"/>
        <w:rtl w:val="0"/>
      </w:rPr>
    </w:lvl>
    <w:lvl w:ilvl="5">
      <w:start w:val="1"/>
      <w:numFmt w:val="bullet"/>
      <w:lvlText w:val="▪"/>
      <w:lvlJc w:val="left"/>
      <w:rPr>
        <w:rFonts w:ascii="Calibri" w:eastAsia="Calibri" w:hAnsi="Calibri" w:cs="Calibri"/>
        <w:b/>
        <w:bCs/>
        <w:position w:val="0"/>
        <w:rtl w:val="0"/>
      </w:rPr>
    </w:lvl>
    <w:lvl w:ilvl="6">
      <w:start w:val="1"/>
      <w:numFmt w:val="bullet"/>
      <w:lvlText w:val="•"/>
      <w:lvlJc w:val="left"/>
      <w:rPr>
        <w:rFonts w:ascii="Calibri" w:eastAsia="Calibri" w:hAnsi="Calibri" w:cs="Calibri"/>
        <w:b/>
        <w:bCs/>
        <w:position w:val="0"/>
        <w:rtl w:val="0"/>
      </w:rPr>
    </w:lvl>
    <w:lvl w:ilvl="7">
      <w:start w:val="1"/>
      <w:numFmt w:val="bullet"/>
      <w:lvlText w:val="o"/>
      <w:lvlJc w:val="left"/>
      <w:rPr>
        <w:rFonts w:ascii="Calibri" w:eastAsia="Calibri" w:hAnsi="Calibri" w:cs="Calibri"/>
        <w:b/>
        <w:bCs/>
        <w:position w:val="0"/>
        <w:rtl w:val="0"/>
      </w:rPr>
    </w:lvl>
    <w:lvl w:ilvl="8">
      <w:start w:val="1"/>
      <w:numFmt w:val="bullet"/>
      <w:lvlText w:val="▪"/>
      <w:lvlJc w:val="left"/>
      <w:rPr>
        <w:rFonts w:ascii="Calibri" w:eastAsia="Calibri" w:hAnsi="Calibri" w:cs="Calibri"/>
        <w:b/>
        <w:bCs/>
        <w:position w:val="0"/>
        <w:rtl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5E"/>
    <w:rsid w:val="00002F00"/>
    <w:rsid w:val="00011E33"/>
    <w:rsid w:val="00012B83"/>
    <w:rsid w:val="00034864"/>
    <w:rsid w:val="0005366A"/>
    <w:rsid w:val="0005695E"/>
    <w:rsid w:val="0009514F"/>
    <w:rsid w:val="000A2795"/>
    <w:rsid w:val="00101F86"/>
    <w:rsid w:val="00126FCF"/>
    <w:rsid w:val="00133EF2"/>
    <w:rsid w:val="001420CF"/>
    <w:rsid w:val="00164671"/>
    <w:rsid w:val="00192774"/>
    <w:rsid w:val="001B737A"/>
    <w:rsid w:val="001C3226"/>
    <w:rsid w:val="001C4CEA"/>
    <w:rsid w:val="001D2C56"/>
    <w:rsid w:val="00203A93"/>
    <w:rsid w:val="002125C1"/>
    <w:rsid w:val="002311C1"/>
    <w:rsid w:val="00267353"/>
    <w:rsid w:val="002A75FD"/>
    <w:rsid w:val="002E43A6"/>
    <w:rsid w:val="002E625F"/>
    <w:rsid w:val="003153C6"/>
    <w:rsid w:val="003272D7"/>
    <w:rsid w:val="00341FB0"/>
    <w:rsid w:val="003516A2"/>
    <w:rsid w:val="00352378"/>
    <w:rsid w:val="00354F9C"/>
    <w:rsid w:val="003759F6"/>
    <w:rsid w:val="003B03C7"/>
    <w:rsid w:val="003B426A"/>
    <w:rsid w:val="003E2D7B"/>
    <w:rsid w:val="004343EE"/>
    <w:rsid w:val="00456F54"/>
    <w:rsid w:val="004831E4"/>
    <w:rsid w:val="00522533"/>
    <w:rsid w:val="00530649"/>
    <w:rsid w:val="00556665"/>
    <w:rsid w:val="005828CA"/>
    <w:rsid w:val="0059683A"/>
    <w:rsid w:val="005F6EB7"/>
    <w:rsid w:val="00647853"/>
    <w:rsid w:val="0065434F"/>
    <w:rsid w:val="00670DDD"/>
    <w:rsid w:val="0067641B"/>
    <w:rsid w:val="00692B0E"/>
    <w:rsid w:val="006E283A"/>
    <w:rsid w:val="006E57E1"/>
    <w:rsid w:val="006F3F27"/>
    <w:rsid w:val="007256CD"/>
    <w:rsid w:val="0073658B"/>
    <w:rsid w:val="00741654"/>
    <w:rsid w:val="00762256"/>
    <w:rsid w:val="0078585F"/>
    <w:rsid w:val="00796137"/>
    <w:rsid w:val="007B62BA"/>
    <w:rsid w:val="007B6A68"/>
    <w:rsid w:val="007E0FB8"/>
    <w:rsid w:val="00801AC3"/>
    <w:rsid w:val="008135B1"/>
    <w:rsid w:val="00823559"/>
    <w:rsid w:val="00850406"/>
    <w:rsid w:val="00870CC0"/>
    <w:rsid w:val="008B62A4"/>
    <w:rsid w:val="008D0ABF"/>
    <w:rsid w:val="008F7708"/>
    <w:rsid w:val="0095770B"/>
    <w:rsid w:val="0097709B"/>
    <w:rsid w:val="009C2093"/>
    <w:rsid w:val="009C43BB"/>
    <w:rsid w:val="009D2C5E"/>
    <w:rsid w:val="00A462D7"/>
    <w:rsid w:val="00A56400"/>
    <w:rsid w:val="00A60E44"/>
    <w:rsid w:val="00A62404"/>
    <w:rsid w:val="00A93988"/>
    <w:rsid w:val="00AE4347"/>
    <w:rsid w:val="00AF0E72"/>
    <w:rsid w:val="00AF27F8"/>
    <w:rsid w:val="00B63203"/>
    <w:rsid w:val="00BC639F"/>
    <w:rsid w:val="00C0442B"/>
    <w:rsid w:val="00C05D85"/>
    <w:rsid w:val="00C412CB"/>
    <w:rsid w:val="00C624AD"/>
    <w:rsid w:val="00CF7446"/>
    <w:rsid w:val="00D67023"/>
    <w:rsid w:val="00DB1D34"/>
    <w:rsid w:val="00DC01F3"/>
    <w:rsid w:val="00DC4FC1"/>
    <w:rsid w:val="00E01CA2"/>
    <w:rsid w:val="00E13294"/>
    <w:rsid w:val="00E253E7"/>
    <w:rsid w:val="00E97F91"/>
    <w:rsid w:val="00EB2370"/>
    <w:rsid w:val="00EC1A4F"/>
    <w:rsid w:val="00ED30A5"/>
    <w:rsid w:val="00EE3217"/>
    <w:rsid w:val="00F6101F"/>
    <w:rsid w:val="00FA7A09"/>
    <w:rsid w:val="00FC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BB5A"/>
  <w15:docId w15:val="{2E5E3E80-AD2F-46BA-BAD9-2D9EC0C0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Pguidancebox">
    <w:name w:val="SRP guidance box"/>
    <w:basedOn w:val="Normal"/>
    <w:rsid w:val="009D2C5E"/>
    <w:pPr>
      <w:shd w:val="clear" w:color="auto" w:fill="DBE5F1" w:themeFill="accent1" w:themeFillTint="33"/>
      <w:spacing w:after="0" w:line="240" w:lineRule="auto"/>
    </w:pPr>
    <w:rPr>
      <w:rFonts w:ascii="Segoe UI Semibold" w:hAnsi="Segoe UI Semibold"/>
      <w:sz w:val="20"/>
      <w:lang w:val="en-GB"/>
      <w14:textOutline w14:w="9525" w14:cap="rnd" w14:cmpd="sng" w14:algn="ctr">
        <w14:noFill/>
        <w14:prstDash w14:val="solid"/>
        <w14:bevel/>
      </w14:textOutline>
    </w:rPr>
  </w:style>
  <w:style w:type="table" w:customStyle="1" w:styleId="HNOtipstable">
    <w:name w:val="HNO tips table"/>
    <w:basedOn w:val="TableNormal"/>
    <w:uiPriority w:val="99"/>
    <w:rsid w:val="009D2C5E"/>
    <w:pPr>
      <w:spacing w:after="0" w:line="240" w:lineRule="auto"/>
      <w:ind w:left="108" w:right="108"/>
    </w:pPr>
    <w:rPr>
      <w:rFonts w:ascii="Arial" w:hAnsi="Arial"/>
      <w:color w:val="FFFFFF" w:themeColor="background1"/>
      <w:sz w:val="16"/>
    </w:rPr>
    <w:tblPr>
      <w:tblCellMar>
        <w:top w:w="170" w:type="dxa"/>
        <w:left w:w="0" w:type="dxa"/>
        <w:bottom w:w="170" w:type="dxa"/>
        <w:right w:w="0" w:type="dxa"/>
      </w:tblCellMar>
    </w:tblPr>
    <w:tcPr>
      <w:shd w:val="clear" w:color="auto" w:fill="E6E6E6"/>
    </w:tcPr>
    <w:tblStylePr w:type="firstRow">
      <w:rPr>
        <w:rFonts w:ascii="Arial" w:hAnsi="Arial"/>
        <w:b w:val="0"/>
        <w:caps w:val="0"/>
        <w:smallCaps w:val="0"/>
        <w:color w:val="FFFFFF" w:themeColor="background1"/>
        <w:sz w:val="16"/>
        <w:u w:color="FFFFFF" w:themeColor="background1"/>
      </w:rPr>
      <w:tblPr/>
      <w:tcPr>
        <w:shd w:val="clear" w:color="auto" w:fill="F47932"/>
      </w:tcPr>
    </w:tblStylePr>
  </w:style>
  <w:style w:type="table" w:styleId="TableGrid">
    <w:name w:val="Table Grid"/>
    <w:basedOn w:val="TableNormal"/>
    <w:uiPriority w:val="59"/>
    <w:rsid w:val="009D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5E"/>
    <w:rPr>
      <w:rFonts w:ascii="Tahoma" w:hAnsi="Tahoma" w:cs="Tahoma"/>
      <w:sz w:val="16"/>
      <w:szCs w:val="16"/>
    </w:rPr>
  </w:style>
  <w:style w:type="paragraph" w:styleId="ListParagraph">
    <w:name w:val="List Paragraph"/>
    <w:rsid w:val="009D2C5E"/>
    <w:pPr>
      <w:pBdr>
        <w:top w:val="nil"/>
        <w:left w:val="nil"/>
        <w:bottom w:val="nil"/>
        <w:right w:val="nil"/>
        <w:between w:val="nil"/>
        <w:bar w:val="nil"/>
      </w:pBdr>
      <w:ind w:left="720"/>
    </w:pPr>
    <w:rPr>
      <w:rFonts w:ascii="Calibri" w:eastAsia="Calibri" w:hAnsi="Calibri" w:cs="Calibri"/>
      <w:color w:val="000000"/>
      <w:u w:color="000000"/>
      <w:bdr w:val="nil"/>
      <w:lang w:eastAsia="en-GB"/>
    </w:rPr>
  </w:style>
  <w:style w:type="character" w:styleId="CommentReference">
    <w:name w:val="annotation reference"/>
    <w:basedOn w:val="DefaultParagraphFont"/>
    <w:uiPriority w:val="99"/>
    <w:semiHidden/>
    <w:unhideWhenUsed/>
    <w:rsid w:val="00A93988"/>
    <w:rPr>
      <w:sz w:val="16"/>
      <w:szCs w:val="16"/>
    </w:rPr>
  </w:style>
  <w:style w:type="paragraph" w:styleId="CommentText">
    <w:name w:val="annotation text"/>
    <w:basedOn w:val="Normal"/>
    <w:link w:val="CommentTextChar"/>
    <w:uiPriority w:val="99"/>
    <w:semiHidden/>
    <w:unhideWhenUsed/>
    <w:rsid w:val="00A93988"/>
    <w:pPr>
      <w:spacing w:line="240" w:lineRule="auto"/>
    </w:pPr>
    <w:rPr>
      <w:sz w:val="20"/>
      <w:szCs w:val="20"/>
    </w:rPr>
  </w:style>
  <w:style w:type="character" w:customStyle="1" w:styleId="CommentTextChar">
    <w:name w:val="Comment Text Char"/>
    <w:basedOn w:val="DefaultParagraphFont"/>
    <w:link w:val="CommentText"/>
    <w:uiPriority w:val="99"/>
    <w:semiHidden/>
    <w:rsid w:val="00A93988"/>
    <w:rPr>
      <w:sz w:val="20"/>
      <w:szCs w:val="20"/>
    </w:rPr>
  </w:style>
  <w:style w:type="paragraph" w:styleId="CommentSubject">
    <w:name w:val="annotation subject"/>
    <w:basedOn w:val="CommentText"/>
    <w:next w:val="CommentText"/>
    <w:link w:val="CommentSubjectChar"/>
    <w:uiPriority w:val="99"/>
    <w:semiHidden/>
    <w:unhideWhenUsed/>
    <w:rsid w:val="00A93988"/>
    <w:rPr>
      <w:b/>
      <w:bCs/>
    </w:rPr>
  </w:style>
  <w:style w:type="character" w:customStyle="1" w:styleId="CommentSubjectChar">
    <w:name w:val="Comment Subject Char"/>
    <w:basedOn w:val="CommentTextChar"/>
    <w:link w:val="CommentSubject"/>
    <w:uiPriority w:val="99"/>
    <w:semiHidden/>
    <w:rsid w:val="00A93988"/>
    <w:rPr>
      <w:b/>
      <w:bCs/>
      <w:sz w:val="20"/>
      <w:szCs w:val="20"/>
    </w:rPr>
  </w:style>
  <w:style w:type="paragraph" w:styleId="FootnoteText">
    <w:name w:val="footnote text"/>
    <w:basedOn w:val="Normal"/>
    <w:link w:val="FootnoteTextChar"/>
    <w:uiPriority w:val="99"/>
    <w:semiHidden/>
    <w:unhideWhenUsed/>
    <w:rsid w:val="00796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137"/>
    <w:rPr>
      <w:sz w:val="20"/>
      <w:szCs w:val="20"/>
    </w:rPr>
  </w:style>
  <w:style w:type="character" w:styleId="FootnoteReference">
    <w:name w:val="footnote reference"/>
    <w:basedOn w:val="DefaultParagraphFont"/>
    <w:uiPriority w:val="99"/>
    <w:semiHidden/>
    <w:unhideWhenUsed/>
    <w:rsid w:val="00796137"/>
    <w:rPr>
      <w:vertAlign w:val="superscript"/>
    </w:rPr>
  </w:style>
  <w:style w:type="character" w:styleId="Hyperlink">
    <w:name w:val="Hyperlink"/>
    <w:basedOn w:val="DefaultParagraphFont"/>
    <w:uiPriority w:val="99"/>
    <w:unhideWhenUsed/>
    <w:rsid w:val="00C05D85"/>
    <w:rPr>
      <w:color w:val="0000FF" w:themeColor="hyperlink"/>
      <w:u w:val="single"/>
    </w:rPr>
  </w:style>
  <w:style w:type="paragraph" w:styleId="Revision">
    <w:name w:val="Revision"/>
    <w:hidden/>
    <w:uiPriority w:val="99"/>
    <w:semiHidden/>
    <w:rsid w:val="00522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058">
      <w:bodyDiv w:val="1"/>
      <w:marLeft w:val="0"/>
      <w:marRight w:val="0"/>
      <w:marTop w:val="0"/>
      <w:marBottom w:val="0"/>
      <w:divBdr>
        <w:top w:val="none" w:sz="0" w:space="0" w:color="auto"/>
        <w:left w:val="none" w:sz="0" w:space="0" w:color="auto"/>
        <w:bottom w:val="none" w:sz="0" w:space="0" w:color="auto"/>
        <w:right w:val="none" w:sz="0" w:space="0" w:color="auto"/>
      </w:divBdr>
    </w:div>
    <w:div w:id="12810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481524774778615"/>
          <c:y val="1.5439246564767639E-5"/>
          <c:w val="0.70582801117431893"/>
          <c:h val="0.99722057269775655"/>
        </c:manualLayout>
      </c:layout>
      <c:barChart>
        <c:barDir val="bar"/>
        <c:grouping val="clustered"/>
        <c:varyColors val="0"/>
        <c:ser>
          <c:idx val="0"/>
          <c:order val="0"/>
          <c:tx>
            <c:strRef>
              <c:f>Sheet1!$B$1</c:f>
              <c:strCache>
                <c:ptCount val="1"/>
                <c:pt idx="0">
                  <c:v>Column1</c:v>
                </c:pt>
              </c:strCache>
            </c:strRef>
          </c:tx>
          <c:spPr>
            <a:solidFill>
              <a:srgbClr val="026CB6"/>
            </a:solidFill>
          </c:spPr>
          <c:invertIfNegative val="0"/>
          <c:dLbls>
            <c:dLbl>
              <c:idx val="0"/>
              <c:layout/>
              <c:tx>
                <c:rich>
                  <a:bodyPr/>
                  <a:lstStyle/>
                  <a:p>
                    <a:r>
                      <a:rPr lang="en-US"/>
                      <a:t>$ 6</a:t>
                    </a:r>
                    <a:r>
                      <a:rPr lang="en-US" baseline="0"/>
                      <a:t> </a:t>
                    </a:r>
                    <a:r>
                      <a:rPr lang="en-US"/>
                      <a:t>million</a:t>
                    </a:r>
                  </a:p>
                </c:rich>
              </c:tx>
              <c:dLblPos val="ctr"/>
              <c:showLegendKey val="0"/>
              <c:showVal val="1"/>
              <c:showCatName val="0"/>
              <c:showSerName val="0"/>
              <c:showPercent val="0"/>
              <c:showBubbleSize val="0"/>
              <c:separator>, </c:separator>
              <c:extLst>
                <c:ext xmlns:c15="http://schemas.microsoft.com/office/drawing/2012/chart" uri="{CE6537A1-D6FC-4f65-9D91-7224C49458BB}">
                  <c15:layout/>
                </c:ext>
              </c:extLst>
            </c:dLbl>
            <c:numFmt formatCode="\$#,##0,,\ &quot;million&quot;" sourceLinked="0"/>
            <c:spPr>
              <a:noFill/>
              <a:ln>
                <a:noFill/>
              </a:ln>
              <a:effectLst/>
            </c:spPr>
            <c:txPr>
              <a:bodyPr/>
              <a:lstStyle/>
              <a:p>
                <a:pPr>
                  <a:defRPr b="0">
                    <a:solidFill>
                      <a:schemeClr val="bg1"/>
                    </a:solidFill>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0"/>
              </c:ext>
            </c:extLst>
          </c:dLbls>
          <c:cat>
            <c:strRef>
              <c:f>Sheet1!$A$2:$A$3</c:f>
              <c:strCache>
                <c:ptCount val="2"/>
                <c:pt idx="0">
                  <c:v>Emergency</c:v>
                </c:pt>
                <c:pt idx="1">
                  <c:v>Resilience</c:v>
                </c:pt>
              </c:strCache>
            </c:strRef>
          </c:cat>
          <c:val>
            <c:numRef>
              <c:f>Sheet1!$B$2:$B$3</c:f>
              <c:numCache>
                <c:formatCode>\$#,##0,,\ "million"</c:formatCode>
                <c:ptCount val="2"/>
                <c:pt idx="0">
                  <c:v>0</c:v>
                </c:pt>
                <c:pt idx="1">
                  <c:v>0</c:v>
                </c:pt>
              </c:numCache>
            </c:numRef>
          </c:val>
        </c:ser>
        <c:dLbls>
          <c:dLblPos val="outEnd"/>
          <c:showLegendKey val="0"/>
          <c:showVal val="1"/>
          <c:showCatName val="0"/>
          <c:showSerName val="0"/>
          <c:showPercent val="0"/>
          <c:showBubbleSize val="0"/>
        </c:dLbls>
        <c:gapWidth val="100"/>
        <c:axId val="165354784"/>
        <c:axId val="165355344"/>
      </c:barChart>
      <c:catAx>
        <c:axId val="165354784"/>
        <c:scaling>
          <c:orientation val="maxMin"/>
        </c:scaling>
        <c:delete val="0"/>
        <c:axPos val="l"/>
        <c:numFmt formatCode="General" sourceLinked="1"/>
        <c:majorTickMark val="none"/>
        <c:minorTickMark val="none"/>
        <c:tickLblPos val="nextTo"/>
        <c:txPr>
          <a:bodyPr/>
          <a:lstStyle/>
          <a:p>
            <a:pPr>
              <a:defRPr sz="900">
                <a:solidFill>
                  <a:schemeClr val="tx1">
                    <a:lumMod val="75000"/>
                    <a:lumOff val="25000"/>
                  </a:schemeClr>
                </a:solidFill>
              </a:defRPr>
            </a:pPr>
            <a:endParaRPr lang="en-US"/>
          </a:p>
        </c:txPr>
        <c:crossAx val="165355344"/>
        <c:crosses val="autoZero"/>
        <c:auto val="1"/>
        <c:lblAlgn val="ctr"/>
        <c:lblOffset val="100"/>
        <c:noMultiLvlLbl val="0"/>
      </c:catAx>
      <c:valAx>
        <c:axId val="165355344"/>
        <c:scaling>
          <c:orientation val="minMax"/>
        </c:scaling>
        <c:delete val="1"/>
        <c:axPos val="t"/>
        <c:numFmt formatCode="\$#,##0,,\ &quot;million&quot;" sourceLinked="1"/>
        <c:majorTickMark val="out"/>
        <c:minorTickMark val="none"/>
        <c:tickLblPos val="nextTo"/>
        <c:crossAx val="165354784"/>
        <c:crosses val="autoZero"/>
        <c:crossBetween val="between"/>
      </c:valAx>
      <c:spPr>
        <a:noFill/>
      </c:spPr>
    </c:plotArea>
    <c:plotVisOnly val="1"/>
    <c:dispBlanksAs val="gap"/>
    <c:showDLblsOverMax val="0"/>
  </c:chart>
  <c:spPr>
    <a:noFill/>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68BAF-8A48-472C-A120-1C95E7EE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Padmore Ochieng Okal</cp:lastModifiedBy>
  <cp:revision>5</cp:revision>
  <dcterms:created xsi:type="dcterms:W3CDTF">2016-10-25T08:36:00Z</dcterms:created>
  <dcterms:modified xsi:type="dcterms:W3CDTF">2017-02-10T11:11:00Z</dcterms:modified>
</cp:coreProperties>
</file>