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CC8" w:rsidRDefault="00B14059" w:rsidP="00C34766">
      <w:pPr>
        <w:spacing w:after="0"/>
        <w:jc w:val="center"/>
        <w:rPr>
          <w:b/>
          <w:sz w:val="32"/>
        </w:rPr>
      </w:pPr>
      <w:r w:rsidRPr="00CF1652">
        <w:rPr>
          <w:b/>
          <w:sz w:val="32"/>
        </w:rPr>
        <w:t>SAG Retreat 2018</w:t>
      </w:r>
    </w:p>
    <w:p w:rsidR="00A9227A" w:rsidRPr="00C34766" w:rsidRDefault="00A9227A" w:rsidP="00C34766">
      <w:pPr>
        <w:spacing w:after="0"/>
        <w:jc w:val="center"/>
        <w:rPr>
          <w:b/>
          <w:sz w:val="24"/>
        </w:rPr>
      </w:pPr>
      <w:r w:rsidRPr="00C34766">
        <w:rPr>
          <w:b/>
          <w:sz w:val="24"/>
        </w:rPr>
        <w:t>Meeting Minutes</w:t>
      </w:r>
    </w:p>
    <w:p w:rsidR="00E555E4" w:rsidRPr="004D6246" w:rsidRDefault="00C50EB6" w:rsidP="00605E5C">
      <w:pPr>
        <w:spacing w:after="0"/>
        <w:jc w:val="center"/>
        <w:rPr>
          <w:rFonts w:ascii="Calibri" w:eastAsia="MS Mincho" w:hAnsi="Calibri" w:cs="Times New Roman"/>
          <w:szCs w:val="24"/>
        </w:rPr>
      </w:pPr>
      <w:r w:rsidRPr="004D6246">
        <w:rPr>
          <w:rFonts w:ascii="Calibri" w:hAnsi="Calibri"/>
        </w:rPr>
        <w:t>Villa Barton</w:t>
      </w:r>
      <w:r w:rsidRPr="004D6246">
        <w:rPr>
          <w:rFonts w:ascii="Calibri" w:eastAsia="MS Mincho" w:hAnsi="Calibri" w:cs="Times New Roman"/>
          <w:szCs w:val="24"/>
        </w:rPr>
        <w:t>, Barton Park, Rue de Lausanne, 1202 Geneva – 5-6 December, 2018</w:t>
      </w:r>
    </w:p>
    <w:p w:rsidR="00377283" w:rsidRPr="00CF1652" w:rsidRDefault="00377283" w:rsidP="007E000B">
      <w:pPr>
        <w:spacing w:after="0"/>
        <w:rPr>
          <w:b/>
        </w:rPr>
      </w:pPr>
      <w:r>
        <w:rPr>
          <w:b/>
        </w:rPr>
        <w:t>DAY 1</w:t>
      </w:r>
    </w:p>
    <w:tbl>
      <w:tblPr>
        <w:tblStyle w:val="TableGrid"/>
        <w:tblW w:w="14029" w:type="dxa"/>
        <w:tblLook w:val="04A0" w:firstRow="1" w:lastRow="0" w:firstColumn="1" w:lastColumn="0" w:noHBand="0" w:noVBand="1"/>
      </w:tblPr>
      <w:tblGrid>
        <w:gridCol w:w="1413"/>
        <w:gridCol w:w="9355"/>
        <w:gridCol w:w="3261"/>
      </w:tblGrid>
      <w:tr w:rsidR="00253788" w:rsidRPr="00ED3CC8" w:rsidTr="002D5DE1">
        <w:tc>
          <w:tcPr>
            <w:tcW w:w="1413" w:type="dxa"/>
          </w:tcPr>
          <w:p w:rsidR="00253788" w:rsidRPr="006D5328" w:rsidRDefault="003A7F8F" w:rsidP="006B5CAD">
            <w:pPr>
              <w:jc w:val="both"/>
              <w:rPr>
                <w:b/>
              </w:rPr>
            </w:pPr>
            <w:r w:rsidRPr="006D5328">
              <w:rPr>
                <w:b/>
              </w:rPr>
              <w:t>Agenda Item</w:t>
            </w:r>
          </w:p>
        </w:tc>
        <w:tc>
          <w:tcPr>
            <w:tcW w:w="9355" w:type="dxa"/>
          </w:tcPr>
          <w:p w:rsidR="00253788" w:rsidRPr="00ED3CC8" w:rsidRDefault="00253788" w:rsidP="006B5CAD">
            <w:pPr>
              <w:jc w:val="both"/>
              <w:rPr>
                <w:b/>
              </w:rPr>
            </w:pPr>
            <w:r w:rsidRPr="00ED3CC8">
              <w:rPr>
                <w:b/>
              </w:rPr>
              <w:t>Discussion</w:t>
            </w:r>
          </w:p>
        </w:tc>
        <w:tc>
          <w:tcPr>
            <w:tcW w:w="3261" w:type="dxa"/>
          </w:tcPr>
          <w:p w:rsidR="00253788" w:rsidRPr="00ED3CC8" w:rsidRDefault="00253788" w:rsidP="006B5CAD">
            <w:pPr>
              <w:jc w:val="both"/>
              <w:rPr>
                <w:b/>
              </w:rPr>
            </w:pPr>
            <w:r w:rsidRPr="00ED3CC8">
              <w:rPr>
                <w:b/>
              </w:rPr>
              <w:t>Action points</w:t>
            </w:r>
          </w:p>
        </w:tc>
      </w:tr>
      <w:tr w:rsidR="00253788" w:rsidRPr="00894C0C" w:rsidTr="002D5DE1">
        <w:tc>
          <w:tcPr>
            <w:tcW w:w="1413" w:type="dxa"/>
          </w:tcPr>
          <w:p w:rsidR="00253788" w:rsidRPr="006D5328" w:rsidRDefault="00253788" w:rsidP="006B5CAD">
            <w:pPr>
              <w:jc w:val="both"/>
              <w:rPr>
                <w:b/>
                <w:sz w:val="18"/>
              </w:rPr>
            </w:pPr>
            <w:r w:rsidRPr="006D5328">
              <w:rPr>
                <w:b/>
                <w:sz w:val="18"/>
              </w:rPr>
              <w:t>Welcome</w:t>
            </w:r>
          </w:p>
        </w:tc>
        <w:tc>
          <w:tcPr>
            <w:tcW w:w="9355" w:type="dxa"/>
          </w:tcPr>
          <w:p w:rsidR="00253788" w:rsidRDefault="00253788" w:rsidP="006B5CAD">
            <w:pPr>
              <w:jc w:val="both"/>
              <w:rPr>
                <w:sz w:val="18"/>
              </w:rPr>
            </w:pPr>
            <w:r>
              <w:rPr>
                <w:sz w:val="18"/>
              </w:rPr>
              <w:t xml:space="preserve">Participants were welcomed to the meeting and given a broad summary of ongoing events and challenges. </w:t>
            </w:r>
          </w:p>
          <w:p w:rsidR="00253788" w:rsidRDefault="00253788" w:rsidP="006B5CAD">
            <w:pPr>
              <w:jc w:val="both"/>
              <w:rPr>
                <w:sz w:val="18"/>
              </w:rPr>
            </w:pPr>
          </w:p>
          <w:p w:rsidR="00253788" w:rsidRPr="00894C0C" w:rsidRDefault="00253788" w:rsidP="006B5CAD">
            <w:pPr>
              <w:jc w:val="both"/>
              <w:rPr>
                <w:sz w:val="18"/>
              </w:rPr>
            </w:pPr>
            <w:r>
              <w:rPr>
                <w:sz w:val="18"/>
              </w:rPr>
              <w:t xml:space="preserve">The </w:t>
            </w:r>
            <w:r w:rsidRPr="006B5CAD">
              <w:rPr>
                <w:sz w:val="18"/>
                <w:u w:val="single"/>
              </w:rPr>
              <w:t>lack of ECHO funding going into 2019</w:t>
            </w:r>
            <w:r>
              <w:rPr>
                <w:sz w:val="18"/>
              </w:rPr>
              <w:t xml:space="preserve"> could be an opportunity to highlight some of the work and mainstream it through agencies. The relation with ECHO will still remain a priority next year regardless of the funding.</w:t>
            </w:r>
          </w:p>
        </w:tc>
        <w:tc>
          <w:tcPr>
            <w:tcW w:w="3261" w:type="dxa"/>
          </w:tcPr>
          <w:p w:rsidR="00253788" w:rsidRDefault="00253788" w:rsidP="006B5CAD">
            <w:pPr>
              <w:jc w:val="both"/>
              <w:rPr>
                <w:sz w:val="18"/>
              </w:rPr>
            </w:pPr>
          </w:p>
          <w:p w:rsidR="00DC0FAD" w:rsidRDefault="00DC0FAD" w:rsidP="00DC0FAD">
            <w:pPr>
              <w:jc w:val="both"/>
              <w:rPr>
                <w:sz w:val="18"/>
              </w:rPr>
            </w:pPr>
            <w:r>
              <w:rPr>
                <w:sz w:val="18"/>
              </w:rPr>
              <w:t>Possibility of organizing an event with ECHO to summarize lessons learnt of the 6 years of support.</w:t>
            </w:r>
          </w:p>
          <w:p w:rsidR="00DC0FAD" w:rsidRDefault="00DC0FAD" w:rsidP="00DC0FAD">
            <w:pPr>
              <w:jc w:val="both"/>
              <w:rPr>
                <w:sz w:val="18"/>
              </w:rPr>
            </w:pPr>
          </w:p>
          <w:p w:rsidR="00DC0FAD" w:rsidRPr="00894C0C" w:rsidRDefault="00A753FA" w:rsidP="00DC0FAD">
            <w:pPr>
              <w:jc w:val="both"/>
              <w:rPr>
                <w:sz w:val="18"/>
              </w:rPr>
            </w:pPr>
            <w:r>
              <w:rPr>
                <w:sz w:val="18"/>
              </w:rPr>
              <w:t>NRC to explore opportunities with the German Government.</w:t>
            </w:r>
          </w:p>
        </w:tc>
      </w:tr>
      <w:tr w:rsidR="00253788" w:rsidTr="002D5DE1">
        <w:tc>
          <w:tcPr>
            <w:tcW w:w="1413" w:type="dxa"/>
          </w:tcPr>
          <w:p w:rsidR="00253788" w:rsidRPr="006D5328" w:rsidRDefault="00253788" w:rsidP="00B84BBC">
            <w:pPr>
              <w:rPr>
                <w:b/>
                <w:sz w:val="18"/>
              </w:rPr>
            </w:pPr>
            <w:r w:rsidRPr="006D5328">
              <w:rPr>
                <w:b/>
                <w:sz w:val="18"/>
              </w:rPr>
              <w:t xml:space="preserve">Review </w:t>
            </w:r>
            <w:r w:rsidR="008C589A">
              <w:rPr>
                <w:b/>
                <w:sz w:val="18"/>
              </w:rPr>
              <w:t xml:space="preserve">of the </w:t>
            </w:r>
            <w:r w:rsidRPr="006D5328">
              <w:rPr>
                <w:b/>
                <w:sz w:val="18"/>
              </w:rPr>
              <w:t>GSC Meeting</w:t>
            </w:r>
            <w:r w:rsidR="004D6246">
              <w:rPr>
                <w:b/>
                <w:sz w:val="18"/>
              </w:rPr>
              <w:t xml:space="preserve"> and related events</w:t>
            </w:r>
          </w:p>
        </w:tc>
        <w:tc>
          <w:tcPr>
            <w:tcW w:w="9355" w:type="dxa"/>
          </w:tcPr>
          <w:p w:rsidR="00253788" w:rsidRDefault="00253788" w:rsidP="006B5CAD">
            <w:pPr>
              <w:jc w:val="both"/>
              <w:rPr>
                <w:sz w:val="18"/>
              </w:rPr>
            </w:pPr>
            <w:r>
              <w:rPr>
                <w:sz w:val="18"/>
              </w:rPr>
              <w:t>The minutes of the</w:t>
            </w:r>
            <w:r w:rsidR="00534EBF">
              <w:rPr>
                <w:sz w:val="18"/>
              </w:rPr>
              <w:t xml:space="preserve"> </w:t>
            </w:r>
            <w:r w:rsidR="00534EBF" w:rsidRPr="00EA7FEC">
              <w:rPr>
                <w:sz w:val="18"/>
                <w:u w:val="single"/>
              </w:rPr>
              <w:t>GSC</w:t>
            </w:r>
            <w:r w:rsidRPr="00EA7FEC">
              <w:rPr>
                <w:sz w:val="18"/>
                <w:u w:val="single"/>
              </w:rPr>
              <w:t xml:space="preserve"> meeting</w:t>
            </w:r>
            <w:r>
              <w:rPr>
                <w:sz w:val="18"/>
              </w:rPr>
              <w:t xml:space="preserve"> are available, and a summary was distributed to all participants.</w:t>
            </w:r>
            <w:r w:rsidR="00344D75">
              <w:rPr>
                <w:sz w:val="18"/>
              </w:rPr>
              <w:t xml:space="preserve"> </w:t>
            </w:r>
            <w:r>
              <w:rPr>
                <w:sz w:val="18"/>
              </w:rPr>
              <w:t xml:space="preserve">The Cluster meeting included 153 participants – significantly more than </w:t>
            </w:r>
            <w:r w:rsidR="00B84BBC">
              <w:rPr>
                <w:sz w:val="18"/>
              </w:rPr>
              <w:t>previous</w:t>
            </w:r>
            <w:r>
              <w:rPr>
                <w:sz w:val="18"/>
              </w:rPr>
              <w:t xml:space="preserve"> Cluster meetings. The size </w:t>
            </w:r>
            <w:r w:rsidR="00B84BBC">
              <w:rPr>
                <w:sz w:val="18"/>
              </w:rPr>
              <w:t>has an impact in</w:t>
            </w:r>
            <w:r>
              <w:rPr>
                <w:sz w:val="18"/>
              </w:rPr>
              <w:t xml:space="preserve"> the type of discussions that could be organised</w:t>
            </w:r>
            <w:r w:rsidR="00B84BBC">
              <w:rPr>
                <w:sz w:val="18"/>
              </w:rPr>
              <w:t xml:space="preserve"> and the objectives that can be achieved</w:t>
            </w:r>
            <w:r>
              <w:rPr>
                <w:sz w:val="18"/>
              </w:rPr>
              <w:t xml:space="preserve">. </w:t>
            </w:r>
          </w:p>
          <w:p w:rsidR="00253788" w:rsidRDefault="00253788" w:rsidP="006B5CAD">
            <w:pPr>
              <w:jc w:val="both"/>
              <w:rPr>
                <w:sz w:val="18"/>
              </w:rPr>
            </w:pPr>
          </w:p>
          <w:p w:rsidR="00253788" w:rsidRPr="004C10C5" w:rsidRDefault="00CA16E4" w:rsidP="006B5CAD">
            <w:pPr>
              <w:jc w:val="both"/>
              <w:rPr>
                <w:i/>
                <w:sz w:val="18"/>
              </w:rPr>
            </w:pPr>
            <w:r>
              <w:rPr>
                <w:i/>
                <w:sz w:val="18"/>
                <w:u w:val="single"/>
              </w:rPr>
              <w:t xml:space="preserve">What </w:t>
            </w:r>
            <w:r w:rsidR="00723FDB">
              <w:rPr>
                <w:i/>
                <w:sz w:val="18"/>
                <w:u w:val="single"/>
              </w:rPr>
              <w:t>are the</w:t>
            </w:r>
            <w:r>
              <w:rPr>
                <w:i/>
                <w:sz w:val="18"/>
                <w:u w:val="single"/>
              </w:rPr>
              <w:t xml:space="preserve"> objective</w:t>
            </w:r>
            <w:r w:rsidR="00555EF8">
              <w:rPr>
                <w:i/>
                <w:sz w:val="18"/>
                <w:u w:val="single"/>
              </w:rPr>
              <w:t>s</w:t>
            </w:r>
            <w:r>
              <w:rPr>
                <w:i/>
                <w:sz w:val="18"/>
                <w:u w:val="single"/>
              </w:rPr>
              <w:t xml:space="preserve"> of the meeting?</w:t>
            </w:r>
            <w:r w:rsidR="00253788" w:rsidRPr="00897843">
              <w:rPr>
                <w:i/>
                <w:sz w:val="18"/>
              </w:rPr>
              <w:t xml:space="preserve"> </w:t>
            </w:r>
          </w:p>
          <w:p w:rsidR="00253788" w:rsidRDefault="00253788" w:rsidP="006B5CAD">
            <w:pPr>
              <w:jc w:val="both"/>
              <w:rPr>
                <w:sz w:val="18"/>
              </w:rPr>
            </w:pPr>
            <w:r>
              <w:rPr>
                <w:sz w:val="18"/>
              </w:rPr>
              <w:t xml:space="preserve">The meeting has to </w:t>
            </w:r>
            <w:r w:rsidRPr="004C10C5">
              <w:rPr>
                <w:sz w:val="18"/>
                <w:u w:val="single"/>
              </w:rPr>
              <w:t>engage with decision-makers, donors and influencers</w:t>
            </w:r>
            <w:r w:rsidR="0033219C">
              <w:rPr>
                <w:sz w:val="18"/>
                <w:u w:val="single"/>
              </w:rPr>
              <w:t xml:space="preserve"> while also including technical discussions</w:t>
            </w:r>
            <w:r>
              <w:rPr>
                <w:sz w:val="18"/>
              </w:rPr>
              <w:t>. In this perspective, planning is particularly relevant – if high-level participants are expected, the meeting needs to be planned months in advance.</w:t>
            </w:r>
          </w:p>
          <w:p w:rsidR="00027959" w:rsidRDefault="00027959" w:rsidP="006B5CAD">
            <w:pPr>
              <w:jc w:val="both"/>
              <w:rPr>
                <w:sz w:val="18"/>
              </w:rPr>
            </w:pPr>
          </w:p>
          <w:p w:rsidR="00027959" w:rsidRDefault="00027959" w:rsidP="006B5CAD">
            <w:pPr>
              <w:jc w:val="both"/>
              <w:rPr>
                <w:sz w:val="18"/>
              </w:rPr>
            </w:pPr>
            <w:r>
              <w:rPr>
                <w:sz w:val="18"/>
              </w:rPr>
              <w:t>Main objectives identified were:</w:t>
            </w:r>
          </w:p>
          <w:p w:rsidR="00027959" w:rsidRDefault="00027959" w:rsidP="00027959">
            <w:pPr>
              <w:pStyle w:val="ListParagraph"/>
              <w:numPr>
                <w:ilvl w:val="0"/>
                <w:numId w:val="1"/>
              </w:numPr>
              <w:jc w:val="both"/>
              <w:rPr>
                <w:sz w:val="18"/>
              </w:rPr>
            </w:pPr>
            <w:r>
              <w:rPr>
                <w:sz w:val="18"/>
              </w:rPr>
              <w:t>Exchange shelter practices;</w:t>
            </w:r>
          </w:p>
          <w:p w:rsidR="00027959" w:rsidRDefault="00027959" w:rsidP="00027959">
            <w:pPr>
              <w:pStyle w:val="ListParagraph"/>
              <w:numPr>
                <w:ilvl w:val="0"/>
                <w:numId w:val="1"/>
              </w:numPr>
              <w:jc w:val="both"/>
              <w:rPr>
                <w:sz w:val="18"/>
              </w:rPr>
            </w:pPr>
            <w:r>
              <w:rPr>
                <w:sz w:val="18"/>
              </w:rPr>
              <w:t>Exchange coordination practices;</w:t>
            </w:r>
          </w:p>
          <w:p w:rsidR="00027959" w:rsidRDefault="00027959" w:rsidP="00027959">
            <w:pPr>
              <w:pStyle w:val="ListParagraph"/>
              <w:numPr>
                <w:ilvl w:val="0"/>
                <w:numId w:val="1"/>
              </w:numPr>
              <w:jc w:val="both"/>
              <w:rPr>
                <w:sz w:val="18"/>
              </w:rPr>
            </w:pPr>
            <w:r>
              <w:rPr>
                <w:sz w:val="18"/>
              </w:rPr>
              <w:t>Networking;</w:t>
            </w:r>
          </w:p>
          <w:p w:rsidR="00027959" w:rsidRDefault="00027959" w:rsidP="00027959">
            <w:pPr>
              <w:pStyle w:val="ListParagraph"/>
              <w:numPr>
                <w:ilvl w:val="0"/>
                <w:numId w:val="1"/>
              </w:numPr>
              <w:jc w:val="both"/>
              <w:rPr>
                <w:sz w:val="18"/>
              </w:rPr>
            </w:pPr>
            <w:r>
              <w:rPr>
                <w:sz w:val="18"/>
              </w:rPr>
              <w:t>Advocacy to high-level participants;</w:t>
            </w:r>
          </w:p>
          <w:p w:rsidR="00027959" w:rsidRDefault="00027959" w:rsidP="00027959">
            <w:pPr>
              <w:pStyle w:val="ListParagraph"/>
              <w:numPr>
                <w:ilvl w:val="0"/>
                <w:numId w:val="1"/>
              </w:numPr>
              <w:jc w:val="both"/>
              <w:rPr>
                <w:sz w:val="18"/>
              </w:rPr>
            </w:pPr>
            <w:r>
              <w:rPr>
                <w:sz w:val="18"/>
              </w:rPr>
              <w:t>Learn about new developments;</w:t>
            </w:r>
          </w:p>
          <w:p w:rsidR="00027959" w:rsidRPr="00FC1E4A" w:rsidRDefault="00027959" w:rsidP="00027959">
            <w:pPr>
              <w:pStyle w:val="ListParagraph"/>
              <w:numPr>
                <w:ilvl w:val="0"/>
                <w:numId w:val="1"/>
              </w:numPr>
              <w:jc w:val="both"/>
              <w:rPr>
                <w:sz w:val="18"/>
              </w:rPr>
            </w:pPr>
            <w:r>
              <w:rPr>
                <w:sz w:val="18"/>
              </w:rPr>
              <w:t>Review implementation and plan for the next year</w:t>
            </w:r>
          </w:p>
          <w:p w:rsidR="00027959" w:rsidRDefault="00027959" w:rsidP="006B5CAD">
            <w:pPr>
              <w:jc w:val="both"/>
              <w:rPr>
                <w:sz w:val="18"/>
              </w:rPr>
            </w:pPr>
          </w:p>
          <w:p w:rsidR="00253788" w:rsidRDefault="00253788" w:rsidP="006B5CAD">
            <w:pPr>
              <w:jc w:val="both"/>
              <w:rPr>
                <w:sz w:val="18"/>
              </w:rPr>
            </w:pPr>
            <w:r>
              <w:rPr>
                <w:sz w:val="18"/>
              </w:rPr>
              <w:t xml:space="preserve">It is also important to balance more senior-level participants to junior ones who are new to many topics (as well as advocacy and technical matters). There </w:t>
            </w:r>
            <w:r w:rsidR="00035886">
              <w:rPr>
                <w:sz w:val="18"/>
              </w:rPr>
              <w:t>could be</w:t>
            </w:r>
            <w:r>
              <w:rPr>
                <w:sz w:val="18"/>
              </w:rPr>
              <w:t xml:space="preserve"> a possibility of including different “lines” for people to follow according to their expertise. Different workshops, however, </w:t>
            </w:r>
            <w:r w:rsidR="00B00A37">
              <w:rPr>
                <w:sz w:val="18"/>
              </w:rPr>
              <w:t xml:space="preserve">still </w:t>
            </w:r>
            <w:r>
              <w:rPr>
                <w:sz w:val="18"/>
              </w:rPr>
              <w:t>need to allow for a common work for all participants (and common sessions).</w:t>
            </w:r>
            <w:r w:rsidR="00FC507D">
              <w:rPr>
                <w:sz w:val="18"/>
              </w:rPr>
              <w:t xml:space="preserve"> </w:t>
            </w:r>
            <w:r>
              <w:rPr>
                <w:sz w:val="18"/>
              </w:rPr>
              <w:t>The inclusion of refugee discussions in the meeting was reported interesting and helpful.</w:t>
            </w:r>
            <w:r w:rsidR="00027959">
              <w:rPr>
                <w:sz w:val="18"/>
              </w:rPr>
              <w:t xml:space="preserve"> </w:t>
            </w:r>
            <w:r>
              <w:rPr>
                <w:sz w:val="18"/>
              </w:rPr>
              <w:t>Discussions need to be focused on the topic and restricted where necessary.</w:t>
            </w:r>
          </w:p>
          <w:p w:rsidR="00561379" w:rsidRPr="00E440D0" w:rsidRDefault="00561379" w:rsidP="006B5CAD">
            <w:pPr>
              <w:jc w:val="both"/>
              <w:rPr>
                <w:sz w:val="18"/>
              </w:rPr>
            </w:pPr>
          </w:p>
          <w:p w:rsidR="00253788" w:rsidRDefault="00253788" w:rsidP="006B5CAD">
            <w:pPr>
              <w:jc w:val="both"/>
              <w:rPr>
                <w:i/>
                <w:sz w:val="18"/>
              </w:rPr>
            </w:pPr>
            <w:r w:rsidRPr="00AC012D">
              <w:rPr>
                <w:i/>
                <w:sz w:val="18"/>
                <w:u w:val="single"/>
              </w:rPr>
              <w:t>Location of the meeting</w:t>
            </w:r>
            <w:r w:rsidR="0046472D">
              <w:rPr>
                <w:i/>
                <w:sz w:val="18"/>
                <w:u w:val="single"/>
              </w:rPr>
              <w:t>: Moving from Geneva?</w:t>
            </w:r>
          </w:p>
          <w:p w:rsidR="00253788" w:rsidRDefault="00253788" w:rsidP="006B5CAD">
            <w:pPr>
              <w:jc w:val="both"/>
              <w:rPr>
                <w:sz w:val="18"/>
              </w:rPr>
            </w:pPr>
            <w:r>
              <w:rPr>
                <w:sz w:val="18"/>
              </w:rPr>
              <w:t xml:space="preserve">Log Cluster meetings are organised </w:t>
            </w:r>
            <w:r w:rsidR="004D6246">
              <w:rPr>
                <w:sz w:val="18"/>
              </w:rPr>
              <w:t xml:space="preserve">in different cities </w:t>
            </w:r>
            <w:r>
              <w:rPr>
                <w:sz w:val="18"/>
              </w:rPr>
              <w:t xml:space="preserve">with a view of </w:t>
            </w:r>
            <w:r w:rsidR="004D6246">
              <w:rPr>
                <w:sz w:val="18"/>
              </w:rPr>
              <w:t xml:space="preserve">reaching </w:t>
            </w:r>
            <w:r>
              <w:rPr>
                <w:sz w:val="18"/>
              </w:rPr>
              <w:t>key donors</w:t>
            </w:r>
            <w:r w:rsidR="004D6246">
              <w:rPr>
                <w:sz w:val="18"/>
              </w:rPr>
              <w:t xml:space="preserve"> or helping partners profile the sector</w:t>
            </w:r>
            <w:r>
              <w:rPr>
                <w:sz w:val="18"/>
              </w:rPr>
              <w:t>, while WASH goes more closer to ongoing operations. Locations outside of Geneva would also be significantly cheaper for organisations to attend.</w:t>
            </w:r>
            <w:r w:rsidR="00FC43B4">
              <w:rPr>
                <w:sz w:val="18"/>
              </w:rPr>
              <w:t xml:space="preserve"> </w:t>
            </w:r>
            <w:r>
              <w:rPr>
                <w:sz w:val="18"/>
              </w:rPr>
              <w:t>The participation of government representatives should also be kept into consideration in the selection of a location.</w:t>
            </w:r>
          </w:p>
          <w:p w:rsidR="00253788" w:rsidRPr="00ED3CC8" w:rsidRDefault="00253788" w:rsidP="006B5CAD">
            <w:pPr>
              <w:jc w:val="both"/>
              <w:rPr>
                <w:sz w:val="18"/>
              </w:rPr>
            </w:pPr>
          </w:p>
        </w:tc>
        <w:tc>
          <w:tcPr>
            <w:tcW w:w="3261" w:type="dxa"/>
          </w:tcPr>
          <w:p w:rsidR="00253788" w:rsidRDefault="00253788" w:rsidP="006B5CAD">
            <w:pPr>
              <w:jc w:val="both"/>
              <w:rPr>
                <w:sz w:val="18"/>
              </w:rPr>
            </w:pPr>
            <w:r>
              <w:rPr>
                <w:sz w:val="18"/>
              </w:rPr>
              <w:t xml:space="preserve">Changes agreed for the structure of the </w:t>
            </w:r>
            <w:r w:rsidRPr="004D6246">
              <w:rPr>
                <w:b/>
                <w:sz w:val="18"/>
              </w:rPr>
              <w:t>coordination workshop</w:t>
            </w:r>
            <w:r>
              <w:rPr>
                <w:sz w:val="18"/>
              </w:rPr>
              <w:t xml:space="preserve">: </w:t>
            </w:r>
          </w:p>
          <w:p w:rsidR="00253788" w:rsidRDefault="00253788" w:rsidP="006B5CAD">
            <w:pPr>
              <w:pStyle w:val="ListParagraph"/>
              <w:numPr>
                <w:ilvl w:val="0"/>
                <w:numId w:val="2"/>
              </w:numPr>
              <w:ind w:left="318"/>
              <w:jc w:val="both"/>
              <w:rPr>
                <w:sz w:val="18"/>
              </w:rPr>
            </w:pPr>
            <w:r>
              <w:rPr>
                <w:sz w:val="18"/>
              </w:rPr>
              <w:t>C</w:t>
            </w:r>
            <w:r w:rsidRPr="00D6404F">
              <w:rPr>
                <w:sz w:val="18"/>
              </w:rPr>
              <w:t xml:space="preserve">hanges in agenda to include review of the </w:t>
            </w:r>
            <w:r w:rsidR="004D6246">
              <w:rPr>
                <w:sz w:val="18"/>
              </w:rPr>
              <w:t xml:space="preserve">implementation of the GSC </w:t>
            </w:r>
            <w:r w:rsidRPr="00D6404F">
              <w:rPr>
                <w:sz w:val="18"/>
              </w:rPr>
              <w:t xml:space="preserve">strategy </w:t>
            </w:r>
            <w:r w:rsidR="004D6246">
              <w:rPr>
                <w:sz w:val="18"/>
              </w:rPr>
              <w:t>2018-2022 by the different country clusters.</w:t>
            </w:r>
          </w:p>
          <w:p w:rsidR="00253788" w:rsidRDefault="00253788" w:rsidP="006B5CAD">
            <w:pPr>
              <w:pStyle w:val="ListParagraph"/>
              <w:numPr>
                <w:ilvl w:val="0"/>
                <w:numId w:val="2"/>
              </w:numPr>
              <w:ind w:left="318"/>
              <w:jc w:val="both"/>
              <w:rPr>
                <w:sz w:val="18"/>
              </w:rPr>
            </w:pPr>
            <w:r>
              <w:rPr>
                <w:sz w:val="18"/>
              </w:rPr>
              <w:t>B</w:t>
            </w:r>
            <w:r w:rsidRPr="00D6404F">
              <w:rPr>
                <w:sz w:val="18"/>
              </w:rPr>
              <w:t xml:space="preserve">etter management of the sessions to ensure they are to the point. </w:t>
            </w:r>
          </w:p>
          <w:p w:rsidR="004D6246" w:rsidRDefault="004D6246" w:rsidP="004D6246">
            <w:pPr>
              <w:pStyle w:val="ListParagraph"/>
              <w:ind w:left="318"/>
              <w:jc w:val="both"/>
              <w:rPr>
                <w:sz w:val="18"/>
              </w:rPr>
            </w:pPr>
          </w:p>
          <w:p w:rsidR="00253788" w:rsidRPr="004D6246" w:rsidRDefault="00253788" w:rsidP="004D6246">
            <w:pPr>
              <w:ind w:left="-42"/>
              <w:jc w:val="both"/>
              <w:rPr>
                <w:sz w:val="18"/>
              </w:rPr>
            </w:pPr>
            <w:r w:rsidRPr="00B924EF">
              <w:rPr>
                <w:sz w:val="18"/>
              </w:rPr>
              <w:t xml:space="preserve">For the </w:t>
            </w:r>
            <w:r w:rsidRPr="004D6246">
              <w:rPr>
                <w:b/>
                <w:sz w:val="18"/>
              </w:rPr>
              <w:t>GSC meeting</w:t>
            </w:r>
            <w:r w:rsidRPr="00B924EF">
              <w:rPr>
                <w:sz w:val="18"/>
              </w:rPr>
              <w:t>, continue as it is</w:t>
            </w:r>
            <w:r w:rsidR="004D6246">
              <w:rPr>
                <w:sz w:val="18"/>
              </w:rPr>
              <w:t xml:space="preserve"> but </w:t>
            </w:r>
            <w:r w:rsidR="00B84BBC">
              <w:rPr>
                <w:sz w:val="18"/>
              </w:rPr>
              <w:t>i</w:t>
            </w:r>
            <w:r w:rsidRPr="004D6246">
              <w:rPr>
                <w:sz w:val="18"/>
              </w:rPr>
              <w:t>nvite more government representatives</w:t>
            </w:r>
            <w:r w:rsidR="00B84BBC">
              <w:rPr>
                <w:sz w:val="18"/>
              </w:rPr>
              <w:t xml:space="preserve"> and start preparations earlier (in March)</w:t>
            </w:r>
          </w:p>
          <w:p w:rsidR="004D6246" w:rsidRDefault="004D6246" w:rsidP="004D6246">
            <w:pPr>
              <w:ind w:left="-42"/>
              <w:jc w:val="both"/>
              <w:rPr>
                <w:sz w:val="18"/>
              </w:rPr>
            </w:pPr>
          </w:p>
          <w:p w:rsidR="00253788" w:rsidRDefault="00253788" w:rsidP="004D6246">
            <w:pPr>
              <w:ind w:left="-42"/>
              <w:jc w:val="both"/>
              <w:rPr>
                <w:sz w:val="18"/>
              </w:rPr>
            </w:pPr>
            <w:r w:rsidRPr="004D6246">
              <w:rPr>
                <w:sz w:val="18"/>
              </w:rPr>
              <w:t xml:space="preserve">Continue with the </w:t>
            </w:r>
            <w:r w:rsidRPr="004D6246">
              <w:rPr>
                <w:b/>
                <w:sz w:val="18"/>
              </w:rPr>
              <w:t>shelter meetings</w:t>
            </w:r>
            <w:r w:rsidRPr="004D6246">
              <w:rPr>
                <w:sz w:val="18"/>
              </w:rPr>
              <w:t xml:space="preserve"> </w:t>
            </w:r>
            <w:r w:rsidR="004D6246">
              <w:rPr>
                <w:sz w:val="18"/>
              </w:rPr>
              <w:t>while ensuring</w:t>
            </w:r>
            <w:r w:rsidRPr="004D6246">
              <w:rPr>
                <w:sz w:val="18"/>
              </w:rPr>
              <w:t xml:space="preserve"> coherence</w:t>
            </w:r>
            <w:r w:rsidR="004D6246">
              <w:rPr>
                <w:sz w:val="18"/>
              </w:rPr>
              <w:t xml:space="preserve"> among the three events</w:t>
            </w:r>
            <w:r w:rsidRPr="004D6246">
              <w:rPr>
                <w:sz w:val="18"/>
              </w:rPr>
              <w:t xml:space="preserve">. </w:t>
            </w:r>
          </w:p>
          <w:p w:rsidR="00253788" w:rsidRDefault="00253788" w:rsidP="00B84BBC">
            <w:pPr>
              <w:jc w:val="both"/>
              <w:rPr>
                <w:sz w:val="18"/>
              </w:rPr>
            </w:pPr>
          </w:p>
          <w:p w:rsidR="00FC1E4A" w:rsidRDefault="00B84BBC" w:rsidP="006B5CAD">
            <w:pPr>
              <w:jc w:val="both"/>
              <w:rPr>
                <w:sz w:val="18"/>
              </w:rPr>
            </w:pPr>
            <w:r>
              <w:rPr>
                <w:sz w:val="18"/>
              </w:rPr>
              <w:t>Keep these events in Geneva as it is better for involving other clusters and OCHA.</w:t>
            </w:r>
          </w:p>
          <w:p w:rsidR="004D6246" w:rsidRDefault="004D6246" w:rsidP="006B5CAD">
            <w:pPr>
              <w:jc w:val="both"/>
              <w:rPr>
                <w:sz w:val="18"/>
              </w:rPr>
            </w:pPr>
          </w:p>
          <w:p w:rsidR="00253788" w:rsidRDefault="00253788" w:rsidP="00B84BBC">
            <w:pPr>
              <w:jc w:val="both"/>
              <w:rPr>
                <w:sz w:val="18"/>
              </w:rPr>
            </w:pPr>
            <w:r w:rsidRPr="00B84BBC">
              <w:rPr>
                <w:b/>
                <w:sz w:val="18"/>
              </w:rPr>
              <w:t>SAG retreat</w:t>
            </w:r>
            <w:r w:rsidRPr="00BA1E43">
              <w:rPr>
                <w:sz w:val="18"/>
              </w:rPr>
              <w:t xml:space="preserve"> </w:t>
            </w:r>
            <w:r w:rsidR="00B84BBC">
              <w:rPr>
                <w:sz w:val="18"/>
              </w:rPr>
              <w:t xml:space="preserve">to happen twice a year: Dec in Geneva and in June, around the mid-year teleconference. The second one </w:t>
            </w:r>
            <w:r w:rsidRPr="00BA1E43">
              <w:rPr>
                <w:sz w:val="18"/>
              </w:rPr>
              <w:t xml:space="preserve">could move to capitals for connection with key donors, or otherwise </w:t>
            </w:r>
            <w:r w:rsidR="00FC1E4A">
              <w:rPr>
                <w:sz w:val="18"/>
              </w:rPr>
              <w:t xml:space="preserve">closer to ongoing </w:t>
            </w:r>
            <w:r w:rsidRPr="00BA1E43">
              <w:rPr>
                <w:sz w:val="18"/>
              </w:rPr>
              <w:t>operations.</w:t>
            </w:r>
            <w:r w:rsidR="008B5FA2">
              <w:rPr>
                <w:sz w:val="18"/>
              </w:rPr>
              <w:t xml:space="preserve"> </w:t>
            </w:r>
          </w:p>
          <w:p w:rsidR="005C4A94" w:rsidRDefault="005C4A94" w:rsidP="00B84BBC">
            <w:pPr>
              <w:jc w:val="both"/>
              <w:rPr>
                <w:sz w:val="18"/>
              </w:rPr>
            </w:pPr>
          </w:p>
          <w:p w:rsidR="005C4A94" w:rsidRDefault="005C4A94" w:rsidP="00B84BBC">
            <w:pPr>
              <w:jc w:val="both"/>
              <w:rPr>
                <w:sz w:val="18"/>
              </w:rPr>
            </w:pPr>
            <w:r>
              <w:rPr>
                <w:sz w:val="18"/>
              </w:rPr>
              <w:t>Regional meetings should be promoted and used to address several of the issues of GSC interest</w:t>
            </w:r>
            <w:r w:rsidR="007B5F49">
              <w:rPr>
                <w:sz w:val="18"/>
              </w:rPr>
              <w:t>.</w:t>
            </w:r>
          </w:p>
          <w:p w:rsidR="007B5F49" w:rsidRDefault="007B5F49" w:rsidP="00B84BBC">
            <w:pPr>
              <w:jc w:val="both"/>
              <w:rPr>
                <w:sz w:val="18"/>
              </w:rPr>
            </w:pPr>
          </w:p>
          <w:p w:rsidR="007B5F49" w:rsidRPr="00ED3CC8" w:rsidRDefault="007B5F49" w:rsidP="00B84BBC">
            <w:pPr>
              <w:jc w:val="both"/>
              <w:rPr>
                <w:sz w:val="18"/>
              </w:rPr>
            </w:pPr>
            <w:r>
              <w:rPr>
                <w:sz w:val="18"/>
              </w:rPr>
              <w:t>Support Team to create a web calendar with all the GSC meetings in one place.</w:t>
            </w:r>
          </w:p>
        </w:tc>
      </w:tr>
      <w:tr w:rsidR="00253788" w:rsidTr="002D5DE1">
        <w:tc>
          <w:tcPr>
            <w:tcW w:w="1413" w:type="dxa"/>
          </w:tcPr>
          <w:p w:rsidR="00253788" w:rsidRPr="006D5328" w:rsidRDefault="00602360" w:rsidP="00B84BBC">
            <w:pPr>
              <w:rPr>
                <w:b/>
                <w:sz w:val="18"/>
              </w:rPr>
            </w:pPr>
            <w:r>
              <w:rPr>
                <w:b/>
                <w:sz w:val="18"/>
              </w:rPr>
              <w:t>Short Updates from the Working Groups</w:t>
            </w:r>
          </w:p>
        </w:tc>
        <w:tc>
          <w:tcPr>
            <w:tcW w:w="9355" w:type="dxa"/>
          </w:tcPr>
          <w:p w:rsidR="00253788" w:rsidRDefault="00A159A9" w:rsidP="006B5CAD">
            <w:pPr>
              <w:jc w:val="both"/>
              <w:rPr>
                <w:sz w:val="18"/>
              </w:rPr>
            </w:pPr>
            <w:r>
              <w:rPr>
                <w:sz w:val="18"/>
              </w:rPr>
              <w:t xml:space="preserve">The </w:t>
            </w:r>
            <w:r w:rsidRPr="00FC43B4">
              <w:rPr>
                <w:sz w:val="18"/>
                <w:u w:val="single"/>
              </w:rPr>
              <w:t xml:space="preserve">working groups are requested to report to the SAG, </w:t>
            </w:r>
            <w:r w:rsidR="0046726D" w:rsidRPr="00FC43B4">
              <w:rPr>
                <w:sz w:val="18"/>
                <w:u w:val="single"/>
              </w:rPr>
              <w:t>particularly on how they contribute to the GSC Strategy 2018-2022</w:t>
            </w:r>
            <w:r w:rsidR="0046726D">
              <w:rPr>
                <w:sz w:val="18"/>
              </w:rPr>
              <w:t>.</w:t>
            </w:r>
            <w:r w:rsidR="00FD30DC">
              <w:rPr>
                <w:sz w:val="18"/>
              </w:rPr>
              <w:t xml:space="preserve"> Working groups are meant as temporary in nature focusing on a particular output. Once that output is fulfilled, the group should be dissolved. Ongoing tasks can become a community of practice.</w:t>
            </w:r>
          </w:p>
          <w:p w:rsidR="00D146D5" w:rsidRDefault="00D146D5" w:rsidP="006B5CAD">
            <w:pPr>
              <w:jc w:val="both"/>
              <w:rPr>
                <w:sz w:val="18"/>
              </w:rPr>
            </w:pPr>
          </w:p>
          <w:p w:rsidR="00D146D5" w:rsidRDefault="00D146D5" w:rsidP="006B5CAD">
            <w:pPr>
              <w:jc w:val="both"/>
              <w:rPr>
                <w:sz w:val="18"/>
              </w:rPr>
            </w:pPr>
            <w:r>
              <w:rPr>
                <w:sz w:val="18"/>
              </w:rPr>
              <w:t xml:space="preserve">Working groups </w:t>
            </w:r>
            <w:r w:rsidR="00A06594">
              <w:rPr>
                <w:sz w:val="18"/>
              </w:rPr>
              <w:t>have been given a mandate by the SAG and do not need necessarily to go back to it, unless there is a wish from either side to do so.</w:t>
            </w:r>
            <w:r w:rsidR="00624695">
              <w:rPr>
                <w:sz w:val="18"/>
              </w:rPr>
              <w:t xml:space="preserve"> The SAG can decide to endorse a particular output.</w:t>
            </w:r>
          </w:p>
          <w:p w:rsidR="00A159A9" w:rsidRDefault="00A159A9" w:rsidP="006B5CAD">
            <w:pPr>
              <w:jc w:val="both"/>
              <w:rPr>
                <w:sz w:val="18"/>
              </w:rPr>
            </w:pPr>
          </w:p>
          <w:p w:rsidR="00253788" w:rsidRPr="00FD30DC" w:rsidRDefault="00253788" w:rsidP="006B5CAD">
            <w:pPr>
              <w:jc w:val="both"/>
              <w:rPr>
                <w:i/>
                <w:sz w:val="18"/>
                <w:u w:val="single"/>
              </w:rPr>
            </w:pPr>
            <w:r w:rsidRPr="00FD30DC">
              <w:rPr>
                <w:i/>
                <w:sz w:val="18"/>
                <w:u w:val="single"/>
              </w:rPr>
              <w:t xml:space="preserve">Working Group: </w:t>
            </w:r>
            <w:r w:rsidRPr="00B84BBC">
              <w:rPr>
                <w:b/>
                <w:i/>
                <w:sz w:val="18"/>
                <w:u w:val="single"/>
              </w:rPr>
              <w:t>Gender-based violence in shelter programming</w:t>
            </w:r>
          </w:p>
          <w:p w:rsidR="00553733" w:rsidRDefault="00553733" w:rsidP="006B5CAD">
            <w:pPr>
              <w:jc w:val="both"/>
              <w:rPr>
                <w:sz w:val="18"/>
              </w:rPr>
            </w:pPr>
            <w:r>
              <w:rPr>
                <w:sz w:val="18"/>
              </w:rPr>
              <w:t>This working group</w:t>
            </w:r>
            <w:r w:rsidR="00F537A9">
              <w:rPr>
                <w:sz w:val="18"/>
              </w:rPr>
              <w:t xml:space="preserve"> was set up by IOM and CARE with the main objective of </w:t>
            </w:r>
            <w:r w:rsidR="00F537A9" w:rsidRPr="004A3689">
              <w:rPr>
                <w:sz w:val="18"/>
                <w:u w:val="single"/>
              </w:rPr>
              <w:t>mainstreaming GBV in shelter</w:t>
            </w:r>
            <w:r w:rsidR="00F537A9">
              <w:rPr>
                <w:sz w:val="18"/>
              </w:rPr>
              <w:t xml:space="preserve"> (and </w:t>
            </w:r>
            <w:r w:rsidR="00544F89">
              <w:rPr>
                <w:sz w:val="18"/>
              </w:rPr>
              <w:t>vice versa</w:t>
            </w:r>
            <w:r w:rsidR="00F537A9">
              <w:rPr>
                <w:sz w:val="18"/>
              </w:rPr>
              <w:t>).</w:t>
            </w:r>
            <w:r w:rsidR="00657853">
              <w:rPr>
                <w:sz w:val="18"/>
              </w:rPr>
              <w:t xml:space="preserve"> The group has produced the expected output and is now unofficially closed.</w:t>
            </w:r>
            <w:r w:rsidR="0068129F">
              <w:rPr>
                <w:sz w:val="18"/>
              </w:rPr>
              <w:t xml:space="preserve"> There is a need to look into the issue of continuity</w:t>
            </w:r>
            <w:r w:rsidR="00356E75">
              <w:rPr>
                <w:sz w:val="18"/>
              </w:rPr>
              <w:t xml:space="preserve"> in products on this matter</w:t>
            </w:r>
            <w:r w:rsidR="00EC01D7">
              <w:rPr>
                <w:sz w:val="18"/>
              </w:rPr>
              <w:t xml:space="preserve"> – the guidance could be integrated in wider documents on</w:t>
            </w:r>
            <w:r w:rsidR="00C90A2F">
              <w:rPr>
                <w:sz w:val="18"/>
              </w:rPr>
              <w:t xml:space="preserve"> site establishment.</w:t>
            </w:r>
          </w:p>
          <w:p w:rsidR="00253788" w:rsidRDefault="00253788" w:rsidP="006B5CAD">
            <w:pPr>
              <w:jc w:val="both"/>
              <w:rPr>
                <w:sz w:val="18"/>
              </w:rPr>
            </w:pPr>
          </w:p>
          <w:p w:rsidR="00253788" w:rsidRPr="00454E3B" w:rsidRDefault="00253788" w:rsidP="006B5CAD">
            <w:pPr>
              <w:jc w:val="both"/>
              <w:rPr>
                <w:i/>
                <w:sz w:val="18"/>
                <w:u w:val="single"/>
              </w:rPr>
            </w:pPr>
            <w:r w:rsidRPr="00454E3B">
              <w:rPr>
                <w:i/>
                <w:sz w:val="18"/>
                <w:u w:val="single"/>
              </w:rPr>
              <w:t xml:space="preserve">Working Group: </w:t>
            </w:r>
            <w:r w:rsidRPr="00B84BBC">
              <w:rPr>
                <w:b/>
                <w:i/>
                <w:sz w:val="18"/>
                <w:u w:val="single"/>
              </w:rPr>
              <w:t>Constructions Standards</w:t>
            </w:r>
          </w:p>
          <w:p w:rsidR="002D6183" w:rsidRDefault="003D1CB4" w:rsidP="006B5CAD">
            <w:pPr>
              <w:jc w:val="both"/>
              <w:rPr>
                <w:sz w:val="18"/>
              </w:rPr>
            </w:pPr>
            <w:r>
              <w:rPr>
                <w:sz w:val="18"/>
              </w:rPr>
              <w:t xml:space="preserve">The working group was restyled during the </w:t>
            </w:r>
            <w:r w:rsidR="00B84BBC">
              <w:rPr>
                <w:sz w:val="18"/>
              </w:rPr>
              <w:t>last</w:t>
            </w:r>
            <w:r>
              <w:rPr>
                <w:sz w:val="18"/>
              </w:rPr>
              <w:t xml:space="preserve"> year and counts 22 participants across multiple agencies. </w:t>
            </w:r>
            <w:r w:rsidR="002D6183">
              <w:rPr>
                <w:sz w:val="18"/>
              </w:rPr>
              <w:t>A meeting session was held during the GSC Meeting in Geneva which was a key event to attract more participants in the working group.</w:t>
            </w:r>
          </w:p>
          <w:p w:rsidR="00253788" w:rsidRDefault="00253788" w:rsidP="006B5CAD">
            <w:pPr>
              <w:jc w:val="both"/>
              <w:rPr>
                <w:sz w:val="18"/>
              </w:rPr>
            </w:pPr>
            <w:r>
              <w:rPr>
                <w:sz w:val="18"/>
              </w:rPr>
              <w:t xml:space="preserve">Discussions </w:t>
            </w:r>
            <w:r w:rsidR="005E0EDA">
              <w:rPr>
                <w:sz w:val="18"/>
              </w:rPr>
              <w:t xml:space="preserve">are </w:t>
            </w:r>
            <w:r>
              <w:rPr>
                <w:sz w:val="18"/>
              </w:rPr>
              <w:t xml:space="preserve">ongoing on where to go next – what the phase will be now if the product is endorsed and pivot to dissemination, communicating. </w:t>
            </w:r>
            <w:r w:rsidR="000F3350">
              <w:rPr>
                <w:sz w:val="18"/>
              </w:rPr>
              <w:t xml:space="preserve">The </w:t>
            </w:r>
            <w:r w:rsidR="000F3350" w:rsidRPr="00544F89">
              <w:rPr>
                <w:sz w:val="18"/>
                <w:u w:val="single"/>
              </w:rPr>
              <w:t>main issue at the moment regards terminology</w:t>
            </w:r>
            <w:r w:rsidR="000F3350">
              <w:rPr>
                <w:sz w:val="18"/>
              </w:rPr>
              <w:t>, and consultations are ongoing on any changes needed on this.</w:t>
            </w:r>
          </w:p>
          <w:p w:rsidR="00253788" w:rsidRDefault="00253788" w:rsidP="006B5CAD">
            <w:pPr>
              <w:jc w:val="both"/>
              <w:rPr>
                <w:sz w:val="18"/>
              </w:rPr>
            </w:pPr>
          </w:p>
          <w:p w:rsidR="00253788" w:rsidRPr="00821280" w:rsidRDefault="00253788" w:rsidP="006B5CAD">
            <w:pPr>
              <w:jc w:val="both"/>
              <w:rPr>
                <w:i/>
                <w:sz w:val="18"/>
                <w:u w:val="single"/>
              </w:rPr>
            </w:pPr>
            <w:r w:rsidRPr="00821280">
              <w:rPr>
                <w:i/>
                <w:sz w:val="18"/>
                <w:u w:val="single"/>
              </w:rPr>
              <w:t xml:space="preserve">Working Group: </w:t>
            </w:r>
            <w:r w:rsidRPr="00B84BBC">
              <w:rPr>
                <w:b/>
                <w:i/>
                <w:sz w:val="18"/>
                <w:u w:val="single"/>
              </w:rPr>
              <w:t>Inclusion of Persons with Disabilities</w:t>
            </w:r>
          </w:p>
          <w:p w:rsidR="00821280" w:rsidRDefault="00821280" w:rsidP="006B5CAD">
            <w:pPr>
              <w:jc w:val="both"/>
              <w:rPr>
                <w:sz w:val="18"/>
              </w:rPr>
            </w:pPr>
            <w:r>
              <w:rPr>
                <w:sz w:val="18"/>
              </w:rPr>
              <w:t>Working group was established in late May/early June this year, and has 59 participants across multiple agencies.</w:t>
            </w:r>
            <w:r w:rsidR="000A2CD6">
              <w:rPr>
                <w:sz w:val="18"/>
              </w:rPr>
              <w:t xml:space="preserve"> </w:t>
            </w:r>
            <w:r w:rsidR="00C0317E">
              <w:rPr>
                <w:sz w:val="18"/>
              </w:rPr>
              <w:t>There is a lot of interest around this topic.</w:t>
            </w:r>
          </w:p>
          <w:p w:rsidR="00C0317E" w:rsidRDefault="00C0317E" w:rsidP="006B5CAD">
            <w:pPr>
              <w:jc w:val="both"/>
              <w:rPr>
                <w:sz w:val="18"/>
              </w:rPr>
            </w:pPr>
            <w:r>
              <w:rPr>
                <w:sz w:val="18"/>
              </w:rPr>
              <w:t xml:space="preserve">The group has provided </w:t>
            </w:r>
            <w:r w:rsidRPr="00A56D68">
              <w:rPr>
                <w:sz w:val="18"/>
                <w:u w:val="single"/>
              </w:rPr>
              <w:t>inputs for shelter products and on IASC guidelines</w:t>
            </w:r>
            <w:r>
              <w:rPr>
                <w:sz w:val="18"/>
              </w:rPr>
              <w:t>. Possible gaps in terms of guidance were also reviewed. Next year, a pilot will be launched for a field office, which will include an analysis of current challenges and how the office could be supported on these.</w:t>
            </w:r>
            <w:r w:rsidR="00225E53">
              <w:rPr>
                <w:sz w:val="18"/>
              </w:rPr>
              <w:t xml:space="preserve"> A country level workshop will also be organised, and a forum will allow for a safe space on inclusion discussions.</w:t>
            </w:r>
          </w:p>
          <w:p w:rsidR="00821280" w:rsidRDefault="00821280" w:rsidP="006B5CAD">
            <w:pPr>
              <w:jc w:val="both"/>
              <w:rPr>
                <w:sz w:val="18"/>
              </w:rPr>
            </w:pPr>
          </w:p>
          <w:p w:rsidR="00253788" w:rsidRPr="00B91000" w:rsidRDefault="00253788" w:rsidP="006B5CAD">
            <w:pPr>
              <w:jc w:val="both"/>
              <w:rPr>
                <w:i/>
                <w:sz w:val="18"/>
                <w:u w:val="single"/>
              </w:rPr>
            </w:pPr>
            <w:r w:rsidRPr="00B91000">
              <w:rPr>
                <w:i/>
                <w:sz w:val="18"/>
                <w:u w:val="single"/>
              </w:rPr>
              <w:t xml:space="preserve">Working Group: </w:t>
            </w:r>
            <w:r w:rsidRPr="00B84BBC">
              <w:rPr>
                <w:b/>
                <w:i/>
                <w:sz w:val="18"/>
                <w:u w:val="single"/>
              </w:rPr>
              <w:t>NFI Practices</w:t>
            </w:r>
          </w:p>
          <w:p w:rsidR="00253788" w:rsidRDefault="00B91000" w:rsidP="006B5CAD">
            <w:pPr>
              <w:jc w:val="both"/>
              <w:rPr>
                <w:sz w:val="18"/>
              </w:rPr>
            </w:pPr>
            <w:r>
              <w:rPr>
                <w:sz w:val="18"/>
              </w:rPr>
              <w:t xml:space="preserve">In 2018 the group </w:t>
            </w:r>
            <w:r w:rsidRPr="00197AFD">
              <w:rPr>
                <w:sz w:val="18"/>
              </w:rPr>
              <w:t>captured good practices and lessons learnt</w:t>
            </w:r>
            <w:r w:rsidR="00465983" w:rsidRPr="00197AFD">
              <w:rPr>
                <w:sz w:val="18"/>
              </w:rPr>
              <w:t xml:space="preserve">, and held a workshop in Bangkok in May. In 2019, there is a need to increase capacity across the board through </w:t>
            </w:r>
            <w:r w:rsidR="00253788" w:rsidRPr="00197AFD">
              <w:rPr>
                <w:sz w:val="18"/>
              </w:rPr>
              <w:t xml:space="preserve">e-learning and </w:t>
            </w:r>
            <w:proofErr w:type="spellStart"/>
            <w:r w:rsidR="00253788" w:rsidRPr="00197AFD">
              <w:rPr>
                <w:sz w:val="18"/>
              </w:rPr>
              <w:t>ToT</w:t>
            </w:r>
            <w:proofErr w:type="spellEnd"/>
            <w:r w:rsidR="00253788" w:rsidRPr="00197AFD">
              <w:rPr>
                <w:sz w:val="18"/>
              </w:rPr>
              <w:t xml:space="preserve"> sessions (which need to be developed).</w:t>
            </w:r>
            <w:r w:rsidR="00E26E1D" w:rsidRPr="00197AFD">
              <w:rPr>
                <w:sz w:val="18"/>
              </w:rPr>
              <w:t xml:space="preserve"> </w:t>
            </w:r>
            <w:r w:rsidR="00253788" w:rsidRPr="00197AFD">
              <w:rPr>
                <w:sz w:val="18"/>
              </w:rPr>
              <w:t>Link</w:t>
            </w:r>
            <w:r w:rsidR="00E26E1D" w:rsidRPr="00197AFD">
              <w:rPr>
                <w:sz w:val="18"/>
              </w:rPr>
              <w:t>s were</w:t>
            </w:r>
            <w:r w:rsidR="00253788" w:rsidRPr="00197AFD">
              <w:rPr>
                <w:sz w:val="18"/>
              </w:rPr>
              <w:t xml:space="preserve"> discussed on environmental</w:t>
            </w:r>
            <w:r w:rsidR="00253788">
              <w:rPr>
                <w:sz w:val="18"/>
              </w:rPr>
              <w:t xml:space="preserve"> matters, </w:t>
            </w:r>
            <w:r w:rsidR="004F7DF7">
              <w:rPr>
                <w:sz w:val="18"/>
              </w:rPr>
              <w:t xml:space="preserve">particularly </w:t>
            </w:r>
            <w:r w:rsidR="00253788">
              <w:rPr>
                <w:sz w:val="18"/>
              </w:rPr>
              <w:t xml:space="preserve">regarding the </w:t>
            </w:r>
            <w:r w:rsidR="004F7DF7">
              <w:rPr>
                <w:sz w:val="18"/>
              </w:rPr>
              <w:t>elimination</w:t>
            </w:r>
            <w:r w:rsidR="00253788">
              <w:rPr>
                <w:sz w:val="18"/>
              </w:rPr>
              <w:t xml:space="preserve"> of plastic bags in kits (to be discussed with procurement).</w:t>
            </w:r>
          </w:p>
          <w:p w:rsidR="00253788" w:rsidRDefault="00253788" w:rsidP="006B5CAD">
            <w:pPr>
              <w:jc w:val="both"/>
              <w:rPr>
                <w:sz w:val="18"/>
              </w:rPr>
            </w:pPr>
          </w:p>
          <w:p w:rsidR="00253788" w:rsidRPr="00C86F02" w:rsidRDefault="00253788" w:rsidP="006B5CAD">
            <w:pPr>
              <w:jc w:val="both"/>
              <w:rPr>
                <w:i/>
                <w:sz w:val="18"/>
                <w:u w:val="single"/>
              </w:rPr>
            </w:pPr>
            <w:r w:rsidRPr="00C86F02">
              <w:rPr>
                <w:i/>
                <w:sz w:val="18"/>
                <w:u w:val="single"/>
              </w:rPr>
              <w:t>Working Group: Promoting Safer Building</w:t>
            </w:r>
          </w:p>
          <w:p w:rsidR="00253788" w:rsidRPr="00197B39" w:rsidRDefault="00C86F02" w:rsidP="006B5CAD">
            <w:pPr>
              <w:jc w:val="both"/>
              <w:rPr>
                <w:sz w:val="18"/>
              </w:rPr>
            </w:pPr>
            <w:r>
              <w:rPr>
                <w:sz w:val="18"/>
              </w:rPr>
              <w:t xml:space="preserve">The group is co-chaired by CARE and </w:t>
            </w:r>
            <w:proofErr w:type="spellStart"/>
            <w:r>
              <w:rPr>
                <w:sz w:val="18"/>
              </w:rPr>
              <w:t>CRAterre</w:t>
            </w:r>
            <w:proofErr w:type="spellEnd"/>
            <w:r>
              <w:rPr>
                <w:sz w:val="18"/>
              </w:rPr>
              <w:t xml:space="preserve">. </w:t>
            </w:r>
            <w:r w:rsidR="007A0403">
              <w:rPr>
                <w:sz w:val="18"/>
              </w:rPr>
              <w:t xml:space="preserve">Ca. 25 active people contributing to the group. </w:t>
            </w:r>
            <w:r>
              <w:rPr>
                <w:sz w:val="18"/>
              </w:rPr>
              <w:t xml:space="preserve">They have produced profiles for Bangladesh and Ethiopia and a protocol for </w:t>
            </w:r>
            <w:r w:rsidR="00253788">
              <w:rPr>
                <w:sz w:val="18"/>
              </w:rPr>
              <w:t xml:space="preserve">developing shelter and settlement information education communication resources. In 2019 another country profile will be produced. </w:t>
            </w:r>
            <w:r w:rsidR="00920790">
              <w:rPr>
                <w:sz w:val="18"/>
              </w:rPr>
              <w:t>C</w:t>
            </w:r>
            <w:r w:rsidR="00253788">
              <w:rPr>
                <w:sz w:val="18"/>
              </w:rPr>
              <w:t xml:space="preserve">ARE has </w:t>
            </w:r>
            <w:r w:rsidR="00920790">
              <w:rPr>
                <w:sz w:val="18"/>
              </w:rPr>
              <w:t xml:space="preserve">funding for </w:t>
            </w:r>
            <w:r w:rsidR="00253788">
              <w:rPr>
                <w:sz w:val="18"/>
              </w:rPr>
              <w:t xml:space="preserve">more or less another year. </w:t>
            </w:r>
          </w:p>
          <w:p w:rsidR="00253788" w:rsidRPr="006D5534" w:rsidRDefault="00253788" w:rsidP="006B5CAD">
            <w:pPr>
              <w:jc w:val="both"/>
              <w:rPr>
                <w:sz w:val="18"/>
              </w:rPr>
            </w:pPr>
          </w:p>
          <w:p w:rsidR="00253788" w:rsidRPr="00F33B1C" w:rsidRDefault="00253788" w:rsidP="006B5CAD">
            <w:pPr>
              <w:jc w:val="both"/>
              <w:rPr>
                <w:i/>
                <w:sz w:val="18"/>
                <w:u w:val="single"/>
              </w:rPr>
            </w:pPr>
            <w:r w:rsidRPr="00F33B1C">
              <w:rPr>
                <w:i/>
                <w:sz w:val="18"/>
                <w:u w:val="single"/>
              </w:rPr>
              <w:t>Working Group: Urban and Settlements Approaches</w:t>
            </w:r>
          </w:p>
          <w:p w:rsidR="00253788" w:rsidRDefault="00F33B1C" w:rsidP="006B5CAD">
            <w:pPr>
              <w:jc w:val="both"/>
              <w:rPr>
                <w:sz w:val="18"/>
              </w:rPr>
            </w:pPr>
            <w:r>
              <w:rPr>
                <w:sz w:val="18"/>
              </w:rPr>
              <w:t xml:space="preserve">The group has been active for </w:t>
            </w:r>
            <w:r w:rsidR="00253788">
              <w:rPr>
                <w:sz w:val="18"/>
              </w:rPr>
              <w:t>almost 2 years</w:t>
            </w:r>
            <w:r>
              <w:rPr>
                <w:sz w:val="18"/>
              </w:rPr>
              <w:t xml:space="preserve"> and</w:t>
            </w:r>
            <w:r w:rsidR="00253788">
              <w:rPr>
                <w:sz w:val="18"/>
              </w:rPr>
              <w:t xml:space="preserve"> produced</w:t>
            </w:r>
            <w:r>
              <w:rPr>
                <w:sz w:val="18"/>
              </w:rPr>
              <w:t xml:space="preserve"> a</w:t>
            </w:r>
            <w:r w:rsidR="00253788">
              <w:rPr>
                <w:sz w:val="18"/>
              </w:rPr>
              <w:t xml:space="preserve"> compendium of studies on settlement approaches. Now a consultant</w:t>
            </w:r>
            <w:r w:rsidR="001B78D5">
              <w:rPr>
                <w:sz w:val="18"/>
              </w:rPr>
              <w:t xml:space="preserve"> was commissioned</w:t>
            </w:r>
            <w:r w:rsidR="00253788">
              <w:rPr>
                <w:sz w:val="18"/>
              </w:rPr>
              <w:t xml:space="preserve"> to analyse and extract what can be learned</w:t>
            </w:r>
            <w:r w:rsidR="00B8307D">
              <w:rPr>
                <w:sz w:val="18"/>
              </w:rPr>
              <w:t xml:space="preserve"> from it.</w:t>
            </w:r>
            <w:r w:rsidR="00253788">
              <w:rPr>
                <w:sz w:val="18"/>
              </w:rPr>
              <w:t xml:space="preserve"> Webinars </w:t>
            </w:r>
            <w:r w:rsidR="00B8307D">
              <w:rPr>
                <w:sz w:val="18"/>
              </w:rPr>
              <w:t>involve ca.</w:t>
            </w:r>
            <w:r w:rsidR="00253788">
              <w:rPr>
                <w:sz w:val="18"/>
              </w:rPr>
              <w:t xml:space="preserve"> 20-25 people. </w:t>
            </w:r>
            <w:r w:rsidR="007372EA">
              <w:rPr>
                <w:sz w:val="18"/>
              </w:rPr>
              <w:t xml:space="preserve"> </w:t>
            </w:r>
            <w:r w:rsidR="00466AD0">
              <w:rPr>
                <w:sz w:val="18"/>
              </w:rPr>
              <w:t>The group c</w:t>
            </w:r>
            <w:r w:rsidR="00253788">
              <w:rPr>
                <w:sz w:val="18"/>
              </w:rPr>
              <w:t>ollected about 30 case studies so far</w:t>
            </w:r>
            <w:r w:rsidR="004A1488">
              <w:rPr>
                <w:sz w:val="18"/>
              </w:rPr>
              <w:t xml:space="preserve">, </w:t>
            </w:r>
            <w:r w:rsidR="00A95BFA">
              <w:rPr>
                <w:sz w:val="18"/>
              </w:rPr>
              <w:t>identified</w:t>
            </w:r>
            <w:r w:rsidR="00253788">
              <w:rPr>
                <w:sz w:val="18"/>
              </w:rPr>
              <w:t xml:space="preserve"> regional champions and </w:t>
            </w:r>
            <w:r w:rsidR="003C0FC1">
              <w:rPr>
                <w:sz w:val="18"/>
              </w:rPr>
              <w:t>is developing</w:t>
            </w:r>
            <w:r w:rsidR="00253788">
              <w:rPr>
                <w:sz w:val="18"/>
              </w:rPr>
              <w:t xml:space="preserve"> settlements guidance note </w:t>
            </w:r>
            <w:r w:rsidR="003B5136">
              <w:rPr>
                <w:sz w:val="18"/>
              </w:rPr>
              <w:t xml:space="preserve">for </w:t>
            </w:r>
            <w:r w:rsidR="00253788">
              <w:rPr>
                <w:sz w:val="18"/>
              </w:rPr>
              <w:t>2018-2020.</w:t>
            </w:r>
            <w:r w:rsidR="00A12D71">
              <w:rPr>
                <w:sz w:val="18"/>
              </w:rPr>
              <w:t xml:space="preserve"> </w:t>
            </w:r>
            <w:r w:rsidR="00727902">
              <w:rPr>
                <w:sz w:val="18"/>
              </w:rPr>
              <w:t>The g</w:t>
            </w:r>
            <w:r w:rsidR="00253788">
              <w:rPr>
                <w:sz w:val="18"/>
              </w:rPr>
              <w:t>roup has been very consultative</w:t>
            </w:r>
            <w:r w:rsidR="00A12D71">
              <w:rPr>
                <w:sz w:val="18"/>
              </w:rPr>
              <w:t xml:space="preserve"> and there is an agreement for the continuation of work in the next 2 years.</w:t>
            </w:r>
          </w:p>
          <w:p w:rsidR="00253788" w:rsidRDefault="00253788" w:rsidP="006B5CAD">
            <w:pPr>
              <w:jc w:val="both"/>
              <w:rPr>
                <w:sz w:val="18"/>
              </w:rPr>
            </w:pPr>
          </w:p>
          <w:p w:rsidR="00253788" w:rsidRPr="007504B7" w:rsidRDefault="00253788" w:rsidP="006B5CAD">
            <w:pPr>
              <w:jc w:val="both"/>
              <w:rPr>
                <w:i/>
                <w:sz w:val="18"/>
                <w:u w:val="single"/>
              </w:rPr>
            </w:pPr>
            <w:r w:rsidRPr="007504B7">
              <w:rPr>
                <w:i/>
                <w:sz w:val="18"/>
                <w:u w:val="single"/>
              </w:rPr>
              <w:t>Working Group: Shelter and Cash</w:t>
            </w:r>
          </w:p>
          <w:p w:rsidR="00A029FF" w:rsidRDefault="007F041F" w:rsidP="006B5CAD">
            <w:pPr>
              <w:jc w:val="both"/>
              <w:rPr>
                <w:sz w:val="18"/>
              </w:rPr>
            </w:pPr>
            <w:r>
              <w:rPr>
                <w:sz w:val="18"/>
              </w:rPr>
              <w:t>The group is w</w:t>
            </w:r>
            <w:r w:rsidR="00253788">
              <w:rPr>
                <w:sz w:val="18"/>
              </w:rPr>
              <w:t xml:space="preserve">orking on guidance, capacity </w:t>
            </w:r>
            <w:r w:rsidR="001E14E8">
              <w:rPr>
                <w:sz w:val="18"/>
              </w:rPr>
              <w:t>building</w:t>
            </w:r>
            <w:r w:rsidR="00253788">
              <w:rPr>
                <w:sz w:val="18"/>
              </w:rPr>
              <w:t xml:space="preserve"> and developing policy and outreach </w:t>
            </w:r>
            <w:r w:rsidR="001E14E8">
              <w:rPr>
                <w:sz w:val="18"/>
              </w:rPr>
              <w:t>to spread</w:t>
            </w:r>
            <w:r w:rsidR="00253788">
              <w:rPr>
                <w:sz w:val="18"/>
              </w:rPr>
              <w:t xml:space="preserve"> shelter message on cash. </w:t>
            </w:r>
            <w:r w:rsidR="00A029FF">
              <w:rPr>
                <w:sz w:val="18"/>
              </w:rPr>
              <w:t>Participants have mixed shelter/cash expertise and have been very engaged.</w:t>
            </w:r>
          </w:p>
          <w:p w:rsidR="00253788" w:rsidRDefault="00563658" w:rsidP="006B5CAD">
            <w:pPr>
              <w:jc w:val="both"/>
              <w:rPr>
                <w:sz w:val="18"/>
              </w:rPr>
            </w:pPr>
            <w:r>
              <w:rPr>
                <w:sz w:val="18"/>
              </w:rPr>
              <w:t xml:space="preserve">Main outputs have </w:t>
            </w:r>
            <w:r w:rsidR="00253788">
              <w:rPr>
                <w:sz w:val="18"/>
              </w:rPr>
              <w:t>been cash champions, assessment tool and training package which will be finalised at the end of the year. Three deployments of champions so far. Many different activities with general lobbying, message has been that there is a need for complementary programming.</w:t>
            </w:r>
          </w:p>
          <w:p w:rsidR="00253788" w:rsidRDefault="00253788" w:rsidP="006B5CAD">
            <w:pPr>
              <w:jc w:val="both"/>
              <w:rPr>
                <w:sz w:val="18"/>
              </w:rPr>
            </w:pPr>
            <w:r>
              <w:rPr>
                <w:sz w:val="18"/>
              </w:rPr>
              <w:t>For 2019 the plan is</w:t>
            </w:r>
            <w:r w:rsidR="00C1750C">
              <w:rPr>
                <w:sz w:val="18"/>
              </w:rPr>
              <w:t xml:space="preserve"> to look into rental</w:t>
            </w:r>
            <w:r w:rsidR="007F65D5">
              <w:rPr>
                <w:sz w:val="18"/>
              </w:rPr>
              <w:t xml:space="preserve"> issues,</w:t>
            </w:r>
            <w:r>
              <w:rPr>
                <w:sz w:val="18"/>
              </w:rPr>
              <w:t xml:space="preserve"> in all its myriad forms</w:t>
            </w:r>
            <w:r w:rsidR="007F65D5">
              <w:rPr>
                <w:sz w:val="18"/>
              </w:rPr>
              <w:t>,</w:t>
            </w:r>
            <w:r>
              <w:rPr>
                <w:sz w:val="18"/>
              </w:rPr>
              <w:t xml:space="preserve"> and cash caps. Lots of ideas, but all will need some degree of backing. We need to work with our other sectoral colleagues on a common message.</w:t>
            </w:r>
          </w:p>
          <w:p w:rsidR="00253788" w:rsidRDefault="00253788" w:rsidP="006B5CAD">
            <w:pPr>
              <w:jc w:val="both"/>
              <w:rPr>
                <w:sz w:val="18"/>
              </w:rPr>
            </w:pPr>
          </w:p>
          <w:p w:rsidR="00253788" w:rsidRPr="00306010" w:rsidRDefault="00253788" w:rsidP="006B5CAD">
            <w:pPr>
              <w:jc w:val="both"/>
              <w:rPr>
                <w:i/>
                <w:sz w:val="18"/>
                <w:u w:val="single"/>
              </w:rPr>
            </w:pPr>
            <w:r w:rsidRPr="00306010">
              <w:rPr>
                <w:i/>
                <w:sz w:val="18"/>
                <w:u w:val="single"/>
              </w:rPr>
              <w:t>Working Group: Shelter Projects 2017-2018</w:t>
            </w:r>
          </w:p>
          <w:p w:rsidR="00306010" w:rsidRDefault="00253788" w:rsidP="006B5CAD">
            <w:pPr>
              <w:jc w:val="both"/>
              <w:rPr>
                <w:sz w:val="18"/>
              </w:rPr>
            </w:pPr>
            <w:r>
              <w:rPr>
                <w:sz w:val="18"/>
              </w:rPr>
              <w:t xml:space="preserve">IOM has been leading the past 2.5 years with </w:t>
            </w:r>
            <w:r w:rsidR="00D22508">
              <w:rPr>
                <w:sz w:val="18"/>
              </w:rPr>
              <w:t xml:space="preserve">the </w:t>
            </w:r>
            <w:r>
              <w:rPr>
                <w:sz w:val="18"/>
              </w:rPr>
              <w:t xml:space="preserve">engagement of </w:t>
            </w:r>
            <w:r w:rsidR="00D22508">
              <w:rPr>
                <w:sz w:val="18"/>
              </w:rPr>
              <w:t>several GSC agencies</w:t>
            </w:r>
            <w:r>
              <w:rPr>
                <w:sz w:val="18"/>
              </w:rPr>
              <w:t xml:space="preserve">. The year 2018 has been a year in between editions – there has been a lot of efforts on dissemination and on improving/promoting shelter cluster case studies. </w:t>
            </w:r>
          </w:p>
          <w:p w:rsidR="00253788" w:rsidRDefault="0007160B" w:rsidP="006B5CAD">
            <w:pPr>
              <w:jc w:val="both"/>
              <w:rPr>
                <w:sz w:val="18"/>
              </w:rPr>
            </w:pPr>
            <w:r>
              <w:rPr>
                <w:sz w:val="18"/>
              </w:rPr>
              <w:t>Achievements for the year include dissemination activities, translation of articles into Spanish, French and Arabic, regional/thematic editions, call for abstracts, development of case studies, improvements to the website and a photo competition.</w:t>
            </w:r>
            <w:r w:rsidR="00AB40A6">
              <w:rPr>
                <w:sz w:val="18"/>
              </w:rPr>
              <w:t xml:space="preserve">  </w:t>
            </w:r>
            <w:r w:rsidR="00DE7879">
              <w:rPr>
                <w:sz w:val="18"/>
              </w:rPr>
              <w:t>The project is</w:t>
            </w:r>
            <w:r w:rsidR="00253788">
              <w:rPr>
                <w:sz w:val="18"/>
              </w:rPr>
              <w:t xml:space="preserve"> now in the middle of editing/second round of peer review.</w:t>
            </w:r>
          </w:p>
          <w:p w:rsidR="00253788" w:rsidRDefault="00294EF8" w:rsidP="006B5CAD">
            <w:pPr>
              <w:jc w:val="both"/>
              <w:rPr>
                <w:sz w:val="18"/>
              </w:rPr>
            </w:pPr>
            <w:r>
              <w:rPr>
                <w:sz w:val="18"/>
              </w:rPr>
              <w:t>The next steps ahead will consist in completing the review process, adding</w:t>
            </w:r>
            <w:r w:rsidR="002D6ED6">
              <w:rPr>
                <w:sz w:val="18"/>
              </w:rPr>
              <w:t xml:space="preserve"> a response overview and practical articles, a meta-analysis and improved introduction, web enhancements and more dissemination activities/events.</w:t>
            </w:r>
          </w:p>
          <w:p w:rsidR="00253788" w:rsidRDefault="00253788" w:rsidP="006B5CAD">
            <w:pPr>
              <w:jc w:val="both"/>
              <w:rPr>
                <w:sz w:val="18"/>
              </w:rPr>
            </w:pPr>
          </w:p>
          <w:p w:rsidR="00253788" w:rsidRPr="00752304" w:rsidRDefault="00253788" w:rsidP="006B5CAD">
            <w:pPr>
              <w:jc w:val="both"/>
              <w:rPr>
                <w:i/>
                <w:sz w:val="18"/>
                <w:u w:val="single"/>
              </w:rPr>
            </w:pPr>
            <w:r w:rsidRPr="00752304">
              <w:rPr>
                <w:i/>
                <w:sz w:val="18"/>
                <w:u w:val="single"/>
              </w:rPr>
              <w:t>Working Group: Shelter Vulnerability Classification</w:t>
            </w:r>
          </w:p>
          <w:p w:rsidR="00752304" w:rsidRDefault="00752304" w:rsidP="006B5CAD">
            <w:pPr>
              <w:jc w:val="both"/>
              <w:rPr>
                <w:sz w:val="18"/>
              </w:rPr>
            </w:pPr>
            <w:r>
              <w:rPr>
                <w:sz w:val="18"/>
              </w:rPr>
              <w:t>The working group is new and looks at vulnerability at a certain geographical level (national, regional). More time is needed to further work on this topic.</w:t>
            </w:r>
          </w:p>
          <w:p w:rsidR="00253788" w:rsidRDefault="00253788" w:rsidP="006B5CAD">
            <w:pPr>
              <w:jc w:val="both"/>
              <w:rPr>
                <w:sz w:val="18"/>
              </w:rPr>
            </w:pPr>
          </w:p>
          <w:p w:rsidR="00253788" w:rsidRPr="00291134" w:rsidRDefault="00253788" w:rsidP="006B5CAD">
            <w:pPr>
              <w:jc w:val="both"/>
              <w:rPr>
                <w:sz w:val="18"/>
                <w:u w:val="single"/>
              </w:rPr>
            </w:pPr>
            <w:r w:rsidRPr="00291134">
              <w:rPr>
                <w:i/>
                <w:sz w:val="18"/>
                <w:u w:val="single"/>
              </w:rPr>
              <w:t>Working Group: State of Humanitarian Shelter and Settlements</w:t>
            </w:r>
          </w:p>
          <w:p w:rsidR="00253788" w:rsidRDefault="00253788" w:rsidP="006B5CAD">
            <w:pPr>
              <w:jc w:val="both"/>
              <w:rPr>
                <w:sz w:val="18"/>
              </w:rPr>
            </w:pPr>
            <w:r>
              <w:rPr>
                <w:sz w:val="18"/>
              </w:rPr>
              <w:t>Today,</w:t>
            </w:r>
            <w:r w:rsidR="00034C36">
              <w:rPr>
                <w:sz w:val="18"/>
              </w:rPr>
              <w:t xml:space="preserve"> the</w:t>
            </w:r>
            <w:r>
              <w:rPr>
                <w:sz w:val="18"/>
              </w:rPr>
              <w:t xml:space="preserve"> final version </w:t>
            </w:r>
            <w:r w:rsidR="00034C36">
              <w:rPr>
                <w:sz w:val="18"/>
              </w:rPr>
              <w:t xml:space="preserve">of the report </w:t>
            </w:r>
            <w:r>
              <w:rPr>
                <w:sz w:val="18"/>
              </w:rPr>
              <w:t xml:space="preserve">has been sent to the printer. </w:t>
            </w:r>
            <w:r w:rsidR="00C40DE3">
              <w:rPr>
                <w:sz w:val="18"/>
              </w:rPr>
              <w:t>The n</w:t>
            </w:r>
            <w:r>
              <w:rPr>
                <w:sz w:val="18"/>
              </w:rPr>
              <w:t xml:space="preserve">ext edition will be published in 2020. </w:t>
            </w:r>
            <w:r w:rsidR="00DC5ED5">
              <w:rPr>
                <w:sz w:val="18"/>
              </w:rPr>
              <w:t>At the moment there is a need</w:t>
            </w:r>
            <w:r>
              <w:rPr>
                <w:sz w:val="18"/>
              </w:rPr>
              <w:t xml:space="preserve"> to start thinking of what advocacy issues we want the GSC to focus on in the next year.</w:t>
            </w:r>
          </w:p>
          <w:p w:rsidR="00253788" w:rsidRDefault="00253788" w:rsidP="006B5CAD">
            <w:pPr>
              <w:jc w:val="both"/>
              <w:rPr>
                <w:sz w:val="18"/>
              </w:rPr>
            </w:pPr>
          </w:p>
          <w:p w:rsidR="00BD2627" w:rsidRPr="003D5373" w:rsidRDefault="00253788" w:rsidP="006B5CAD">
            <w:pPr>
              <w:jc w:val="both"/>
              <w:rPr>
                <w:i/>
                <w:sz w:val="18"/>
                <w:u w:val="single"/>
              </w:rPr>
            </w:pPr>
            <w:r w:rsidRPr="00BD2627">
              <w:rPr>
                <w:i/>
                <w:sz w:val="18"/>
                <w:u w:val="single"/>
              </w:rPr>
              <w:t>Working Group: Americas Regional Shelter Cluster Coordination</w:t>
            </w:r>
          </w:p>
          <w:p w:rsidR="00253788" w:rsidRPr="00ED3CC8" w:rsidRDefault="00253788" w:rsidP="006B5CAD">
            <w:pPr>
              <w:jc w:val="both"/>
              <w:rPr>
                <w:sz w:val="18"/>
              </w:rPr>
            </w:pPr>
            <w:r>
              <w:rPr>
                <w:sz w:val="18"/>
              </w:rPr>
              <w:t xml:space="preserve">This working group has been closed. </w:t>
            </w:r>
            <w:r w:rsidR="00BD2627">
              <w:rPr>
                <w:sz w:val="18"/>
              </w:rPr>
              <w:t xml:space="preserve">The shelter coordination in the region goes through </w:t>
            </w:r>
            <w:proofErr w:type="spellStart"/>
            <w:r w:rsidR="00BD2627">
              <w:rPr>
                <w:sz w:val="18"/>
              </w:rPr>
              <w:t>redLAC</w:t>
            </w:r>
            <w:proofErr w:type="spellEnd"/>
            <w:r w:rsidR="00BD2627">
              <w:rPr>
                <w:sz w:val="18"/>
              </w:rPr>
              <w:t xml:space="preserve"> – the working group does not want to replace but rather support existing coordination mechanisms.</w:t>
            </w:r>
            <w:r w:rsidR="0029196C">
              <w:rPr>
                <w:sz w:val="18"/>
              </w:rPr>
              <w:t xml:space="preserve"> No regional cluster meetings are ongoing with maybe the exception of Protection</w:t>
            </w:r>
            <w:r w:rsidR="00F07954">
              <w:rPr>
                <w:sz w:val="18"/>
              </w:rPr>
              <w:t>; o</w:t>
            </w:r>
            <w:r w:rsidR="0029196C">
              <w:rPr>
                <w:sz w:val="18"/>
              </w:rPr>
              <w:t xml:space="preserve">therwise it’s managed by the </w:t>
            </w:r>
            <w:proofErr w:type="spellStart"/>
            <w:r w:rsidR="0029196C">
              <w:rPr>
                <w:sz w:val="18"/>
              </w:rPr>
              <w:t>redLAC</w:t>
            </w:r>
            <w:proofErr w:type="spellEnd"/>
            <w:r w:rsidR="0029196C">
              <w:rPr>
                <w:sz w:val="18"/>
              </w:rPr>
              <w:t xml:space="preserve"> inter-sector working group. </w:t>
            </w:r>
          </w:p>
        </w:tc>
        <w:tc>
          <w:tcPr>
            <w:tcW w:w="3261" w:type="dxa"/>
          </w:tcPr>
          <w:p w:rsidR="00253788" w:rsidRDefault="00253788" w:rsidP="006B5CAD">
            <w:pPr>
              <w:jc w:val="both"/>
              <w:rPr>
                <w:sz w:val="18"/>
              </w:rPr>
            </w:pPr>
          </w:p>
          <w:p w:rsidR="00253788" w:rsidRDefault="007B5F49" w:rsidP="006B5CAD">
            <w:pPr>
              <w:jc w:val="both"/>
              <w:rPr>
                <w:sz w:val="18"/>
              </w:rPr>
            </w:pPr>
            <w:r>
              <w:rPr>
                <w:sz w:val="18"/>
              </w:rPr>
              <w:t>Support Team to link WG products with the Strategy in the website</w:t>
            </w:r>
          </w:p>
          <w:p w:rsidR="004A3689" w:rsidRDefault="004A3689" w:rsidP="006B5CAD">
            <w:pPr>
              <w:jc w:val="both"/>
              <w:rPr>
                <w:sz w:val="18"/>
              </w:rPr>
            </w:pPr>
          </w:p>
          <w:p w:rsidR="004A3689" w:rsidRDefault="00AB7C1C" w:rsidP="006B5CAD">
            <w:pPr>
              <w:jc w:val="both"/>
              <w:rPr>
                <w:sz w:val="18"/>
              </w:rPr>
            </w:pPr>
            <w:r>
              <w:rPr>
                <w:sz w:val="18"/>
              </w:rPr>
              <w:t>The WG products should be disseminated through country-level clusters. These products should be tagged with reference to the strategy.</w:t>
            </w:r>
          </w:p>
          <w:p w:rsidR="004A3689" w:rsidRDefault="004A3689" w:rsidP="006B5CAD">
            <w:pPr>
              <w:jc w:val="both"/>
              <w:rPr>
                <w:sz w:val="18"/>
              </w:rPr>
            </w:pPr>
          </w:p>
          <w:p w:rsidR="00253788" w:rsidRDefault="00675F2B" w:rsidP="006B5CAD">
            <w:pPr>
              <w:jc w:val="both"/>
              <w:rPr>
                <w:sz w:val="18"/>
              </w:rPr>
            </w:pPr>
            <w:r>
              <w:rPr>
                <w:sz w:val="18"/>
              </w:rPr>
              <w:t xml:space="preserve">Agreement on the </w:t>
            </w:r>
            <w:r w:rsidRPr="00B84BBC">
              <w:rPr>
                <w:b/>
                <w:sz w:val="18"/>
              </w:rPr>
              <w:t xml:space="preserve">closure of the </w:t>
            </w:r>
            <w:r w:rsidR="00B84BBC">
              <w:rPr>
                <w:b/>
                <w:sz w:val="18"/>
              </w:rPr>
              <w:t>GBV Working G</w:t>
            </w:r>
            <w:r w:rsidRPr="00B84BBC">
              <w:rPr>
                <w:b/>
                <w:sz w:val="18"/>
              </w:rPr>
              <w:t>roup</w:t>
            </w:r>
            <w:r w:rsidR="00AB7C1C">
              <w:rPr>
                <w:b/>
                <w:sz w:val="18"/>
              </w:rPr>
              <w:t xml:space="preserve"> and the Americas WG</w:t>
            </w:r>
            <w:r>
              <w:rPr>
                <w:sz w:val="18"/>
              </w:rPr>
              <w:t>.</w:t>
            </w:r>
          </w:p>
          <w:p w:rsidR="00253788" w:rsidRDefault="00253788" w:rsidP="006B5CAD">
            <w:pPr>
              <w:jc w:val="both"/>
              <w:rPr>
                <w:sz w:val="18"/>
              </w:rPr>
            </w:pPr>
          </w:p>
          <w:p w:rsidR="00AB7C1C" w:rsidRDefault="009B13E8" w:rsidP="006B5CAD">
            <w:pPr>
              <w:jc w:val="both"/>
              <w:rPr>
                <w:sz w:val="18"/>
              </w:rPr>
            </w:pPr>
            <w:r>
              <w:rPr>
                <w:sz w:val="18"/>
              </w:rPr>
              <w:t>A</w:t>
            </w:r>
            <w:r w:rsidR="007B5F49">
              <w:rPr>
                <w:sz w:val="18"/>
              </w:rPr>
              <w:t>ll</w:t>
            </w:r>
            <w:r w:rsidR="00AB7C1C">
              <w:rPr>
                <w:sz w:val="18"/>
              </w:rPr>
              <w:t xml:space="preserve"> other</w:t>
            </w:r>
            <w:r w:rsidR="007B5F49">
              <w:rPr>
                <w:sz w:val="18"/>
              </w:rPr>
              <w:t xml:space="preserve"> WG</w:t>
            </w:r>
            <w:r>
              <w:rPr>
                <w:sz w:val="18"/>
              </w:rPr>
              <w:t>s</w:t>
            </w:r>
            <w:r w:rsidR="00AB7C1C">
              <w:rPr>
                <w:sz w:val="18"/>
              </w:rPr>
              <w:t xml:space="preserve"> will continue. SAG gave concrete recommendations to each WG. </w:t>
            </w:r>
          </w:p>
          <w:p w:rsidR="00AB7C1C" w:rsidRDefault="00AB7C1C" w:rsidP="006B5CAD">
            <w:pPr>
              <w:jc w:val="both"/>
              <w:rPr>
                <w:sz w:val="18"/>
              </w:rPr>
            </w:pPr>
          </w:p>
          <w:p w:rsidR="00544F89" w:rsidRDefault="00AB7C1C" w:rsidP="006B5CAD">
            <w:pPr>
              <w:jc w:val="both"/>
              <w:rPr>
                <w:sz w:val="18"/>
              </w:rPr>
            </w:pPr>
            <w:r>
              <w:rPr>
                <w:sz w:val="18"/>
              </w:rPr>
              <w:t>All WGs</w:t>
            </w:r>
            <w:r w:rsidR="009B13E8">
              <w:rPr>
                <w:sz w:val="18"/>
              </w:rPr>
              <w:t xml:space="preserve"> </w:t>
            </w:r>
            <w:r w:rsidR="007B5F49">
              <w:rPr>
                <w:sz w:val="18"/>
              </w:rPr>
              <w:t xml:space="preserve">should share their 2019 plan with SAG and how it contributes to the Strategy. </w:t>
            </w:r>
          </w:p>
          <w:p w:rsidR="00253788" w:rsidRDefault="00253788" w:rsidP="006B5CAD">
            <w:pPr>
              <w:jc w:val="both"/>
              <w:rPr>
                <w:sz w:val="18"/>
              </w:rPr>
            </w:pPr>
          </w:p>
          <w:p w:rsidR="00AB7C1C" w:rsidRDefault="00AB7C1C" w:rsidP="00AB7C1C">
            <w:pPr>
              <w:jc w:val="both"/>
              <w:rPr>
                <w:sz w:val="18"/>
              </w:rPr>
            </w:pPr>
            <w:r>
              <w:rPr>
                <w:sz w:val="18"/>
              </w:rPr>
              <w:t>The SAG recommends that the Shelter Vulnerability WG takes the level of discussions to a more strategic level, possibly linking with other initiatives. A separate meeting will be organised to give the group more direction.</w:t>
            </w:r>
          </w:p>
          <w:p w:rsidR="00DC0FAD" w:rsidRDefault="00DC0FAD" w:rsidP="00AB7C1C">
            <w:pPr>
              <w:jc w:val="both"/>
              <w:rPr>
                <w:sz w:val="18"/>
              </w:rPr>
            </w:pPr>
          </w:p>
          <w:p w:rsidR="00DC0FAD" w:rsidRDefault="00DC0FAD" w:rsidP="00AB7C1C">
            <w:pPr>
              <w:jc w:val="both"/>
              <w:rPr>
                <w:sz w:val="18"/>
              </w:rPr>
            </w:pPr>
            <w:r>
              <w:rPr>
                <w:sz w:val="18"/>
              </w:rPr>
              <w:t>For the State of the Humanitarian Shelter and Settlements publication: organize a launch, potentially at the Humanitarian Partnership and Networking Week in February with OFDA and ECHO.</w:t>
            </w:r>
          </w:p>
          <w:p w:rsidR="00DC0FAD" w:rsidRDefault="00DC0FAD" w:rsidP="00AB7C1C">
            <w:pPr>
              <w:jc w:val="both"/>
              <w:rPr>
                <w:sz w:val="18"/>
              </w:rPr>
            </w:pPr>
          </w:p>
          <w:p w:rsidR="00DC0FAD" w:rsidRDefault="00DC0FAD" w:rsidP="00AB7C1C">
            <w:pPr>
              <w:jc w:val="both"/>
              <w:rPr>
                <w:sz w:val="18"/>
              </w:rPr>
            </w:pPr>
            <w:r>
              <w:rPr>
                <w:sz w:val="18"/>
              </w:rPr>
              <w:t>A mini SAG should be created to define minimum commitments on Gender/ Gender Based Violence.</w:t>
            </w:r>
          </w:p>
          <w:p w:rsidR="00DC0FAD" w:rsidRDefault="00DC0FAD" w:rsidP="00AB7C1C">
            <w:pPr>
              <w:jc w:val="both"/>
              <w:rPr>
                <w:sz w:val="18"/>
              </w:rPr>
            </w:pPr>
          </w:p>
          <w:p w:rsidR="00DC0FAD" w:rsidRDefault="00DC0FAD" w:rsidP="00AB7C1C">
            <w:pPr>
              <w:jc w:val="both"/>
              <w:rPr>
                <w:sz w:val="18"/>
              </w:rPr>
            </w:pPr>
            <w:r>
              <w:rPr>
                <w:sz w:val="18"/>
              </w:rPr>
              <w:t>There should be stronger coordination between WGs. Case studies should be captured in similar or comparable ways or formats, workshops should be organized back to back to have synergies.</w:t>
            </w:r>
          </w:p>
          <w:p w:rsidR="00DC0FAD" w:rsidRDefault="00DC0FAD" w:rsidP="00AB7C1C">
            <w:pPr>
              <w:jc w:val="both"/>
              <w:rPr>
                <w:sz w:val="18"/>
              </w:rPr>
            </w:pPr>
          </w:p>
          <w:p w:rsidR="00DC0FAD" w:rsidRDefault="00DC0FAD" w:rsidP="00AB7C1C">
            <w:pPr>
              <w:jc w:val="both"/>
              <w:rPr>
                <w:sz w:val="18"/>
              </w:rPr>
            </w:pPr>
            <w:r>
              <w:rPr>
                <w:sz w:val="18"/>
              </w:rPr>
              <w:t xml:space="preserve">SAG should clarify how WGs approach donors. </w:t>
            </w:r>
          </w:p>
          <w:p w:rsidR="00150343" w:rsidRDefault="00150343" w:rsidP="00AB7C1C">
            <w:pPr>
              <w:jc w:val="both"/>
              <w:rPr>
                <w:sz w:val="18"/>
              </w:rPr>
            </w:pPr>
          </w:p>
          <w:p w:rsidR="00150343" w:rsidRPr="00442643" w:rsidRDefault="00206CBE" w:rsidP="00AB7C1C">
            <w:pPr>
              <w:jc w:val="both"/>
              <w:rPr>
                <w:sz w:val="18"/>
                <w:szCs w:val="18"/>
              </w:rPr>
            </w:pPr>
            <w:r w:rsidRPr="00442643">
              <w:rPr>
                <w:iCs/>
                <w:sz w:val="18"/>
                <w:szCs w:val="18"/>
              </w:rPr>
              <w:t xml:space="preserve">For the Cash for Shelter WG there was a decision to split responsibilities around the key areas of focus of the CWG. As of 2019 the CWG will focus efforts on improving the programmatic use of cash for shelter outcomes. This will include developing guidance </w:t>
            </w:r>
            <w:r w:rsidRPr="00442643">
              <w:rPr>
                <w:bCs/>
                <w:iCs/>
                <w:sz w:val="18"/>
                <w:szCs w:val="18"/>
              </w:rPr>
              <w:t>and practical tools and resources</w:t>
            </w:r>
            <w:r w:rsidRPr="00442643">
              <w:rPr>
                <w:iCs/>
                <w:sz w:val="18"/>
                <w:szCs w:val="18"/>
              </w:rPr>
              <w:t xml:space="preserve">, collating evidence, increasing sector capacity and the broader understanding of shelter within the cash community </w:t>
            </w:r>
            <w:r w:rsidRPr="00442643">
              <w:rPr>
                <w:bCs/>
                <w:iCs/>
                <w:sz w:val="18"/>
                <w:szCs w:val="18"/>
              </w:rPr>
              <w:t>from an operational perspective. Cluster leads will maintain interagency coordination responsibilities on cash and shelter issues, consulting with and informing the SAG and relevant agencies on a period basis and as when relevant issues arise</w:t>
            </w:r>
            <w:r w:rsidR="00150343" w:rsidRPr="00442643">
              <w:rPr>
                <w:sz w:val="18"/>
                <w:szCs w:val="18"/>
              </w:rPr>
              <w:t>.</w:t>
            </w:r>
          </w:p>
          <w:p w:rsidR="001B7044" w:rsidRPr="00ED3CC8" w:rsidRDefault="001B7044" w:rsidP="009B13E8">
            <w:pPr>
              <w:jc w:val="both"/>
              <w:rPr>
                <w:sz w:val="18"/>
              </w:rPr>
            </w:pPr>
          </w:p>
        </w:tc>
      </w:tr>
      <w:tr w:rsidR="00253788" w:rsidTr="002D5DE1">
        <w:tc>
          <w:tcPr>
            <w:tcW w:w="1413" w:type="dxa"/>
          </w:tcPr>
          <w:p w:rsidR="00253788" w:rsidRPr="006D5328" w:rsidRDefault="00253788" w:rsidP="006B5CAD">
            <w:pPr>
              <w:jc w:val="both"/>
              <w:rPr>
                <w:b/>
                <w:sz w:val="18"/>
              </w:rPr>
            </w:pPr>
            <w:r w:rsidRPr="006D5328">
              <w:rPr>
                <w:b/>
                <w:sz w:val="18"/>
              </w:rPr>
              <w:t xml:space="preserve">HLP </w:t>
            </w:r>
            <w:proofErr w:type="spellStart"/>
            <w:r w:rsidRPr="006D5328">
              <w:rPr>
                <w:b/>
                <w:sz w:val="18"/>
              </w:rPr>
              <w:t>AoR</w:t>
            </w:r>
            <w:proofErr w:type="spellEnd"/>
          </w:p>
        </w:tc>
        <w:tc>
          <w:tcPr>
            <w:tcW w:w="9355" w:type="dxa"/>
          </w:tcPr>
          <w:p w:rsidR="00253788" w:rsidRDefault="00153611" w:rsidP="006B5CAD">
            <w:pPr>
              <w:jc w:val="both"/>
              <w:rPr>
                <w:sz w:val="18"/>
              </w:rPr>
            </w:pPr>
            <w:r>
              <w:rPr>
                <w:sz w:val="18"/>
              </w:rPr>
              <w:t xml:space="preserve">This is one of four </w:t>
            </w:r>
            <w:r w:rsidR="009B13E8">
              <w:rPr>
                <w:sz w:val="18"/>
              </w:rPr>
              <w:t>Areas of Responsibility (</w:t>
            </w:r>
            <w:proofErr w:type="spellStart"/>
            <w:r>
              <w:rPr>
                <w:sz w:val="18"/>
              </w:rPr>
              <w:t>AoRs</w:t>
            </w:r>
            <w:proofErr w:type="spellEnd"/>
            <w:r w:rsidR="009B13E8">
              <w:rPr>
                <w:sz w:val="18"/>
              </w:rPr>
              <w:t xml:space="preserve">) under the Protection Cluster. This </w:t>
            </w:r>
            <w:proofErr w:type="spellStart"/>
            <w:r w:rsidR="009B13E8">
              <w:rPr>
                <w:sz w:val="18"/>
              </w:rPr>
              <w:t>AoR</w:t>
            </w:r>
            <w:proofErr w:type="spellEnd"/>
            <w:r w:rsidR="009B13E8">
              <w:rPr>
                <w:sz w:val="18"/>
              </w:rPr>
              <w:t xml:space="preserve"> is</w:t>
            </w:r>
            <w:r>
              <w:rPr>
                <w:sz w:val="18"/>
              </w:rPr>
              <w:t xml:space="preserve"> led by NRC. </w:t>
            </w:r>
            <w:r w:rsidR="009B13E8">
              <w:rPr>
                <w:sz w:val="18"/>
              </w:rPr>
              <w:t xml:space="preserve">The HLP </w:t>
            </w:r>
            <w:proofErr w:type="spellStart"/>
            <w:r w:rsidR="009B13E8">
              <w:rPr>
                <w:sz w:val="18"/>
              </w:rPr>
              <w:t>AoR</w:t>
            </w:r>
            <w:proofErr w:type="spellEnd"/>
            <w:r w:rsidR="009B13E8">
              <w:rPr>
                <w:sz w:val="18"/>
              </w:rPr>
              <w:t xml:space="preserve"> coordinator, Dalia </w:t>
            </w:r>
            <w:proofErr w:type="spellStart"/>
            <w:r w:rsidR="009B13E8">
              <w:rPr>
                <w:sz w:val="18"/>
              </w:rPr>
              <w:t>Aranki</w:t>
            </w:r>
            <w:proofErr w:type="spellEnd"/>
            <w:r w:rsidR="009B13E8">
              <w:rPr>
                <w:sz w:val="18"/>
              </w:rPr>
              <w:t xml:space="preserve"> (</w:t>
            </w:r>
            <w:hyperlink r:id="rId8" w:history="1">
              <w:r w:rsidR="009B13E8" w:rsidRPr="00F02827">
                <w:rPr>
                  <w:rStyle w:val="Hyperlink"/>
                  <w:sz w:val="18"/>
                </w:rPr>
                <w:t>dalia.aranki@nrc.no</w:t>
              </w:r>
            </w:hyperlink>
            <w:r w:rsidR="009B13E8">
              <w:rPr>
                <w:sz w:val="18"/>
              </w:rPr>
              <w:t xml:space="preserve"> ) attended the meeting and provided an update of the </w:t>
            </w:r>
            <w:proofErr w:type="spellStart"/>
            <w:r w:rsidR="009B13E8">
              <w:rPr>
                <w:sz w:val="18"/>
              </w:rPr>
              <w:t>workplan</w:t>
            </w:r>
            <w:proofErr w:type="spellEnd"/>
            <w:r w:rsidR="009B13E8">
              <w:rPr>
                <w:sz w:val="18"/>
              </w:rPr>
              <w:t xml:space="preserve"> of the </w:t>
            </w:r>
            <w:proofErr w:type="spellStart"/>
            <w:r w:rsidR="009B13E8">
              <w:rPr>
                <w:sz w:val="18"/>
              </w:rPr>
              <w:t>AoR.</w:t>
            </w:r>
            <w:proofErr w:type="spellEnd"/>
            <w:r w:rsidR="009B13E8">
              <w:rPr>
                <w:sz w:val="18"/>
              </w:rPr>
              <w:t xml:space="preserve"> </w:t>
            </w:r>
            <w:r>
              <w:rPr>
                <w:sz w:val="18"/>
              </w:rPr>
              <w:t xml:space="preserve">The HLP </w:t>
            </w:r>
            <w:proofErr w:type="spellStart"/>
            <w:r>
              <w:rPr>
                <w:sz w:val="18"/>
              </w:rPr>
              <w:t>AoR</w:t>
            </w:r>
            <w:proofErr w:type="spellEnd"/>
            <w:r>
              <w:rPr>
                <w:sz w:val="18"/>
              </w:rPr>
              <w:t xml:space="preserve"> works to develop a </w:t>
            </w:r>
            <w:r w:rsidRPr="000D0B4E">
              <w:rPr>
                <w:sz w:val="18"/>
                <w:u w:val="single"/>
              </w:rPr>
              <w:t xml:space="preserve">strategy </w:t>
            </w:r>
            <w:r w:rsidR="00CB5645" w:rsidRPr="000D0B4E">
              <w:rPr>
                <w:sz w:val="18"/>
                <w:u w:val="single"/>
              </w:rPr>
              <w:t>for a</w:t>
            </w:r>
            <w:r w:rsidR="00253788" w:rsidRPr="000D0B4E">
              <w:rPr>
                <w:sz w:val="18"/>
                <w:u w:val="single"/>
              </w:rPr>
              <w:t xml:space="preserve"> more predictable, accountable and effective HLP response</w:t>
            </w:r>
            <w:r w:rsidR="00253788">
              <w:rPr>
                <w:sz w:val="18"/>
              </w:rPr>
              <w:t>.</w:t>
            </w:r>
          </w:p>
          <w:p w:rsidR="00253788" w:rsidRDefault="00253788" w:rsidP="006B5CAD">
            <w:pPr>
              <w:jc w:val="both"/>
              <w:rPr>
                <w:sz w:val="18"/>
              </w:rPr>
            </w:pPr>
          </w:p>
          <w:p w:rsidR="00253788" w:rsidRDefault="00253788" w:rsidP="006B5CAD">
            <w:pPr>
              <w:jc w:val="both"/>
              <w:rPr>
                <w:sz w:val="18"/>
              </w:rPr>
            </w:pPr>
            <w:r>
              <w:rPr>
                <w:sz w:val="18"/>
              </w:rPr>
              <w:t>Workplan for 2018:</w:t>
            </w:r>
          </w:p>
          <w:p w:rsidR="00253788" w:rsidRPr="00601566" w:rsidRDefault="00253788" w:rsidP="006B5CAD">
            <w:pPr>
              <w:pStyle w:val="ListParagraph"/>
              <w:numPr>
                <w:ilvl w:val="0"/>
                <w:numId w:val="7"/>
              </w:numPr>
              <w:jc w:val="both"/>
              <w:rPr>
                <w:sz w:val="18"/>
              </w:rPr>
            </w:pPr>
            <w:r w:rsidRPr="00601566">
              <w:rPr>
                <w:sz w:val="18"/>
              </w:rPr>
              <w:t>Review of assessments already conducted and common issues in relation to security of tenure;</w:t>
            </w:r>
          </w:p>
          <w:p w:rsidR="00253788" w:rsidRPr="00601566" w:rsidRDefault="00253788" w:rsidP="006B5CAD">
            <w:pPr>
              <w:pStyle w:val="ListParagraph"/>
              <w:numPr>
                <w:ilvl w:val="0"/>
                <w:numId w:val="7"/>
              </w:numPr>
              <w:jc w:val="both"/>
              <w:rPr>
                <w:sz w:val="18"/>
              </w:rPr>
            </w:pPr>
            <w:r w:rsidRPr="00601566">
              <w:rPr>
                <w:sz w:val="18"/>
              </w:rPr>
              <w:t xml:space="preserve">Building a community of practice </w:t>
            </w:r>
            <w:r>
              <w:rPr>
                <w:sz w:val="18"/>
              </w:rPr>
              <w:t xml:space="preserve">(also using </w:t>
            </w:r>
            <w:r w:rsidRPr="00601566">
              <w:rPr>
                <w:sz w:val="18"/>
              </w:rPr>
              <w:t>Slack</w:t>
            </w:r>
            <w:r>
              <w:rPr>
                <w:sz w:val="18"/>
              </w:rPr>
              <w:t>)</w:t>
            </w:r>
            <w:r w:rsidRPr="00601566">
              <w:rPr>
                <w:sz w:val="18"/>
              </w:rPr>
              <w:t>;</w:t>
            </w:r>
          </w:p>
          <w:p w:rsidR="00253788" w:rsidRPr="00601566" w:rsidRDefault="00253788" w:rsidP="006B5CAD">
            <w:pPr>
              <w:pStyle w:val="ListParagraph"/>
              <w:numPr>
                <w:ilvl w:val="0"/>
                <w:numId w:val="7"/>
              </w:numPr>
              <w:jc w:val="both"/>
              <w:rPr>
                <w:sz w:val="18"/>
              </w:rPr>
            </w:pPr>
            <w:r w:rsidRPr="00601566">
              <w:rPr>
                <w:sz w:val="18"/>
              </w:rPr>
              <w:t>Integration of HLP into all stages of response</w:t>
            </w:r>
          </w:p>
          <w:p w:rsidR="00253788" w:rsidRPr="00601566" w:rsidRDefault="00253788" w:rsidP="006B5CAD">
            <w:pPr>
              <w:pStyle w:val="ListParagraph"/>
              <w:numPr>
                <w:ilvl w:val="0"/>
                <w:numId w:val="7"/>
              </w:numPr>
              <w:jc w:val="both"/>
              <w:rPr>
                <w:sz w:val="18"/>
              </w:rPr>
            </w:pPr>
            <w:r w:rsidRPr="00601566">
              <w:rPr>
                <w:sz w:val="18"/>
              </w:rPr>
              <w:t>Women HLP rights</w:t>
            </w:r>
          </w:p>
          <w:p w:rsidR="00253788" w:rsidRPr="00396D31" w:rsidRDefault="00253788" w:rsidP="006B5CAD">
            <w:pPr>
              <w:pStyle w:val="ListParagraph"/>
              <w:numPr>
                <w:ilvl w:val="0"/>
                <w:numId w:val="7"/>
              </w:numPr>
              <w:jc w:val="both"/>
              <w:rPr>
                <w:sz w:val="18"/>
              </w:rPr>
            </w:pPr>
            <w:r w:rsidRPr="00396D31">
              <w:rPr>
                <w:sz w:val="18"/>
              </w:rPr>
              <w:t xml:space="preserve">Security of tenure </w:t>
            </w:r>
          </w:p>
          <w:p w:rsidR="00253788" w:rsidRDefault="00253788" w:rsidP="006B5CAD">
            <w:pPr>
              <w:jc w:val="both"/>
              <w:rPr>
                <w:sz w:val="18"/>
              </w:rPr>
            </w:pPr>
          </w:p>
          <w:p w:rsidR="00253788" w:rsidRDefault="008756A7" w:rsidP="006B5CAD">
            <w:pPr>
              <w:jc w:val="both"/>
              <w:rPr>
                <w:sz w:val="18"/>
              </w:rPr>
            </w:pPr>
            <w:r>
              <w:rPr>
                <w:sz w:val="18"/>
              </w:rPr>
              <w:t xml:space="preserve">The </w:t>
            </w:r>
            <w:proofErr w:type="spellStart"/>
            <w:r>
              <w:rPr>
                <w:sz w:val="18"/>
              </w:rPr>
              <w:t>AoR</w:t>
            </w:r>
            <w:proofErr w:type="spellEnd"/>
            <w:r>
              <w:rPr>
                <w:sz w:val="18"/>
              </w:rPr>
              <w:t xml:space="preserve"> is also d</w:t>
            </w:r>
            <w:r w:rsidR="00253788" w:rsidRPr="00782324">
              <w:rPr>
                <w:sz w:val="18"/>
              </w:rPr>
              <w:t>eveloping a minimum package for staff going on mission</w:t>
            </w:r>
            <w:r w:rsidR="00A46502">
              <w:rPr>
                <w:sz w:val="18"/>
              </w:rPr>
              <w:t>.</w:t>
            </w:r>
            <w:r w:rsidR="009B13E8">
              <w:rPr>
                <w:sz w:val="18"/>
              </w:rPr>
              <w:t xml:space="preserve"> On 20-24 May the Global Protection Cluster is organizing a meeting with all the </w:t>
            </w:r>
            <w:proofErr w:type="spellStart"/>
            <w:r w:rsidR="009B13E8">
              <w:rPr>
                <w:sz w:val="18"/>
              </w:rPr>
              <w:t>AoRs</w:t>
            </w:r>
            <w:proofErr w:type="spellEnd"/>
            <w:r w:rsidR="009B13E8">
              <w:rPr>
                <w:sz w:val="18"/>
              </w:rPr>
              <w:t xml:space="preserve"> and partners in Bangkok. The HLP </w:t>
            </w:r>
            <w:proofErr w:type="spellStart"/>
            <w:r w:rsidR="009B13E8">
              <w:rPr>
                <w:sz w:val="18"/>
              </w:rPr>
              <w:t>AoR</w:t>
            </w:r>
            <w:proofErr w:type="spellEnd"/>
            <w:r w:rsidR="009B13E8">
              <w:rPr>
                <w:sz w:val="18"/>
              </w:rPr>
              <w:t xml:space="preserve"> days will be 20-21 May. </w:t>
            </w:r>
          </w:p>
          <w:p w:rsidR="00A525FF" w:rsidRPr="00ED3CC8" w:rsidRDefault="00A525FF" w:rsidP="006B5CAD">
            <w:pPr>
              <w:jc w:val="both"/>
              <w:rPr>
                <w:sz w:val="18"/>
              </w:rPr>
            </w:pPr>
          </w:p>
        </w:tc>
        <w:tc>
          <w:tcPr>
            <w:tcW w:w="3261" w:type="dxa"/>
          </w:tcPr>
          <w:p w:rsidR="00AB7C1C" w:rsidRDefault="00D43334" w:rsidP="006B5CAD">
            <w:pPr>
              <w:jc w:val="both"/>
              <w:rPr>
                <w:sz w:val="18"/>
              </w:rPr>
            </w:pPr>
            <w:r>
              <w:rPr>
                <w:sz w:val="18"/>
              </w:rPr>
              <w:t>It was agreed that the</w:t>
            </w:r>
            <w:r w:rsidR="00F53048">
              <w:rPr>
                <w:sz w:val="18"/>
              </w:rPr>
              <w:t xml:space="preserve"> HLP </w:t>
            </w:r>
            <w:proofErr w:type="spellStart"/>
            <w:r w:rsidR="00F53048">
              <w:rPr>
                <w:sz w:val="18"/>
              </w:rPr>
              <w:t>AoR</w:t>
            </w:r>
            <w:proofErr w:type="spellEnd"/>
            <w:r w:rsidR="00F53048">
              <w:rPr>
                <w:sz w:val="18"/>
              </w:rPr>
              <w:t xml:space="preserve"> </w:t>
            </w:r>
            <w:proofErr w:type="spellStart"/>
            <w:r w:rsidR="00F53048">
              <w:rPr>
                <w:sz w:val="18"/>
              </w:rPr>
              <w:t>workplan</w:t>
            </w:r>
            <w:proofErr w:type="spellEnd"/>
            <w:r w:rsidR="00F53048">
              <w:rPr>
                <w:sz w:val="18"/>
              </w:rPr>
              <w:t xml:space="preserve"> should connect more closely with the pillars of the GSC strategy.</w:t>
            </w:r>
            <w:r w:rsidR="00AB7C1C">
              <w:rPr>
                <w:sz w:val="18"/>
              </w:rPr>
              <w:t xml:space="preserve"> </w:t>
            </w:r>
          </w:p>
          <w:p w:rsidR="00AB7C1C" w:rsidRDefault="00AB7C1C" w:rsidP="006B5CAD">
            <w:pPr>
              <w:jc w:val="both"/>
              <w:rPr>
                <w:sz w:val="18"/>
              </w:rPr>
            </w:pPr>
          </w:p>
          <w:p w:rsidR="00253788" w:rsidRDefault="00AB7C1C" w:rsidP="006B5CAD">
            <w:pPr>
              <w:jc w:val="both"/>
              <w:rPr>
                <w:sz w:val="18"/>
              </w:rPr>
            </w:pPr>
            <w:r>
              <w:rPr>
                <w:sz w:val="18"/>
              </w:rPr>
              <w:t xml:space="preserve">More joint activities should be undertaken between the HLP </w:t>
            </w:r>
            <w:proofErr w:type="spellStart"/>
            <w:r>
              <w:rPr>
                <w:sz w:val="18"/>
              </w:rPr>
              <w:t>AoR</w:t>
            </w:r>
            <w:proofErr w:type="spellEnd"/>
            <w:r>
              <w:rPr>
                <w:sz w:val="18"/>
              </w:rPr>
              <w:t xml:space="preserve"> and the GSC such as sharing messages with country-level clusters, capturing HLP-related case studies in Shelter Projects, and others.</w:t>
            </w:r>
          </w:p>
          <w:p w:rsidR="00AB7C1C" w:rsidRDefault="00AB7C1C" w:rsidP="006B5CAD">
            <w:pPr>
              <w:jc w:val="both"/>
              <w:rPr>
                <w:sz w:val="18"/>
              </w:rPr>
            </w:pPr>
          </w:p>
          <w:p w:rsidR="00AB7C1C" w:rsidRPr="00ED3CC8" w:rsidRDefault="00AB7C1C" w:rsidP="006B5CAD">
            <w:pPr>
              <w:jc w:val="both"/>
              <w:rPr>
                <w:sz w:val="18"/>
              </w:rPr>
            </w:pPr>
          </w:p>
        </w:tc>
      </w:tr>
      <w:tr w:rsidR="003935F6" w:rsidTr="002D5DE1">
        <w:tc>
          <w:tcPr>
            <w:tcW w:w="1413" w:type="dxa"/>
          </w:tcPr>
          <w:p w:rsidR="003935F6" w:rsidRPr="006D5328" w:rsidRDefault="003935F6" w:rsidP="006B5CAD">
            <w:pPr>
              <w:jc w:val="both"/>
              <w:rPr>
                <w:b/>
                <w:sz w:val="18"/>
              </w:rPr>
            </w:pPr>
            <w:r w:rsidRPr="006D5328">
              <w:rPr>
                <w:b/>
                <w:sz w:val="18"/>
              </w:rPr>
              <w:t>Early recovery Cluster</w:t>
            </w:r>
          </w:p>
        </w:tc>
        <w:tc>
          <w:tcPr>
            <w:tcW w:w="9355" w:type="dxa"/>
          </w:tcPr>
          <w:p w:rsidR="003935F6" w:rsidRDefault="00CA4202" w:rsidP="006B5CAD">
            <w:pPr>
              <w:jc w:val="both"/>
              <w:rPr>
                <w:sz w:val="18"/>
              </w:rPr>
            </w:pPr>
            <w:r>
              <w:rPr>
                <w:sz w:val="18"/>
              </w:rPr>
              <w:t xml:space="preserve">Following an evaluation, a recommendation was made to </w:t>
            </w:r>
            <w:r w:rsidRPr="00F1026F">
              <w:rPr>
                <w:sz w:val="18"/>
                <w:u w:val="single"/>
              </w:rPr>
              <w:t>deactivate all early recovery clusters</w:t>
            </w:r>
            <w:r>
              <w:rPr>
                <w:sz w:val="18"/>
              </w:rPr>
              <w:t xml:space="preserve"> while supporting the activation of early recovery in </w:t>
            </w:r>
            <w:r w:rsidR="00A32554">
              <w:rPr>
                <w:sz w:val="18"/>
              </w:rPr>
              <w:t>existing Clusters.</w:t>
            </w:r>
            <w:r w:rsidR="001F7751">
              <w:rPr>
                <w:sz w:val="18"/>
              </w:rPr>
              <w:t xml:space="preserve"> </w:t>
            </w:r>
            <w:r>
              <w:rPr>
                <w:sz w:val="18"/>
              </w:rPr>
              <w:t>This recommendation was accepted</w:t>
            </w:r>
            <w:r w:rsidR="001F7751">
              <w:rPr>
                <w:sz w:val="18"/>
              </w:rPr>
              <w:t xml:space="preserve"> by UNDP, but needs to be dis</w:t>
            </w:r>
            <w:r w:rsidR="008050F5">
              <w:rPr>
                <w:sz w:val="18"/>
              </w:rPr>
              <w:t>c</w:t>
            </w:r>
            <w:r w:rsidR="001F7751">
              <w:rPr>
                <w:sz w:val="18"/>
              </w:rPr>
              <w:t>ussed by the IASC Principals in May.</w:t>
            </w:r>
            <w:r w:rsidR="00B92E4E">
              <w:rPr>
                <w:sz w:val="18"/>
              </w:rPr>
              <w:t xml:space="preserve"> </w:t>
            </w:r>
            <w:r w:rsidR="00E834EA">
              <w:rPr>
                <w:sz w:val="18"/>
              </w:rPr>
              <w:t>A live review has been commissioned of the response mechanisms including the Clusters</w:t>
            </w:r>
            <w:r w:rsidR="007B2A95">
              <w:rPr>
                <w:sz w:val="18"/>
              </w:rPr>
              <w:t>, and</w:t>
            </w:r>
            <w:r w:rsidR="00E834EA">
              <w:rPr>
                <w:sz w:val="18"/>
              </w:rPr>
              <w:t xml:space="preserve"> IASC </w:t>
            </w:r>
            <w:r w:rsidR="00A323B1">
              <w:rPr>
                <w:sz w:val="18"/>
              </w:rPr>
              <w:t>does</w:t>
            </w:r>
            <w:r w:rsidR="00E834EA">
              <w:rPr>
                <w:sz w:val="18"/>
              </w:rPr>
              <w:t xml:space="preserve"> not want to discuss this ahead of the results of the review</w:t>
            </w:r>
            <w:r w:rsidR="007B2A95">
              <w:rPr>
                <w:sz w:val="18"/>
              </w:rPr>
              <w:t>. However, in general</w:t>
            </w:r>
            <w:r w:rsidR="00844126">
              <w:rPr>
                <w:sz w:val="18"/>
              </w:rPr>
              <w:t xml:space="preserve"> they agree with the recommendation.</w:t>
            </w:r>
          </w:p>
          <w:p w:rsidR="00DE5C8C" w:rsidRDefault="00DE5C8C" w:rsidP="006B5CAD">
            <w:pPr>
              <w:jc w:val="both"/>
              <w:rPr>
                <w:sz w:val="18"/>
              </w:rPr>
            </w:pPr>
          </w:p>
          <w:p w:rsidR="00DE5C8C" w:rsidRDefault="008611F2" w:rsidP="006B5CAD">
            <w:pPr>
              <w:jc w:val="both"/>
              <w:rPr>
                <w:sz w:val="18"/>
              </w:rPr>
            </w:pPr>
            <w:r>
              <w:rPr>
                <w:sz w:val="18"/>
              </w:rPr>
              <w:t xml:space="preserve">In practical terms, </w:t>
            </w:r>
            <w:r w:rsidRPr="00A718A1">
              <w:rPr>
                <w:sz w:val="18"/>
                <w:u w:val="single"/>
              </w:rPr>
              <w:t>all early recovery Clusters should close by end of 2019.</w:t>
            </w:r>
            <w:r w:rsidR="002501D6" w:rsidRPr="00A718A1">
              <w:rPr>
                <w:sz w:val="18"/>
                <w:u w:val="single"/>
              </w:rPr>
              <w:t xml:space="preserve"> By summer, they should have transitioned to other Clusters.</w:t>
            </w:r>
            <w:r w:rsidR="002501D6">
              <w:rPr>
                <w:sz w:val="18"/>
              </w:rPr>
              <w:t xml:space="preserve"> For Shelter Clusters,</w:t>
            </w:r>
            <w:r w:rsidR="00946AD5">
              <w:rPr>
                <w:sz w:val="18"/>
              </w:rPr>
              <w:t xml:space="preserve"> </w:t>
            </w:r>
            <w:r w:rsidR="00A718A1">
              <w:rPr>
                <w:sz w:val="18"/>
              </w:rPr>
              <w:t xml:space="preserve">the main activities </w:t>
            </w:r>
            <w:r w:rsidR="00961444">
              <w:rPr>
                <w:sz w:val="18"/>
              </w:rPr>
              <w:t>taken over from early recovery are</w:t>
            </w:r>
            <w:r w:rsidR="00DE5C8C">
              <w:rPr>
                <w:sz w:val="18"/>
              </w:rPr>
              <w:t>:</w:t>
            </w:r>
          </w:p>
          <w:p w:rsidR="00DE5C8C" w:rsidRDefault="00A06FAD" w:rsidP="006B5CAD">
            <w:pPr>
              <w:pStyle w:val="ListParagraph"/>
              <w:numPr>
                <w:ilvl w:val="0"/>
                <w:numId w:val="8"/>
              </w:numPr>
              <w:jc w:val="both"/>
              <w:rPr>
                <w:sz w:val="18"/>
              </w:rPr>
            </w:pPr>
            <w:r>
              <w:rPr>
                <w:sz w:val="18"/>
              </w:rPr>
              <w:t>Ge</w:t>
            </w:r>
            <w:r w:rsidR="00946AD5" w:rsidRPr="00DE5C8C">
              <w:rPr>
                <w:sz w:val="18"/>
              </w:rPr>
              <w:t>neral waste management,</w:t>
            </w:r>
            <w:r w:rsidR="003F2CB9">
              <w:rPr>
                <w:sz w:val="18"/>
              </w:rPr>
              <w:t>;</w:t>
            </w:r>
          </w:p>
          <w:p w:rsidR="00DE5C8C" w:rsidRDefault="00A06FAD" w:rsidP="006B5CAD">
            <w:pPr>
              <w:pStyle w:val="ListParagraph"/>
              <w:numPr>
                <w:ilvl w:val="0"/>
                <w:numId w:val="8"/>
              </w:numPr>
              <w:jc w:val="both"/>
              <w:rPr>
                <w:sz w:val="18"/>
              </w:rPr>
            </w:pPr>
            <w:r>
              <w:rPr>
                <w:sz w:val="18"/>
              </w:rPr>
              <w:t>A</w:t>
            </w:r>
            <w:r w:rsidR="00DE5C8C">
              <w:rPr>
                <w:sz w:val="18"/>
              </w:rPr>
              <w:t xml:space="preserve">ctivities around </w:t>
            </w:r>
            <w:r w:rsidR="009C3144" w:rsidRPr="00DE5C8C">
              <w:rPr>
                <w:sz w:val="18"/>
              </w:rPr>
              <w:t>essential</w:t>
            </w:r>
            <w:r w:rsidR="00E7141B" w:rsidRPr="00DE5C8C">
              <w:rPr>
                <w:sz w:val="18"/>
              </w:rPr>
              <w:t xml:space="preserve"> local infrastructure (for local authorities</w:t>
            </w:r>
            <w:r w:rsidR="003F2CB9">
              <w:rPr>
                <w:sz w:val="18"/>
              </w:rPr>
              <w:t>);</w:t>
            </w:r>
          </w:p>
          <w:p w:rsidR="00DE5C8C" w:rsidRDefault="00A06FAD" w:rsidP="006B5CAD">
            <w:pPr>
              <w:pStyle w:val="ListParagraph"/>
              <w:numPr>
                <w:ilvl w:val="0"/>
                <w:numId w:val="8"/>
              </w:numPr>
              <w:jc w:val="both"/>
              <w:rPr>
                <w:sz w:val="18"/>
              </w:rPr>
            </w:pPr>
            <w:r>
              <w:rPr>
                <w:sz w:val="18"/>
              </w:rPr>
              <w:t>E</w:t>
            </w:r>
            <w:r w:rsidR="00DE5C8C">
              <w:rPr>
                <w:sz w:val="18"/>
              </w:rPr>
              <w:t>nergy (to be better defined).</w:t>
            </w:r>
          </w:p>
          <w:p w:rsidR="00DE5C8C" w:rsidRPr="00DE5C8C" w:rsidRDefault="00DE5C8C" w:rsidP="006B5CAD">
            <w:pPr>
              <w:jc w:val="both"/>
              <w:rPr>
                <w:sz w:val="18"/>
              </w:rPr>
            </w:pPr>
          </w:p>
          <w:p w:rsidR="00A525FF" w:rsidRDefault="0053382B" w:rsidP="006B5CAD">
            <w:pPr>
              <w:jc w:val="both"/>
              <w:rPr>
                <w:sz w:val="18"/>
              </w:rPr>
            </w:pPr>
            <w:r>
              <w:rPr>
                <w:sz w:val="18"/>
              </w:rPr>
              <w:t>It is important</w:t>
            </w:r>
            <w:r w:rsidR="002E29E1">
              <w:rPr>
                <w:sz w:val="18"/>
              </w:rPr>
              <w:t xml:space="preserve"> to clearly understand the responsibilities</w:t>
            </w:r>
            <w:r w:rsidR="00347AFA">
              <w:rPr>
                <w:sz w:val="18"/>
              </w:rPr>
              <w:t xml:space="preserve"> </w:t>
            </w:r>
            <w:r w:rsidR="007E001C">
              <w:rPr>
                <w:sz w:val="18"/>
              </w:rPr>
              <w:t>around these items</w:t>
            </w:r>
            <w:r w:rsidR="00641B12">
              <w:rPr>
                <w:sz w:val="18"/>
              </w:rPr>
              <w:t>.</w:t>
            </w:r>
            <w:r w:rsidR="007E001C">
              <w:rPr>
                <w:sz w:val="18"/>
              </w:rPr>
              <w:t xml:space="preserve"> </w:t>
            </w:r>
            <w:r w:rsidR="00347E78">
              <w:rPr>
                <w:sz w:val="18"/>
              </w:rPr>
              <w:t xml:space="preserve">The Shelter Cluster would be taking on activities for </w:t>
            </w:r>
            <w:r w:rsidR="000F6389">
              <w:rPr>
                <w:sz w:val="18"/>
              </w:rPr>
              <w:t>agencies</w:t>
            </w:r>
            <w:r w:rsidR="00D13998">
              <w:rPr>
                <w:sz w:val="18"/>
              </w:rPr>
              <w:t xml:space="preserve"> who work around </w:t>
            </w:r>
            <w:r w:rsidR="00D13998" w:rsidRPr="00683DE8">
              <w:rPr>
                <w:sz w:val="18"/>
                <w:u w:val="single"/>
              </w:rPr>
              <w:t>debris removal</w:t>
            </w:r>
            <w:r w:rsidR="00D13998">
              <w:rPr>
                <w:sz w:val="18"/>
              </w:rPr>
              <w:t>. This could be an advantage when advocating for a settlement approach and</w:t>
            </w:r>
            <w:r w:rsidR="00B460F9">
              <w:rPr>
                <w:sz w:val="18"/>
              </w:rPr>
              <w:t xml:space="preserve"> might</w:t>
            </w:r>
            <w:r w:rsidR="00D13998">
              <w:rPr>
                <w:sz w:val="18"/>
              </w:rPr>
              <w:t xml:space="preserve"> raise the profile of the Cluster.</w:t>
            </w:r>
            <w:r w:rsidR="00D67177">
              <w:rPr>
                <w:sz w:val="18"/>
              </w:rPr>
              <w:t xml:space="preserve"> At the same time,</w:t>
            </w:r>
            <w:r w:rsidR="00F54828">
              <w:rPr>
                <w:sz w:val="18"/>
              </w:rPr>
              <w:t xml:space="preserve"> however,</w:t>
            </w:r>
            <w:r w:rsidR="00D67177">
              <w:rPr>
                <w:sz w:val="18"/>
              </w:rPr>
              <w:t xml:space="preserve"> </w:t>
            </w:r>
            <w:r w:rsidR="00D2340C">
              <w:rPr>
                <w:sz w:val="18"/>
              </w:rPr>
              <w:t>UNDP is not a disaster response organisation.</w:t>
            </w:r>
            <w:r w:rsidR="00DE278E">
              <w:rPr>
                <w:sz w:val="18"/>
              </w:rPr>
              <w:t xml:space="preserve"> </w:t>
            </w:r>
            <w:r w:rsidR="00D12AFE">
              <w:rPr>
                <w:sz w:val="18"/>
              </w:rPr>
              <w:t>Energy is an area that is also very strategic for the Cluster.</w:t>
            </w:r>
            <w:r w:rsidR="00B641C5">
              <w:rPr>
                <w:sz w:val="18"/>
              </w:rPr>
              <w:t xml:space="preserve"> However, the exact implementation is not yet </w:t>
            </w:r>
            <w:r w:rsidR="00DE278E">
              <w:rPr>
                <w:sz w:val="18"/>
              </w:rPr>
              <w:t>c</w:t>
            </w:r>
            <w:r w:rsidR="00B641C5">
              <w:rPr>
                <w:sz w:val="18"/>
              </w:rPr>
              <w:t>lear.</w:t>
            </w:r>
          </w:p>
          <w:p w:rsidR="00D61917" w:rsidRPr="00ED3CC8" w:rsidRDefault="00D61917" w:rsidP="006B5CAD">
            <w:pPr>
              <w:jc w:val="both"/>
              <w:rPr>
                <w:sz w:val="18"/>
              </w:rPr>
            </w:pPr>
          </w:p>
        </w:tc>
        <w:tc>
          <w:tcPr>
            <w:tcW w:w="3261" w:type="dxa"/>
          </w:tcPr>
          <w:p w:rsidR="003935F6" w:rsidRPr="00ED3CC8" w:rsidRDefault="00DC63D0" w:rsidP="00A753FA">
            <w:pPr>
              <w:jc w:val="both"/>
              <w:rPr>
                <w:sz w:val="18"/>
              </w:rPr>
            </w:pPr>
            <w:r>
              <w:rPr>
                <w:sz w:val="18"/>
              </w:rPr>
              <w:t xml:space="preserve">A </w:t>
            </w:r>
            <w:r w:rsidR="00A753FA">
              <w:rPr>
                <w:sz w:val="18"/>
              </w:rPr>
              <w:t xml:space="preserve">mini </w:t>
            </w:r>
            <w:r>
              <w:rPr>
                <w:sz w:val="18"/>
              </w:rPr>
              <w:t>SAG</w:t>
            </w:r>
            <w:r w:rsidR="00AB7C1C">
              <w:rPr>
                <w:sz w:val="18"/>
              </w:rPr>
              <w:t xml:space="preserve"> group (members: IFRC, UNHCR, IOM, and NRC) to study the </w:t>
            </w:r>
            <w:proofErr w:type="spellStart"/>
            <w:r w:rsidR="00AB7C1C">
              <w:rPr>
                <w:sz w:val="18"/>
              </w:rPr>
              <w:t>ToRs</w:t>
            </w:r>
            <w:proofErr w:type="spellEnd"/>
            <w:r w:rsidR="00AB7C1C">
              <w:rPr>
                <w:sz w:val="18"/>
              </w:rPr>
              <w:t xml:space="preserve"> and have further discussions with the Early Recovery Cluster and report back to the SAG.</w:t>
            </w:r>
          </w:p>
        </w:tc>
      </w:tr>
      <w:tr w:rsidR="00253788" w:rsidTr="002D5DE1">
        <w:tc>
          <w:tcPr>
            <w:tcW w:w="1413" w:type="dxa"/>
          </w:tcPr>
          <w:p w:rsidR="00253788" w:rsidRPr="006D5328" w:rsidRDefault="00554346" w:rsidP="006B5CAD">
            <w:pPr>
              <w:jc w:val="both"/>
              <w:rPr>
                <w:b/>
                <w:sz w:val="18"/>
              </w:rPr>
            </w:pPr>
            <w:r>
              <w:rPr>
                <w:b/>
                <w:sz w:val="18"/>
              </w:rPr>
              <w:t>Links with another Cluster: CCCM</w:t>
            </w:r>
          </w:p>
        </w:tc>
        <w:tc>
          <w:tcPr>
            <w:tcW w:w="9355" w:type="dxa"/>
          </w:tcPr>
          <w:p w:rsidR="00253788" w:rsidRDefault="00B36515" w:rsidP="006B5CAD">
            <w:pPr>
              <w:jc w:val="both"/>
              <w:rPr>
                <w:sz w:val="18"/>
              </w:rPr>
            </w:pPr>
            <w:r>
              <w:rPr>
                <w:sz w:val="18"/>
              </w:rPr>
              <w:t>CCCM colleagues could not be here on a number of items</w:t>
            </w:r>
            <w:r w:rsidR="00EA6D24">
              <w:rPr>
                <w:sz w:val="18"/>
              </w:rPr>
              <w:t>, but it’s important to still have a discussion to follow up on with them</w:t>
            </w:r>
            <w:r w:rsidR="00016A17">
              <w:rPr>
                <w:sz w:val="18"/>
              </w:rPr>
              <w:t>, particularly on:</w:t>
            </w:r>
          </w:p>
          <w:p w:rsidR="00150C45" w:rsidRDefault="00150C45" w:rsidP="006B5CAD">
            <w:pPr>
              <w:jc w:val="both"/>
              <w:rPr>
                <w:sz w:val="18"/>
              </w:rPr>
            </w:pPr>
          </w:p>
          <w:p w:rsidR="00150C45" w:rsidRPr="00016A17" w:rsidRDefault="00150C45" w:rsidP="00016A17">
            <w:pPr>
              <w:pStyle w:val="ListParagraph"/>
              <w:numPr>
                <w:ilvl w:val="0"/>
                <w:numId w:val="9"/>
              </w:numPr>
              <w:ind w:left="454"/>
              <w:jc w:val="both"/>
              <w:rPr>
                <w:i/>
                <w:sz w:val="18"/>
                <w:u w:val="single"/>
              </w:rPr>
            </w:pPr>
            <w:r w:rsidRPr="00016A17">
              <w:rPr>
                <w:i/>
                <w:sz w:val="18"/>
                <w:u w:val="single"/>
              </w:rPr>
              <w:t>Merged clusters</w:t>
            </w:r>
          </w:p>
          <w:p w:rsidR="00EA6D24" w:rsidRPr="00016A17" w:rsidRDefault="008F678F" w:rsidP="00016A17">
            <w:pPr>
              <w:pStyle w:val="ListParagraph"/>
              <w:numPr>
                <w:ilvl w:val="1"/>
                <w:numId w:val="9"/>
              </w:numPr>
              <w:ind w:left="738"/>
              <w:jc w:val="both"/>
              <w:rPr>
                <w:sz w:val="18"/>
              </w:rPr>
            </w:pPr>
            <w:r w:rsidRPr="00016A17">
              <w:rPr>
                <w:sz w:val="18"/>
              </w:rPr>
              <w:t>The</w:t>
            </w:r>
            <w:r w:rsidR="00357D3F" w:rsidRPr="00016A17">
              <w:rPr>
                <w:sz w:val="18"/>
              </w:rPr>
              <w:t xml:space="preserve"> merged structure is usually </w:t>
            </w:r>
            <w:r w:rsidR="009A63E0">
              <w:rPr>
                <w:sz w:val="18"/>
              </w:rPr>
              <w:t xml:space="preserve">in place </w:t>
            </w:r>
            <w:r w:rsidR="00357D3F" w:rsidRPr="00016A17">
              <w:rPr>
                <w:sz w:val="18"/>
              </w:rPr>
              <w:t xml:space="preserve">due to government </w:t>
            </w:r>
            <w:r w:rsidR="000968D1">
              <w:rPr>
                <w:sz w:val="18"/>
              </w:rPr>
              <w:t>requests for only one interlocutor,</w:t>
            </w:r>
            <w:r w:rsidR="00357D3F" w:rsidRPr="00016A17">
              <w:rPr>
                <w:sz w:val="18"/>
              </w:rPr>
              <w:t xml:space="preserve"> or</w:t>
            </w:r>
            <w:r w:rsidR="004E35F3">
              <w:rPr>
                <w:sz w:val="18"/>
              </w:rPr>
              <w:t xml:space="preserve"> because of low </w:t>
            </w:r>
            <w:r w:rsidR="00357D3F" w:rsidRPr="00016A17">
              <w:rPr>
                <w:sz w:val="18"/>
              </w:rPr>
              <w:t>resources</w:t>
            </w:r>
            <w:r w:rsidR="00820091" w:rsidRPr="00016A17">
              <w:rPr>
                <w:sz w:val="18"/>
              </w:rPr>
              <w:t xml:space="preserve"> for two separate clusters. One of the outputs of the strategy is a review of the merged Clusters</w:t>
            </w:r>
            <w:r w:rsidR="00282327" w:rsidRPr="00016A17">
              <w:rPr>
                <w:sz w:val="18"/>
              </w:rPr>
              <w:t xml:space="preserve"> (currently the situation in 5 countries).</w:t>
            </w:r>
          </w:p>
          <w:p w:rsidR="00EA6D24" w:rsidRPr="00016A17" w:rsidRDefault="00EA6D24" w:rsidP="00016A17">
            <w:pPr>
              <w:pStyle w:val="ListParagraph"/>
              <w:numPr>
                <w:ilvl w:val="0"/>
                <w:numId w:val="9"/>
              </w:numPr>
              <w:ind w:left="454"/>
              <w:jc w:val="both"/>
              <w:rPr>
                <w:i/>
                <w:sz w:val="18"/>
                <w:u w:val="single"/>
              </w:rPr>
            </w:pPr>
            <w:r w:rsidRPr="00016A17">
              <w:rPr>
                <w:i/>
                <w:sz w:val="18"/>
                <w:u w:val="single"/>
              </w:rPr>
              <w:t>Overlap of activities</w:t>
            </w:r>
          </w:p>
          <w:p w:rsidR="00253788" w:rsidRPr="002D5DE1" w:rsidRDefault="00590786" w:rsidP="006B5CAD">
            <w:pPr>
              <w:pStyle w:val="ListParagraph"/>
              <w:numPr>
                <w:ilvl w:val="1"/>
                <w:numId w:val="9"/>
              </w:numPr>
              <w:ind w:left="738"/>
              <w:jc w:val="both"/>
              <w:rPr>
                <w:sz w:val="18"/>
              </w:rPr>
            </w:pPr>
            <w:r w:rsidRPr="00016A17">
              <w:rPr>
                <w:sz w:val="18"/>
              </w:rPr>
              <w:t xml:space="preserve">CCCM tracks all sectors across all sites, while Shelter tracks one sector across all sites. </w:t>
            </w:r>
            <w:r w:rsidR="005D6B24" w:rsidRPr="00016A17">
              <w:rPr>
                <w:sz w:val="18"/>
              </w:rPr>
              <w:t xml:space="preserve">While CCCM has an expertise on camp management, and all </w:t>
            </w:r>
            <w:r w:rsidR="007031FE" w:rsidRPr="00016A17">
              <w:rPr>
                <w:sz w:val="18"/>
              </w:rPr>
              <w:t>tasks</w:t>
            </w:r>
            <w:r w:rsidR="005D6B24" w:rsidRPr="00016A17">
              <w:rPr>
                <w:sz w:val="18"/>
              </w:rPr>
              <w:t xml:space="preserve"> related to it, </w:t>
            </w:r>
            <w:r w:rsidR="003141A9" w:rsidRPr="00016A17">
              <w:rPr>
                <w:sz w:val="18"/>
              </w:rPr>
              <w:t>some</w:t>
            </w:r>
            <w:r w:rsidR="005D6B24" w:rsidRPr="00016A17">
              <w:rPr>
                <w:sz w:val="18"/>
              </w:rPr>
              <w:t xml:space="preserve"> confusion </w:t>
            </w:r>
            <w:r w:rsidR="001D107F" w:rsidRPr="00016A17">
              <w:rPr>
                <w:sz w:val="18"/>
              </w:rPr>
              <w:t>arises on</w:t>
            </w:r>
            <w:r w:rsidR="005D6B24" w:rsidRPr="00016A17">
              <w:rPr>
                <w:sz w:val="18"/>
              </w:rPr>
              <w:t xml:space="preserve"> activities that are conducted out of sites.</w:t>
            </w:r>
            <w:r w:rsidR="008C0553" w:rsidRPr="00016A17">
              <w:rPr>
                <w:sz w:val="18"/>
              </w:rPr>
              <w:t xml:space="preserve"> </w:t>
            </w:r>
          </w:p>
        </w:tc>
        <w:tc>
          <w:tcPr>
            <w:tcW w:w="3261" w:type="dxa"/>
          </w:tcPr>
          <w:p w:rsidR="00BC1686" w:rsidRPr="00ED3CC8" w:rsidRDefault="00112037" w:rsidP="00112037">
            <w:pPr>
              <w:jc w:val="both"/>
              <w:rPr>
                <w:sz w:val="18"/>
              </w:rPr>
            </w:pPr>
            <w:r>
              <w:rPr>
                <w:sz w:val="18"/>
              </w:rPr>
              <w:t xml:space="preserve">The SAG and GSC will follow up on these </w:t>
            </w:r>
            <w:r w:rsidR="00BB6F69">
              <w:rPr>
                <w:sz w:val="18"/>
              </w:rPr>
              <w:t>points with</w:t>
            </w:r>
            <w:r w:rsidR="006F6CE5">
              <w:rPr>
                <w:sz w:val="18"/>
              </w:rPr>
              <w:t xml:space="preserve"> the CCCM Cluster</w:t>
            </w:r>
            <w:r w:rsidR="001C5D32">
              <w:rPr>
                <w:sz w:val="18"/>
              </w:rPr>
              <w:t xml:space="preserve"> in a constructive manner.</w:t>
            </w:r>
          </w:p>
        </w:tc>
      </w:tr>
    </w:tbl>
    <w:p w:rsidR="00FE39B2" w:rsidRPr="00FE39B2" w:rsidRDefault="00527469" w:rsidP="00FE39B2">
      <w:pPr>
        <w:spacing w:after="0"/>
        <w:rPr>
          <w:b/>
        </w:rPr>
      </w:pPr>
      <w:r w:rsidRPr="00FE39B2">
        <w:rPr>
          <w:b/>
        </w:rPr>
        <w:t>DAY 2</w:t>
      </w:r>
    </w:p>
    <w:tbl>
      <w:tblPr>
        <w:tblStyle w:val="TableGrid"/>
        <w:tblW w:w="14029" w:type="dxa"/>
        <w:tblLook w:val="04A0" w:firstRow="1" w:lastRow="0" w:firstColumn="1" w:lastColumn="0" w:noHBand="0" w:noVBand="1"/>
      </w:tblPr>
      <w:tblGrid>
        <w:gridCol w:w="1413"/>
        <w:gridCol w:w="8788"/>
        <w:gridCol w:w="3828"/>
      </w:tblGrid>
      <w:tr w:rsidR="006D12D8" w:rsidRPr="00ED3CC8" w:rsidTr="003512DC">
        <w:tc>
          <w:tcPr>
            <w:tcW w:w="1413" w:type="dxa"/>
          </w:tcPr>
          <w:p w:rsidR="006D12D8" w:rsidRPr="00CA4D08" w:rsidRDefault="006F296D" w:rsidP="00B14059">
            <w:pPr>
              <w:jc w:val="both"/>
              <w:rPr>
                <w:b/>
              </w:rPr>
            </w:pPr>
            <w:r>
              <w:rPr>
                <w:b/>
              </w:rPr>
              <w:t>Agenda item</w:t>
            </w:r>
          </w:p>
        </w:tc>
        <w:tc>
          <w:tcPr>
            <w:tcW w:w="8788" w:type="dxa"/>
            <w:tcBorders>
              <w:bottom w:val="single" w:sz="4" w:space="0" w:color="auto"/>
            </w:tcBorders>
          </w:tcPr>
          <w:p w:rsidR="006D12D8" w:rsidRPr="00ED3CC8" w:rsidRDefault="006D12D8" w:rsidP="00B14059">
            <w:pPr>
              <w:jc w:val="both"/>
              <w:rPr>
                <w:b/>
              </w:rPr>
            </w:pPr>
            <w:r w:rsidRPr="00ED3CC8">
              <w:rPr>
                <w:b/>
              </w:rPr>
              <w:t>Discussion</w:t>
            </w:r>
          </w:p>
        </w:tc>
        <w:tc>
          <w:tcPr>
            <w:tcW w:w="3828" w:type="dxa"/>
          </w:tcPr>
          <w:p w:rsidR="006D12D8" w:rsidRPr="00ED3CC8" w:rsidRDefault="006D12D8" w:rsidP="00B14059">
            <w:pPr>
              <w:jc w:val="both"/>
              <w:rPr>
                <w:b/>
              </w:rPr>
            </w:pPr>
            <w:r w:rsidRPr="00ED3CC8">
              <w:rPr>
                <w:b/>
              </w:rPr>
              <w:t>Action points</w:t>
            </w:r>
          </w:p>
        </w:tc>
      </w:tr>
      <w:tr w:rsidR="003512DC" w:rsidRPr="00581070" w:rsidTr="003512DC">
        <w:trPr>
          <w:trHeight w:val="4920"/>
        </w:trPr>
        <w:tc>
          <w:tcPr>
            <w:tcW w:w="1413" w:type="dxa"/>
            <w:vMerge w:val="restart"/>
          </w:tcPr>
          <w:p w:rsidR="003512DC" w:rsidRPr="00CA4D08" w:rsidRDefault="003512DC" w:rsidP="00B14059">
            <w:pPr>
              <w:jc w:val="both"/>
              <w:rPr>
                <w:b/>
                <w:sz w:val="18"/>
                <w:szCs w:val="18"/>
              </w:rPr>
            </w:pPr>
            <w:r>
              <w:rPr>
                <w:b/>
                <w:sz w:val="18"/>
                <w:szCs w:val="18"/>
              </w:rPr>
              <w:t xml:space="preserve">Focus on one topic: </w:t>
            </w:r>
            <w:r w:rsidRPr="00CA4D08">
              <w:rPr>
                <w:b/>
                <w:sz w:val="18"/>
                <w:szCs w:val="18"/>
              </w:rPr>
              <w:t>Localisation</w:t>
            </w:r>
          </w:p>
        </w:tc>
        <w:tc>
          <w:tcPr>
            <w:tcW w:w="8788" w:type="dxa"/>
          </w:tcPr>
          <w:p w:rsidR="003512DC" w:rsidRPr="00A753FA" w:rsidRDefault="003512DC" w:rsidP="00B14059">
            <w:pPr>
              <w:jc w:val="both"/>
              <w:rPr>
                <w:sz w:val="18"/>
                <w:szCs w:val="18"/>
                <w:u w:val="single"/>
              </w:rPr>
            </w:pPr>
            <w:r w:rsidRPr="00A753FA">
              <w:rPr>
                <w:sz w:val="18"/>
                <w:szCs w:val="18"/>
                <w:u w:val="single"/>
              </w:rPr>
              <w:t xml:space="preserve">Experience from the Child Protection </w:t>
            </w:r>
            <w:proofErr w:type="spellStart"/>
            <w:r w:rsidRPr="00A753FA">
              <w:rPr>
                <w:sz w:val="18"/>
                <w:szCs w:val="18"/>
                <w:u w:val="single"/>
              </w:rPr>
              <w:t>AoR</w:t>
            </w:r>
            <w:proofErr w:type="spellEnd"/>
            <w:r w:rsidRPr="00A753FA">
              <w:rPr>
                <w:sz w:val="18"/>
                <w:szCs w:val="18"/>
                <w:u w:val="single"/>
              </w:rPr>
              <w:t xml:space="preserve"> on localisation</w:t>
            </w:r>
          </w:p>
          <w:p w:rsidR="003512DC" w:rsidRDefault="003512DC" w:rsidP="00236B5F">
            <w:pPr>
              <w:jc w:val="both"/>
              <w:rPr>
                <w:sz w:val="18"/>
                <w:szCs w:val="18"/>
              </w:rPr>
            </w:pPr>
            <w:r>
              <w:rPr>
                <w:sz w:val="18"/>
                <w:szCs w:val="18"/>
              </w:rPr>
              <w:t xml:space="preserve">This </w:t>
            </w:r>
            <w:proofErr w:type="spellStart"/>
            <w:r>
              <w:rPr>
                <w:sz w:val="18"/>
                <w:szCs w:val="18"/>
              </w:rPr>
              <w:t>AoR</w:t>
            </w:r>
            <w:proofErr w:type="spellEnd"/>
            <w:r>
              <w:rPr>
                <w:sz w:val="18"/>
                <w:szCs w:val="18"/>
              </w:rPr>
              <w:t xml:space="preserve"> undertook a number of steps to become a more localized cluster:</w:t>
            </w:r>
          </w:p>
          <w:p w:rsidR="003512DC" w:rsidRDefault="003512DC" w:rsidP="00B14059">
            <w:pPr>
              <w:pStyle w:val="ListParagraph"/>
              <w:numPr>
                <w:ilvl w:val="0"/>
                <w:numId w:val="13"/>
              </w:numPr>
              <w:jc w:val="both"/>
              <w:rPr>
                <w:sz w:val="18"/>
                <w:szCs w:val="18"/>
              </w:rPr>
            </w:pPr>
            <w:r w:rsidRPr="00236B5F">
              <w:rPr>
                <w:sz w:val="18"/>
                <w:szCs w:val="18"/>
              </w:rPr>
              <w:t xml:space="preserve">At country level: a survey was carried out among members trying to understand the % of partners who were national partners and their opinion on a number of issues: </w:t>
            </w:r>
            <w:r>
              <w:rPr>
                <w:sz w:val="18"/>
                <w:szCs w:val="18"/>
              </w:rPr>
              <w:t>leadership, membership, partnership, funding, and institutional capacity.</w:t>
            </w:r>
          </w:p>
          <w:p w:rsidR="003512DC" w:rsidRDefault="003512DC" w:rsidP="00B14059">
            <w:pPr>
              <w:pStyle w:val="ListParagraph"/>
              <w:numPr>
                <w:ilvl w:val="0"/>
                <w:numId w:val="13"/>
              </w:numPr>
              <w:jc w:val="both"/>
              <w:rPr>
                <w:sz w:val="18"/>
                <w:szCs w:val="18"/>
              </w:rPr>
            </w:pPr>
            <w:r>
              <w:rPr>
                <w:sz w:val="18"/>
                <w:szCs w:val="18"/>
              </w:rPr>
              <w:t>At global level: translation of documents, creation of regional communities of practice, inclusion of national actors in the global SAG.</w:t>
            </w:r>
          </w:p>
          <w:p w:rsidR="003512DC" w:rsidRPr="004F13F5" w:rsidRDefault="003512DC" w:rsidP="004F13F5">
            <w:pPr>
              <w:jc w:val="both"/>
              <w:rPr>
                <w:sz w:val="18"/>
                <w:szCs w:val="18"/>
              </w:rPr>
            </w:pPr>
            <w:r>
              <w:rPr>
                <w:sz w:val="18"/>
                <w:szCs w:val="18"/>
              </w:rPr>
              <w:t xml:space="preserve">The inclusion of national actors in the global SAG had a big impact in the work of the cluster making it more field focussed. </w:t>
            </w:r>
          </w:p>
        </w:tc>
        <w:tc>
          <w:tcPr>
            <w:tcW w:w="3828" w:type="dxa"/>
          </w:tcPr>
          <w:p w:rsidR="003512DC" w:rsidRDefault="003512DC" w:rsidP="00B14059">
            <w:pPr>
              <w:jc w:val="both"/>
              <w:rPr>
                <w:sz w:val="18"/>
                <w:szCs w:val="18"/>
              </w:rPr>
            </w:pPr>
          </w:p>
          <w:p w:rsidR="003512DC" w:rsidRDefault="003512DC" w:rsidP="00B14059">
            <w:pPr>
              <w:jc w:val="both"/>
              <w:rPr>
                <w:sz w:val="18"/>
                <w:szCs w:val="18"/>
              </w:rPr>
            </w:pPr>
            <w:r>
              <w:rPr>
                <w:sz w:val="18"/>
                <w:szCs w:val="18"/>
              </w:rPr>
              <w:t xml:space="preserve">Run a survey similar to the one of the Child Protection </w:t>
            </w:r>
            <w:proofErr w:type="spellStart"/>
            <w:r>
              <w:rPr>
                <w:sz w:val="18"/>
                <w:szCs w:val="18"/>
              </w:rPr>
              <w:t>AoR</w:t>
            </w:r>
            <w:proofErr w:type="spellEnd"/>
            <w:r>
              <w:rPr>
                <w:sz w:val="18"/>
                <w:szCs w:val="18"/>
              </w:rPr>
              <w:t xml:space="preserve"> in a few selected countries and extend to others if useful.</w:t>
            </w:r>
          </w:p>
          <w:p w:rsidR="003512DC" w:rsidRDefault="003512DC" w:rsidP="00B14059">
            <w:pPr>
              <w:jc w:val="both"/>
              <w:rPr>
                <w:sz w:val="18"/>
                <w:szCs w:val="18"/>
              </w:rPr>
            </w:pPr>
          </w:p>
          <w:p w:rsidR="003512DC" w:rsidRDefault="003512DC" w:rsidP="00B14059">
            <w:pPr>
              <w:jc w:val="both"/>
              <w:rPr>
                <w:sz w:val="18"/>
                <w:szCs w:val="18"/>
              </w:rPr>
            </w:pPr>
            <w:r>
              <w:rPr>
                <w:sz w:val="18"/>
                <w:szCs w:val="18"/>
              </w:rPr>
              <w:t xml:space="preserve">Seek further feedback from the Child Protection </w:t>
            </w:r>
            <w:proofErr w:type="spellStart"/>
            <w:r>
              <w:rPr>
                <w:sz w:val="18"/>
                <w:szCs w:val="18"/>
              </w:rPr>
              <w:t>AoR</w:t>
            </w:r>
            <w:proofErr w:type="spellEnd"/>
            <w:r>
              <w:rPr>
                <w:sz w:val="18"/>
                <w:szCs w:val="18"/>
              </w:rPr>
              <w:t xml:space="preserve"> on the changes related to the global SAG.</w:t>
            </w:r>
          </w:p>
          <w:p w:rsidR="003512DC" w:rsidRDefault="003512DC" w:rsidP="00B14059">
            <w:pPr>
              <w:jc w:val="both"/>
              <w:rPr>
                <w:sz w:val="18"/>
                <w:szCs w:val="18"/>
              </w:rPr>
            </w:pPr>
          </w:p>
          <w:p w:rsidR="003512DC" w:rsidRPr="00581070" w:rsidRDefault="003512DC" w:rsidP="004F13F5">
            <w:pPr>
              <w:jc w:val="both"/>
              <w:rPr>
                <w:sz w:val="18"/>
                <w:szCs w:val="18"/>
              </w:rPr>
            </w:pPr>
            <w:r>
              <w:rPr>
                <w:sz w:val="18"/>
                <w:szCs w:val="18"/>
              </w:rPr>
              <w:t>Commit to further localisation of country-level SAGs.</w:t>
            </w:r>
          </w:p>
        </w:tc>
      </w:tr>
      <w:tr w:rsidR="003512DC" w:rsidRPr="00581070" w:rsidTr="003512DC">
        <w:trPr>
          <w:trHeight w:val="4920"/>
        </w:trPr>
        <w:tc>
          <w:tcPr>
            <w:tcW w:w="1413" w:type="dxa"/>
            <w:vMerge/>
          </w:tcPr>
          <w:p w:rsidR="003512DC" w:rsidRDefault="003512DC" w:rsidP="00B14059">
            <w:pPr>
              <w:jc w:val="both"/>
              <w:rPr>
                <w:b/>
                <w:sz w:val="18"/>
                <w:szCs w:val="18"/>
              </w:rPr>
            </w:pPr>
          </w:p>
        </w:tc>
        <w:tc>
          <w:tcPr>
            <w:tcW w:w="8788" w:type="dxa"/>
          </w:tcPr>
          <w:p w:rsidR="004F13F5" w:rsidRPr="00581070" w:rsidRDefault="004F13F5" w:rsidP="004F13F5">
            <w:pPr>
              <w:jc w:val="both"/>
              <w:rPr>
                <w:i/>
                <w:sz w:val="18"/>
                <w:szCs w:val="18"/>
                <w:u w:val="single"/>
              </w:rPr>
            </w:pPr>
            <w:r w:rsidRPr="00581070">
              <w:rPr>
                <w:i/>
                <w:sz w:val="18"/>
                <w:szCs w:val="18"/>
                <w:u w:val="single"/>
              </w:rPr>
              <w:t>Indonesia</w:t>
            </w:r>
          </w:p>
          <w:p w:rsidR="004F13F5" w:rsidRDefault="004F13F5" w:rsidP="004F13F5">
            <w:pPr>
              <w:jc w:val="both"/>
              <w:rPr>
                <w:sz w:val="18"/>
                <w:szCs w:val="18"/>
              </w:rPr>
            </w:pPr>
            <w:r>
              <w:rPr>
                <w:sz w:val="18"/>
                <w:szCs w:val="18"/>
              </w:rPr>
              <w:t xml:space="preserve">The recent response in Indonesia is linked to the wider conversation on localisation. </w:t>
            </w:r>
            <w:r w:rsidR="00E2510B">
              <w:rPr>
                <w:sz w:val="18"/>
                <w:szCs w:val="18"/>
              </w:rPr>
              <w:t>W</w:t>
            </w:r>
            <w:r>
              <w:rPr>
                <w:sz w:val="18"/>
                <w:szCs w:val="18"/>
              </w:rPr>
              <w:t xml:space="preserve">hile the availability of staff with local experience and relevant information was quite positive, in this situation there was a </w:t>
            </w:r>
            <w:r w:rsidRPr="00360DC1">
              <w:rPr>
                <w:sz w:val="18"/>
                <w:szCs w:val="18"/>
                <w:u w:val="single"/>
              </w:rPr>
              <w:t>significant bottleneck in connecting national and local levels</w:t>
            </w:r>
            <w:r>
              <w:rPr>
                <w:sz w:val="18"/>
                <w:szCs w:val="18"/>
              </w:rPr>
              <w:t>. The Cluster system was hesitant to engage in local coordination</w:t>
            </w:r>
            <w:r w:rsidR="005F2E26">
              <w:rPr>
                <w:sz w:val="18"/>
                <w:szCs w:val="18"/>
              </w:rPr>
              <w:t xml:space="preserve"> through international personnel</w:t>
            </w:r>
            <w:r w:rsidR="00E2510B">
              <w:rPr>
                <w:sz w:val="18"/>
                <w:szCs w:val="18"/>
              </w:rPr>
              <w:t xml:space="preserve"> as there was </w:t>
            </w:r>
            <w:r w:rsidR="005F2E26">
              <w:rPr>
                <w:sz w:val="18"/>
                <w:szCs w:val="18"/>
              </w:rPr>
              <w:t>a clear instruction from the national government for foreigners not to travel to the field. This resulted in</w:t>
            </w:r>
            <w:r>
              <w:rPr>
                <w:sz w:val="18"/>
                <w:szCs w:val="18"/>
              </w:rPr>
              <w:t xml:space="preserve"> a bottleneck on assistance</w:t>
            </w:r>
            <w:r w:rsidR="005F2E26">
              <w:rPr>
                <w:sz w:val="18"/>
                <w:szCs w:val="18"/>
              </w:rPr>
              <w:t xml:space="preserve"> as there was not enough local capacity trained in the usual international humanitarian response mechanisms to move certain activities forward</w:t>
            </w:r>
            <w:r>
              <w:rPr>
                <w:sz w:val="18"/>
                <w:szCs w:val="18"/>
              </w:rPr>
              <w:t xml:space="preserve">. At the local level, the Red Cross was very active but other capacity was missing. </w:t>
            </w:r>
          </w:p>
          <w:p w:rsidR="004F13F5" w:rsidRDefault="004F13F5" w:rsidP="004F13F5">
            <w:pPr>
              <w:jc w:val="both"/>
              <w:rPr>
                <w:sz w:val="18"/>
                <w:szCs w:val="18"/>
              </w:rPr>
            </w:pPr>
          </w:p>
          <w:p w:rsidR="004F13F5" w:rsidRDefault="004F13F5" w:rsidP="004F13F5">
            <w:pPr>
              <w:jc w:val="both"/>
              <w:rPr>
                <w:sz w:val="18"/>
                <w:szCs w:val="18"/>
              </w:rPr>
            </w:pPr>
            <w:r>
              <w:rPr>
                <w:sz w:val="18"/>
                <w:szCs w:val="18"/>
              </w:rPr>
              <w:t xml:space="preserve">In this sort of situations, it is important to ask </w:t>
            </w:r>
            <w:r w:rsidRPr="00C83BFF">
              <w:rPr>
                <w:sz w:val="18"/>
                <w:szCs w:val="18"/>
                <w:u w:val="single"/>
              </w:rPr>
              <w:t>who the Cluster is accountable to</w:t>
            </w:r>
            <w:r>
              <w:rPr>
                <w:sz w:val="18"/>
                <w:szCs w:val="18"/>
                <w:u w:val="single"/>
              </w:rPr>
              <w:t xml:space="preserve">, </w:t>
            </w:r>
            <w:r w:rsidRPr="004F13F5">
              <w:rPr>
                <w:sz w:val="18"/>
                <w:szCs w:val="18"/>
              </w:rPr>
              <w:t>is it to the affected population or to national governments</w:t>
            </w:r>
            <w:r>
              <w:rPr>
                <w:sz w:val="18"/>
                <w:szCs w:val="18"/>
              </w:rPr>
              <w:t>? If accountability is to national governments, we should acknowledge that.</w:t>
            </w:r>
          </w:p>
          <w:p w:rsidR="004F13F5" w:rsidRDefault="004F13F5" w:rsidP="004F13F5">
            <w:pPr>
              <w:jc w:val="both"/>
              <w:rPr>
                <w:sz w:val="18"/>
                <w:szCs w:val="18"/>
              </w:rPr>
            </w:pPr>
          </w:p>
          <w:p w:rsidR="004F13F5" w:rsidRPr="00581070" w:rsidRDefault="004F13F5" w:rsidP="004F13F5">
            <w:pPr>
              <w:jc w:val="both"/>
              <w:rPr>
                <w:sz w:val="18"/>
                <w:szCs w:val="18"/>
              </w:rPr>
            </w:pPr>
            <w:r>
              <w:rPr>
                <w:sz w:val="18"/>
                <w:szCs w:val="18"/>
              </w:rPr>
              <w:t>There was an opportunity in this context, because of lack of access, to engage in or consider partnerships with universities, private sector, World Bank, etc. Also, an exit strategy was analysed from the very beginning.</w:t>
            </w:r>
            <w:r w:rsidRPr="00581070">
              <w:rPr>
                <w:sz w:val="18"/>
                <w:szCs w:val="18"/>
              </w:rPr>
              <w:t xml:space="preserve"> </w:t>
            </w:r>
            <w:r>
              <w:rPr>
                <w:sz w:val="18"/>
                <w:szCs w:val="18"/>
              </w:rPr>
              <w:t>A significant</w:t>
            </w:r>
            <w:r w:rsidRPr="00581070">
              <w:rPr>
                <w:sz w:val="18"/>
                <w:szCs w:val="18"/>
              </w:rPr>
              <w:t xml:space="preserve"> preparedness investment reinforced the opportunity to leverage the response, building capacity </w:t>
            </w:r>
            <w:r>
              <w:rPr>
                <w:sz w:val="18"/>
                <w:szCs w:val="18"/>
              </w:rPr>
              <w:t>on</w:t>
            </w:r>
            <w:r w:rsidRPr="00581070">
              <w:rPr>
                <w:sz w:val="18"/>
                <w:szCs w:val="18"/>
              </w:rPr>
              <w:t xml:space="preserve"> preparedness for </w:t>
            </w:r>
            <w:r>
              <w:rPr>
                <w:sz w:val="18"/>
                <w:szCs w:val="18"/>
              </w:rPr>
              <w:t>future responses</w:t>
            </w:r>
            <w:r w:rsidRPr="00581070">
              <w:rPr>
                <w:sz w:val="18"/>
                <w:szCs w:val="18"/>
              </w:rPr>
              <w:t xml:space="preserve">. And </w:t>
            </w:r>
            <w:r>
              <w:rPr>
                <w:sz w:val="18"/>
                <w:szCs w:val="18"/>
              </w:rPr>
              <w:t>a</w:t>
            </w:r>
            <w:r w:rsidRPr="00581070">
              <w:rPr>
                <w:sz w:val="18"/>
                <w:szCs w:val="18"/>
              </w:rPr>
              <w:t xml:space="preserve"> governance diagnostics </w:t>
            </w:r>
            <w:r>
              <w:rPr>
                <w:sz w:val="18"/>
                <w:szCs w:val="18"/>
              </w:rPr>
              <w:t>(</w:t>
            </w:r>
            <w:r w:rsidRPr="00581070">
              <w:rPr>
                <w:sz w:val="18"/>
                <w:szCs w:val="18"/>
              </w:rPr>
              <w:t>organigram</w:t>
            </w:r>
            <w:r>
              <w:rPr>
                <w:sz w:val="18"/>
                <w:szCs w:val="18"/>
              </w:rPr>
              <w:t>)</w:t>
            </w:r>
            <w:r w:rsidRPr="00581070">
              <w:rPr>
                <w:sz w:val="18"/>
                <w:szCs w:val="18"/>
              </w:rPr>
              <w:t xml:space="preserve"> was useful to understand how </w:t>
            </w:r>
            <w:r>
              <w:rPr>
                <w:sz w:val="18"/>
                <w:szCs w:val="18"/>
              </w:rPr>
              <w:t>to</w:t>
            </w:r>
            <w:r w:rsidRPr="00581070">
              <w:rPr>
                <w:sz w:val="18"/>
                <w:szCs w:val="18"/>
              </w:rPr>
              <w:t xml:space="preserve"> plug into </w:t>
            </w:r>
            <w:r>
              <w:rPr>
                <w:sz w:val="18"/>
                <w:szCs w:val="18"/>
              </w:rPr>
              <w:t>the existing structures</w:t>
            </w:r>
            <w:r w:rsidRPr="00581070">
              <w:rPr>
                <w:sz w:val="18"/>
                <w:szCs w:val="18"/>
              </w:rPr>
              <w:t>.</w:t>
            </w:r>
          </w:p>
          <w:p w:rsidR="004F13F5" w:rsidRDefault="004F13F5" w:rsidP="004F13F5">
            <w:pPr>
              <w:jc w:val="both"/>
              <w:rPr>
                <w:sz w:val="18"/>
                <w:szCs w:val="18"/>
              </w:rPr>
            </w:pPr>
          </w:p>
          <w:p w:rsidR="004F13F5" w:rsidRDefault="004F13F5" w:rsidP="004F13F5">
            <w:pPr>
              <w:jc w:val="both"/>
              <w:rPr>
                <w:sz w:val="18"/>
                <w:szCs w:val="18"/>
              </w:rPr>
            </w:pPr>
            <w:r>
              <w:rPr>
                <w:sz w:val="18"/>
                <w:szCs w:val="18"/>
              </w:rPr>
              <w:t>Major needs found from the response:</w:t>
            </w:r>
          </w:p>
          <w:p w:rsidR="004F13F5" w:rsidRDefault="004F13F5" w:rsidP="004F13F5">
            <w:pPr>
              <w:pStyle w:val="ListParagraph"/>
              <w:numPr>
                <w:ilvl w:val="0"/>
                <w:numId w:val="10"/>
              </w:numPr>
              <w:jc w:val="both"/>
              <w:rPr>
                <w:sz w:val="18"/>
                <w:szCs w:val="18"/>
              </w:rPr>
            </w:pPr>
            <w:r w:rsidRPr="00D603F8">
              <w:rPr>
                <w:sz w:val="18"/>
                <w:szCs w:val="18"/>
              </w:rPr>
              <w:t>Prioritise translation for</w:t>
            </w:r>
            <w:r>
              <w:rPr>
                <w:sz w:val="18"/>
                <w:szCs w:val="18"/>
              </w:rPr>
              <w:t xml:space="preserve"> better</w:t>
            </w:r>
            <w:r w:rsidRPr="00D603F8">
              <w:rPr>
                <w:sz w:val="18"/>
                <w:szCs w:val="18"/>
              </w:rPr>
              <w:t xml:space="preserve"> engagement </w:t>
            </w:r>
          </w:p>
          <w:p w:rsidR="004F13F5" w:rsidRDefault="005D51F8" w:rsidP="004F13F5">
            <w:pPr>
              <w:pStyle w:val="ListParagraph"/>
              <w:numPr>
                <w:ilvl w:val="0"/>
                <w:numId w:val="10"/>
              </w:numPr>
              <w:jc w:val="both"/>
              <w:rPr>
                <w:sz w:val="18"/>
                <w:szCs w:val="18"/>
              </w:rPr>
            </w:pPr>
            <w:r>
              <w:rPr>
                <w:sz w:val="18"/>
                <w:szCs w:val="18"/>
              </w:rPr>
              <w:t xml:space="preserve">Negotiate </w:t>
            </w:r>
            <w:r w:rsidR="00A52A1E">
              <w:rPr>
                <w:sz w:val="18"/>
                <w:szCs w:val="18"/>
              </w:rPr>
              <w:t xml:space="preserve">access for </w:t>
            </w:r>
            <w:r w:rsidR="004F13F5" w:rsidRPr="00D603F8">
              <w:rPr>
                <w:sz w:val="18"/>
                <w:szCs w:val="18"/>
              </w:rPr>
              <w:t>international deployments</w:t>
            </w:r>
          </w:p>
          <w:p w:rsidR="004F13F5" w:rsidRDefault="004F13F5" w:rsidP="004F13F5">
            <w:pPr>
              <w:pStyle w:val="ListParagraph"/>
              <w:numPr>
                <w:ilvl w:val="0"/>
                <w:numId w:val="10"/>
              </w:numPr>
              <w:jc w:val="both"/>
              <w:rPr>
                <w:sz w:val="18"/>
                <w:szCs w:val="18"/>
              </w:rPr>
            </w:pPr>
            <w:r>
              <w:rPr>
                <w:sz w:val="18"/>
                <w:szCs w:val="18"/>
              </w:rPr>
              <w:t>C</w:t>
            </w:r>
            <w:r w:rsidRPr="00D603F8">
              <w:rPr>
                <w:sz w:val="18"/>
                <w:szCs w:val="18"/>
              </w:rPr>
              <w:t xml:space="preserve">lusters to invest more in trainings for </w:t>
            </w:r>
            <w:r w:rsidR="00A52A1E">
              <w:rPr>
                <w:sz w:val="18"/>
                <w:szCs w:val="18"/>
              </w:rPr>
              <w:t xml:space="preserve">local staff with </w:t>
            </w:r>
            <w:r w:rsidRPr="00D603F8">
              <w:rPr>
                <w:sz w:val="18"/>
                <w:szCs w:val="18"/>
              </w:rPr>
              <w:t xml:space="preserve">English </w:t>
            </w:r>
            <w:r w:rsidR="00A52A1E">
              <w:rPr>
                <w:sz w:val="18"/>
                <w:szCs w:val="18"/>
              </w:rPr>
              <w:t>language skills</w:t>
            </w:r>
          </w:p>
          <w:p w:rsidR="004F13F5" w:rsidRDefault="004F13F5" w:rsidP="004F13F5">
            <w:pPr>
              <w:pStyle w:val="ListParagraph"/>
              <w:numPr>
                <w:ilvl w:val="0"/>
                <w:numId w:val="10"/>
              </w:numPr>
              <w:jc w:val="both"/>
              <w:rPr>
                <w:sz w:val="18"/>
                <w:szCs w:val="18"/>
              </w:rPr>
            </w:pPr>
            <w:r>
              <w:rPr>
                <w:sz w:val="18"/>
                <w:szCs w:val="18"/>
              </w:rPr>
              <w:t xml:space="preserve">Greater </w:t>
            </w:r>
            <w:r w:rsidRPr="00D603F8">
              <w:rPr>
                <w:sz w:val="18"/>
                <w:szCs w:val="18"/>
              </w:rPr>
              <w:t xml:space="preserve">pre-disaster focus </w:t>
            </w:r>
          </w:p>
          <w:p w:rsidR="004F13F5" w:rsidRDefault="004F13F5" w:rsidP="004F13F5">
            <w:pPr>
              <w:pStyle w:val="ListParagraph"/>
              <w:numPr>
                <w:ilvl w:val="0"/>
                <w:numId w:val="10"/>
              </w:numPr>
              <w:jc w:val="both"/>
              <w:rPr>
                <w:sz w:val="18"/>
                <w:szCs w:val="18"/>
              </w:rPr>
            </w:pPr>
            <w:r w:rsidRPr="00D603F8">
              <w:rPr>
                <w:sz w:val="18"/>
                <w:szCs w:val="18"/>
              </w:rPr>
              <w:t xml:space="preserve">for Cluster coordination to sort out SOPs and rapid </w:t>
            </w:r>
            <w:r w:rsidR="00A52A1E">
              <w:rPr>
                <w:sz w:val="18"/>
                <w:szCs w:val="18"/>
              </w:rPr>
              <w:t>finance</w:t>
            </w:r>
            <w:r w:rsidRPr="00D603F8">
              <w:rPr>
                <w:sz w:val="18"/>
                <w:szCs w:val="18"/>
              </w:rPr>
              <w:t>/HR systems</w:t>
            </w:r>
          </w:p>
          <w:p w:rsidR="004F13F5" w:rsidRPr="00D603F8" w:rsidRDefault="004F13F5" w:rsidP="004F13F5">
            <w:pPr>
              <w:pStyle w:val="ListParagraph"/>
              <w:numPr>
                <w:ilvl w:val="0"/>
                <w:numId w:val="10"/>
              </w:numPr>
              <w:jc w:val="both"/>
              <w:rPr>
                <w:sz w:val="18"/>
                <w:szCs w:val="18"/>
              </w:rPr>
            </w:pPr>
            <w:r>
              <w:rPr>
                <w:sz w:val="18"/>
                <w:szCs w:val="18"/>
              </w:rPr>
              <w:t xml:space="preserve">For </w:t>
            </w:r>
            <w:r w:rsidRPr="00D603F8">
              <w:rPr>
                <w:sz w:val="18"/>
                <w:szCs w:val="18"/>
              </w:rPr>
              <w:t xml:space="preserve">GSC to </w:t>
            </w:r>
            <w:r w:rsidR="00E2510B">
              <w:rPr>
                <w:sz w:val="18"/>
                <w:szCs w:val="18"/>
              </w:rPr>
              <w:t>adapt</w:t>
            </w:r>
            <w:r w:rsidRPr="00D603F8">
              <w:rPr>
                <w:sz w:val="18"/>
                <w:szCs w:val="18"/>
              </w:rPr>
              <w:t xml:space="preserve"> to support national activation. </w:t>
            </w:r>
          </w:p>
          <w:p w:rsidR="004F13F5" w:rsidRDefault="004F13F5" w:rsidP="004F13F5">
            <w:pPr>
              <w:jc w:val="both"/>
              <w:rPr>
                <w:sz w:val="18"/>
                <w:szCs w:val="18"/>
              </w:rPr>
            </w:pPr>
          </w:p>
          <w:p w:rsidR="004F13F5" w:rsidRDefault="004F13F5" w:rsidP="004F13F5">
            <w:pPr>
              <w:jc w:val="both"/>
              <w:rPr>
                <w:sz w:val="18"/>
                <w:szCs w:val="18"/>
              </w:rPr>
            </w:pPr>
            <w:r>
              <w:rPr>
                <w:sz w:val="18"/>
                <w:szCs w:val="18"/>
              </w:rPr>
              <w:t xml:space="preserve">There is an observed </w:t>
            </w:r>
            <w:r w:rsidRPr="009555ED">
              <w:rPr>
                <w:sz w:val="18"/>
                <w:szCs w:val="18"/>
                <w:u w:val="single"/>
              </w:rPr>
              <w:t>tendency for governments not to request Clusters anymore</w:t>
            </w:r>
            <w:r>
              <w:rPr>
                <w:sz w:val="18"/>
                <w:szCs w:val="18"/>
              </w:rPr>
              <w:t>, possibly because they feel disempowered because of them. It is important not to bypass existing structures in government – it is fine for them to reassert their authority and we have to work within these constraints.</w:t>
            </w:r>
          </w:p>
          <w:p w:rsidR="004F13F5" w:rsidRDefault="004F13F5" w:rsidP="004F13F5">
            <w:pPr>
              <w:jc w:val="both"/>
              <w:rPr>
                <w:sz w:val="18"/>
                <w:szCs w:val="18"/>
              </w:rPr>
            </w:pPr>
            <w:r w:rsidRPr="00BA1FD4">
              <w:rPr>
                <w:sz w:val="18"/>
                <w:szCs w:val="18"/>
                <w:u w:val="single"/>
              </w:rPr>
              <w:t>This is especially the case in situations where the government is the Cluster’s co-lead.</w:t>
            </w:r>
            <w:r>
              <w:rPr>
                <w:sz w:val="18"/>
                <w:szCs w:val="18"/>
              </w:rPr>
              <w:t xml:space="preserve"> Ideas need to be presented to the government co-lead and they have to agree to it. It might slow down things, but it’s about understanding we are not there to replace, but rather to support existing response mechanisms.  In conflict situations (e.g. Syria) this might be very complicated, with reduced access for assessments and response.</w:t>
            </w:r>
          </w:p>
          <w:p w:rsidR="004F13F5" w:rsidRDefault="004F13F5" w:rsidP="004F13F5">
            <w:pPr>
              <w:jc w:val="both"/>
              <w:rPr>
                <w:sz w:val="18"/>
                <w:szCs w:val="18"/>
              </w:rPr>
            </w:pPr>
            <w:r>
              <w:rPr>
                <w:sz w:val="18"/>
                <w:szCs w:val="18"/>
              </w:rPr>
              <w:t xml:space="preserve">The Cluster’s support in </w:t>
            </w:r>
            <w:r w:rsidRPr="00872A3E">
              <w:rPr>
                <w:sz w:val="18"/>
                <w:szCs w:val="18"/>
                <w:u w:val="single"/>
              </w:rPr>
              <w:t>non-activated situations</w:t>
            </w:r>
            <w:r>
              <w:rPr>
                <w:sz w:val="18"/>
                <w:szCs w:val="18"/>
              </w:rPr>
              <w:t xml:space="preserve"> can also be challenging</w:t>
            </w:r>
            <w:r w:rsidR="00E2510B">
              <w:rPr>
                <w:sz w:val="18"/>
                <w:szCs w:val="18"/>
              </w:rPr>
              <w:t xml:space="preserve"> in terms of funding, mandate, and scope of activities</w:t>
            </w:r>
            <w:r>
              <w:rPr>
                <w:sz w:val="18"/>
                <w:szCs w:val="18"/>
              </w:rPr>
              <w:t>. However, the main value added consists in bringing many people together to discuss best practices. A threshold could also be considered, based on number of participants or existing HRP process</w:t>
            </w:r>
            <w:r w:rsidR="00A52A1E">
              <w:rPr>
                <w:sz w:val="18"/>
                <w:szCs w:val="18"/>
              </w:rPr>
              <w:t xml:space="preserve"> beyond which the global shelter cluster should provide support</w:t>
            </w:r>
            <w:r>
              <w:rPr>
                <w:sz w:val="18"/>
                <w:szCs w:val="18"/>
              </w:rPr>
              <w:t>.</w:t>
            </w:r>
          </w:p>
          <w:p w:rsidR="004F13F5" w:rsidRDefault="004F13F5" w:rsidP="004F13F5">
            <w:pPr>
              <w:jc w:val="both"/>
              <w:rPr>
                <w:sz w:val="18"/>
                <w:szCs w:val="18"/>
              </w:rPr>
            </w:pPr>
          </w:p>
          <w:p w:rsidR="003512DC" w:rsidRPr="00A753FA" w:rsidRDefault="004F13F5" w:rsidP="00A52A1E">
            <w:pPr>
              <w:jc w:val="both"/>
              <w:rPr>
                <w:sz w:val="18"/>
                <w:szCs w:val="18"/>
                <w:u w:val="single"/>
              </w:rPr>
            </w:pPr>
            <w:r>
              <w:rPr>
                <w:sz w:val="18"/>
                <w:szCs w:val="18"/>
              </w:rPr>
              <w:t xml:space="preserve">In terms of interlocutor, it is important to maintain an engagement with government authorities. ASEAN could also be a possibility to gain mutual support. Governments could also be integrated in shelter forums, </w:t>
            </w:r>
            <w:r w:rsidR="00E2510B">
              <w:rPr>
                <w:sz w:val="18"/>
                <w:szCs w:val="18"/>
              </w:rPr>
              <w:t>to</w:t>
            </w:r>
            <w:r>
              <w:rPr>
                <w:sz w:val="18"/>
                <w:szCs w:val="18"/>
              </w:rPr>
              <w:t xml:space="preserve"> a certain degree.</w:t>
            </w:r>
          </w:p>
        </w:tc>
        <w:tc>
          <w:tcPr>
            <w:tcW w:w="3828" w:type="dxa"/>
          </w:tcPr>
          <w:p w:rsidR="004F13F5" w:rsidRDefault="004F13F5" w:rsidP="004F13F5">
            <w:pPr>
              <w:jc w:val="both"/>
              <w:rPr>
                <w:sz w:val="18"/>
                <w:szCs w:val="18"/>
              </w:rPr>
            </w:pPr>
          </w:p>
          <w:p w:rsidR="004F13F5" w:rsidRPr="003512DC" w:rsidRDefault="004F13F5" w:rsidP="004F13F5">
            <w:pPr>
              <w:jc w:val="both"/>
              <w:rPr>
                <w:sz w:val="18"/>
                <w:szCs w:val="18"/>
              </w:rPr>
            </w:pPr>
            <w:r w:rsidRPr="003512DC">
              <w:rPr>
                <w:sz w:val="18"/>
                <w:szCs w:val="18"/>
              </w:rPr>
              <w:t>Map type of services that could be provided to countries;</w:t>
            </w:r>
          </w:p>
          <w:p w:rsidR="004F13F5" w:rsidRDefault="004F13F5" w:rsidP="004F13F5">
            <w:pPr>
              <w:jc w:val="both"/>
              <w:rPr>
                <w:sz w:val="18"/>
                <w:szCs w:val="18"/>
              </w:rPr>
            </w:pPr>
          </w:p>
          <w:p w:rsidR="004F13F5" w:rsidRPr="003512DC" w:rsidRDefault="004F13F5" w:rsidP="004F13F5">
            <w:pPr>
              <w:jc w:val="both"/>
              <w:rPr>
                <w:sz w:val="18"/>
                <w:szCs w:val="18"/>
              </w:rPr>
            </w:pPr>
            <w:r w:rsidRPr="003512DC">
              <w:rPr>
                <w:sz w:val="18"/>
                <w:szCs w:val="18"/>
              </w:rPr>
              <w:t>Reach out to high-risk countries in advance to start lobbying;</w:t>
            </w:r>
          </w:p>
          <w:p w:rsidR="004F13F5" w:rsidRDefault="004F13F5" w:rsidP="004F13F5">
            <w:pPr>
              <w:jc w:val="both"/>
              <w:rPr>
                <w:sz w:val="18"/>
                <w:szCs w:val="18"/>
              </w:rPr>
            </w:pPr>
          </w:p>
          <w:p w:rsidR="004F13F5" w:rsidRPr="003512DC" w:rsidRDefault="00AE6B31" w:rsidP="004F13F5">
            <w:pPr>
              <w:jc w:val="both"/>
              <w:rPr>
                <w:sz w:val="18"/>
                <w:szCs w:val="18"/>
              </w:rPr>
            </w:pPr>
            <w:r>
              <w:rPr>
                <w:sz w:val="18"/>
                <w:szCs w:val="18"/>
              </w:rPr>
              <w:t>Follow-up on the suggestion to organize the next Asia-Pacific Shelter Forum in Indonesia</w:t>
            </w:r>
            <w:r w:rsidR="004F13F5" w:rsidRPr="003512DC">
              <w:rPr>
                <w:sz w:val="18"/>
                <w:szCs w:val="18"/>
              </w:rPr>
              <w:t>.</w:t>
            </w:r>
          </w:p>
          <w:p w:rsidR="003512DC" w:rsidRDefault="003512DC" w:rsidP="00B14059">
            <w:pPr>
              <w:jc w:val="both"/>
              <w:rPr>
                <w:sz w:val="18"/>
                <w:szCs w:val="18"/>
              </w:rPr>
            </w:pPr>
          </w:p>
        </w:tc>
      </w:tr>
      <w:tr w:rsidR="006D12D8" w:rsidRPr="00581070" w:rsidTr="004D6246">
        <w:tc>
          <w:tcPr>
            <w:tcW w:w="1413" w:type="dxa"/>
          </w:tcPr>
          <w:p w:rsidR="006D12D8" w:rsidRPr="00CA4D08" w:rsidRDefault="0035356F" w:rsidP="00B14059">
            <w:pPr>
              <w:jc w:val="both"/>
              <w:rPr>
                <w:b/>
                <w:sz w:val="18"/>
                <w:szCs w:val="18"/>
              </w:rPr>
            </w:pPr>
            <w:r>
              <w:rPr>
                <w:b/>
                <w:sz w:val="18"/>
                <w:szCs w:val="18"/>
              </w:rPr>
              <w:t>GSC Strategy 2018-2022 – Priorities for 2019</w:t>
            </w:r>
          </w:p>
        </w:tc>
        <w:tc>
          <w:tcPr>
            <w:tcW w:w="8788" w:type="dxa"/>
          </w:tcPr>
          <w:p w:rsidR="006D12D8" w:rsidRDefault="006D12D8" w:rsidP="00B14059">
            <w:pPr>
              <w:jc w:val="both"/>
              <w:rPr>
                <w:sz w:val="18"/>
                <w:szCs w:val="18"/>
              </w:rPr>
            </w:pPr>
            <w:r>
              <w:rPr>
                <w:sz w:val="18"/>
                <w:szCs w:val="18"/>
              </w:rPr>
              <w:t>Group exercise for participants: Prioritise outputs on what you would like to see advance in 2019 and suggest who can work on these outputs (an agency, a working group, the SAG, a SAG mini group, …).</w:t>
            </w:r>
          </w:p>
          <w:p w:rsidR="006D12D8" w:rsidRDefault="006D12D8" w:rsidP="00B14059">
            <w:pPr>
              <w:jc w:val="both"/>
              <w:rPr>
                <w:sz w:val="18"/>
                <w:szCs w:val="18"/>
              </w:rPr>
            </w:pPr>
          </w:p>
          <w:p w:rsidR="006D12D8" w:rsidRDefault="006D12D8" w:rsidP="00B14059">
            <w:pPr>
              <w:jc w:val="both"/>
              <w:rPr>
                <w:sz w:val="18"/>
                <w:szCs w:val="18"/>
              </w:rPr>
            </w:pPr>
            <w:r>
              <w:rPr>
                <w:i/>
                <w:sz w:val="18"/>
                <w:szCs w:val="18"/>
              </w:rPr>
              <w:t>Group discussion (see attached photos</w:t>
            </w:r>
            <w:r w:rsidR="004F13F5">
              <w:rPr>
                <w:i/>
                <w:sz w:val="18"/>
                <w:szCs w:val="18"/>
              </w:rPr>
              <w:t xml:space="preserve"> in Annex 1</w:t>
            </w:r>
            <w:r>
              <w:rPr>
                <w:i/>
                <w:sz w:val="18"/>
                <w:szCs w:val="18"/>
              </w:rPr>
              <w:t>)</w:t>
            </w:r>
          </w:p>
          <w:p w:rsidR="006D12D8" w:rsidRDefault="006D12D8" w:rsidP="00B14059">
            <w:pPr>
              <w:jc w:val="both"/>
              <w:rPr>
                <w:sz w:val="18"/>
                <w:szCs w:val="18"/>
              </w:rPr>
            </w:pPr>
          </w:p>
          <w:p w:rsidR="006D12D8" w:rsidRDefault="006D12D8" w:rsidP="00B14059">
            <w:pPr>
              <w:jc w:val="both"/>
              <w:rPr>
                <w:sz w:val="18"/>
                <w:szCs w:val="18"/>
              </w:rPr>
            </w:pPr>
            <w:r>
              <w:rPr>
                <w:sz w:val="18"/>
                <w:szCs w:val="18"/>
              </w:rPr>
              <w:t xml:space="preserve">Agencies who are working/have worked on respective pillars could “own” it and be aware of follow ups, sessions on this to prepare about it. They can be </w:t>
            </w:r>
            <w:r w:rsidRPr="00921A2F">
              <w:rPr>
                <w:sz w:val="18"/>
                <w:szCs w:val="18"/>
                <w:u w:val="single"/>
              </w:rPr>
              <w:t>“champions” of a pillar</w:t>
            </w:r>
            <w:r>
              <w:rPr>
                <w:sz w:val="18"/>
                <w:szCs w:val="18"/>
              </w:rPr>
              <w:t xml:space="preserve"> in a way.  </w:t>
            </w:r>
          </w:p>
          <w:p w:rsidR="006D12D8" w:rsidRPr="00581070" w:rsidRDefault="006D12D8" w:rsidP="00B14059">
            <w:pPr>
              <w:jc w:val="both"/>
              <w:rPr>
                <w:sz w:val="18"/>
                <w:szCs w:val="18"/>
              </w:rPr>
            </w:pPr>
          </w:p>
        </w:tc>
        <w:tc>
          <w:tcPr>
            <w:tcW w:w="3828" w:type="dxa"/>
          </w:tcPr>
          <w:p w:rsidR="006D12D8" w:rsidRDefault="006D12D8" w:rsidP="00B14059">
            <w:pPr>
              <w:ind w:left="-42"/>
              <w:jc w:val="both"/>
              <w:rPr>
                <w:sz w:val="18"/>
                <w:szCs w:val="18"/>
              </w:rPr>
            </w:pPr>
          </w:p>
          <w:p w:rsidR="006D12D8" w:rsidRDefault="006D12D8" w:rsidP="00B14059">
            <w:pPr>
              <w:ind w:left="-42"/>
              <w:jc w:val="both"/>
              <w:rPr>
                <w:sz w:val="18"/>
                <w:szCs w:val="18"/>
              </w:rPr>
            </w:pPr>
          </w:p>
          <w:p w:rsidR="006D12D8" w:rsidRDefault="006D12D8" w:rsidP="00B14059">
            <w:pPr>
              <w:ind w:left="-42"/>
              <w:jc w:val="both"/>
              <w:rPr>
                <w:sz w:val="18"/>
                <w:szCs w:val="18"/>
              </w:rPr>
            </w:pPr>
          </w:p>
          <w:p w:rsidR="006D12D8" w:rsidRDefault="006D12D8" w:rsidP="00B14059">
            <w:pPr>
              <w:ind w:left="-42"/>
              <w:jc w:val="both"/>
              <w:rPr>
                <w:sz w:val="18"/>
                <w:szCs w:val="18"/>
              </w:rPr>
            </w:pPr>
          </w:p>
          <w:p w:rsidR="006D12D8" w:rsidRDefault="006D12D8" w:rsidP="00B14059">
            <w:pPr>
              <w:ind w:left="-42"/>
              <w:jc w:val="both"/>
              <w:rPr>
                <w:sz w:val="18"/>
                <w:szCs w:val="18"/>
              </w:rPr>
            </w:pPr>
          </w:p>
          <w:p w:rsidR="006D12D8" w:rsidRPr="00581070" w:rsidRDefault="006D12D8" w:rsidP="00B14059">
            <w:pPr>
              <w:ind w:left="-42"/>
              <w:jc w:val="both"/>
              <w:rPr>
                <w:sz w:val="18"/>
                <w:szCs w:val="18"/>
              </w:rPr>
            </w:pPr>
            <w:r>
              <w:rPr>
                <w:sz w:val="18"/>
                <w:szCs w:val="18"/>
              </w:rPr>
              <w:t>The GSC will prepare an online sheet to follow up on this, to be shared with all SAG members.</w:t>
            </w:r>
          </w:p>
        </w:tc>
      </w:tr>
      <w:tr w:rsidR="006D12D8" w:rsidRPr="00581070" w:rsidTr="004D6246">
        <w:tc>
          <w:tcPr>
            <w:tcW w:w="1413" w:type="dxa"/>
          </w:tcPr>
          <w:p w:rsidR="006D12D8" w:rsidRPr="00CA4D08" w:rsidRDefault="003102A2" w:rsidP="00B14059">
            <w:pPr>
              <w:jc w:val="both"/>
              <w:rPr>
                <w:b/>
                <w:sz w:val="18"/>
                <w:szCs w:val="18"/>
              </w:rPr>
            </w:pPr>
            <w:r>
              <w:rPr>
                <w:b/>
                <w:sz w:val="18"/>
                <w:szCs w:val="18"/>
              </w:rPr>
              <w:t>Issues for discussion: Comments on Sphere</w:t>
            </w:r>
          </w:p>
        </w:tc>
        <w:tc>
          <w:tcPr>
            <w:tcW w:w="8788" w:type="dxa"/>
          </w:tcPr>
          <w:p w:rsidR="006D12D8" w:rsidRDefault="006D12D8" w:rsidP="00B14059">
            <w:pPr>
              <w:jc w:val="both"/>
              <w:rPr>
                <w:sz w:val="18"/>
                <w:szCs w:val="18"/>
              </w:rPr>
            </w:pPr>
            <w:r>
              <w:rPr>
                <w:sz w:val="18"/>
                <w:szCs w:val="18"/>
              </w:rPr>
              <w:t xml:space="preserve">A new Sphere Handbook has been released in November 2018. For GSC-related matters, the structure changed – from previously two sections on “Shelter” and “NFI” to a single approach in seven standards. Discussions focused on potential confusion for particular items (e.g. minimum sqm for living space per person). In these cases, the Cluster should </w:t>
            </w:r>
            <w:r w:rsidRPr="004F13F5">
              <w:rPr>
                <w:sz w:val="18"/>
                <w:szCs w:val="18"/>
              </w:rPr>
              <w:t xml:space="preserve">highlight </w:t>
            </w:r>
            <w:r w:rsidR="004F13F5">
              <w:rPr>
                <w:sz w:val="18"/>
                <w:szCs w:val="18"/>
              </w:rPr>
              <w:t xml:space="preserve">the difference between standards and indicators and </w:t>
            </w:r>
            <w:r w:rsidRPr="004F13F5">
              <w:rPr>
                <w:sz w:val="18"/>
                <w:szCs w:val="18"/>
              </w:rPr>
              <w:t>situations in which standards cannot be applied yet but will be in the future.</w:t>
            </w:r>
            <w:r>
              <w:rPr>
                <w:sz w:val="18"/>
                <w:szCs w:val="18"/>
              </w:rPr>
              <w:t xml:space="preserve"> </w:t>
            </w:r>
          </w:p>
          <w:p w:rsidR="006D12D8" w:rsidRDefault="006D12D8" w:rsidP="00B14059">
            <w:pPr>
              <w:jc w:val="both"/>
              <w:rPr>
                <w:sz w:val="18"/>
                <w:szCs w:val="18"/>
              </w:rPr>
            </w:pPr>
          </w:p>
          <w:p w:rsidR="006D12D8" w:rsidRPr="001D6A1E" w:rsidRDefault="006D12D8" w:rsidP="00B14059">
            <w:pPr>
              <w:jc w:val="both"/>
              <w:rPr>
                <w:sz w:val="18"/>
                <w:szCs w:val="18"/>
                <w:lang w:val="de-CH"/>
              </w:rPr>
            </w:pPr>
            <w:r>
              <w:rPr>
                <w:sz w:val="18"/>
                <w:szCs w:val="18"/>
              </w:rPr>
              <w:t xml:space="preserve">It was stressed that the Cluster does not aim to replace existing initiatives (such as Sphere) but to support on them. </w:t>
            </w:r>
          </w:p>
          <w:p w:rsidR="006D12D8" w:rsidRPr="00581070" w:rsidRDefault="006D12D8" w:rsidP="00B14059">
            <w:pPr>
              <w:jc w:val="both"/>
              <w:rPr>
                <w:sz w:val="18"/>
                <w:szCs w:val="18"/>
              </w:rPr>
            </w:pPr>
          </w:p>
        </w:tc>
        <w:tc>
          <w:tcPr>
            <w:tcW w:w="3828" w:type="dxa"/>
          </w:tcPr>
          <w:p w:rsidR="006D12D8" w:rsidRPr="00581070" w:rsidRDefault="006D12D8" w:rsidP="00B14059">
            <w:pPr>
              <w:jc w:val="both"/>
              <w:rPr>
                <w:sz w:val="18"/>
                <w:szCs w:val="18"/>
              </w:rPr>
            </w:pPr>
            <w:r>
              <w:rPr>
                <w:sz w:val="18"/>
                <w:szCs w:val="18"/>
              </w:rPr>
              <w:t>A position paper will be written by Joseph, in collaboration with Ela, Seki and Neil.</w:t>
            </w:r>
          </w:p>
        </w:tc>
      </w:tr>
      <w:tr w:rsidR="006D12D8" w:rsidRPr="00581070" w:rsidTr="004D6246">
        <w:tc>
          <w:tcPr>
            <w:tcW w:w="1413" w:type="dxa"/>
          </w:tcPr>
          <w:p w:rsidR="006D12D8" w:rsidRPr="00CA4D08" w:rsidRDefault="00146042" w:rsidP="00B14059">
            <w:pPr>
              <w:jc w:val="both"/>
              <w:rPr>
                <w:b/>
                <w:sz w:val="18"/>
                <w:szCs w:val="18"/>
              </w:rPr>
            </w:pPr>
            <w:r>
              <w:rPr>
                <w:b/>
                <w:sz w:val="18"/>
                <w:szCs w:val="18"/>
              </w:rPr>
              <w:t>Issues for discussion: Cluster membership</w:t>
            </w:r>
          </w:p>
        </w:tc>
        <w:tc>
          <w:tcPr>
            <w:tcW w:w="8788" w:type="dxa"/>
          </w:tcPr>
          <w:p w:rsidR="006D12D8" w:rsidRDefault="006D12D8" w:rsidP="00B14059">
            <w:pPr>
              <w:jc w:val="both"/>
              <w:rPr>
                <w:sz w:val="18"/>
                <w:szCs w:val="18"/>
              </w:rPr>
            </w:pPr>
            <w:r>
              <w:rPr>
                <w:sz w:val="18"/>
                <w:szCs w:val="18"/>
              </w:rPr>
              <w:t xml:space="preserve">Last year it came to the attention of the Cluster that many agencies listed as “partners” actually had no active contact with it. The discussion focused on </w:t>
            </w:r>
            <w:r w:rsidRPr="000424B0">
              <w:rPr>
                <w:sz w:val="18"/>
                <w:szCs w:val="18"/>
                <w:u w:val="single"/>
              </w:rPr>
              <w:t>what general requirements could be applied in order to be partners of the GSC</w:t>
            </w:r>
            <w:r>
              <w:rPr>
                <w:sz w:val="18"/>
                <w:szCs w:val="18"/>
              </w:rPr>
              <w:t>. It was agreed that agencies should commit to certain standards, e.g. engaging with the Cluster at country level, while avoiding an “over-formalisation” of the process.</w:t>
            </w:r>
          </w:p>
          <w:p w:rsidR="006D12D8" w:rsidRDefault="006D12D8" w:rsidP="00B14059">
            <w:pPr>
              <w:jc w:val="both"/>
              <w:rPr>
                <w:sz w:val="18"/>
                <w:szCs w:val="18"/>
              </w:rPr>
            </w:pPr>
          </w:p>
          <w:p w:rsidR="006D12D8" w:rsidRPr="00581070" w:rsidRDefault="006D12D8" w:rsidP="00B14059">
            <w:pPr>
              <w:jc w:val="both"/>
              <w:rPr>
                <w:sz w:val="18"/>
                <w:szCs w:val="18"/>
              </w:rPr>
            </w:pPr>
            <w:r>
              <w:rPr>
                <w:sz w:val="18"/>
                <w:szCs w:val="18"/>
              </w:rPr>
              <w:t xml:space="preserve">There are no more </w:t>
            </w:r>
            <w:r w:rsidRPr="001822CF">
              <w:rPr>
                <w:sz w:val="18"/>
                <w:szCs w:val="18"/>
                <w:u w:val="single"/>
              </w:rPr>
              <w:t>private sector members</w:t>
            </w:r>
            <w:r>
              <w:rPr>
                <w:sz w:val="18"/>
                <w:szCs w:val="18"/>
              </w:rPr>
              <w:t xml:space="preserve"> of the GSC. In the past there were some negative experiences and it is important to avoid any possible conflict of interest. Private companies can contribute for diversity, capacity building, research and development, and even information management. However, there will be a need for commitment from their side not to actively promote any of their products.</w:t>
            </w:r>
          </w:p>
        </w:tc>
        <w:tc>
          <w:tcPr>
            <w:tcW w:w="3828" w:type="dxa"/>
          </w:tcPr>
          <w:p w:rsidR="006D12D8" w:rsidRDefault="004F13F5" w:rsidP="00B14059">
            <w:pPr>
              <w:jc w:val="both"/>
              <w:rPr>
                <w:sz w:val="18"/>
                <w:szCs w:val="18"/>
              </w:rPr>
            </w:pPr>
            <w:r>
              <w:rPr>
                <w:sz w:val="18"/>
                <w:szCs w:val="18"/>
              </w:rPr>
              <w:t>SAG co-chairs</w:t>
            </w:r>
            <w:r w:rsidR="006D12D8">
              <w:rPr>
                <w:sz w:val="18"/>
                <w:szCs w:val="18"/>
              </w:rPr>
              <w:t xml:space="preserve"> will prepare a draft of partnership requirements and share it with the SAG for feedback.</w:t>
            </w:r>
          </w:p>
          <w:p w:rsidR="006D12D8" w:rsidRDefault="006D12D8" w:rsidP="00B14059">
            <w:pPr>
              <w:jc w:val="both"/>
              <w:rPr>
                <w:sz w:val="18"/>
                <w:szCs w:val="18"/>
              </w:rPr>
            </w:pPr>
          </w:p>
          <w:p w:rsidR="006D12D8" w:rsidRDefault="006D12D8" w:rsidP="00B14059">
            <w:pPr>
              <w:jc w:val="both"/>
              <w:rPr>
                <w:sz w:val="18"/>
                <w:szCs w:val="18"/>
              </w:rPr>
            </w:pPr>
          </w:p>
          <w:p w:rsidR="006D12D8" w:rsidRPr="00581070" w:rsidRDefault="004F13F5" w:rsidP="004F13F5">
            <w:pPr>
              <w:jc w:val="both"/>
              <w:rPr>
                <w:sz w:val="18"/>
                <w:szCs w:val="18"/>
              </w:rPr>
            </w:pPr>
            <w:r>
              <w:rPr>
                <w:sz w:val="18"/>
                <w:szCs w:val="18"/>
              </w:rPr>
              <w:t>A</w:t>
            </w:r>
            <w:r w:rsidR="006D12D8">
              <w:rPr>
                <w:sz w:val="18"/>
                <w:szCs w:val="18"/>
              </w:rPr>
              <w:t xml:space="preserve"> </w:t>
            </w:r>
            <w:r>
              <w:rPr>
                <w:sz w:val="18"/>
                <w:szCs w:val="18"/>
              </w:rPr>
              <w:t>mini</w:t>
            </w:r>
            <w:r w:rsidR="006D12D8">
              <w:rPr>
                <w:sz w:val="18"/>
                <w:szCs w:val="18"/>
              </w:rPr>
              <w:t xml:space="preserve"> SAG group can prepare a small proposal outlining how private sector companies can engage with the Cluster.</w:t>
            </w:r>
          </w:p>
        </w:tc>
      </w:tr>
      <w:tr w:rsidR="006D12D8" w:rsidRPr="00581070" w:rsidTr="004D6246">
        <w:tc>
          <w:tcPr>
            <w:tcW w:w="1413" w:type="dxa"/>
          </w:tcPr>
          <w:p w:rsidR="006D12D8" w:rsidRPr="00CA4D08" w:rsidRDefault="007A3B74" w:rsidP="00B14059">
            <w:pPr>
              <w:jc w:val="both"/>
              <w:rPr>
                <w:b/>
                <w:sz w:val="18"/>
                <w:szCs w:val="18"/>
              </w:rPr>
            </w:pPr>
            <w:r>
              <w:rPr>
                <w:b/>
                <w:sz w:val="18"/>
                <w:szCs w:val="18"/>
              </w:rPr>
              <w:t>Issues for discussion: Working group</w:t>
            </w:r>
          </w:p>
        </w:tc>
        <w:tc>
          <w:tcPr>
            <w:tcW w:w="8788" w:type="dxa"/>
          </w:tcPr>
          <w:p w:rsidR="006D12D8" w:rsidRDefault="006D12D8" w:rsidP="00B14059">
            <w:pPr>
              <w:jc w:val="both"/>
              <w:rPr>
                <w:sz w:val="18"/>
                <w:szCs w:val="18"/>
              </w:rPr>
            </w:pPr>
            <w:r>
              <w:rPr>
                <w:sz w:val="18"/>
                <w:szCs w:val="18"/>
              </w:rPr>
              <w:t xml:space="preserve">The </w:t>
            </w:r>
            <w:r w:rsidRPr="00C1693B">
              <w:rPr>
                <w:sz w:val="18"/>
                <w:szCs w:val="18"/>
                <w:u w:val="single"/>
              </w:rPr>
              <w:t>functioning of working groups</w:t>
            </w:r>
            <w:r>
              <w:rPr>
                <w:sz w:val="18"/>
                <w:szCs w:val="18"/>
              </w:rPr>
              <w:t xml:space="preserve"> is not formally written at the moment. Anyone wishing to start an initiative sends an activity proposal to the SAG for endorsement, and then a working group is established. Working groups should be multi-agency and take forward matters on behalf of the GSC.</w:t>
            </w:r>
          </w:p>
          <w:p w:rsidR="006D12D8" w:rsidRDefault="006D12D8" w:rsidP="00B14059">
            <w:pPr>
              <w:jc w:val="both"/>
              <w:rPr>
                <w:sz w:val="18"/>
                <w:szCs w:val="18"/>
              </w:rPr>
            </w:pPr>
          </w:p>
          <w:p w:rsidR="006D12D8" w:rsidRPr="00AD290E" w:rsidRDefault="006D12D8" w:rsidP="00B14059">
            <w:pPr>
              <w:jc w:val="both"/>
              <w:rPr>
                <w:sz w:val="18"/>
                <w:szCs w:val="18"/>
                <w:lang w:val="de-CH"/>
              </w:rPr>
            </w:pPr>
            <w:r>
              <w:rPr>
                <w:sz w:val="18"/>
                <w:szCs w:val="18"/>
              </w:rPr>
              <w:t xml:space="preserve">The working groups report to the SAG at least annually. It was agreed that the monitoring of the working groups should not be over-formalised, but </w:t>
            </w:r>
            <w:r w:rsidRPr="00B81D88">
              <w:rPr>
                <w:sz w:val="18"/>
                <w:szCs w:val="18"/>
                <w:u w:val="single"/>
              </w:rPr>
              <w:t>there should be clear coordination with the SAG to ensure synergies</w:t>
            </w:r>
            <w:r>
              <w:rPr>
                <w:sz w:val="18"/>
                <w:szCs w:val="18"/>
              </w:rPr>
              <w:t xml:space="preserve"> for cases such as common work or events across working groups, or to approach donors in a coordinated manner.</w:t>
            </w:r>
          </w:p>
          <w:p w:rsidR="006D12D8" w:rsidRDefault="006D12D8" w:rsidP="00B14059">
            <w:pPr>
              <w:jc w:val="both"/>
              <w:rPr>
                <w:sz w:val="18"/>
                <w:szCs w:val="18"/>
              </w:rPr>
            </w:pPr>
          </w:p>
        </w:tc>
        <w:tc>
          <w:tcPr>
            <w:tcW w:w="3828" w:type="dxa"/>
          </w:tcPr>
          <w:p w:rsidR="006D12D8" w:rsidRPr="00581070" w:rsidRDefault="006D12D8" w:rsidP="00B14059">
            <w:pPr>
              <w:jc w:val="both"/>
              <w:rPr>
                <w:sz w:val="18"/>
                <w:szCs w:val="18"/>
              </w:rPr>
            </w:pPr>
            <w:r>
              <w:rPr>
                <w:sz w:val="18"/>
                <w:szCs w:val="18"/>
              </w:rPr>
              <w:t>No action needed, but ensure clear communication between working groups and SAG.</w:t>
            </w:r>
          </w:p>
        </w:tc>
      </w:tr>
      <w:tr w:rsidR="006D12D8" w:rsidRPr="00581070" w:rsidTr="004D6246">
        <w:tc>
          <w:tcPr>
            <w:tcW w:w="1413" w:type="dxa"/>
          </w:tcPr>
          <w:p w:rsidR="006D12D8" w:rsidRPr="00CA4D08" w:rsidRDefault="00BD2177" w:rsidP="00B14059">
            <w:pPr>
              <w:jc w:val="both"/>
              <w:rPr>
                <w:b/>
                <w:sz w:val="18"/>
                <w:szCs w:val="18"/>
              </w:rPr>
            </w:pPr>
            <w:r>
              <w:rPr>
                <w:b/>
                <w:sz w:val="18"/>
                <w:szCs w:val="18"/>
              </w:rPr>
              <w:t>Issues for discussion: ECHO funding</w:t>
            </w:r>
          </w:p>
        </w:tc>
        <w:tc>
          <w:tcPr>
            <w:tcW w:w="8788" w:type="dxa"/>
          </w:tcPr>
          <w:p w:rsidR="006D12D8" w:rsidRDefault="006D12D8" w:rsidP="00B14059">
            <w:pPr>
              <w:jc w:val="both"/>
              <w:rPr>
                <w:sz w:val="18"/>
                <w:szCs w:val="18"/>
              </w:rPr>
            </w:pPr>
            <w:r>
              <w:rPr>
                <w:sz w:val="18"/>
                <w:szCs w:val="18"/>
              </w:rPr>
              <w:t xml:space="preserve">A paper was circulated with the exact amounts of </w:t>
            </w:r>
            <w:r w:rsidRPr="00E01052">
              <w:rPr>
                <w:sz w:val="18"/>
                <w:szCs w:val="18"/>
                <w:u w:val="single"/>
              </w:rPr>
              <w:t>ECHO-funding</w:t>
            </w:r>
            <w:r>
              <w:rPr>
                <w:sz w:val="18"/>
                <w:szCs w:val="18"/>
              </w:rPr>
              <w:t xml:space="preserve"> that will not be available anymore in 2019. The </w:t>
            </w:r>
            <w:r w:rsidRPr="00D71C38">
              <w:rPr>
                <w:sz w:val="18"/>
                <w:szCs w:val="18"/>
                <w:u w:val="single"/>
              </w:rPr>
              <w:t>main impact will be on surge capacity</w:t>
            </w:r>
            <w:r>
              <w:rPr>
                <w:sz w:val="18"/>
                <w:szCs w:val="18"/>
              </w:rPr>
              <w:t>, including the newly created roving IMO and coordinator positions, for which there is no plan at the moment. GSC staff is already funded through the Cluster lead agencies and will not be affected. Partner agencies can consider mainstreaming activities on which they are working.</w:t>
            </w:r>
          </w:p>
          <w:p w:rsidR="006D12D8" w:rsidRPr="00581070" w:rsidRDefault="006D12D8" w:rsidP="00B14059">
            <w:pPr>
              <w:jc w:val="both"/>
              <w:rPr>
                <w:sz w:val="18"/>
                <w:szCs w:val="18"/>
              </w:rPr>
            </w:pPr>
          </w:p>
        </w:tc>
        <w:tc>
          <w:tcPr>
            <w:tcW w:w="3828" w:type="dxa"/>
          </w:tcPr>
          <w:p w:rsidR="006D12D8" w:rsidRPr="00581070" w:rsidRDefault="00150343" w:rsidP="00B14059">
            <w:pPr>
              <w:jc w:val="both"/>
              <w:rPr>
                <w:sz w:val="18"/>
                <w:szCs w:val="18"/>
              </w:rPr>
            </w:pPr>
            <w:r>
              <w:rPr>
                <w:sz w:val="18"/>
                <w:szCs w:val="18"/>
              </w:rPr>
              <w:t>Each organisation should confirm to SAG co-chairs what resources they will be able to continue providing for the GSC in 2019 now that the ECHO funding is over.</w:t>
            </w:r>
          </w:p>
        </w:tc>
      </w:tr>
    </w:tbl>
    <w:p w:rsidR="006D12D8" w:rsidRDefault="006D12D8" w:rsidP="006D12D8">
      <w:pPr>
        <w:spacing w:after="0"/>
      </w:pPr>
    </w:p>
    <w:p w:rsidR="00945F73" w:rsidRPr="006D12D8" w:rsidRDefault="00945F73" w:rsidP="00781017">
      <w:pPr>
        <w:rPr>
          <w:b/>
        </w:rPr>
      </w:pPr>
    </w:p>
    <w:sectPr w:rsidR="00945F73" w:rsidRPr="006D12D8" w:rsidSect="00ED3CC8">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2F3" w:rsidRDefault="008552F3" w:rsidP="00C74D65">
      <w:pPr>
        <w:spacing w:after="0" w:line="240" w:lineRule="auto"/>
      </w:pPr>
      <w:r>
        <w:separator/>
      </w:r>
    </w:p>
  </w:endnote>
  <w:endnote w:type="continuationSeparator" w:id="0">
    <w:p w:rsidR="008552F3" w:rsidRDefault="008552F3" w:rsidP="00C7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2F3" w:rsidRDefault="008552F3" w:rsidP="00C74D65">
      <w:pPr>
        <w:spacing w:after="0" w:line="240" w:lineRule="auto"/>
      </w:pPr>
      <w:r>
        <w:separator/>
      </w:r>
    </w:p>
  </w:footnote>
  <w:footnote w:type="continuationSeparator" w:id="0">
    <w:p w:rsidR="008552F3" w:rsidRDefault="008552F3" w:rsidP="00C74D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059" w:rsidRPr="001171B8" w:rsidRDefault="00B14059" w:rsidP="00C74D65">
    <w:pPr>
      <w:pStyle w:val="Header"/>
      <w:rPr>
        <w:rFonts w:ascii="Verdana" w:hAnsi="Verdana"/>
        <w:sz w:val="14"/>
        <w:szCs w:val="14"/>
      </w:rPr>
    </w:pPr>
    <w:r w:rsidRPr="005C324F">
      <w:rPr>
        <w:rFonts w:ascii="Verdana" w:hAnsi="Verdana"/>
        <w:b/>
        <w:noProof/>
        <w:color w:val="7F1416"/>
        <w:sz w:val="16"/>
        <w:szCs w:val="16"/>
        <w:lang w:eastAsia="en-GB"/>
      </w:rPr>
      <w:drawing>
        <wp:anchor distT="0" distB="0" distL="114300" distR="114300" simplePos="0" relativeHeight="251659264" behindDoc="0" locked="0" layoutInCell="1" allowOverlap="1" wp14:anchorId="680462B4" wp14:editId="0B4B80F0">
          <wp:simplePos x="0" y="0"/>
          <wp:positionH relativeFrom="margin">
            <wp:align>left</wp:align>
          </wp:positionH>
          <wp:positionV relativeFrom="paragraph">
            <wp:posOffset>20320</wp:posOffset>
          </wp:positionV>
          <wp:extent cx="320040" cy="280670"/>
          <wp:effectExtent l="0" t="0" r="3810" b="5080"/>
          <wp:wrapSquare wrapText="right"/>
          <wp:docPr id="1" name="Picture 1"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color w:val="7F1416"/>
        <w:sz w:val="16"/>
        <w:szCs w:val="16"/>
      </w:rPr>
      <w:t>Global Shelter Cluster</w:t>
    </w:r>
  </w:p>
  <w:p w:rsidR="00B14059" w:rsidRPr="005C324F" w:rsidRDefault="00B14059" w:rsidP="00C74D65">
    <w:pPr>
      <w:pStyle w:val="Header"/>
      <w:rPr>
        <w:rFonts w:ascii="Verdana" w:hAnsi="Verdana"/>
        <w:color w:val="7F1416"/>
        <w:sz w:val="12"/>
        <w:szCs w:val="12"/>
      </w:rPr>
    </w:pPr>
    <w:r w:rsidRPr="005C324F">
      <w:rPr>
        <w:rFonts w:ascii="Verdana" w:hAnsi="Verdana"/>
        <w:color w:val="7F1416"/>
        <w:sz w:val="12"/>
        <w:szCs w:val="12"/>
      </w:rPr>
      <w:t>ShelterCluster.org</w:t>
    </w:r>
  </w:p>
  <w:p w:rsidR="00B14059" w:rsidRPr="005C324F" w:rsidRDefault="00B14059" w:rsidP="00C74D65">
    <w:pPr>
      <w:pStyle w:val="Header"/>
      <w:rPr>
        <w:rFonts w:ascii="Verdana" w:hAnsi="Verdana"/>
        <w:color w:val="595959"/>
        <w:sz w:val="12"/>
        <w:szCs w:val="12"/>
      </w:rPr>
    </w:pPr>
    <w:r w:rsidRPr="005C324F">
      <w:rPr>
        <w:rFonts w:ascii="Verdana" w:hAnsi="Verdana"/>
        <w:color w:val="595959"/>
        <w:sz w:val="12"/>
        <w:szCs w:val="12"/>
      </w:rPr>
      <w:t>Coordinating Humanitarian Shelter</w:t>
    </w:r>
  </w:p>
  <w:p w:rsidR="00B14059" w:rsidRPr="00C74D65" w:rsidRDefault="00B14059" w:rsidP="00C74D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67867"/>
    <w:multiLevelType w:val="hybridMultilevel"/>
    <w:tmpl w:val="D0643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C2A04"/>
    <w:multiLevelType w:val="hybridMultilevel"/>
    <w:tmpl w:val="4886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72AF1"/>
    <w:multiLevelType w:val="hybridMultilevel"/>
    <w:tmpl w:val="7FB25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614381"/>
    <w:multiLevelType w:val="hybridMultilevel"/>
    <w:tmpl w:val="F8AC6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B748F"/>
    <w:multiLevelType w:val="hybridMultilevel"/>
    <w:tmpl w:val="DF0A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81448"/>
    <w:multiLevelType w:val="hybridMultilevel"/>
    <w:tmpl w:val="1986774A"/>
    <w:lvl w:ilvl="0" w:tplc="A2A2959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34950"/>
    <w:multiLevelType w:val="hybridMultilevel"/>
    <w:tmpl w:val="6DD62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159FF"/>
    <w:multiLevelType w:val="hybridMultilevel"/>
    <w:tmpl w:val="94CAA7E0"/>
    <w:lvl w:ilvl="0" w:tplc="3B8CF9F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735C6C"/>
    <w:multiLevelType w:val="hybridMultilevel"/>
    <w:tmpl w:val="A57E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4847B8"/>
    <w:multiLevelType w:val="hybridMultilevel"/>
    <w:tmpl w:val="6058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C172F2"/>
    <w:multiLevelType w:val="hybridMultilevel"/>
    <w:tmpl w:val="04D00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E32150"/>
    <w:multiLevelType w:val="hybridMultilevel"/>
    <w:tmpl w:val="502A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1E2177"/>
    <w:multiLevelType w:val="hybridMultilevel"/>
    <w:tmpl w:val="F8B6E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11"/>
  </w:num>
  <w:num w:numId="5">
    <w:abstractNumId w:val="6"/>
  </w:num>
  <w:num w:numId="6">
    <w:abstractNumId w:val="9"/>
  </w:num>
  <w:num w:numId="7">
    <w:abstractNumId w:val="2"/>
  </w:num>
  <w:num w:numId="8">
    <w:abstractNumId w:val="0"/>
  </w:num>
  <w:num w:numId="9">
    <w:abstractNumId w:val="10"/>
  </w:num>
  <w:num w:numId="10">
    <w:abstractNumId w:val="12"/>
  </w:num>
  <w:num w:numId="11">
    <w:abstractNumId w:val="3"/>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CC8"/>
    <w:rsid w:val="00005ED5"/>
    <w:rsid w:val="00013C61"/>
    <w:rsid w:val="00016A17"/>
    <w:rsid w:val="00025090"/>
    <w:rsid w:val="00027959"/>
    <w:rsid w:val="00034C36"/>
    <w:rsid w:val="000352D9"/>
    <w:rsid w:val="00035886"/>
    <w:rsid w:val="00040168"/>
    <w:rsid w:val="00046697"/>
    <w:rsid w:val="000634F9"/>
    <w:rsid w:val="00063ED5"/>
    <w:rsid w:val="00071213"/>
    <w:rsid w:val="00071377"/>
    <w:rsid w:val="0007160B"/>
    <w:rsid w:val="0007358E"/>
    <w:rsid w:val="00074A4F"/>
    <w:rsid w:val="00075853"/>
    <w:rsid w:val="0007758D"/>
    <w:rsid w:val="0008176A"/>
    <w:rsid w:val="00092E30"/>
    <w:rsid w:val="00095659"/>
    <w:rsid w:val="000968D1"/>
    <w:rsid w:val="000A2CD6"/>
    <w:rsid w:val="000A3CCB"/>
    <w:rsid w:val="000A6954"/>
    <w:rsid w:val="000A716D"/>
    <w:rsid w:val="000B2BCC"/>
    <w:rsid w:val="000B469D"/>
    <w:rsid w:val="000C2435"/>
    <w:rsid w:val="000C7D59"/>
    <w:rsid w:val="000D0B4E"/>
    <w:rsid w:val="000D108A"/>
    <w:rsid w:val="000D6700"/>
    <w:rsid w:val="000D6E6D"/>
    <w:rsid w:val="000E0DB4"/>
    <w:rsid w:val="000E6B55"/>
    <w:rsid w:val="000E7CBD"/>
    <w:rsid w:val="000F167B"/>
    <w:rsid w:val="000F1D36"/>
    <w:rsid w:val="000F3350"/>
    <w:rsid w:val="000F6389"/>
    <w:rsid w:val="000F73B0"/>
    <w:rsid w:val="00110617"/>
    <w:rsid w:val="00112037"/>
    <w:rsid w:val="00115FB6"/>
    <w:rsid w:val="001208C9"/>
    <w:rsid w:val="0012726C"/>
    <w:rsid w:val="00132C66"/>
    <w:rsid w:val="001351BE"/>
    <w:rsid w:val="001411BA"/>
    <w:rsid w:val="00141EF8"/>
    <w:rsid w:val="00146042"/>
    <w:rsid w:val="00147A2A"/>
    <w:rsid w:val="00150343"/>
    <w:rsid w:val="00150C45"/>
    <w:rsid w:val="00153611"/>
    <w:rsid w:val="001602C2"/>
    <w:rsid w:val="0016311D"/>
    <w:rsid w:val="00165BC8"/>
    <w:rsid w:val="00180ADA"/>
    <w:rsid w:val="00184722"/>
    <w:rsid w:val="0018626E"/>
    <w:rsid w:val="00193A84"/>
    <w:rsid w:val="00197AFD"/>
    <w:rsid w:val="00197B39"/>
    <w:rsid w:val="001A1DD6"/>
    <w:rsid w:val="001B42F5"/>
    <w:rsid w:val="001B7044"/>
    <w:rsid w:val="001B78D5"/>
    <w:rsid w:val="001C2DD2"/>
    <w:rsid w:val="001C3210"/>
    <w:rsid w:val="001C59A3"/>
    <w:rsid w:val="001C5D32"/>
    <w:rsid w:val="001D0C49"/>
    <w:rsid w:val="001D107F"/>
    <w:rsid w:val="001E14E8"/>
    <w:rsid w:val="001E17D9"/>
    <w:rsid w:val="001E1BCC"/>
    <w:rsid w:val="001E29D8"/>
    <w:rsid w:val="001E2BA1"/>
    <w:rsid w:val="001E5BB5"/>
    <w:rsid w:val="001F58B2"/>
    <w:rsid w:val="001F7751"/>
    <w:rsid w:val="00204FC5"/>
    <w:rsid w:val="00206AB4"/>
    <w:rsid w:val="00206CBE"/>
    <w:rsid w:val="002141BF"/>
    <w:rsid w:val="002171B5"/>
    <w:rsid w:val="00225BE2"/>
    <w:rsid w:val="00225E53"/>
    <w:rsid w:val="00226353"/>
    <w:rsid w:val="00226E74"/>
    <w:rsid w:val="00236B5F"/>
    <w:rsid w:val="002472DA"/>
    <w:rsid w:val="002501D6"/>
    <w:rsid w:val="0025077C"/>
    <w:rsid w:val="00252598"/>
    <w:rsid w:val="0025366B"/>
    <w:rsid w:val="00253788"/>
    <w:rsid w:val="00257E64"/>
    <w:rsid w:val="00262421"/>
    <w:rsid w:val="00264094"/>
    <w:rsid w:val="00277F9B"/>
    <w:rsid w:val="00282327"/>
    <w:rsid w:val="00284419"/>
    <w:rsid w:val="00285D21"/>
    <w:rsid w:val="002905C3"/>
    <w:rsid w:val="002905DB"/>
    <w:rsid w:val="002910F3"/>
    <w:rsid w:val="00291134"/>
    <w:rsid w:val="0029196C"/>
    <w:rsid w:val="00291C81"/>
    <w:rsid w:val="00294EF8"/>
    <w:rsid w:val="00297752"/>
    <w:rsid w:val="002A271D"/>
    <w:rsid w:val="002B6C94"/>
    <w:rsid w:val="002B70F8"/>
    <w:rsid w:val="002C5470"/>
    <w:rsid w:val="002C638E"/>
    <w:rsid w:val="002D330C"/>
    <w:rsid w:val="002D5DE1"/>
    <w:rsid w:val="002D6183"/>
    <w:rsid w:val="002D6ED6"/>
    <w:rsid w:val="002D75A9"/>
    <w:rsid w:val="002E29E1"/>
    <w:rsid w:val="002E3467"/>
    <w:rsid w:val="002F093A"/>
    <w:rsid w:val="002F5717"/>
    <w:rsid w:val="003054A3"/>
    <w:rsid w:val="00306010"/>
    <w:rsid w:val="00306B85"/>
    <w:rsid w:val="003102A2"/>
    <w:rsid w:val="00312B81"/>
    <w:rsid w:val="003141A9"/>
    <w:rsid w:val="0032052C"/>
    <w:rsid w:val="00320840"/>
    <w:rsid w:val="00323804"/>
    <w:rsid w:val="0033219C"/>
    <w:rsid w:val="00337263"/>
    <w:rsid w:val="00340D01"/>
    <w:rsid w:val="00343018"/>
    <w:rsid w:val="003435BB"/>
    <w:rsid w:val="00344D75"/>
    <w:rsid w:val="00347AFA"/>
    <w:rsid w:val="00347E78"/>
    <w:rsid w:val="00350B68"/>
    <w:rsid w:val="003512DC"/>
    <w:rsid w:val="0035356F"/>
    <w:rsid w:val="00356E75"/>
    <w:rsid w:val="00357D3F"/>
    <w:rsid w:val="00363672"/>
    <w:rsid w:val="003646A1"/>
    <w:rsid w:val="00377283"/>
    <w:rsid w:val="003921E9"/>
    <w:rsid w:val="003935F6"/>
    <w:rsid w:val="00396D31"/>
    <w:rsid w:val="003A152F"/>
    <w:rsid w:val="003A73E9"/>
    <w:rsid w:val="003A7F8F"/>
    <w:rsid w:val="003B3AA8"/>
    <w:rsid w:val="003B5136"/>
    <w:rsid w:val="003B6DDF"/>
    <w:rsid w:val="003C0FC1"/>
    <w:rsid w:val="003C16CE"/>
    <w:rsid w:val="003C2AE3"/>
    <w:rsid w:val="003C5347"/>
    <w:rsid w:val="003C6D88"/>
    <w:rsid w:val="003C71B4"/>
    <w:rsid w:val="003D0C47"/>
    <w:rsid w:val="003D1CB4"/>
    <w:rsid w:val="003D1FC8"/>
    <w:rsid w:val="003D5373"/>
    <w:rsid w:val="003E0ED3"/>
    <w:rsid w:val="003E4F01"/>
    <w:rsid w:val="003F23B2"/>
    <w:rsid w:val="003F2CB9"/>
    <w:rsid w:val="003F3634"/>
    <w:rsid w:val="00400153"/>
    <w:rsid w:val="00405D31"/>
    <w:rsid w:val="00411B6A"/>
    <w:rsid w:val="00413F32"/>
    <w:rsid w:val="0042303C"/>
    <w:rsid w:val="00424CD3"/>
    <w:rsid w:val="0043001F"/>
    <w:rsid w:val="00442643"/>
    <w:rsid w:val="0045038D"/>
    <w:rsid w:val="00451557"/>
    <w:rsid w:val="004531D5"/>
    <w:rsid w:val="00453550"/>
    <w:rsid w:val="00454E3B"/>
    <w:rsid w:val="004579EA"/>
    <w:rsid w:val="0046472D"/>
    <w:rsid w:val="00465983"/>
    <w:rsid w:val="00466AD0"/>
    <w:rsid w:val="0046726D"/>
    <w:rsid w:val="004928DD"/>
    <w:rsid w:val="004A1488"/>
    <w:rsid w:val="004A3689"/>
    <w:rsid w:val="004A41B6"/>
    <w:rsid w:val="004A5B4E"/>
    <w:rsid w:val="004A6DB2"/>
    <w:rsid w:val="004B0833"/>
    <w:rsid w:val="004B0E4D"/>
    <w:rsid w:val="004C10C5"/>
    <w:rsid w:val="004C1284"/>
    <w:rsid w:val="004D42F9"/>
    <w:rsid w:val="004D6246"/>
    <w:rsid w:val="004E1972"/>
    <w:rsid w:val="004E35F3"/>
    <w:rsid w:val="004E4EE5"/>
    <w:rsid w:val="004E5ACD"/>
    <w:rsid w:val="004F13F5"/>
    <w:rsid w:val="004F2566"/>
    <w:rsid w:val="004F5074"/>
    <w:rsid w:val="004F64DC"/>
    <w:rsid w:val="004F7DF7"/>
    <w:rsid w:val="00512AA8"/>
    <w:rsid w:val="00513256"/>
    <w:rsid w:val="005238D5"/>
    <w:rsid w:val="00525234"/>
    <w:rsid w:val="00527469"/>
    <w:rsid w:val="00531B72"/>
    <w:rsid w:val="0053382B"/>
    <w:rsid w:val="00534EBF"/>
    <w:rsid w:val="00535CA6"/>
    <w:rsid w:val="005408BF"/>
    <w:rsid w:val="00544F42"/>
    <w:rsid w:val="00544F89"/>
    <w:rsid w:val="00553733"/>
    <w:rsid w:val="00554346"/>
    <w:rsid w:val="0055584A"/>
    <w:rsid w:val="00555EF8"/>
    <w:rsid w:val="00561379"/>
    <w:rsid w:val="0056148B"/>
    <w:rsid w:val="00563658"/>
    <w:rsid w:val="00565A31"/>
    <w:rsid w:val="005712B7"/>
    <w:rsid w:val="00571A6C"/>
    <w:rsid w:val="00575474"/>
    <w:rsid w:val="00576952"/>
    <w:rsid w:val="0058446A"/>
    <w:rsid w:val="0058658B"/>
    <w:rsid w:val="00590786"/>
    <w:rsid w:val="005925CA"/>
    <w:rsid w:val="0059497B"/>
    <w:rsid w:val="005A01B7"/>
    <w:rsid w:val="005A181C"/>
    <w:rsid w:val="005A4784"/>
    <w:rsid w:val="005B1059"/>
    <w:rsid w:val="005B48E2"/>
    <w:rsid w:val="005C05A4"/>
    <w:rsid w:val="005C4A94"/>
    <w:rsid w:val="005D2F5C"/>
    <w:rsid w:val="005D3477"/>
    <w:rsid w:val="005D51F8"/>
    <w:rsid w:val="005D6B24"/>
    <w:rsid w:val="005E0EDA"/>
    <w:rsid w:val="005E5540"/>
    <w:rsid w:val="005F0829"/>
    <w:rsid w:val="005F2469"/>
    <w:rsid w:val="005F2E26"/>
    <w:rsid w:val="005F7421"/>
    <w:rsid w:val="00601566"/>
    <w:rsid w:val="00602360"/>
    <w:rsid w:val="00604482"/>
    <w:rsid w:val="00605A2B"/>
    <w:rsid w:val="00605E5C"/>
    <w:rsid w:val="00613178"/>
    <w:rsid w:val="00613610"/>
    <w:rsid w:val="00616078"/>
    <w:rsid w:val="00622B94"/>
    <w:rsid w:val="006232E6"/>
    <w:rsid w:val="00624695"/>
    <w:rsid w:val="00627568"/>
    <w:rsid w:val="00632843"/>
    <w:rsid w:val="0063474F"/>
    <w:rsid w:val="00635939"/>
    <w:rsid w:val="00636E3C"/>
    <w:rsid w:val="00641B12"/>
    <w:rsid w:val="006507A0"/>
    <w:rsid w:val="006526BF"/>
    <w:rsid w:val="006541D2"/>
    <w:rsid w:val="006544AB"/>
    <w:rsid w:val="00655BF2"/>
    <w:rsid w:val="006567C5"/>
    <w:rsid w:val="00657657"/>
    <w:rsid w:val="00657853"/>
    <w:rsid w:val="006634CA"/>
    <w:rsid w:val="00664E67"/>
    <w:rsid w:val="0067041D"/>
    <w:rsid w:val="006711B4"/>
    <w:rsid w:val="00675F2B"/>
    <w:rsid w:val="0068129F"/>
    <w:rsid w:val="00683DE8"/>
    <w:rsid w:val="00687E08"/>
    <w:rsid w:val="00691D87"/>
    <w:rsid w:val="0069214A"/>
    <w:rsid w:val="00692BFF"/>
    <w:rsid w:val="006A1184"/>
    <w:rsid w:val="006B2788"/>
    <w:rsid w:val="006B4272"/>
    <w:rsid w:val="006B48E2"/>
    <w:rsid w:val="006B5CAD"/>
    <w:rsid w:val="006B620F"/>
    <w:rsid w:val="006C1992"/>
    <w:rsid w:val="006D12D8"/>
    <w:rsid w:val="006D3682"/>
    <w:rsid w:val="006D5328"/>
    <w:rsid w:val="006D5534"/>
    <w:rsid w:val="006D61C9"/>
    <w:rsid w:val="006D77C8"/>
    <w:rsid w:val="006F294A"/>
    <w:rsid w:val="006F296D"/>
    <w:rsid w:val="006F321A"/>
    <w:rsid w:val="006F4423"/>
    <w:rsid w:val="006F54EA"/>
    <w:rsid w:val="006F6CE5"/>
    <w:rsid w:val="006F6F6C"/>
    <w:rsid w:val="00702028"/>
    <w:rsid w:val="007031FE"/>
    <w:rsid w:val="007141D7"/>
    <w:rsid w:val="0071586B"/>
    <w:rsid w:val="00720692"/>
    <w:rsid w:val="00723FDB"/>
    <w:rsid w:val="0072641A"/>
    <w:rsid w:val="00727902"/>
    <w:rsid w:val="007372EA"/>
    <w:rsid w:val="00737FD6"/>
    <w:rsid w:val="0074077D"/>
    <w:rsid w:val="007410FD"/>
    <w:rsid w:val="00744612"/>
    <w:rsid w:val="00745413"/>
    <w:rsid w:val="007475BD"/>
    <w:rsid w:val="007504B7"/>
    <w:rsid w:val="00752304"/>
    <w:rsid w:val="007670CD"/>
    <w:rsid w:val="0077053A"/>
    <w:rsid w:val="00777F35"/>
    <w:rsid w:val="00780F3E"/>
    <w:rsid w:val="00781017"/>
    <w:rsid w:val="00782324"/>
    <w:rsid w:val="00783BB7"/>
    <w:rsid w:val="00785938"/>
    <w:rsid w:val="007900EE"/>
    <w:rsid w:val="0079181F"/>
    <w:rsid w:val="0079450D"/>
    <w:rsid w:val="00795AC6"/>
    <w:rsid w:val="007A0403"/>
    <w:rsid w:val="007A347E"/>
    <w:rsid w:val="007A3B74"/>
    <w:rsid w:val="007A4B79"/>
    <w:rsid w:val="007A5080"/>
    <w:rsid w:val="007A66D3"/>
    <w:rsid w:val="007B2A95"/>
    <w:rsid w:val="007B59B8"/>
    <w:rsid w:val="007B5F49"/>
    <w:rsid w:val="007D3692"/>
    <w:rsid w:val="007E000B"/>
    <w:rsid w:val="007E001C"/>
    <w:rsid w:val="007E1E82"/>
    <w:rsid w:val="007E5313"/>
    <w:rsid w:val="007E5CBB"/>
    <w:rsid w:val="007E72CB"/>
    <w:rsid w:val="007F041F"/>
    <w:rsid w:val="007F3669"/>
    <w:rsid w:val="007F3B29"/>
    <w:rsid w:val="007F5343"/>
    <w:rsid w:val="007F5F05"/>
    <w:rsid w:val="007F6549"/>
    <w:rsid w:val="007F65D5"/>
    <w:rsid w:val="008040B1"/>
    <w:rsid w:val="008050F5"/>
    <w:rsid w:val="00807623"/>
    <w:rsid w:val="008177BB"/>
    <w:rsid w:val="00820091"/>
    <w:rsid w:val="00821280"/>
    <w:rsid w:val="00826488"/>
    <w:rsid w:val="00832565"/>
    <w:rsid w:val="00834B19"/>
    <w:rsid w:val="00835497"/>
    <w:rsid w:val="00836450"/>
    <w:rsid w:val="00844126"/>
    <w:rsid w:val="008524E2"/>
    <w:rsid w:val="008552F3"/>
    <w:rsid w:val="008609C2"/>
    <w:rsid w:val="008611F2"/>
    <w:rsid w:val="00865056"/>
    <w:rsid w:val="008665BE"/>
    <w:rsid w:val="0086661D"/>
    <w:rsid w:val="008756A7"/>
    <w:rsid w:val="00881C44"/>
    <w:rsid w:val="00882EA5"/>
    <w:rsid w:val="008917F3"/>
    <w:rsid w:val="00893FE9"/>
    <w:rsid w:val="008944F9"/>
    <w:rsid w:val="008948EB"/>
    <w:rsid w:val="00894C0C"/>
    <w:rsid w:val="0089655C"/>
    <w:rsid w:val="00896FE9"/>
    <w:rsid w:val="00897843"/>
    <w:rsid w:val="008A0943"/>
    <w:rsid w:val="008A1A88"/>
    <w:rsid w:val="008B05AE"/>
    <w:rsid w:val="008B230C"/>
    <w:rsid w:val="008B37E3"/>
    <w:rsid w:val="008B465D"/>
    <w:rsid w:val="008B56FB"/>
    <w:rsid w:val="008B5FA2"/>
    <w:rsid w:val="008B7C0D"/>
    <w:rsid w:val="008B7FAF"/>
    <w:rsid w:val="008C0553"/>
    <w:rsid w:val="008C3979"/>
    <w:rsid w:val="008C589A"/>
    <w:rsid w:val="008D4608"/>
    <w:rsid w:val="008D6C71"/>
    <w:rsid w:val="008E090A"/>
    <w:rsid w:val="008E2B80"/>
    <w:rsid w:val="008E59D0"/>
    <w:rsid w:val="008E7F38"/>
    <w:rsid w:val="008F2E1B"/>
    <w:rsid w:val="008F58C0"/>
    <w:rsid w:val="008F678F"/>
    <w:rsid w:val="008F6DEA"/>
    <w:rsid w:val="0090175E"/>
    <w:rsid w:val="00912253"/>
    <w:rsid w:val="00913EEB"/>
    <w:rsid w:val="00914440"/>
    <w:rsid w:val="00914A57"/>
    <w:rsid w:val="00917016"/>
    <w:rsid w:val="00920790"/>
    <w:rsid w:val="009217EB"/>
    <w:rsid w:val="00930BB3"/>
    <w:rsid w:val="00936A58"/>
    <w:rsid w:val="00940090"/>
    <w:rsid w:val="00941CF6"/>
    <w:rsid w:val="00945F73"/>
    <w:rsid w:val="00946AD5"/>
    <w:rsid w:val="00953FB9"/>
    <w:rsid w:val="009562DB"/>
    <w:rsid w:val="00961444"/>
    <w:rsid w:val="00961CCE"/>
    <w:rsid w:val="0096209D"/>
    <w:rsid w:val="0097579A"/>
    <w:rsid w:val="0097790D"/>
    <w:rsid w:val="00984F0E"/>
    <w:rsid w:val="00984FF2"/>
    <w:rsid w:val="0099512E"/>
    <w:rsid w:val="00997DF0"/>
    <w:rsid w:val="009A328A"/>
    <w:rsid w:val="009A63E0"/>
    <w:rsid w:val="009B13E8"/>
    <w:rsid w:val="009B452E"/>
    <w:rsid w:val="009B7855"/>
    <w:rsid w:val="009C1969"/>
    <w:rsid w:val="009C3144"/>
    <w:rsid w:val="009C33C0"/>
    <w:rsid w:val="009C4CCF"/>
    <w:rsid w:val="009C691E"/>
    <w:rsid w:val="009E0154"/>
    <w:rsid w:val="009E4D6F"/>
    <w:rsid w:val="009E5A40"/>
    <w:rsid w:val="009F75B5"/>
    <w:rsid w:val="00A029FF"/>
    <w:rsid w:val="00A0500E"/>
    <w:rsid w:val="00A06594"/>
    <w:rsid w:val="00A06FAD"/>
    <w:rsid w:val="00A12D71"/>
    <w:rsid w:val="00A14D15"/>
    <w:rsid w:val="00A159A9"/>
    <w:rsid w:val="00A164E1"/>
    <w:rsid w:val="00A20AEC"/>
    <w:rsid w:val="00A23215"/>
    <w:rsid w:val="00A260EC"/>
    <w:rsid w:val="00A2772F"/>
    <w:rsid w:val="00A31C81"/>
    <w:rsid w:val="00A323B1"/>
    <w:rsid w:val="00A32554"/>
    <w:rsid w:val="00A340C7"/>
    <w:rsid w:val="00A46502"/>
    <w:rsid w:val="00A525FF"/>
    <w:rsid w:val="00A52642"/>
    <w:rsid w:val="00A52A1E"/>
    <w:rsid w:val="00A54013"/>
    <w:rsid w:val="00A54E9F"/>
    <w:rsid w:val="00A56D68"/>
    <w:rsid w:val="00A61E8F"/>
    <w:rsid w:val="00A67681"/>
    <w:rsid w:val="00A718A1"/>
    <w:rsid w:val="00A753FA"/>
    <w:rsid w:val="00A7751F"/>
    <w:rsid w:val="00A9227A"/>
    <w:rsid w:val="00A9355C"/>
    <w:rsid w:val="00A95BFA"/>
    <w:rsid w:val="00AA1436"/>
    <w:rsid w:val="00AA4676"/>
    <w:rsid w:val="00AB40A6"/>
    <w:rsid w:val="00AB7C1C"/>
    <w:rsid w:val="00AC012D"/>
    <w:rsid w:val="00AC465B"/>
    <w:rsid w:val="00AC7A58"/>
    <w:rsid w:val="00AD52E0"/>
    <w:rsid w:val="00AD58CC"/>
    <w:rsid w:val="00AE1CC7"/>
    <w:rsid w:val="00AE6B31"/>
    <w:rsid w:val="00AF08C2"/>
    <w:rsid w:val="00AF5BB0"/>
    <w:rsid w:val="00B00A37"/>
    <w:rsid w:val="00B01949"/>
    <w:rsid w:val="00B03832"/>
    <w:rsid w:val="00B11AB1"/>
    <w:rsid w:val="00B14059"/>
    <w:rsid w:val="00B21C94"/>
    <w:rsid w:val="00B254B8"/>
    <w:rsid w:val="00B36104"/>
    <w:rsid w:val="00B36515"/>
    <w:rsid w:val="00B36E3C"/>
    <w:rsid w:val="00B40E22"/>
    <w:rsid w:val="00B460F9"/>
    <w:rsid w:val="00B46555"/>
    <w:rsid w:val="00B47545"/>
    <w:rsid w:val="00B501DD"/>
    <w:rsid w:val="00B5508E"/>
    <w:rsid w:val="00B555BF"/>
    <w:rsid w:val="00B561B3"/>
    <w:rsid w:val="00B56DC7"/>
    <w:rsid w:val="00B5791B"/>
    <w:rsid w:val="00B641C5"/>
    <w:rsid w:val="00B71F31"/>
    <w:rsid w:val="00B76501"/>
    <w:rsid w:val="00B8307D"/>
    <w:rsid w:val="00B84BBC"/>
    <w:rsid w:val="00B87787"/>
    <w:rsid w:val="00B91000"/>
    <w:rsid w:val="00B924EF"/>
    <w:rsid w:val="00B92E4E"/>
    <w:rsid w:val="00B94BAF"/>
    <w:rsid w:val="00B957B9"/>
    <w:rsid w:val="00BA1042"/>
    <w:rsid w:val="00BA1E43"/>
    <w:rsid w:val="00BB4778"/>
    <w:rsid w:val="00BB6F69"/>
    <w:rsid w:val="00BC1686"/>
    <w:rsid w:val="00BC19E0"/>
    <w:rsid w:val="00BC1D49"/>
    <w:rsid w:val="00BC1D70"/>
    <w:rsid w:val="00BC2901"/>
    <w:rsid w:val="00BD194E"/>
    <w:rsid w:val="00BD2177"/>
    <w:rsid w:val="00BD2627"/>
    <w:rsid w:val="00BD3E38"/>
    <w:rsid w:val="00BD7BBB"/>
    <w:rsid w:val="00BF0528"/>
    <w:rsid w:val="00C0026B"/>
    <w:rsid w:val="00C0317E"/>
    <w:rsid w:val="00C1566D"/>
    <w:rsid w:val="00C16C74"/>
    <w:rsid w:val="00C1750C"/>
    <w:rsid w:val="00C21BE1"/>
    <w:rsid w:val="00C22201"/>
    <w:rsid w:val="00C2348C"/>
    <w:rsid w:val="00C24EE3"/>
    <w:rsid w:val="00C313CE"/>
    <w:rsid w:val="00C34766"/>
    <w:rsid w:val="00C40DE3"/>
    <w:rsid w:val="00C4656E"/>
    <w:rsid w:val="00C470A2"/>
    <w:rsid w:val="00C473BF"/>
    <w:rsid w:val="00C47B4A"/>
    <w:rsid w:val="00C50EB6"/>
    <w:rsid w:val="00C515EC"/>
    <w:rsid w:val="00C522D7"/>
    <w:rsid w:val="00C54199"/>
    <w:rsid w:val="00C6016A"/>
    <w:rsid w:val="00C66DAB"/>
    <w:rsid w:val="00C74D65"/>
    <w:rsid w:val="00C84676"/>
    <w:rsid w:val="00C86F02"/>
    <w:rsid w:val="00C90A2F"/>
    <w:rsid w:val="00CA16E4"/>
    <w:rsid w:val="00CA2F1A"/>
    <w:rsid w:val="00CA4202"/>
    <w:rsid w:val="00CA6398"/>
    <w:rsid w:val="00CA76A8"/>
    <w:rsid w:val="00CB22AE"/>
    <w:rsid w:val="00CB5645"/>
    <w:rsid w:val="00CB7B4C"/>
    <w:rsid w:val="00CC02A8"/>
    <w:rsid w:val="00CC4C0B"/>
    <w:rsid w:val="00CD0492"/>
    <w:rsid w:val="00CD08F1"/>
    <w:rsid w:val="00CD1A2F"/>
    <w:rsid w:val="00CD5506"/>
    <w:rsid w:val="00CD5FB0"/>
    <w:rsid w:val="00CD79C4"/>
    <w:rsid w:val="00CF1652"/>
    <w:rsid w:val="00D0059B"/>
    <w:rsid w:val="00D0335C"/>
    <w:rsid w:val="00D10805"/>
    <w:rsid w:val="00D12AFE"/>
    <w:rsid w:val="00D132DD"/>
    <w:rsid w:val="00D13998"/>
    <w:rsid w:val="00D146D5"/>
    <w:rsid w:val="00D22508"/>
    <w:rsid w:val="00D2340C"/>
    <w:rsid w:val="00D33E79"/>
    <w:rsid w:val="00D3539F"/>
    <w:rsid w:val="00D370D1"/>
    <w:rsid w:val="00D418F1"/>
    <w:rsid w:val="00D43334"/>
    <w:rsid w:val="00D45A24"/>
    <w:rsid w:val="00D461F2"/>
    <w:rsid w:val="00D50B00"/>
    <w:rsid w:val="00D51C97"/>
    <w:rsid w:val="00D541C3"/>
    <w:rsid w:val="00D6132E"/>
    <w:rsid w:val="00D61917"/>
    <w:rsid w:val="00D62350"/>
    <w:rsid w:val="00D63731"/>
    <w:rsid w:val="00D6404F"/>
    <w:rsid w:val="00D67177"/>
    <w:rsid w:val="00D8090F"/>
    <w:rsid w:val="00D81746"/>
    <w:rsid w:val="00D8227B"/>
    <w:rsid w:val="00D82762"/>
    <w:rsid w:val="00D83BEF"/>
    <w:rsid w:val="00D85C84"/>
    <w:rsid w:val="00D86129"/>
    <w:rsid w:val="00D90AF6"/>
    <w:rsid w:val="00D9186F"/>
    <w:rsid w:val="00D9418A"/>
    <w:rsid w:val="00D951FD"/>
    <w:rsid w:val="00D9731A"/>
    <w:rsid w:val="00DA0ADA"/>
    <w:rsid w:val="00DA31A1"/>
    <w:rsid w:val="00DA449E"/>
    <w:rsid w:val="00DA512F"/>
    <w:rsid w:val="00DB0A51"/>
    <w:rsid w:val="00DB3163"/>
    <w:rsid w:val="00DB58F3"/>
    <w:rsid w:val="00DB6899"/>
    <w:rsid w:val="00DB78E0"/>
    <w:rsid w:val="00DC0D2C"/>
    <w:rsid w:val="00DC0FAD"/>
    <w:rsid w:val="00DC169C"/>
    <w:rsid w:val="00DC391C"/>
    <w:rsid w:val="00DC5ED5"/>
    <w:rsid w:val="00DC63D0"/>
    <w:rsid w:val="00DC66CF"/>
    <w:rsid w:val="00DC7282"/>
    <w:rsid w:val="00DD5A49"/>
    <w:rsid w:val="00DD7CFA"/>
    <w:rsid w:val="00DE278E"/>
    <w:rsid w:val="00DE58E9"/>
    <w:rsid w:val="00DE5C8C"/>
    <w:rsid w:val="00DE7879"/>
    <w:rsid w:val="00DF072C"/>
    <w:rsid w:val="00DF38A5"/>
    <w:rsid w:val="00DF56F6"/>
    <w:rsid w:val="00DF576A"/>
    <w:rsid w:val="00E023C6"/>
    <w:rsid w:val="00E03762"/>
    <w:rsid w:val="00E04ECE"/>
    <w:rsid w:val="00E12523"/>
    <w:rsid w:val="00E161EB"/>
    <w:rsid w:val="00E17697"/>
    <w:rsid w:val="00E2510B"/>
    <w:rsid w:val="00E26E1D"/>
    <w:rsid w:val="00E440D0"/>
    <w:rsid w:val="00E45EB6"/>
    <w:rsid w:val="00E50F19"/>
    <w:rsid w:val="00E555E4"/>
    <w:rsid w:val="00E56622"/>
    <w:rsid w:val="00E62E48"/>
    <w:rsid w:val="00E6558E"/>
    <w:rsid w:val="00E66A57"/>
    <w:rsid w:val="00E7141B"/>
    <w:rsid w:val="00E720B3"/>
    <w:rsid w:val="00E75690"/>
    <w:rsid w:val="00E834EA"/>
    <w:rsid w:val="00E91DDC"/>
    <w:rsid w:val="00EA1E21"/>
    <w:rsid w:val="00EA62E0"/>
    <w:rsid w:val="00EA6D24"/>
    <w:rsid w:val="00EA7FEC"/>
    <w:rsid w:val="00EB44E4"/>
    <w:rsid w:val="00EC01D7"/>
    <w:rsid w:val="00EC5A80"/>
    <w:rsid w:val="00ED03FE"/>
    <w:rsid w:val="00ED1E01"/>
    <w:rsid w:val="00ED3CC8"/>
    <w:rsid w:val="00EE0FCD"/>
    <w:rsid w:val="00EE73E9"/>
    <w:rsid w:val="00EF0D62"/>
    <w:rsid w:val="00EF1B6F"/>
    <w:rsid w:val="00F01EEC"/>
    <w:rsid w:val="00F05294"/>
    <w:rsid w:val="00F07954"/>
    <w:rsid w:val="00F1026F"/>
    <w:rsid w:val="00F11527"/>
    <w:rsid w:val="00F20B60"/>
    <w:rsid w:val="00F23E4B"/>
    <w:rsid w:val="00F329BE"/>
    <w:rsid w:val="00F33B1C"/>
    <w:rsid w:val="00F53048"/>
    <w:rsid w:val="00F537A9"/>
    <w:rsid w:val="00F54828"/>
    <w:rsid w:val="00F629B7"/>
    <w:rsid w:val="00F62D94"/>
    <w:rsid w:val="00F630D3"/>
    <w:rsid w:val="00F7196C"/>
    <w:rsid w:val="00F7700E"/>
    <w:rsid w:val="00F81077"/>
    <w:rsid w:val="00F87865"/>
    <w:rsid w:val="00F9012B"/>
    <w:rsid w:val="00F90C83"/>
    <w:rsid w:val="00F953A4"/>
    <w:rsid w:val="00FA565D"/>
    <w:rsid w:val="00FA5BF7"/>
    <w:rsid w:val="00FC1E4A"/>
    <w:rsid w:val="00FC43B4"/>
    <w:rsid w:val="00FC507D"/>
    <w:rsid w:val="00FD10DA"/>
    <w:rsid w:val="00FD30DC"/>
    <w:rsid w:val="00FD3637"/>
    <w:rsid w:val="00FD4646"/>
    <w:rsid w:val="00FD4C52"/>
    <w:rsid w:val="00FE0093"/>
    <w:rsid w:val="00FE3139"/>
    <w:rsid w:val="00FE39B2"/>
    <w:rsid w:val="00FE4A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BBD15-6746-4BE2-8550-15CE322D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08F1"/>
    <w:pPr>
      <w:ind w:left="720"/>
      <w:contextualSpacing/>
    </w:pPr>
  </w:style>
  <w:style w:type="paragraph" w:styleId="Header">
    <w:name w:val="header"/>
    <w:basedOn w:val="Normal"/>
    <w:link w:val="HeaderChar"/>
    <w:uiPriority w:val="99"/>
    <w:unhideWhenUsed/>
    <w:rsid w:val="00C74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D65"/>
  </w:style>
  <w:style w:type="paragraph" w:styleId="Footer">
    <w:name w:val="footer"/>
    <w:basedOn w:val="Normal"/>
    <w:link w:val="FooterChar"/>
    <w:uiPriority w:val="99"/>
    <w:unhideWhenUsed/>
    <w:rsid w:val="00C74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D65"/>
  </w:style>
  <w:style w:type="character" w:styleId="Hyperlink">
    <w:name w:val="Hyperlink"/>
    <w:basedOn w:val="DefaultParagraphFont"/>
    <w:uiPriority w:val="99"/>
    <w:unhideWhenUsed/>
    <w:rsid w:val="009B13E8"/>
    <w:rPr>
      <w:color w:val="0563C1" w:themeColor="hyperlink"/>
      <w:u w:val="single"/>
    </w:rPr>
  </w:style>
  <w:style w:type="character" w:styleId="CommentReference">
    <w:name w:val="annotation reference"/>
    <w:basedOn w:val="DefaultParagraphFont"/>
    <w:uiPriority w:val="99"/>
    <w:semiHidden/>
    <w:unhideWhenUsed/>
    <w:rsid w:val="00115FB6"/>
    <w:rPr>
      <w:sz w:val="16"/>
      <w:szCs w:val="16"/>
    </w:rPr>
  </w:style>
  <w:style w:type="paragraph" w:styleId="CommentText">
    <w:name w:val="annotation text"/>
    <w:basedOn w:val="Normal"/>
    <w:link w:val="CommentTextChar"/>
    <w:uiPriority w:val="99"/>
    <w:semiHidden/>
    <w:unhideWhenUsed/>
    <w:rsid w:val="00115FB6"/>
    <w:pPr>
      <w:spacing w:line="240" w:lineRule="auto"/>
    </w:pPr>
    <w:rPr>
      <w:sz w:val="20"/>
      <w:szCs w:val="20"/>
    </w:rPr>
  </w:style>
  <w:style w:type="character" w:customStyle="1" w:styleId="CommentTextChar">
    <w:name w:val="Comment Text Char"/>
    <w:basedOn w:val="DefaultParagraphFont"/>
    <w:link w:val="CommentText"/>
    <w:uiPriority w:val="99"/>
    <w:semiHidden/>
    <w:rsid w:val="00115FB6"/>
    <w:rPr>
      <w:sz w:val="20"/>
      <w:szCs w:val="20"/>
    </w:rPr>
  </w:style>
  <w:style w:type="paragraph" w:styleId="CommentSubject">
    <w:name w:val="annotation subject"/>
    <w:basedOn w:val="CommentText"/>
    <w:next w:val="CommentText"/>
    <w:link w:val="CommentSubjectChar"/>
    <w:uiPriority w:val="99"/>
    <w:semiHidden/>
    <w:unhideWhenUsed/>
    <w:rsid w:val="00115FB6"/>
    <w:rPr>
      <w:b/>
      <w:bCs/>
    </w:rPr>
  </w:style>
  <w:style w:type="character" w:customStyle="1" w:styleId="CommentSubjectChar">
    <w:name w:val="Comment Subject Char"/>
    <w:basedOn w:val="CommentTextChar"/>
    <w:link w:val="CommentSubject"/>
    <w:uiPriority w:val="99"/>
    <w:semiHidden/>
    <w:rsid w:val="00115FB6"/>
    <w:rPr>
      <w:b/>
      <w:bCs/>
      <w:sz w:val="20"/>
      <w:szCs w:val="20"/>
    </w:rPr>
  </w:style>
  <w:style w:type="paragraph" w:styleId="BalloonText">
    <w:name w:val="Balloon Text"/>
    <w:basedOn w:val="Normal"/>
    <w:link w:val="BalloonTextChar"/>
    <w:uiPriority w:val="99"/>
    <w:semiHidden/>
    <w:unhideWhenUsed/>
    <w:rsid w:val="00115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a.aranki@nrc.n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84E97-8D1E-46EB-8CC5-99F5E6E57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3401</Words>
  <Characters>19390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Zanazzi</dc:creator>
  <cp:keywords/>
  <dc:description/>
  <cp:lastModifiedBy>Miguel Urquia</cp:lastModifiedBy>
  <cp:revision>2</cp:revision>
  <dcterms:created xsi:type="dcterms:W3CDTF">2019-04-29T00:37:00Z</dcterms:created>
  <dcterms:modified xsi:type="dcterms:W3CDTF">2019-04-29T00:37:00Z</dcterms:modified>
</cp:coreProperties>
</file>