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9497D" w14:textId="77777777" w:rsidR="00632E3C" w:rsidRPr="00E57932" w:rsidRDefault="00212013" w:rsidP="00614720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7728" behindDoc="0" locked="0" layoutInCell="1" allowOverlap="1" wp14:anchorId="709A05F0" wp14:editId="5FE2AB8A">
            <wp:simplePos x="0" y="0"/>
            <wp:positionH relativeFrom="margin">
              <wp:posOffset>1576070</wp:posOffset>
            </wp:positionH>
            <wp:positionV relativeFrom="paragraph">
              <wp:posOffset>21590</wp:posOffset>
            </wp:positionV>
            <wp:extent cx="519430" cy="455295"/>
            <wp:effectExtent l="19050" t="0" r="0" b="0"/>
            <wp:wrapSquare wrapText="right"/>
            <wp:docPr id="3" name="Picture 19" descr="C:\Users\No-Admin\Dropbox\SC Support Team\Communications and Advocay\Logo\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o-Admin\Dropbox\SC Support Team\Communications and Advocay\Logo\Logo-sm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5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B21">
        <w:rPr>
          <w:rFonts w:ascii="Verdana" w:hAnsi="Verdana"/>
          <w:b/>
          <w:color w:val="7F1416"/>
        </w:rPr>
        <w:t>Mozambique</w:t>
      </w:r>
      <w:r>
        <w:rPr>
          <w:rFonts w:ascii="Verdana" w:hAnsi="Verdana"/>
          <w:b/>
          <w:color w:val="7F1416"/>
        </w:rPr>
        <w:t xml:space="preserve"> </w:t>
      </w:r>
      <w:r w:rsidR="00632E3C" w:rsidRPr="00E57932">
        <w:rPr>
          <w:rFonts w:ascii="Verdana" w:hAnsi="Verdana"/>
          <w:b/>
          <w:color w:val="7F1416"/>
        </w:rPr>
        <w:t>Shelter Cluster</w:t>
      </w:r>
    </w:p>
    <w:p w14:paraId="7FD53E49" w14:textId="77777777" w:rsidR="00632E3C" w:rsidRPr="00E57932" w:rsidRDefault="00632E3C" w:rsidP="00614720">
      <w:pPr>
        <w:pStyle w:val="Header"/>
        <w:tabs>
          <w:tab w:val="clear" w:pos="4320"/>
          <w:tab w:val="clear" w:pos="8640"/>
        </w:tabs>
        <w:ind w:firstLine="567"/>
        <w:rPr>
          <w:rFonts w:ascii="Verdana" w:hAnsi="Verdana"/>
          <w:color w:val="7F1416"/>
          <w:sz w:val="18"/>
          <w:szCs w:val="18"/>
        </w:rPr>
      </w:pPr>
      <w:r w:rsidRPr="00E57932">
        <w:rPr>
          <w:rFonts w:ascii="Verdana" w:hAnsi="Verdana"/>
          <w:color w:val="7F1416"/>
          <w:sz w:val="18"/>
          <w:szCs w:val="18"/>
        </w:rPr>
        <w:t>ShelterCluster.org</w:t>
      </w:r>
    </w:p>
    <w:p w14:paraId="32C37CB8" w14:textId="77777777" w:rsidR="00632E3C" w:rsidRPr="00E57932" w:rsidRDefault="00632E3C" w:rsidP="00614720">
      <w:pPr>
        <w:pStyle w:val="Header"/>
        <w:tabs>
          <w:tab w:val="clear" w:pos="4320"/>
          <w:tab w:val="clear" w:pos="8640"/>
        </w:tabs>
        <w:rPr>
          <w:rFonts w:ascii="Verdana" w:hAnsi="Verdana"/>
          <w:color w:val="595959"/>
          <w:sz w:val="18"/>
          <w:szCs w:val="18"/>
        </w:rPr>
      </w:pPr>
      <w:r w:rsidRPr="00E57932">
        <w:rPr>
          <w:rFonts w:ascii="Verdana" w:hAnsi="Verdana"/>
          <w:color w:val="595959"/>
          <w:sz w:val="18"/>
          <w:szCs w:val="18"/>
        </w:rPr>
        <w:t>Coordinating Humanitarian Shelter</w:t>
      </w:r>
    </w:p>
    <w:p w14:paraId="10945E9C" w14:textId="77777777" w:rsidR="00C650D5" w:rsidRPr="00A12109" w:rsidRDefault="00C650D5" w:rsidP="00100A29">
      <w:pPr>
        <w:pBdr>
          <w:bottom w:val="single" w:sz="6" w:space="1" w:color="auto"/>
        </w:pBdr>
        <w:jc w:val="center"/>
        <w:rPr>
          <w:rFonts w:cs="Arial"/>
        </w:rPr>
      </w:pPr>
    </w:p>
    <w:p w14:paraId="26FE5041" w14:textId="77777777" w:rsidR="00632E3C" w:rsidRDefault="00632E3C" w:rsidP="00100A29">
      <w:pPr>
        <w:pBdr>
          <w:bottom w:val="single" w:sz="6" w:space="1" w:color="auto"/>
        </w:pBdr>
        <w:jc w:val="center"/>
        <w:rPr>
          <w:rFonts w:cs="Arial"/>
        </w:rPr>
      </w:pPr>
    </w:p>
    <w:p w14:paraId="0F8D5E53" w14:textId="69F19ABC" w:rsidR="00B2371B" w:rsidRDefault="003F0270" w:rsidP="00212013">
      <w:pPr>
        <w:pStyle w:val="Heading1"/>
      </w:pPr>
      <w:r>
        <w:t xml:space="preserve">National </w:t>
      </w:r>
      <w:r w:rsidR="00212013">
        <w:t>SITREP</w:t>
      </w:r>
      <w:r w:rsidR="00B2371B">
        <w:t xml:space="preserve"> </w:t>
      </w:r>
      <w:r w:rsidR="00CC0220">
        <w:t>4</w:t>
      </w:r>
    </w:p>
    <w:p w14:paraId="05598F54" w14:textId="1B2A9177" w:rsidR="00A10C6B" w:rsidRDefault="00B2371B" w:rsidP="00212013">
      <w:pPr>
        <w:pStyle w:val="Heading1"/>
      </w:pPr>
      <w:r>
        <w:t>Cylcone IDAI</w:t>
      </w:r>
    </w:p>
    <w:p w14:paraId="57DC4874" w14:textId="5500757A" w:rsidR="00212013" w:rsidRPr="00212013" w:rsidRDefault="00212013" w:rsidP="00B2371B">
      <w:pPr>
        <w:jc w:val="center"/>
        <w:rPr>
          <w:lang w:eastAsia="en-GB"/>
        </w:rPr>
      </w:pPr>
      <w:r>
        <w:rPr>
          <w:lang w:eastAsia="en-GB"/>
        </w:rPr>
        <w:t>DATE:</w:t>
      </w:r>
      <w:r w:rsidR="00B2371B">
        <w:rPr>
          <w:lang w:eastAsia="en-GB"/>
        </w:rPr>
        <w:t xml:space="preserve"> </w:t>
      </w:r>
      <w:r w:rsidR="00CC0220">
        <w:rPr>
          <w:lang w:eastAsia="en-GB"/>
        </w:rPr>
        <w:t>0</w:t>
      </w:r>
      <w:r w:rsidR="00FD1636">
        <w:rPr>
          <w:lang w:eastAsia="en-GB"/>
        </w:rPr>
        <w:t>6</w:t>
      </w:r>
      <w:r w:rsidR="00CC0220">
        <w:rPr>
          <w:lang w:eastAsia="en-GB"/>
        </w:rPr>
        <w:t>.04</w:t>
      </w:r>
      <w:r w:rsidR="00CA6B21">
        <w:rPr>
          <w:lang w:eastAsia="en-GB"/>
        </w:rPr>
        <w:t>.2019</w:t>
      </w:r>
    </w:p>
    <w:p w14:paraId="4A5F3F93" w14:textId="5008FE26" w:rsidR="00212013" w:rsidRPr="00594F71" w:rsidRDefault="00212013" w:rsidP="00356437">
      <w:pPr>
        <w:pStyle w:val="Heading2"/>
        <w:numPr>
          <w:ilvl w:val="0"/>
          <w:numId w:val="35"/>
        </w:numPr>
      </w:pPr>
      <w:r w:rsidRPr="00594F71">
        <w:t>K</w:t>
      </w:r>
      <w:r>
        <w:t>ey points</w:t>
      </w:r>
    </w:p>
    <w:p w14:paraId="4EE6C524" w14:textId="3A541929" w:rsidR="00356437" w:rsidRPr="00FD1636" w:rsidRDefault="00356437" w:rsidP="00FD1636">
      <w:pPr>
        <w:pStyle w:val="ListParagraph"/>
        <w:numPr>
          <w:ilvl w:val="0"/>
          <w:numId w:val="38"/>
        </w:numPr>
        <w:rPr>
          <w:rFonts w:ascii="Calibri" w:hAnsi="Calibri" w:cs="Times New Roman"/>
          <w:lang w:val="en-US"/>
        </w:rPr>
      </w:pPr>
      <w:r w:rsidRPr="00FD1636">
        <w:rPr>
          <w:lang w:val="en-US"/>
        </w:rPr>
        <w:t xml:space="preserve">Current data puts the number of houses damaged / destroyed as </w:t>
      </w:r>
      <w:r w:rsidRPr="00FD1636">
        <w:rPr>
          <w:rFonts w:ascii="Calibri" w:hAnsi="Calibri" w:cs="Times New Roman"/>
          <w:lang w:val="en-US"/>
        </w:rPr>
        <w:t xml:space="preserve">216,000 houses. </w:t>
      </w:r>
      <w:r w:rsidRPr="00FD1636">
        <w:rPr>
          <w:b/>
          <w:lang w:val="en-US"/>
        </w:rPr>
        <w:t>This is twice the number of houses originally estimated</w:t>
      </w:r>
      <w:r w:rsidRPr="00FD1636">
        <w:rPr>
          <w:lang w:val="en-US"/>
        </w:rPr>
        <w:t xml:space="preserve"> in the appeal, leaving a significant gap.</w:t>
      </w:r>
    </w:p>
    <w:p w14:paraId="6AFA8661" w14:textId="08A5CBD5" w:rsidR="00356437" w:rsidRPr="00FD1636" w:rsidRDefault="00D61906" w:rsidP="00FD1636">
      <w:pPr>
        <w:pStyle w:val="ListParagraph"/>
        <w:numPr>
          <w:ilvl w:val="0"/>
          <w:numId w:val="38"/>
        </w:numPr>
        <w:rPr>
          <w:lang w:val="en-US"/>
        </w:rPr>
      </w:pPr>
      <w:r>
        <w:t>D</w:t>
      </w:r>
      <w:r w:rsidR="006F76D4">
        <w:t xml:space="preserve">istributions </w:t>
      </w:r>
      <w:r w:rsidR="008C0EEE">
        <w:t xml:space="preserve">are </w:t>
      </w:r>
      <w:r w:rsidR="006F76D4">
        <w:t xml:space="preserve">in process with over </w:t>
      </w:r>
      <w:r w:rsidR="00362B86">
        <w:t>8</w:t>
      </w:r>
      <w:r w:rsidR="00CE7994">
        <w:t>3,0</w:t>
      </w:r>
      <w:r w:rsidR="006F76D4">
        <w:t>00 people assisted</w:t>
      </w:r>
      <w:r w:rsidR="00356437">
        <w:t xml:space="preserve"> to date, </w:t>
      </w:r>
      <w:r w:rsidR="00356437" w:rsidRPr="00FD1636">
        <w:rPr>
          <w:lang w:val="en-US"/>
        </w:rPr>
        <w:t xml:space="preserve">29,000 tarpaulins distributed. </w:t>
      </w:r>
    </w:p>
    <w:p w14:paraId="71414A90" w14:textId="77671DB1" w:rsidR="006F76D4" w:rsidRPr="00FD1636" w:rsidRDefault="00D61906" w:rsidP="00FD1636">
      <w:pPr>
        <w:pStyle w:val="ListParagraph"/>
        <w:numPr>
          <w:ilvl w:val="0"/>
          <w:numId w:val="38"/>
        </w:numPr>
        <w:rPr>
          <w:rFonts w:ascii="Calibri" w:hAnsi="Calibri" w:cs="Times New Roman"/>
          <w:lang w:val="en-US"/>
        </w:rPr>
      </w:pPr>
      <w:r>
        <w:t xml:space="preserve">Partners are </w:t>
      </w:r>
      <w:r w:rsidR="006F76D4" w:rsidRPr="00FD1636">
        <w:rPr>
          <w:b/>
          <w:bCs/>
          <w:lang w:val="en-US"/>
        </w:rPr>
        <w:t>una</w:t>
      </w:r>
      <w:r w:rsidR="00CC0220" w:rsidRPr="00FD1636">
        <w:rPr>
          <w:b/>
          <w:bCs/>
          <w:lang w:val="en-US"/>
        </w:rPr>
        <w:t>ble to deliver full household k</w:t>
      </w:r>
      <w:r w:rsidRPr="00FD1636">
        <w:rPr>
          <w:b/>
          <w:bCs/>
          <w:lang w:val="en-US"/>
        </w:rPr>
        <w:t>i</w:t>
      </w:r>
      <w:r w:rsidR="006F76D4" w:rsidRPr="00FD1636">
        <w:rPr>
          <w:b/>
          <w:bCs/>
          <w:lang w:val="en-US"/>
        </w:rPr>
        <w:t>ts</w:t>
      </w:r>
      <w:r w:rsidR="006F76D4" w:rsidRPr="00FD1636">
        <w:rPr>
          <w:lang w:val="en-US"/>
        </w:rPr>
        <w:t xml:space="preserve"> due to lack of items, in stock and in pipeline</w:t>
      </w:r>
      <w:r w:rsidR="00CC0220" w:rsidRPr="00FD1636">
        <w:rPr>
          <w:lang w:val="en-US"/>
        </w:rPr>
        <w:t xml:space="preserve">. </w:t>
      </w:r>
    </w:p>
    <w:p w14:paraId="163AEA70" w14:textId="6B0411D8" w:rsidR="006F76D4" w:rsidRPr="00FD1636" w:rsidRDefault="006F76D4" w:rsidP="00FD1636">
      <w:pPr>
        <w:pStyle w:val="ListParagraph"/>
        <w:numPr>
          <w:ilvl w:val="0"/>
          <w:numId w:val="38"/>
        </w:numPr>
        <w:rPr>
          <w:rFonts w:ascii="Calibri" w:hAnsi="Calibri" w:cs="Times New Roman"/>
          <w:lang w:val="en-US"/>
        </w:rPr>
      </w:pPr>
      <w:r w:rsidRPr="00FD1636">
        <w:rPr>
          <w:lang w:val="en-US"/>
        </w:rPr>
        <w:t xml:space="preserve">Current pipeline gap of </w:t>
      </w:r>
      <w:r w:rsidR="004F3DE7" w:rsidRPr="00FD1636">
        <w:rPr>
          <w:b/>
          <w:bCs/>
          <w:lang w:val="en-US"/>
        </w:rPr>
        <w:t>61,000</w:t>
      </w:r>
      <w:r w:rsidRPr="00FD1636">
        <w:rPr>
          <w:b/>
          <w:bCs/>
          <w:lang w:val="en-US"/>
        </w:rPr>
        <w:t xml:space="preserve"> tarpaulins</w:t>
      </w:r>
      <w:r w:rsidR="006C63E2" w:rsidRPr="00FD1636">
        <w:rPr>
          <w:b/>
          <w:bCs/>
          <w:lang w:val="en-US"/>
        </w:rPr>
        <w:t>, based on origi</w:t>
      </w:r>
      <w:r w:rsidR="00356437" w:rsidRPr="00FD1636">
        <w:rPr>
          <w:b/>
          <w:bCs/>
          <w:lang w:val="en-US"/>
        </w:rPr>
        <w:t>nal</w:t>
      </w:r>
      <w:r w:rsidR="006C63E2" w:rsidRPr="00FD1636">
        <w:rPr>
          <w:b/>
          <w:bCs/>
          <w:lang w:val="en-US"/>
        </w:rPr>
        <w:t xml:space="preserve"> appeal target</w:t>
      </w:r>
      <w:r w:rsidRPr="00FD1636">
        <w:rPr>
          <w:b/>
          <w:bCs/>
          <w:lang w:val="en-US"/>
        </w:rPr>
        <w:t>.</w:t>
      </w:r>
      <w:r w:rsidRPr="00FD1636">
        <w:rPr>
          <w:lang w:val="en-US"/>
        </w:rPr>
        <w:t xml:space="preserve"> </w:t>
      </w:r>
      <w:r w:rsidR="00FD1636" w:rsidRPr="00FD1636">
        <w:rPr>
          <w:lang w:val="en-US"/>
        </w:rPr>
        <w:t>This calculation may change with revised damage data.</w:t>
      </w:r>
    </w:p>
    <w:p w14:paraId="2E96E416" w14:textId="5374B187" w:rsidR="008C0EEE" w:rsidRPr="00FD1636" w:rsidRDefault="006F76D4" w:rsidP="00FD1636">
      <w:pPr>
        <w:pStyle w:val="ListParagraph"/>
        <w:numPr>
          <w:ilvl w:val="0"/>
          <w:numId w:val="38"/>
        </w:numPr>
        <w:rPr>
          <w:lang w:val="en-US"/>
        </w:rPr>
      </w:pPr>
      <w:r w:rsidRPr="00FD1636">
        <w:rPr>
          <w:b/>
          <w:bCs/>
          <w:lang w:val="en-US"/>
        </w:rPr>
        <w:t xml:space="preserve">Distribution capacity is limited. </w:t>
      </w:r>
      <w:r w:rsidR="00356437" w:rsidRPr="00FD1636">
        <w:rPr>
          <w:bCs/>
          <w:lang w:val="en-US"/>
        </w:rPr>
        <w:t>The</w:t>
      </w:r>
      <w:r w:rsidR="00356437" w:rsidRPr="00FD1636">
        <w:rPr>
          <w:b/>
          <w:bCs/>
          <w:lang w:val="en-US"/>
        </w:rPr>
        <w:t xml:space="preserve"> </w:t>
      </w:r>
      <w:r w:rsidR="00356437" w:rsidRPr="00FD1636">
        <w:rPr>
          <w:bCs/>
          <w:lang w:val="en-US"/>
        </w:rPr>
        <w:t>n</w:t>
      </w:r>
      <w:r w:rsidR="00362B86" w:rsidRPr="00FD1636">
        <w:rPr>
          <w:bCs/>
          <w:lang w:val="en-US"/>
        </w:rPr>
        <w:t xml:space="preserve">ew focus is on quality of programming and </w:t>
      </w:r>
      <w:r w:rsidR="00364A43" w:rsidRPr="00FD1636">
        <w:rPr>
          <w:lang w:val="en-US"/>
        </w:rPr>
        <w:t xml:space="preserve">Operational partners are </w:t>
      </w:r>
      <w:r w:rsidR="00CA72CD" w:rsidRPr="00FD1636">
        <w:rPr>
          <w:lang w:val="en-US"/>
        </w:rPr>
        <w:t>urgently</w:t>
      </w:r>
      <w:r w:rsidR="00364A43" w:rsidRPr="00FD1636">
        <w:rPr>
          <w:lang w:val="en-US"/>
        </w:rPr>
        <w:t xml:space="preserve"> required to scale up ability to distribute emergency shelter and NFI.</w:t>
      </w:r>
      <w:r w:rsidR="008C0EEE" w:rsidRPr="00FD1636">
        <w:rPr>
          <w:lang w:val="en-US"/>
        </w:rPr>
        <w:t xml:space="preserve"> </w:t>
      </w:r>
    </w:p>
    <w:p w14:paraId="5CAFCDFA" w14:textId="21723C62" w:rsidR="006F76D4" w:rsidRPr="00FD1636" w:rsidRDefault="00356437" w:rsidP="00FD1636">
      <w:pPr>
        <w:pStyle w:val="ListParagraph"/>
        <w:numPr>
          <w:ilvl w:val="0"/>
          <w:numId w:val="38"/>
        </w:numPr>
        <w:rPr>
          <w:lang w:val="en-US"/>
        </w:rPr>
      </w:pPr>
      <w:r w:rsidRPr="00FD1636">
        <w:rPr>
          <w:lang w:val="en-US"/>
        </w:rPr>
        <w:t>A</w:t>
      </w:r>
      <w:r w:rsidR="008C0EEE" w:rsidRPr="00FD1636">
        <w:rPr>
          <w:lang w:val="en-US"/>
        </w:rPr>
        <w:t xml:space="preserve">irlift operations are </w:t>
      </w:r>
      <w:r w:rsidR="00CE7994" w:rsidRPr="00FD1636">
        <w:rPr>
          <w:lang w:val="en-US"/>
        </w:rPr>
        <w:t>scaling</w:t>
      </w:r>
      <w:r w:rsidR="008C0EEE" w:rsidRPr="00FD1636">
        <w:rPr>
          <w:lang w:val="en-US"/>
        </w:rPr>
        <w:t xml:space="preserve"> back and renewed focus is on ground transportation wherever possible.</w:t>
      </w:r>
    </w:p>
    <w:p w14:paraId="03EEFA12" w14:textId="0E533094" w:rsidR="00FD1636" w:rsidRPr="00FD1636" w:rsidRDefault="00CC0220" w:rsidP="00FD1636">
      <w:pPr>
        <w:pStyle w:val="ListParagraph"/>
        <w:numPr>
          <w:ilvl w:val="0"/>
          <w:numId w:val="38"/>
        </w:numPr>
        <w:rPr>
          <w:lang w:val="en-US"/>
        </w:rPr>
      </w:pPr>
      <w:r w:rsidRPr="00FD1636">
        <w:rPr>
          <w:lang w:val="en-US"/>
        </w:rPr>
        <w:t>Road access is improving, markets are recovering and a</w:t>
      </w:r>
      <w:r w:rsidR="006F76D4" w:rsidRPr="00FD1636">
        <w:rPr>
          <w:lang w:val="en-US"/>
        </w:rPr>
        <w:t xml:space="preserve">ffected populations are beginning their own self recovery where they have land and capacity to do so, but many remain cut off </w:t>
      </w:r>
      <w:r w:rsidRPr="00FD1636">
        <w:rPr>
          <w:lang w:val="en-US"/>
        </w:rPr>
        <w:t>from</w:t>
      </w:r>
      <w:r w:rsidR="006F76D4" w:rsidRPr="00FD1636">
        <w:rPr>
          <w:lang w:val="en-US"/>
        </w:rPr>
        <w:t xml:space="preserve"> road</w:t>
      </w:r>
      <w:r w:rsidRPr="00FD1636">
        <w:rPr>
          <w:lang w:val="en-US"/>
        </w:rPr>
        <w:t>s</w:t>
      </w:r>
      <w:r w:rsidR="006F76D4" w:rsidRPr="00FD1636">
        <w:rPr>
          <w:lang w:val="en-US"/>
        </w:rPr>
        <w:t>, or displaced in evacuati</w:t>
      </w:r>
      <w:r w:rsidR="00A25010" w:rsidRPr="00FD1636">
        <w:rPr>
          <w:lang w:val="en-US"/>
        </w:rPr>
        <w:t>on centres and unable to return</w:t>
      </w:r>
      <w:r w:rsidR="006F76D4" w:rsidRPr="00FD1636">
        <w:rPr>
          <w:lang w:val="en-US"/>
        </w:rPr>
        <w:t>.</w:t>
      </w:r>
    </w:p>
    <w:p w14:paraId="54F8472C" w14:textId="1F2969DF" w:rsidR="00C6653F" w:rsidRPr="00FD1636" w:rsidRDefault="00C6653F" w:rsidP="00FD1636">
      <w:pPr>
        <w:pStyle w:val="ListParagraph"/>
        <w:numPr>
          <w:ilvl w:val="0"/>
          <w:numId w:val="38"/>
        </w:numPr>
        <w:rPr>
          <w:lang w:val="en-US"/>
        </w:rPr>
      </w:pPr>
      <w:r w:rsidRPr="00FD1636">
        <w:rPr>
          <w:lang w:val="en-US"/>
        </w:rPr>
        <w:t>Active CCCM sub</w:t>
      </w:r>
      <w:r w:rsidR="00CE7994" w:rsidRPr="00FD1636">
        <w:rPr>
          <w:lang w:val="en-US"/>
        </w:rPr>
        <w:t>-</w:t>
      </w:r>
      <w:r w:rsidRPr="00FD1636">
        <w:rPr>
          <w:lang w:val="en-US"/>
        </w:rPr>
        <w:t>cluster is working in relocation sites and transit camps to establish safe living spaces and to ensure that sites are habitable before s</w:t>
      </w:r>
      <w:r w:rsidR="00CE7994" w:rsidRPr="00FD1636">
        <w:rPr>
          <w:lang w:val="en-US"/>
        </w:rPr>
        <w:t>chools and other collective cen</w:t>
      </w:r>
      <w:r w:rsidRPr="00FD1636">
        <w:rPr>
          <w:lang w:val="en-US"/>
        </w:rPr>
        <w:t>t</w:t>
      </w:r>
      <w:r w:rsidR="00CE7994" w:rsidRPr="00FD1636">
        <w:rPr>
          <w:lang w:val="en-US"/>
        </w:rPr>
        <w:t>r</w:t>
      </w:r>
      <w:r w:rsidRPr="00FD1636">
        <w:rPr>
          <w:lang w:val="en-US"/>
        </w:rPr>
        <w:t xml:space="preserve">es are closed. </w:t>
      </w:r>
    </w:p>
    <w:p w14:paraId="4EC517B9" w14:textId="25E2ED82" w:rsidR="006F76D4" w:rsidRPr="006F76D4" w:rsidRDefault="006F76D4" w:rsidP="006F76D4">
      <w:pPr>
        <w:rPr>
          <w:rFonts w:ascii="Calibri" w:hAnsi="Calibri" w:cs="Times New Roman"/>
          <w:lang w:val="en-US"/>
        </w:rPr>
      </w:pPr>
    </w:p>
    <w:p w14:paraId="0F31E97B" w14:textId="663EAF4F" w:rsidR="00212013" w:rsidRDefault="00212013" w:rsidP="0027625E">
      <w:pPr>
        <w:pStyle w:val="Heading2"/>
        <w:numPr>
          <w:ilvl w:val="0"/>
          <w:numId w:val="35"/>
        </w:numPr>
      </w:pPr>
      <w:r w:rsidRPr="006F76D4">
        <w:t>Overall situation analysis</w:t>
      </w:r>
    </w:p>
    <w:p w14:paraId="00A9F173" w14:textId="12E8943C" w:rsidR="00FD1636" w:rsidRDefault="00FD1636" w:rsidP="00CC0220">
      <w:pPr>
        <w:rPr>
          <w:lang w:val="en-US"/>
        </w:rPr>
      </w:pPr>
      <w:r>
        <w:rPr>
          <w:lang w:val="en-US"/>
        </w:rPr>
        <w:t>Category 4 cyclone Idai made landfall on 14/03/19. High winds damaged and destroyed houses and infrastructure, and the ensuing flooding caused major additional damage and displacement. Although waters are receding, over 15,000 houses remain flooded.</w:t>
      </w:r>
    </w:p>
    <w:p w14:paraId="18E617A5" w14:textId="12451E59" w:rsidR="00CC0220" w:rsidRPr="0027625E" w:rsidRDefault="0027625E" w:rsidP="00CC0220">
      <w:pPr>
        <w:rPr>
          <w:rFonts w:ascii="Calibri" w:hAnsi="Calibri" w:cs="Times New Roman"/>
          <w:lang w:val="en-US"/>
        </w:rPr>
      </w:pPr>
      <w:r>
        <w:rPr>
          <w:lang w:val="en-US"/>
        </w:rPr>
        <w:t xml:space="preserve">As of 05/04/2019, </w:t>
      </w:r>
      <w:r>
        <w:t xml:space="preserve">The </w:t>
      </w:r>
      <w:r w:rsidRPr="00B61FE2">
        <w:t>Mozambique National Institute for Disaster Management (INGC)</w:t>
      </w:r>
      <w:r>
        <w:t xml:space="preserve"> </w:t>
      </w:r>
      <w:r w:rsidRPr="0027625E">
        <w:rPr>
          <w:lang w:val="en-US"/>
        </w:rPr>
        <w:t xml:space="preserve">damage data </w:t>
      </w:r>
      <w:r>
        <w:rPr>
          <w:lang w:val="en-US"/>
        </w:rPr>
        <w:t>puts the t</w:t>
      </w:r>
      <w:r w:rsidRPr="0027625E">
        <w:rPr>
          <w:lang w:val="en-US"/>
        </w:rPr>
        <w:t xml:space="preserve">otal number of households damaged </w:t>
      </w:r>
      <w:r>
        <w:rPr>
          <w:lang w:val="en-US"/>
        </w:rPr>
        <w:t xml:space="preserve">or </w:t>
      </w:r>
      <w:r w:rsidRPr="0027625E">
        <w:rPr>
          <w:lang w:val="en-US"/>
        </w:rPr>
        <w:t xml:space="preserve">destroyed </w:t>
      </w:r>
      <w:r>
        <w:rPr>
          <w:lang w:val="en-US"/>
        </w:rPr>
        <w:t>at</w:t>
      </w:r>
      <w:r w:rsidRPr="0027625E">
        <w:rPr>
          <w:rFonts w:ascii="Calibri" w:hAnsi="Calibri" w:cs="Times New Roman"/>
          <w:lang w:val="en-US"/>
        </w:rPr>
        <w:t xml:space="preserve"> 103,537 partially destroyed, 97,424 to</w:t>
      </w:r>
      <w:r>
        <w:rPr>
          <w:rFonts w:ascii="Calibri" w:hAnsi="Calibri" w:cs="Times New Roman"/>
          <w:lang w:val="en-US"/>
        </w:rPr>
        <w:t>tally destroyed, 15.784 flooded, or a total of</w:t>
      </w:r>
      <w:r w:rsidRPr="0027625E">
        <w:rPr>
          <w:rFonts w:ascii="Calibri" w:hAnsi="Calibri" w:cs="Times New Roman"/>
          <w:lang w:val="en-US"/>
        </w:rPr>
        <w:t xml:space="preserve"> 216,000 HH damaged / destroyed. </w:t>
      </w:r>
      <w:r>
        <w:rPr>
          <w:rFonts w:ascii="Calibri" w:hAnsi="Calibri" w:cs="Times New Roman"/>
          <w:lang w:val="en-US"/>
        </w:rPr>
        <w:t xml:space="preserve"> </w:t>
      </w:r>
      <w:r w:rsidR="00CC0220">
        <w:t xml:space="preserve">Shelter damage assessment lead by the Government of Mozambique is ongoing. </w:t>
      </w:r>
    </w:p>
    <w:p w14:paraId="3BFC82C9" w14:textId="76B73BAF" w:rsidR="00A25010" w:rsidRDefault="0027625E" w:rsidP="00A25010">
      <w:pPr>
        <w:rPr>
          <w:lang w:val="en-US"/>
        </w:rPr>
      </w:pPr>
      <w:r>
        <w:rPr>
          <w:lang w:val="en-US"/>
        </w:rPr>
        <w:t>Based on earlier estimates, t</w:t>
      </w:r>
      <w:r w:rsidR="00CA72CD">
        <w:rPr>
          <w:lang w:val="en-US"/>
        </w:rPr>
        <w:t>h</w:t>
      </w:r>
      <w:r w:rsidR="00A25010">
        <w:rPr>
          <w:lang w:val="en-US"/>
        </w:rPr>
        <w:t>e cluster is targeting 4</w:t>
      </w:r>
      <w:r w:rsidR="008C0EEE">
        <w:rPr>
          <w:lang w:val="en-US"/>
        </w:rPr>
        <w:t>75</w:t>
      </w:r>
      <w:r w:rsidR="00A25010">
        <w:rPr>
          <w:lang w:val="en-US"/>
        </w:rPr>
        <w:t>,000</w:t>
      </w:r>
      <w:r w:rsidR="00CC0220">
        <w:rPr>
          <w:lang w:val="en-US"/>
        </w:rPr>
        <w:t xml:space="preserve"> people in 8</w:t>
      </w:r>
      <w:r w:rsidR="008C0EEE">
        <w:rPr>
          <w:lang w:val="en-US"/>
        </w:rPr>
        <w:t>7</w:t>
      </w:r>
      <w:r w:rsidR="00CC0220">
        <w:rPr>
          <w:lang w:val="en-US"/>
        </w:rPr>
        <w:t>,</w:t>
      </w:r>
      <w:r w:rsidR="008C0EEE">
        <w:rPr>
          <w:lang w:val="en-US"/>
        </w:rPr>
        <w:t>5</w:t>
      </w:r>
      <w:r w:rsidR="00CC0220">
        <w:rPr>
          <w:lang w:val="en-US"/>
        </w:rPr>
        <w:t>00 households</w:t>
      </w:r>
      <w:r>
        <w:rPr>
          <w:lang w:val="en-US"/>
        </w:rPr>
        <w:t xml:space="preserve">. This is based on 80,000 households targeted in the Flash appeal and </w:t>
      </w:r>
      <w:r w:rsidR="001A5F66">
        <w:rPr>
          <w:lang w:val="en-US"/>
        </w:rPr>
        <w:t>7,500 households in the Red Cross appeal.</w:t>
      </w:r>
      <w:r w:rsidR="00CA72CD">
        <w:rPr>
          <w:lang w:val="en-US"/>
        </w:rPr>
        <w:t xml:space="preserve"> </w:t>
      </w:r>
    </w:p>
    <w:p w14:paraId="2A5D9AF5" w14:textId="77777777" w:rsidR="00212013" w:rsidRDefault="00212013" w:rsidP="00212013">
      <w:pPr>
        <w:pStyle w:val="Heading2"/>
      </w:pPr>
      <w:r>
        <w:t xml:space="preserve">3. </w:t>
      </w:r>
      <w:r>
        <w:tab/>
        <w:t>Activity updates</w:t>
      </w:r>
    </w:p>
    <w:p w14:paraId="5AD00C5B" w14:textId="45BD23BD" w:rsidR="0077064C" w:rsidRDefault="00354E1D" w:rsidP="00354E1D">
      <w:pPr>
        <w:rPr>
          <w:lang w:eastAsia="en-GB"/>
        </w:rPr>
      </w:pPr>
      <w:r>
        <w:rPr>
          <w:lang w:eastAsia="en-GB"/>
        </w:rPr>
        <w:t xml:space="preserve">- </w:t>
      </w:r>
      <w:r w:rsidR="006F76D4">
        <w:rPr>
          <w:lang w:eastAsia="en-GB"/>
        </w:rPr>
        <w:t>Working with INGC, d</w:t>
      </w:r>
      <w:r w:rsidR="0077064C">
        <w:rPr>
          <w:lang w:eastAsia="en-GB"/>
        </w:rPr>
        <w:t xml:space="preserve">istributions </w:t>
      </w:r>
      <w:r w:rsidR="006F76D4">
        <w:rPr>
          <w:lang w:eastAsia="en-GB"/>
        </w:rPr>
        <w:t>are conducted facilitated by airlift (working with logcluster/WFP), by road or by boat.</w:t>
      </w:r>
      <w:r w:rsidR="00CC0220">
        <w:rPr>
          <w:lang w:eastAsia="en-GB"/>
        </w:rPr>
        <w:t xml:space="preserve"> Th</w:t>
      </w:r>
      <w:r w:rsidR="0027625E">
        <w:rPr>
          <w:lang w:eastAsia="en-GB"/>
        </w:rPr>
        <w:t>e</w:t>
      </w:r>
      <w:r w:rsidR="00CC0220">
        <w:rPr>
          <w:lang w:eastAsia="en-GB"/>
        </w:rPr>
        <w:t xml:space="preserve"> largest delivery has be</w:t>
      </w:r>
      <w:r w:rsidR="0027625E">
        <w:rPr>
          <w:lang w:eastAsia="en-GB"/>
        </w:rPr>
        <w:t>e</w:t>
      </w:r>
      <w:r w:rsidR="00CC0220">
        <w:rPr>
          <w:lang w:eastAsia="en-GB"/>
        </w:rPr>
        <w:t>n by road, a trend that is set to continue as operations scale u</w:t>
      </w:r>
      <w:r w:rsidR="001A5F66">
        <w:rPr>
          <w:lang w:eastAsia="en-GB"/>
        </w:rPr>
        <w:t>p, and funding for air assets falls.</w:t>
      </w:r>
    </w:p>
    <w:p w14:paraId="77F772AD" w14:textId="6BD6E52E" w:rsidR="006A3E93" w:rsidRDefault="0027625E" w:rsidP="00354E1D">
      <w:pPr>
        <w:rPr>
          <w:lang w:eastAsia="en-GB"/>
        </w:rPr>
      </w:pPr>
      <w:r>
        <w:rPr>
          <w:lang w:eastAsia="en-GB"/>
        </w:rPr>
        <w:t xml:space="preserve">- The full cluster 4w is published here. </w:t>
      </w:r>
      <w:hyperlink r:id="rId12" w:history="1">
        <w:r w:rsidR="006A3E93" w:rsidRPr="00294585">
          <w:rPr>
            <w:rStyle w:val="Hyperlink"/>
            <w:lang w:eastAsia="en-GB"/>
          </w:rPr>
          <w:t>https://bit.ly/2I3zftc</w:t>
        </w:r>
      </w:hyperlink>
    </w:p>
    <w:p w14:paraId="1A0F3D8B" w14:textId="12C057DD" w:rsidR="00E64684" w:rsidRDefault="0027625E" w:rsidP="00354E1D">
      <w:pPr>
        <w:rPr>
          <w:lang w:eastAsia="en-GB"/>
        </w:rPr>
      </w:pPr>
      <w:r>
        <w:rPr>
          <w:lang w:eastAsia="en-GB"/>
        </w:rPr>
        <w:t>Partners are encouraged to look at it to</w:t>
      </w:r>
      <w:r w:rsidR="00C6653F">
        <w:rPr>
          <w:lang w:eastAsia="en-GB"/>
        </w:rPr>
        <w:t xml:space="preserve"> check if their activities are correctly reported.</w:t>
      </w:r>
    </w:p>
    <w:p w14:paraId="19C1EADB" w14:textId="655EF3A9" w:rsidR="00CE7994" w:rsidRDefault="00CE7994" w:rsidP="00354E1D">
      <w:pPr>
        <w:rPr>
          <w:lang w:eastAsia="en-GB"/>
        </w:rPr>
      </w:pPr>
      <w:r>
        <w:rPr>
          <w:lang w:eastAsia="en-GB"/>
        </w:rPr>
        <w:t>- 450,000 mosquito nets have been released by the ministry of health.</w:t>
      </w:r>
    </w:p>
    <w:p w14:paraId="4B93D7B1" w14:textId="338FE27C" w:rsidR="00212013" w:rsidRDefault="00212013" w:rsidP="00212013">
      <w:pPr>
        <w:pStyle w:val="Heading2"/>
      </w:pPr>
      <w:r>
        <w:lastRenderedPageBreak/>
        <w:t>4.</w:t>
      </w:r>
      <w:r>
        <w:tab/>
      </w:r>
      <w:r w:rsidRPr="00603A21">
        <w:t>Achievement</w:t>
      </w:r>
      <w:r>
        <w:t>s</w:t>
      </w:r>
    </w:p>
    <w:p w14:paraId="39A0BAA0" w14:textId="518A4531" w:rsidR="00C6653F" w:rsidRDefault="003030B4" w:rsidP="00212013">
      <w:pPr>
        <w:rPr>
          <w:lang w:val="en-US"/>
        </w:rPr>
      </w:pPr>
      <w:r>
        <w:rPr>
          <w:lang w:eastAsia="en-GB"/>
        </w:rPr>
        <w:t xml:space="preserve">- Assisted </w:t>
      </w:r>
      <w:r w:rsidR="003175C3">
        <w:rPr>
          <w:lang w:eastAsia="en-GB"/>
        </w:rPr>
        <w:t>93,</w:t>
      </w:r>
      <w:r w:rsidR="003175C3" w:rsidRPr="003175C3">
        <w:rPr>
          <w:lang w:eastAsia="en-GB"/>
        </w:rPr>
        <w:t>752 people (17'437 HH)</w:t>
      </w:r>
      <w:r w:rsidR="00C6653F">
        <w:t xml:space="preserve"> </w:t>
      </w:r>
      <w:r w:rsidR="00CE7994">
        <w:t xml:space="preserve">to date, receiving </w:t>
      </w:r>
      <w:r w:rsidR="003175C3">
        <w:rPr>
          <w:lang w:val="en-US"/>
        </w:rPr>
        <w:t>1</w:t>
      </w:r>
      <w:bookmarkStart w:id="0" w:name="_GoBack"/>
      <w:bookmarkEnd w:id="0"/>
      <w:r w:rsidR="00C6653F" w:rsidRPr="00356437">
        <w:rPr>
          <w:lang w:val="en-US"/>
        </w:rPr>
        <w:t xml:space="preserve">9,000 tarpaulins </w:t>
      </w:r>
    </w:p>
    <w:p w14:paraId="12523EAA" w14:textId="176C87C1" w:rsidR="00212013" w:rsidRDefault="000509D8" w:rsidP="00212013">
      <w:r>
        <w:t xml:space="preserve">- </w:t>
      </w:r>
      <w:r w:rsidR="00354E1D">
        <w:t>Es</w:t>
      </w:r>
      <w:r w:rsidR="000009C2">
        <w:t xml:space="preserve">tablished </w:t>
      </w:r>
      <w:r w:rsidR="007D59FB">
        <w:t xml:space="preserve">Cluster </w:t>
      </w:r>
      <w:r w:rsidR="000009C2">
        <w:t>coordination cell in B</w:t>
      </w:r>
      <w:r w:rsidR="00354E1D">
        <w:t xml:space="preserve">eira co lead by </w:t>
      </w:r>
      <w:r w:rsidR="00B61FE2">
        <w:t xml:space="preserve">INGC, </w:t>
      </w:r>
      <w:r w:rsidR="00354E1D">
        <w:t>IOM and</w:t>
      </w:r>
      <w:r w:rsidR="00E71DFD">
        <w:t xml:space="preserve"> CVM/</w:t>
      </w:r>
      <w:r w:rsidR="00354E1D">
        <w:t>IFRC</w:t>
      </w:r>
    </w:p>
    <w:p w14:paraId="5B224D9A" w14:textId="6502F22A" w:rsidR="008C1288" w:rsidRDefault="00C6653F" w:rsidP="00212013">
      <w:r>
        <w:t>- A</w:t>
      </w:r>
      <w:r w:rsidR="001D0CD0">
        <w:t xml:space="preserve">ctive CCCM sub cluster </w:t>
      </w:r>
      <w:r>
        <w:t xml:space="preserve">is coordinating development work on camp sites in Beira city. </w:t>
      </w:r>
      <w:r w:rsidR="001D0CD0">
        <w:t>has mapped collective sites</w:t>
      </w:r>
      <w:r w:rsidR="00786895">
        <w:t>, and developed transit/ relocation camps</w:t>
      </w:r>
      <w:r w:rsidR="001D0CD0">
        <w:t xml:space="preserve"> in </w:t>
      </w:r>
      <w:r w:rsidR="00CA72CD">
        <w:t>B</w:t>
      </w:r>
      <w:r w:rsidR="001D0CD0">
        <w:t xml:space="preserve">eira and is monitoring needs. </w:t>
      </w:r>
    </w:p>
    <w:p w14:paraId="7917293D" w14:textId="77777777" w:rsidR="006F76D4" w:rsidRDefault="006F76D4" w:rsidP="00212013"/>
    <w:p w14:paraId="07CDB467" w14:textId="77777777" w:rsidR="00264191" w:rsidRDefault="00264191" w:rsidP="00264191">
      <w:pPr>
        <w:pStyle w:val="Heading2"/>
      </w:pPr>
      <w:r>
        <w:t>5. Beira pipeline request process:</w:t>
      </w:r>
    </w:p>
    <w:p w14:paraId="2A758062" w14:textId="77777777" w:rsidR="00C6653F" w:rsidRPr="00447BA3" w:rsidRDefault="00C6653F" w:rsidP="00C6653F">
      <w:pPr>
        <w:pStyle w:val="ListParagraph"/>
        <w:rPr>
          <w:lang w:val="en-US"/>
        </w:rPr>
      </w:pPr>
      <w:r w:rsidRPr="00447BA3">
        <w:rPr>
          <w:lang w:val="en-US"/>
        </w:rPr>
        <w:t>The following is required to release stock from the common pipeline:</w:t>
      </w:r>
    </w:p>
    <w:p w14:paraId="78CAEE3D" w14:textId="77777777" w:rsidR="00C6653F" w:rsidRDefault="00C6653F" w:rsidP="00C6653F">
      <w:pPr>
        <w:pStyle w:val="ListParagraph"/>
        <w:ind w:firstLine="720"/>
        <w:rPr>
          <w:rFonts w:cs="Arial"/>
          <w:color w:val="000000"/>
        </w:rPr>
      </w:pPr>
      <w:r w:rsidRPr="00B85C06">
        <w:rPr>
          <w:rFonts w:cs="Arial"/>
          <w:color w:val="000000"/>
        </w:rPr>
        <w:t xml:space="preserve">Consignee name: </w:t>
      </w:r>
    </w:p>
    <w:p w14:paraId="1C2294AC" w14:textId="77777777" w:rsidR="00C6653F" w:rsidRDefault="00C6653F" w:rsidP="00C6653F">
      <w:pPr>
        <w:pStyle w:val="ListParagraph"/>
        <w:ind w:firstLine="720"/>
        <w:rPr>
          <w:rFonts w:cs="Arial"/>
          <w:color w:val="000000"/>
        </w:rPr>
      </w:pPr>
      <w:r w:rsidRPr="00B85C06">
        <w:rPr>
          <w:rFonts w:cs="Arial"/>
          <w:color w:val="000000"/>
        </w:rPr>
        <w:t xml:space="preserve">Consignee organization: </w:t>
      </w:r>
    </w:p>
    <w:p w14:paraId="75AE3D5C" w14:textId="77777777" w:rsidR="00C6653F" w:rsidRDefault="00C6653F" w:rsidP="00C6653F">
      <w:pPr>
        <w:pStyle w:val="ListParagraph"/>
        <w:ind w:firstLine="720"/>
        <w:rPr>
          <w:rFonts w:cs="Arial"/>
          <w:color w:val="000000"/>
        </w:rPr>
      </w:pPr>
      <w:r w:rsidRPr="00B85C06">
        <w:rPr>
          <w:rFonts w:cs="Arial"/>
          <w:color w:val="000000"/>
        </w:rPr>
        <w:t xml:space="preserve">Consignee contact number: </w:t>
      </w:r>
    </w:p>
    <w:p w14:paraId="3874D913" w14:textId="77777777" w:rsidR="00C6653F" w:rsidRDefault="00C6653F" w:rsidP="00C6653F">
      <w:pPr>
        <w:pStyle w:val="ListParagraph"/>
        <w:ind w:firstLine="720"/>
        <w:rPr>
          <w:rFonts w:cs="Arial"/>
          <w:color w:val="000000"/>
        </w:rPr>
      </w:pPr>
      <w:r w:rsidRPr="00B85C06">
        <w:rPr>
          <w:rFonts w:cs="Arial"/>
          <w:color w:val="000000"/>
        </w:rPr>
        <w:t xml:space="preserve">Preferred Delivery date: </w:t>
      </w:r>
    </w:p>
    <w:p w14:paraId="75B8820B" w14:textId="77777777" w:rsidR="00C6653F" w:rsidRDefault="00C6653F" w:rsidP="00C6653F">
      <w:pPr>
        <w:pStyle w:val="ListParagraph"/>
        <w:ind w:firstLine="720"/>
        <w:rPr>
          <w:rFonts w:cs="Arial"/>
          <w:color w:val="000000"/>
        </w:rPr>
      </w:pPr>
      <w:r w:rsidRPr="00B85C06">
        <w:rPr>
          <w:rFonts w:cs="Arial"/>
          <w:color w:val="000000"/>
        </w:rPr>
        <w:t xml:space="preserve">Preferred Delivery time: </w:t>
      </w:r>
    </w:p>
    <w:p w14:paraId="4261DF86" w14:textId="77777777" w:rsidR="00C6653F" w:rsidRDefault="00C6653F" w:rsidP="00C6653F">
      <w:pPr>
        <w:pStyle w:val="ListParagraph"/>
        <w:ind w:firstLine="720"/>
        <w:rPr>
          <w:rFonts w:cs="Arial"/>
          <w:color w:val="000000"/>
        </w:rPr>
      </w:pPr>
      <w:r w:rsidRPr="00B85C06">
        <w:rPr>
          <w:rFonts w:cs="Arial"/>
          <w:color w:val="000000"/>
        </w:rPr>
        <w:t>Delivery address: </w:t>
      </w:r>
    </w:p>
    <w:p w14:paraId="3FC8F783" w14:textId="77777777" w:rsidR="00C6653F" w:rsidRDefault="00C6653F" w:rsidP="00C6653F">
      <w:pPr>
        <w:pStyle w:val="ListParagraph"/>
        <w:ind w:firstLine="720"/>
        <w:rPr>
          <w:rFonts w:cs="Arial"/>
          <w:color w:val="000000"/>
        </w:rPr>
      </w:pPr>
      <w:r w:rsidRPr="00B85C06">
        <w:rPr>
          <w:rFonts w:cs="Arial"/>
          <w:color w:val="000000"/>
        </w:rPr>
        <w:t xml:space="preserve">Notes on access: </w:t>
      </w:r>
    </w:p>
    <w:p w14:paraId="1BCC42A5" w14:textId="77777777" w:rsidR="00C6653F" w:rsidRDefault="00C6653F" w:rsidP="00C6653F">
      <w:pPr>
        <w:pStyle w:val="ListParagraph"/>
        <w:ind w:firstLine="720"/>
        <w:rPr>
          <w:rFonts w:cs="Arial"/>
          <w:color w:val="000000"/>
        </w:rPr>
      </w:pPr>
      <w:r w:rsidRPr="00B85C06">
        <w:rPr>
          <w:rFonts w:cs="Arial"/>
          <w:color w:val="000000"/>
        </w:rPr>
        <w:t xml:space="preserve">Road access conditions: </w:t>
      </w:r>
    </w:p>
    <w:p w14:paraId="0625768E" w14:textId="77777777" w:rsidR="00C6653F" w:rsidRDefault="00C6653F" w:rsidP="00C6653F">
      <w:pPr>
        <w:pStyle w:val="ListParagraph"/>
        <w:ind w:firstLine="720"/>
        <w:rPr>
          <w:rFonts w:cs="Arial"/>
          <w:color w:val="000000"/>
        </w:rPr>
      </w:pPr>
      <w:r w:rsidRPr="00B85C06">
        <w:rPr>
          <w:rFonts w:cs="Arial"/>
          <w:color w:val="000000"/>
        </w:rPr>
        <w:t>Number of HH: </w:t>
      </w:r>
    </w:p>
    <w:p w14:paraId="6641EB6B" w14:textId="77777777" w:rsidR="00C6653F" w:rsidRDefault="00C6653F" w:rsidP="00C6653F">
      <w:pPr>
        <w:pStyle w:val="ListParagraph"/>
        <w:ind w:firstLine="720"/>
        <w:rPr>
          <w:rFonts w:cs="Arial"/>
          <w:b/>
          <w:bCs/>
          <w:color w:val="000000"/>
        </w:rPr>
      </w:pPr>
      <w:r w:rsidRPr="00B85C06">
        <w:rPr>
          <w:rFonts w:cs="Arial"/>
          <w:color w:val="000000"/>
        </w:rPr>
        <w:t xml:space="preserve">Item: </w:t>
      </w:r>
    </w:p>
    <w:p w14:paraId="09F14CCE" w14:textId="77777777" w:rsidR="00C6653F" w:rsidRPr="00C6653F" w:rsidRDefault="00C6653F" w:rsidP="00C6653F">
      <w:pPr>
        <w:pStyle w:val="ListParagraph"/>
        <w:ind w:firstLine="720"/>
        <w:rPr>
          <w:rFonts w:cs="Arial"/>
          <w:color w:val="212121"/>
        </w:rPr>
      </w:pPr>
      <w:r w:rsidRPr="00C6653F">
        <w:rPr>
          <w:rFonts w:cs="Arial"/>
          <w:color w:val="212121"/>
        </w:rPr>
        <w:t xml:space="preserve">Confirm coordinated with local authorities: </w:t>
      </w:r>
    </w:p>
    <w:p w14:paraId="1C5A122B" w14:textId="5BAB8548" w:rsidR="00C6653F" w:rsidRPr="00C6653F" w:rsidRDefault="00C6653F" w:rsidP="00C6653F">
      <w:pPr>
        <w:pStyle w:val="Heading2"/>
        <w:rPr>
          <w:rFonts w:cs="Arial"/>
          <w:b w:val="0"/>
          <w:color w:val="000000"/>
          <w:sz w:val="20"/>
          <w:szCs w:val="20"/>
          <w:lang w:val="en-US"/>
        </w:rPr>
      </w:pPr>
      <w:r w:rsidRPr="00C6653F">
        <w:rPr>
          <w:rFonts w:cs="Arial"/>
          <w:b w:val="0"/>
          <w:color w:val="000000"/>
          <w:sz w:val="20"/>
          <w:szCs w:val="20"/>
          <w:lang w:val="en-US"/>
        </w:rPr>
        <w:t>Note: it is p</w:t>
      </w:r>
      <w:r w:rsidRPr="00C6653F">
        <w:rPr>
          <w:rFonts w:cs="Arial"/>
          <w:b w:val="0"/>
          <w:color w:val="000000"/>
          <w:sz w:val="20"/>
          <w:szCs w:val="20"/>
        </w:rPr>
        <w:t>refer</w:t>
      </w:r>
      <w:r>
        <w:rPr>
          <w:rFonts w:cs="Arial"/>
          <w:b w:val="0"/>
          <w:color w:val="000000"/>
          <w:sz w:val="20"/>
          <w:szCs w:val="20"/>
          <w:lang w:val="en-US"/>
        </w:rPr>
        <w:t>able</w:t>
      </w:r>
      <w:r w:rsidRPr="00C6653F">
        <w:rPr>
          <w:rFonts w:cs="Arial"/>
          <w:b w:val="0"/>
          <w:color w:val="000000"/>
          <w:sz w:val="20"/>
          <w:szCs w:val="20"/>
        </w:rPr>
        <w:t xml:space="preserve"> to deliver direct to site</w:t>
      </w:r>
      <w:r w:rsidRPr="00C6653F">
        <w:rPr>
          <w:rFonts w:cs="Arial"/>
          <w:b w:val="0"/>
          <w:color w:val="000000"/>
          <w:sz w:val="20"/>
          <w:szCs w:val="20"/>
          <w:lang w:val="en-US"/>
        </w:rPr>
        <w:t>, to ensure that items are delivered to affected populations and do not remain stuck in warehouse,</w:t>
      </w:r>
      <w:r w:rsidRPr="00C6653F">
        <w:rPr>
          <w:rFonts w:cs="Arial"/>
          <w:b w:val="0"/>
          <w:color w:val="000000"/>
          <w:sz w:val="20"/>
          <w:szCs w:val="20"/>
        </w:rPr>
        <w:t xml:space="preserve"> unless there is a clear need to move to </w:t>
      </w:r>
      <w:r w:rsidRPr="00C6653F">
        <w:rPr>
          <w:rFonts w:cs="Arial"/>
          <w:b w:val="0"/>
          <w:color w:val="000000"/>
          <w:sz w:val="20"/>
          <w:szCs w:val="20"/>
          <w:lang w:val="en-US"/>
        </w:rPr>
        <w:t xml:space="preserve">consolidate on warehouses. Agencies should have a proven track record of working with international partners and regularly attend cluster meetings. For agencies first distributions, </w:t>
      </w:r>
      <w:r>
        <w:rPr>
          <w:rFonts w:cs="Arial"/>
          <w:b w:val="0"/>
          <w:color w:val="000000"/>
          <w:sz w:val="20"/>
          <w:szCs w:val="20"/>
          <w:lang w:val="en-US"/>
        </w:rPr>
        <w:t>smaller targeting numbers of people are encouraged.</w:t>
      </w:r>
    </w:p>
    <w:p w14:paraId="783ABF98" w14:textId="1743BA98" w:rsidR="004D6E2E" w:rsidRDefault="004D6E2E" w:rsidP="00C6653F">
      <w:pPr>
        <w:pStyle w:val="Heading2"/>
      </w:pPr>
      <w:r>
        <w:t>6.</w:t>
      </w:r>
      <w:r>
        <w:tab/>
        <w:t xml:space="preserve">Challenges, issues and </w:t>
      </w:r>
      <w:r w:rsidRPr="00594F71">
        <w:t xml:space="preserve">constraints  </w:t>
      </w:r>
    </w:p>
    <w:p w14:paraId="00D52122" w14:textId="18CC8963" w:rsidR="004D6E2E" w:rsidRDefault="004D6E2E" w:rsidP="004D6E2E">
      <w:r>
        <w:t xml:space="preserve">The </w:t>
      </w:r>
      <w:r w:rsidR="000009C2">
        <w:t>major constrain</w:t>
      </w:r>
      <w:r>
        <w:t>t</w:t>
      </w:r>
      <w:r w:rsidR="000009C2">
        <w:t>s</w:t>
      </w:r>
      <w:r>
        <w:t xml:space="preserve"> are with </w:t>
      </w:r>
      <w:r w:rsidR="000009C2">
        <w:t xml:space="preserve">data for planning and targeted purposes, </w:t>
      </w:r>
      <w:r>
        <w:t>rapid scale up and implementation capacity</w:t>
      </w:r>
    </w:p>
    <w:p w14:paraId="0B64D305" w14:textId="38920CB7" w:rsidR="004D6E2E" w:rsidRDefault="004D6E2E" w:rsidP="004D6E2E">
      <w:r>
        <w:t>Th</w:t>
      </w:r>
      <w:r w:rsidR="000009C2">
        <w:t xml:space="preserve">ere are insufficient materials in the pipeline to meet needs and there </w:t>
      </w:r>
      <w:r>
        <w:t xml:space="preserve">remain </w:t>
      </w:r>
      <w:r w:rsidR="00E71DFD">
        <w:t>delivery</w:t>
      </w:r>
      <w:r w:rsidR="000009C2">
        <w:t xml:space="preserve"> </w:t>
      </w:r>
      <w:r>
        <w:t>gaps in the pipeline</w:t>
      </w:r>
      <w:r w:rsidR="006A3E93">
        <w:t xml:space="preserve"> for all items</w:t>
      </w:r>
      <w:r>
        <w:t>.</w:t>
      </w:r>
    </w:p>
    <w:p w14:paraId="36002D1A" w14:textId="77777777" w:rsidR="004D6E2E" w:rsidRPr="00BB4B23" w:rsidRDefault="004D6E2E" w:rsidP="004D6E2E">
      <w:pPr>
        <w:pStyle w:val="Heading2"/>
      </w:pPr>
      <w:r>
        <w:t>7.</w:t>
      </w:r>
      <w:r>
        <w:tab/>
      </w:r>
      <w:r w:rsidRPr="00BB4B23">
        <w:t>Advocacy messages</w:t>
      </w:r>
    </w:p>
    <w:p w14:paraId="3FCF0BF5" w14:textId="77777777" w:rsidR="004D6E2E" w:rsidRDefault="004D6E2E" w:rsidP="004D6E2E">
      <w:pPr>
        <w:rPr>
          <w:rFonts w:cs="Arial"/>
        </w:rPr>
      </w:pPr>
      <w:r>
        <w:rPr>
          <w:rFonts w:cs="Arial"/>
        </w:rPr>
        <w:t>Prioirity items:</w:t>
      </w:r>
    </w:p>
    <w:p w14:paraId="050A9F82" w14:textId="347A6266" w:rsidR="004D6E2E" w:rsidRDefault="004D6E2E" w:rsidP="004D6E2E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Tarpaulins and rope</w:t>
      </w:r>
      <w:r w:rsidR="007D59FB">
        <w:rPr>
          <w:rFonts w:cs="Arial"/>
        </w:rPr>
        <w:t xml:space="preserve"> (pipeline Gap at least </w:t>
      </w:r>
      <w:r w:rsidR="008F22C9">
        <w:rPr>
          <w:rFonts w:cs="Arial"/>
        </w:rPr>
        <w:t>61</w:t>
      </w:r>
      <w:r w:rsidR="007D59FB">
        <w:rPr>
          <w:rFonts w:cs="Arial"/>
        </w:rPr>
        <w:t>,000 tarpaulins)</w:t>
      </w:r>
    </w:p>
    <w:p w14:paraId="1492AE60" w14:textId="77777777" w:rsidR="008F22C9" w:rsidRDefault="008F22C9" w:rsidP="008F22C9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Tool kits</w:t>
      </w:r>
    </w:p>
    <w:p w14:paraId="0395E81E" w14:textId="4D328852" w:rsidR="004D6E2E" w:rsidRDefault="004D6E2E" w:rsidP="004D6E2E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Blankets</w:t>
      </w:r>
      <w:r w:rsidR="007D59FB">
        <w:rPr>
          <w:rFonts w:cs="Arial"/>
        </w:rPr>
        <w:t xml:space="preserve"> (pipeline Gap at least 33,000 tarpaulins)</w:t>
      </w:r>
    </w:p>
    <w:p w14:paraId="10184533" w14:textId="77777777" w:rsidR="004D6E2E" w:rsidRDefault="004D6E2E" w:rsidP="004D6E2E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Sleeping mats</w:t>
      </w:r>
    </w:p>
    <w:p w14:paraId="0E237A2A" w14:textId="77777777" w:rsidR="004D6E2E" w:rsidRDefault="004D6E2E" w:rsidP="004D6E2E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Buckets</w:t>
      </w:r>
    </w:p>
    <w:p w14:paraId="15E374A0" w14:textId="181BB40F" w:rsidR="00267178" w:rsidRDefault="004D6E2E" w:rsidP="00267178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>Solar lamps</w:t>
      </w:r>
    </w:p>
    <w:p w14:paraId="2E68760B" w14:textId="77777777" w:rsidR="008F22C9" w:rsidRDefault="008F22C9" w:rsidP="00B55094">
      <w:pPr>
        <w:rPr>
          <w:lang w:val="en-US"/>
        </w:rPr>
      </w:pPr>
    </w:p>
    <w:p w14:paraId="4D06FC5E" w14:textId="2099268B" w:rsidR="00B55094" w:rsidRDefault="00B55094" w:rsidP="00B55094">
      <w:pPr>
        <w:rPr>
          <w:b/>
          <w:lang w:val="en-US"/>
        </w:rPr>
      </w:pPr>
      <w:r w:rsidRPr="00B55094">
        <w:rPr>
          <w:lang w:val="en-US"/>
        </w:rPr>
        <w:t xml:space="preserve">Based on the initial cluster target of </w:t>
      </w:r>
      <w:r w:rsidR="00CE7994">
        <w:rPr>
          <w:lang w:val="en-US"/>
        </w:rPr>
        <w:t>87,50</w:t>
      </w:r>
      <w:r w:rsidRPr="00B55094">
        <w:rPr>
          <w:lang w:val="en-US"/>
        </w:rPr>
        <w:t>0 households in need of shelter assistance</w:t>
      </w:r>
      <w:r w:rsidR="00CE7994">
        <w:rPr>
          <w:lang w:val="en-US"/>
        </w:rPr>
        <w:t xml:space="preserve"> (but noting revised damage data doubling the target population)</w:t>
      </w:r>
      <w:r w:rsidRPr="00B55094">
        <w:rPr>
          <w:lang w:val="en-US"/>
        </w:rPr>
        <w:t xml:space="preserve">, we see the </w:t>
      </w:r>
      <w:r w:rsidRPr="00B55094">
        <w:rPr>
          <w:b/>
          <w:lang w:val="en-US"/>
        </w:rPr>
        <w:t>following critical gap in the most basic of life saving shelter assistance in the next two months:</w:t>
      </w:r>
    </w:p>
    <w:p w14:paraId="1A61CBF1" w14:textId="0BD1DE99" w:rsidR="00CE7994" w:rsidRDefault="00CE7994" w:rsidP="00CE7994">
      <w:pPr>
        <w:pStyle w:val="ListParagraph"/>
        <w:numPr>
          <w:ilvl w:val="0"/>
          <w:numId w:val="30"/>
        </w:numPr>
        <w:rPr>
          <w:lang w:val="en-US"/>
        </w:rPr>
      </w:pPr>
      <w:r w:rsidRPr="00CE7994">
        <w:rPr>
          <w:b/>
          <w:lang w:val="en-US"/>
        </w:rPr>
        <w:t>Gap of 61,360 x</w:t>
      </w:r>
      <w:r w:rsidR="00B55094" w:rsidRPr="00CE7994">
        <w:rPr>
          <w:b/>
          <w:lang w:val="en-US"/>
        </w:rPr>
        <w:t xml:space="preserve"> 6mx4m plastic tarpaulins</w:t>
      </w:r>
      <w:r>
        <w:rPr>
          <w:lang w:val="en-US"/>
        </w:rPr>
        <w:t xml:space="preserve"> if provided at 2 per household. </w:t>
      </w:r>
    </w:p>
    <w:p w14:paraId="761DC9EB" w14:textId="0D554483" w:rsidR="00B55094" w:rsidRDefault="00B55094" w:rsidP="00CE7994">
      <w:pPr>
        <w:pStyle w:val="ListParagraph"/>
        <w:numPr>
          <w:ilvl w:val="0"/>
          <w:numId w:val="30"/>
        </w:numPr>
        <w:rPr>
          <w:lang w:val="en-US"/>
        </w:rPr>
      </w:pPr>
      <w:r w:rsidRPr="00CE7994">
        <w:rPr>
          <w:lang w:val="en-US"/>
        </w:rPr>
        <w:t xml:space="preserve">Plastic Tarpaulins: </w:t>
      </w:r>
      <w:r w:rsidR="00CE7994">
        <w:rPr>
          <w:lang w:val="en-US"/>
        </w:rPr>
        <w:t>113,640</w:t>
      </w:r>
      <w:r w:rsidRPr="00CE7994">
        <w:rPr>
          <w:lang w:val="en-US"/>
        </w:rPr>
        <w:t xml:space="preserve"> in pipeline / committed: target for </w:t>
      </w:r>
      <w:r w:rsidR="00CE7994">
        <w:rPr>
          <w:lang w:val="en-US"/>
        </w:rPr>
        <w:t>85</w:t>
      </w:r>
      <w:r w:rsidRPr="00CE7994">
        <w:rPr>
          <w:lang w:val="en-US"/>
        </w:rPr>
        <w:t>,000 households, 1</w:t>
      </w:r>
      <w:r w:rsidR="00CE7994">
        <w:rPr>
          <w:lang w:val="en-US"/>
        </w:rPr>
        <w:t>70</w:t>
      </w:r>
      <w:r w:rsidRPr="00CE7994">
        <w:rPr>
          <w:lang w:val="en-US"/>
        </w:rPr>
        <w:t>,000.</w:t>
      </w:r>
    </w:p>
    <w:p w14:paraId="1B322085" w14:textId="54DB0AE5" w:rsidR="00CE7994" w:rsidRPr="00CE7994" w:rsidRDefault="00CE7994" w:rsidP="00CE7994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All other items are insufficient supply</w:t>
      </w:r>
    </w:p>
    <w:p w14:paraId="2E953C53" w14:textId="7E6B0719" w:rsidR="00B55094" w:rsidRPr="00B55094" w:rsidRDefault="00B55094" w:rsidP="00B55094">
      <w:pPr>
        <w:pStyle w:val="ListParagraph"/>
        <w:numPr>
          <w:ilvl w:val="0"/>
          <w:numId w:val="30"/>
        </w:numPr>
        <w:rPr>
          <w:lang w:val="en-US"/>
        </w:rPr>
      </w:pPr>
      <w:r w:rsidRPr="00B55094">
        <w:rPr>
          <w:lang w:val="en-US"/>
        </w:rPr>
        <w:t xml:space="preserve">Although significant efforts have been put in by all partners, and </w:t>
      </w:r>
      <w:r w:rsidR="00CE7994">
        <w:rPr>
          <w:lang w:val="en-US"/>
        </w:rPr>
        <w:t xml:space="preserve">it should be </w:t>
      </w:r>
      <w:r w:rsidRPr="00B55094">
        <w:rPr>
          <w:lang w:val="en-US"/>
        </w:rPr>
        <w:t>note</w:t>
      </w:r>
      <w:r w:rsidR="00CE7994">
        <w:rPr>
          <w:lang w:val="en-US"/>
        </w:rPr>
        <w:t>d</w:t>
      </w:r>
      <w:r w:rsidRPr="00B55094">
        <w:rPr>
          <w:lang w:val="en-US"/>
        </w:rPr>
        <w:t xml:space="preserve"> that the targets may change as further assessment data comes in, support </w:t>
      </w:r>
      <w:r w:rsidR="00CE7994">
        <w:rPr>
          <w:lang w:val="en-US"/>
        </w:rPr>
        <w:t xml:space="preserve">is required to </w:t>
      </w:r>
      <w:r w:rsidRPr="00B55094">
        <w:rPr>
          <w:lang w:val="en-US"/>
        </w:rPr>
        <w:t>address these gaps.</w:t>
      </w:r>
    </w:p>
    <w:p w14:paraId="10FD2E05" w14:textId="62422E79" w:rsidR="004D6E2E" w:rsidRPr="00F64E76" w:rsidRDefault="0027625E" w:rsidP="0027625E">
      <w:pPr>
        <w:pStyle w:val="Heading1"/>
        <w:jc w:val="left"/>
      </w:pPr>
      <w:r>
        <w:t xml:space="preserve">8. </w:t>
      </w:r>
      <w:r>
        <w:tab/>
      </w:r>
      <w:r w:rsidR="004D6E2E">
        <w:t>Emergency Shelter Coordination</w:t>
      </w:r>
      <w:r w:rsidR="004D6E2E" w:rsidRPr="00F64E76">
        <w:tab/>
      </w:r>
      <w:r w:rsidR="004D6E2E" w:rsidRPr="00F64E76">
        <w:tab/>
      </w:r>
      <w:r w:rsidR="004D6E2E">
        <w:tab/>
      </w:r>
    </w:p>
    <w:p w14:paraId="0AFE4F9E" w14:textId="08570AB9" w:rsidR="0027625E" w:rsidRDefault="0027625E" w:rsidP="0027625E">
      <w:pPr>
        <w:rPr>
          <w:rFonts w:ascii="Calibri" w:hAnsi="Calibri" w:cs="Calibri"/>
          <w:lang w:val="en-IE"/>
        </w:rPr>
      </w:pPr>
      <w:r>
        <w:rPr>
          <w:lang w:val="en-IE"/>
        </w:rPr>
        <w:t xml:space="preserve">All Shelter documents related to the response can also be found at </w:t>
      </w:r>
      <w:hyperlink r:id="rId13" w:history="1">
        <w:r>
          <w:rPr>
            <w:rStyle w:val="Hyperlink"/>
            <w:lang w:val="en-IE"/>
          </w:rPr>
          <w:t>https://www.sheltercluster.org/response/mozambique-tropical-cyclone-idai-2019</w:t>
        </w:r>
      </w:hyperlink>
    </w:p>
    <w:p w14:paraId="5BDB38CD" w14:textId="603276A4" w:rsidR="004D6E2E" w:rsidRDefault="004D6E2E" w:rsidP="004D6E2E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545"/>
      </w:tblGrid>
      <w:tr w:rsidR="006A3E93" w14:paraId="39B19EBB" w14:textId="77777777" w:rsidTr="00D543F1">
        <w:tc>
          <w:tcPr>
            <w:tcW w:w="9062" w:type="dxa"/>
            <w:gridSpan w:val="2"/>
          </w:tcPr>
          <w:p w14:paraId="35CDF80B" w14:textId="77777777" w:rsidR="006A3E93" w:rsidRDefault="006A3E93" w:rsidP="00D543F1">
            <w:pPr>
              <w:rPr>
                <w:rFonts w:cs="Arial"/>
              </w:rPr>
            </w:pPr>
            <w:r>
              <w:rPr>
                <w:rFonts w:cs="Arial"/>
              </w:rPr>
              <w:t>Co-Coordinators Maputo:</w:t>
            </w:r>
          </w:p>
        </w:tc>
      </w:tr>
      <w:tr w:rsidR="006A3E93" w14:paraId="4C06AA51" w14:textId="77777777" w:rsidTr="00D543F1">
        <w:tc>
          <w:tcPr>
            <w:tcW w:w="4517" w:type="dxa"/>
          </w:tcPr>
          <w:p w14:paraId="6E233283" w14:textId="77777777" w:rsidR="006A3E93" w:rsidRPr="00AA0AD0" w:rsidRDefault="006A3E93" w:rsidP="00D543F1">
            <w:pPr>
              <w:rPr>
                <w:rFonts w:cs="Arial"/>
              </w:rPr>
            </w:pPr>
            <w:r w:rsidRPr="00AA0AD0">
              <w:rPr>
                <w:rFonts w:cs="Arial"/>
              </w:rPr>
              <w:t>Nuno Nunes</w:t>
            </w:r>
          </w:p>
          <w:p w14:paraId="5755CFD6" w14:textId="77777777" w:rsidR="006A3E93" w:rsidRPr="00AA0AD0" w:rsidRDefault="00C132F9" w:rsidP="00D543F1">
            <w:pPr>
              <w:rPr>
                <w:rFonts w:ascii="Verdana" w:hAnsi="Verdana"/>
                <w:b/>
                <w:bCs/>
                <w:color w:val="833C0B"/>
              </w:rPr>
            </w:pPr>
            <w:hyperlink r:id="rId14" w:history="1">
              <w:r w:rsidR="006A3E93" w:rsidRPr="00294585">
                <w:rPr>
                  <w:rStyle w:val="Hyperlink"/>
                  <w:rFonts w:ascii="Verdana" w:hAnsi="Verdana"/>
                </w:rPr>
                <w:t>moz.coord2@sheltercluster.org</w:t>
              </w:r>
            </w:hyperlink>
            <w:r w:rsidR="006A3E93" w:rsidRPr="00AA0AD0">
              <w:rPr>
                <w:rFonts w:ascii="Verdana" w:hAnsi="Verdana"/>
                <w:color w:val="9A0000"/>
              </w:rPr>
              <w:t xml:space="preserve"> </w:t>
            </w:r>
            <w:r w:rsidR="006A3E93" w:rsidRPr="00AA0AD0">
              <w:rPr>
                <w:rFonts w:ascii="Verdana" w:hAnsi="Verdana"/>
                <w:b/>
                <w:bCs/>
                <w:color w:val="833C0B"/>
              </w:rPr>
              <w:t> </w:t>
            </w:r>
          </w:p>
          <w:p w14:paraId="12133583" w14:textId="77777777" w:rsidR="006A3E93" w:rsidRDefault="006A3E93" w:rsidP="00D543F1">
            <w:pPr>
              <w:rPr>
                <w:rFonts w:cs="Arial"/>
              </w:rPr>
            </w:pPr>
          </w:p>
          <w:p w14:paraId="05F8A43B" w14:textId="77777777" w:rsidR="006A3E93" w:rsidRPr="00AA0AD0" w:rsidRDefault="006A3E93" w:rsidP="00D543F1">
            <w:pPr>
              <w:rPr>
                <w:rFonts w:cs="Arial"/>
              </w:rPr>
            </w:pPr>
          </w:p>
        </w:tc>
        <w:tc>
          <w:tcPr>
            <w:tcW w:w="4545" w:type="dxa"/>
          </w:tcPr>
          <w:p w14:paraId="2EC12368" w14:textId="77777777" w:rsidR="006A3E93" w:rsidRPr="00AA0AD0" w:rsidRDefault="006A3E93" w:rsidP="00D543F1">
            <w:pPr>
              <w:rPr>
                <w:rFonts w:cs="Arial"/>
              </w:rPr>
            </w:pPr>
            <w:r w:rsidRPr="00AA0AD0">
              <w:rPr>
                <w:rFonts w:cs="Arial"/>
              </w:rPr>
              <w:t>Francesco Monteiro</w:t>
            </w:r>
          </w:p>
          <w:p w14:paraId="42781A8F" w14:textId="77777777" w:rsidR="006A3E93" w:rsidRPr="00AA0AD0" w:rsidRDefault="00C132F9" w:rsidP="00D543F1">
            <w:pPr>
              <w:rPr>
                <w:rFonts w:ascii="Verdana" w:hAnsi="Verdana"/>
                <w:b/>
                <w:bCs/>
                <w:color w:val="833C0B"/>
              </w:rPr>
            </w:pPr>
            <w:hyperlink r:id="rId15" w:history="1">
              <w:r w:rsidR="006A3E93" w:rsidRPr="00AA0AD0">
                <w:rPr>
                  <w:rStyle w:val="Hyperlink"/>
                  <w:rFonts w:ascii="Verdana" w:hAnsi="Verdana"/>
                </w:rPr>
                <w:t>moz.coord3@sheltercluster.org</w:t>
              </w:r>
            </w:hyperlink>
            <w:r w:rsidR="006A3E93" w:rsidRPr="00AA0AD0">
              <w:rPr>
                <w:rFonts w:ascii="Verdana" w:hAnsi="Verdana"/>
                <w:color w:val="9A0000"/>
              </w:rPr>
              <w:t xml:space="preserve"> </w:t>
            </w:r>
            <w:r w:rsidR="006A3E93" w:rsidRPr="00AA0AD0">
              <w:rPr>
                <w:rFonts w:ascii="Verdana" w:hAnsi="Verdana"/>
                <w:b/>
                <w:bCs/>
                <w:color w:val="833C0B"/>
              </w:rPr>
              <w:t> </w:t>
            </w:r>
          </w:p>
          <w:p w14:paraId="149FA842" w14:textId="77777777" w:rsidR="006A3E93" w:rsidRPr="00AA0AD0" w:rsidRDefault="006A3E93" w:rsidP="00D543F1">
            <w:pPr>
              <w:rPr>
                <w:rFonts w:cs="Arial"/>
              </w:rPr>
            </w:pPr>
            <w:r w:rsidRPr="00AA0AD0">
              <w:rPr>
                <w:rFonts w:ascii="Verdana" w:hAnsi="Verdana"/>
                <w:color w:val="000000"/>
              </w:rPr>
              <w:t>+258 84 500 7662   </w:t>
            </w:r>
          </w:p>
        </w:tc>
      </w:tr>
      <w:tr w:rsidR="006A3E93" w14:paraId="1C2E5D1A" w14:textId="77777777" w:rsidTr="00D543F1">
        <w:tc>
          <w:tcPr>
            <w:tcW w:w="9062" w:type="dxa"/>
            <w:gridSpan w:val="2"/>
          </w:tcPr>
          <w:p w14:paraId="36C0C410" w14:textId="77777777" w:rsidR="006A3E93" w:rsidRPr="00AA0AD0" w:rsidRDefault="006A3E93" w:rsidP="00D543F1">
            <w:pPr>
              <w:rPr>
                <w:rFonts w:cs="Arial"/>
              </w:rPr>
            </w:pPr>
            <w:r w:rsidRPr="00AA0AD0">
              <w:rPr>
                <w:rFonts w:cs="Arial"/>
              </w:rPr>
              <w:t>Coordinators Beira</w:t>
            </w:r>
          </w:p>
        </w:tc>
      </w:tr>
      <w:tr w:rsidR="006A3E93" w14:paraId="780BB0F8" w14:textId="77777777" w:rsidTr="00D543F1">
        <w:tc>
          <w:tcPr>
            <w:tcW w:w="4517" w:type="dxa"/>
          </w:tcPr>
          <w:p w14:paraId="39B66645" w14:textId="77777777" w:rsidR="006A3E93" w:rsidRPr="00AA0AD0" w:rsidRDefault="006A3E93" w:rsidP="00D543F1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r w:rsidRPr="00AA0AD0">
              <w:rPr>
                <w:rFonts w:cs="Arial"/>
              </w:rPr>
              <w:t>Jim kennedy IOM</w:t>
            </w:r>
          </w:p>
          <w:p w14:paraId="257E24E8" w14:textId="77777777" w:rsidR="006A3E93" w:rsidRPr="00AA0AD0" w:rsidRDefault="00C132F9" w:rsidP="00D543F1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hyperlink r:id="rId16" w:history="1">
              <w:r w:rsidR="006A3E93" w:rsidRPr="00294585">
                <w:rPr>
                  <w:rStyle w:val="Hyperlink"/>
                  <w:rFonts w:ascii="Verdana" w:hAnsi="Verdana"/>
                  <w:lang w:val="en-US"/>
                </w:rPr>
                <w:t>Moz.Coord1@sheltercluster.org</w:t>
              </w:r>
            </w:hyperlink>
          </w:p>
        </w:tc>
        <w:tc>
          <w:tcPr>
            <w:tcW w:w="4545" w:type="dxa"/>
          </w:tcPr>
          <w:p w14:paraId="735AA8D4" w14:textId="77777777" w:rsidR="006A3E93" w:rsidRPr="00AA0AD0" w:rsidRDefault="006A3E93" w:rsidP="00D543F1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</w:p>
        </w:tc>
      </w:tr>
      <w:tr w:rsidR="006A3E93" w14:paraId="2D1194FB" w14:textId="77777777" w:rsidTr="00D543F1">
        <w:tc>
          <w:tcPr>
            <w:tcW w:w="4517" w:type="dxa"/>
          </w:tcPr>
          <w:p w14:paraId="7390FFEB" w14:textId="77777777" w:rsidR="006A3E93" w:rsidRPr="00AA0AD0" w:rsidRDefault="006A3E93" w:rsidP="00D543F1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r w:rsidRPr="00AA0AD0">
              <w:rPr>
                <w:rFonts w:cs="Arial"/>
              </w:rPr>
              <w:t>Information management</w:t>
            </w:r>
          </w:p>
        </w:tc>
        <w:tc>
          <w:tcPr>
            <w:tcW w:w="4545" w:type="dxa"/>
          </w:tcPr>
          <w:p w14:paraId="1CB6D4E2" w14:textId="77777777" w:rsidR="006A3E93" w:rsidRPr="00AA0AD0" w:rsidRDefault="006A3E93" w:rsidP="00D543F1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</w:p>
        </w:tc>
      </w:tr>
      <w:tr w:rsidR="006A3E93" w14:paraId="7BE207C4" w14:textId="77777777" w:rsidTr="00D543F1">
        <w:tc>
          <w:tcPr>
            <w:tcW w:w="4517" w:type="dxa"/>
          </w:tcPr>
          <w:p w14:paraId="168D217A" w14:textId="77777777" w:rsidR="006A3E93" w:rsidRPr="00AA0AD0" w:rsidRDefault="006A3E93" w:rsidP="00D543F1">
            <w:pPr>
              <w:tabs>
                <w:tab w:val="left" w:pos="2127"/>
                <w:tab w:val="left" w:pos="4962"/>
                <w:tab w:val="left" w:pos="5103"/>
              </w:tabs>
              <w:spacing w:after="0"/>
              <w:rPr>
                <w:rFonts w:cs="Arial"/>
              </w:rPr>
            </w:pPr>
            <w:r w:rsidRPr="00AA0AD0">
              <w:rPr>
                <w:rFonts w:cs="Arial"/>
              </w:rPr>
              <w:t>Mohamed Bakr - Beira</w:t>
            </w:r>
          </w:p>
          <w:p w14:paraId="3F49F2F4" w14:textId="77777777" w:rsidR="006A3E93" w:rsidRPr="00AA0AD0" w:rsidRDefault="00C132F9" w:rsidP="00D543F1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hyperlink r:id="rId17" w:history="1">
              <w:r w:rsidR="006A3E93" w:rsidRPr="00AA0AD0">
                <w:rPr>
                  <w:rStyle w:val="Hyperlink"/>
                  <w:rFonts w:cs="Arial"/>
                </w:rPr>
                <w:t>Mbakr@iom.int</w:t>
              </w:r>
            </w:hyperlink>
          </w:p>
        </w:tc>
        <w:tc>
          <w:tcPr>
            <w:tcW w:w="4545" w:type="dxa"/>
          </w:tcPr>
          <w:p w14:paraId="12FA45DF" w14:textId="77777777" w:rsidR="006A3E93" w:rsidRPr="00AA0AD0" w:rsidRDefault="006A3E93" w:rsidP="00D543F1">
            <w:pPr>
              <w:tabs>
                <w:tab w:val="left" w:pos="2127"/>
                <w:tab w:val="left" w:pos="4962"/>
                <w:tab w:val="left" w:pos="5103"/>
              </w:tabs>
              <w:spacing w:after="0"/>
              <w:rPr>
                <w:rFonts w:cs="Arial"/>
              </w:rPr>
            </w:pPr>
            <w:r w:rsidRPr="00AA0AD0">
              <w:rPr>
                <w:rFonts w:cs="Arial"/>
              </w:rPr>
              <w:t>Brian Mcdonald – Maputo</w:t>
            </w:r>
          </w:p>
          <w:p w14:paraId="26573D93" w14:textId="77777777" w:rsidR="006A3E93" w:rsidRPr="00AA0AD0" w:rsidRDefault="006A3E93" w:rsidP="00D543F1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r w:rsidRPr="00AA0AD0">
              <w:rPr>
                <w:rFonts w:cs="Arial"/>
              </w:rPr>
              <w:t>Moz.IM1@sheltercluster.org</w:t>
            </w:r>
          </w:p>
        </w:tc>
      </w:tr>
      <w:tr w:rsidR="006A3E93" w14:paraId="45DE67FE" w14:textId="77777777" w:rsidTr="00D543F1">
        <w:tc>
          <w:tcPr>
            <w:tcW w:w="4517" w:type="dxa"/>
          </w:tcPr>
          <w:p w14:paraId="2950E277" w14:textId="77777777" w:rsidR="006A3E93" w:rsidRPr="00AA0AD0" w:rsidRDefault="006A3E93" w:rsidP="00D543F1">
            <w:pPr>
              <w:tabs>
                <w:tab w:val="left" w:pos="2127"/>
                <w:tab w:val="left" w:pos="4962"/>
                <w:tab w:val="left" w:pos="5103"/>
              </w:tabs>
              <w:spacing w:after="0"/>
              <w:rPr>
                <w:rFonts w:cs="Arial"/>
              </w:rPr>
            </w:pPr>
            <w:r w:rsidRPr="00AA0AD0">
              <w:rPr>
                <w:rFonts w:cs="Arial"/>
              </w:rPr>
              <w:t>Technical coordinator</w:t>
            </w:r>
          </w:p>
        </w:tc>
        <w:tc>
          <w:tcPr>
            <w:tcW w:w="4545" w:type="dxa"/>
          </w:tcPr>
          <w:p w14:paraId="1F0CB73D" w14:textId="77777777" w:rsidR="006A3E93" w:rsidRPr="00AA0AD0" w:rsidRDefault="006A3E93" w:rsidP="00D543F1">
            <w:pPr>
              <w:tabs>
                <w:tab w:val="left" w:pos="2127"/>
                <w:tab w:val="left" w:pos="4962"/>
                <w:tab w:val="left" w:pos="5103"/>
              </w:tabs>
              <w:spacing w:after="0"/>
              <w:rPr>
                <w:rFonts w:cs="Arial"/>
              </w:rPr>
            </w:pPr>
          </w:p>
        </w:tc>
      </w:tr>
      <w:tr w:rsidR="006A3E93" w14:paraId="6D052D65" w14:textId="77777777" w:rsidTr="00D543F1">
        <w:tc>
          <w:tcPr>
            <w:tcW w:w="4517" w:type="dxa"/>
          </w:tcPr>
          <w:p w14:paraId="00484408" w14:textId="77777777" w:rsidR="006A3E93" w:rsidRPr="00AA0AD0" w:rsidRDefault="006A3E93" w:rsidP="00D543F1">
            <w:pPr>
              <w:tabs>
                <w:tab w:val="left" w:pos="2127"/>
                <w:tab w:val="left" w:pos="4962"/>
                <w:tab w:val="left" w:pos="5103"/>
              </w:tabs>
              <w:spacing w:after="0"/>
              <w:rPr>
                <w:rFonts w:ascii="Verdana" w:hAnsi="Verdana"/>
                <w:lang w:val="en-MY"/>
              </w:rPr>
            </w:pPr>
            <w:r w:rsidRPr="00AA0AD0">
              <w:rPr>
                <w:rFonts w:ascii="Verdana" w:hAnsi="Verdana"/>
                <w:lang w:val="en-MY"/>
              </w:rPr>
              <w:t>Lucio cocconi</w:t>
            </w:r>
          </w:p>
          <w:p w14:paraId="6F66A8B1" w14:textId="77777777" w:rsidR="006A3E93" w:rsidRPr="00AA0AD0" w:rsidRDefault="00C132F9" w:rsidP="00D543F1">
            <w:pPr>
              <w:tabs>
                <w:tab w:val="left" w:pos="2127"/>
                <w:tab w:val="left" w:pos="4962"/>
                <w:tab w:val="left" w:pos="5103"/>
              </w:tabs>
              <w:spacing w:after="0"/>
              <w:rPr>
                <w:rFonts w:cs="Arial"/>
              </w:rPr>
            </w:pPr>
            <w:hyperlink r:id="rId18" w:history="1">
              <w:r w:rsidR="006A3E93" w:rsidRPr="00AA0AD0">
                <w:rPr>
                  <w:rStyle w:val="Hyperlink"/>
                  <w:rFonts w:ascii="Verdana" w:hAnsi="Verdana"/>
                  <w:lang w:val="en-MY"/>
                </w:rPr>
                <w:t>Moz.Tech1@sheltercluster.org</w:t>
              </w:r>
            </w:hyperlink>
          </w:p>
        </w:tc>
        <w:tc>
          <w:tcPr>
            <w:tcW w:w="4545" w:type="dxa"/>
          </w:tcPr>
          <w:p w14:paraId="50627A93" w14:textId="77777777" w:rsidR="006A3E93" w:rsidRPr="00AA0AD0" w:rsidRDefault="006A3E93" w:rsidP="00D543F1">
            <w:pPr>
              <w:tabs>
                <w:tab w:val="left" w:pos="2127"/>
                <w:tab w:val="left" w:pos="4962"/>
                <w:tab w:val="left" w:pos="5103"/>
              </w:tabs>
              <w:spacing w:after="0"/>
              <w:rPr>
                <w:rFonts w:cs="Arial"/>
              </w:rPr>
            </w:pPr>
          </w:p>
        </w:tc>
      </w:tr>
      <w:tr w:rsidR="00B31B36" w14:paraId="45966678" w14:textId="77777777" w:rsidTr="00B31B36">
        <w:trPr>
          <w:trHeight w:val="406"/>
        </w:trPr>
        <w:tc>
          <w:tcPr>
            <w:tcW w:w="4517" w:type="dxa"/>
          </w:tcPr>
          <w:p w14:paraId="06F211E7" w14:textId="77777777" w:rsidR="00A97456" w:rsidRDefault="00A97456" w:rsidP="00A97456">
            <w:pPr>
              <w:tabs>
                <w:tab w:val="left" w:pos="1500"/>
              </w:tabs>
              <w:rPr>
                <w:rFonts w:cs="Arial"/>
              </w:rPr>
            </w:pPr>
            <w:r>
              <w:rPr>
                <w:rFonts w:cs="Arial"/>
              </w:rPr>
              <w:t>CCCM</w:t>
            </w:r>
            <w:r>
              <w:rPr>
                <w:rFonts w:cs="Arial"/>
              </w:rPr>
              <w:tab/>
            </w:r>
          </w:p>
          <w:p w14:paraId="7E6FB55F" w14:textId="26AEAF80" w:rsidR="00B31B36" w:rsidRPr="00DF3D55" w:rsidRDefault="00A97456" w:rsidP="00A97456">
            <w:pPr>
              <w:tabs>
                <w:tab w:val="left" w:pos="1500"/>
              </w:tabs>
              <w:rPr>
                <w:rFonts w:cs="Arial"/>
              </w:rPr>
            </w:pPr>
            <w:r>
              <w:rPr>
                <w:rFonts w:cs="Arial"/>
              </w:rPr>
              <w:t>Camp management, camp coordination</w:t>
            </w:r>
          </w:p>
        </w:tc>
        <w:tc>
          <w:tcPr>
            <w:tcW w:w="4545" w:type="dxa"/>
          </w:tcPr>
          <w:p w14:paraId="1E8DEBA9" w14:textId="490B6839" w:rsidR="00B31B36" w:rsidRDefault="00B31B36" w:rsidP="00B31B36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</w:p>
        </w:tc>
      </w:tr>
      <w:tr w:rsidR="00A97456" w14:paraId="6A861908" w14:textId="77777777" w:rsidTr="00B31B36">
        <w:trPr>
          <w:trHeight w:val="406"/>
        </w:trPr>
        <w:tc>
          <w:tcPr>
            <w:tcW w:w="4517" w:type="dxa"/>
          </w:tcPr>
          <w:p w14:paraId="5767A909" w14:textId="77777777" w:rsidR="00A97456" w:rsidRDefault="00A97456" w:rsidP="00B31B36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r w:rsidRPr="00A97456">
              <w:rPr>
                <w:rFonts w:cs="Arial"/>
              </w:rPr>
              <w:t xml:space="preserve">ABIS Rafael </w:t>
            </w:r>
          </w:p>
          <w:p w14:paraId="28AE98D7" w14:textId="4DD10F5B" w:rsidR="00A97456" w:rsidRDefault="00A97456" w:rsidP="00B31B36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  <w:r w:rsidRPr="00A97456">
              <w:rPr>
                <w:rFonts w:cs="Arial"/>
              </w:rPr>
              <w:t>rabis@iom.int</w:t>
            </w:r>
          </w:p>
        </w:tc>
        <w:tc>
          <w:tcPr>
            <w:tcW w:w="4545" w:type="dxa"/>
          </w:tcPr>
          <w:p w14:paraId="4D2A4AD8" w14:textId="77777777" w:rsidR="00A97456" w:rsidRDefault="00A97456" w:rsidP="00B31B36">
            <w:pPr>
              <w:tabs>
                <w:tab w:val="left" w:pos="2127"/>
                <w:tab w:val="left" w:pos="4962"/>
                <w:tab w:val="left" w:pos="5103"/>
              </w:tabs>
              <w:rPr>
                <w:rFonts w:cs="Arial"/>
              </w:rPr>
            </w:pPr>
          </w:p>
        </w:tc>
      </w:tr>
    </w:tbl>
    <w:p w14:paraId="02253822" w14:textId="77777777" w:rsidR="004D6E2E" w:rsidRDefault="004D6E2E" w:rsidP="004D6E2E">
      <w:pPr>
        <w:rPr>
          <w:rFonts w:cs="Arial"/>
        </w:rPr>
      </w:pPr>
    </w:p>
    <w:p w14:paraId="7324B508" w14:textId="77777777" w:rsidR="00EF2A48" w:rsidRDefault="00C2530F" w:rsidP="00EF2A48">
      <w:r>
        <w:rPr>
          <w:lang w:eastAsia="en-GB"/>
        </w:rPr>
        <w:br w:type="page"/>
      </w:r>
    </w:p>
    <w:p w14:paraId="6241F575" w14:textId="77777777" w:rsidR="00EF2A48" w:rsidRDefault="00EF2A48" w:rsidP="00EF2A48">
      <w:pPr>
        <w:pStyle w:val="Heading1"/>
      </w:pPr>
      <w:r>
        <w:t>Pipeline analysis</w:t>
      </w:r>
    </w:p>
    <w:tbl>
      <w:tblPr>
        <w:tblW w:w="8477" w:type="dxa"/>
        <w:tblInd w:w="-10" w:type="dxa"/>
        <w:tblLook w:val="04A0" w:firstRow="1" w:lastRow="0" w:firstColumn="1" w:lastColumn="0" w:noHBand="0" w:noVBand="1"/>
      </w:tblPr>
      <w:tblGrid>
        <w:gridCol w:w="1960"/>
        <w:gridCol w:w="1035"/>
        <w:gridCol w:w="856"/>
        <w:gridCol w:w="1111"/>
        <w:gridCol w:w="899"/>
        <w:gridCol w:w="883"/>
        <w:gridCol w:w="960"/>
        <w:gridCol w:w="773"/>
      </w:tblGrid>
      <w:tr w:rsidR="00EF2A48" w:rsidRPr="002E52C7" w14:paraId="4A8CFB63" w14:textId="77777777" w:rsidTr="00D543F1">
        <w:trPr>
          <w:trHeight w:val="288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726598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agency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34C3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status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4EDAF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family tents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F5268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tarpaulins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0EC2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kitchen sets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82468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toolkits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99441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Blanket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5FCD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solar lamps</w:t>
            </w:r>
          </w:p>
        </w:tc>
      </w:tr>
      <w:tr w:rsidR="00EF2A48" w:rsidRPr="002E52C7" w14:paraId="1819CFF4" w14:textId="77777777" w:rsidTr="00D543F1">
        <w:trPr>
          <w:trHeight w:val="876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4DC7C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3A84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0C001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Tendas Casas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B2CF7D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Lonas 4mx6m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C22D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Kits de cozinha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C3B65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toolkits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7F860F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Mantas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6A44D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2B1AE852" w14:textId="77777777" w:rsidTr="00D543F1">
        <w:trPr>
          <w:trHeight w:val="30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B7D09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8A15B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2E6CB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CBF34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1658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5E963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F75661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991CB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1BA88511" w14:textId="77777777" w:rsidTr="00D543F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F67E2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dfid / IOM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117A0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43CC0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B73AE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18900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C3A3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B0D7E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18D57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3200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81208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1000</w:t>
            </w:r>
          </w:p>
        </w:tc>
      </w:tr>
      <w:tr w:rsidR="00EF2A48" w:rsidRPr="002E52C7" w14:paraId="390C41A2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8D95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Swiss / IOM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54DA5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0757A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7AE8D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19E8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ECC72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500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6124B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8C221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0D999E09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AEEE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CVM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9BA73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2AD63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2801D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A783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C114E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0801A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F4A13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1657E9FE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07EA8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CVM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7E680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26C75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55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78193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9040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A6F1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5806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B2A6C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3091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7248F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16098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26C0C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286F06D2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882D3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IOM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FB26A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7D94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A4DEA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D7DC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4E232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678C0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31666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29FCD0F1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56FDE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CRS/CARITAS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7FB9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DC182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5883E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A190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B18DC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57A08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72AAC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4899D0E8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79D3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Plan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69069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ED02E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54BDA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CD8D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96E84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1A50E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5E187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63E49DD8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03E74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SOS attitude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8D0BD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CD261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20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FA668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D572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C654F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75AF2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8C82F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784</w:t>
            </w:r>
          </w:p>
        </w:tc>
      </w:tr>
      <w:tr w:rsidR="00EF2A48" w:rsidRPr="002E52C7" w14:paraId="7EC8789B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86187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CVM/IFRC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24DC4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E03E3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70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7F156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9170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29DC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6776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CD0EA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4500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77261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18000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BD71E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7500</w:t>
            </w:r>
          </w:p>
        </w:tc>
      </w:tr>
      <w:tr w:rsidR="00EF2A48" w:rsidRPr="002E52C7" w14:paraId="3A56DFF4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7C2EC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USAID-OFDA/IOM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DD83C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D636C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BCFBE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1800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9DFD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2EE50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D7990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3600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D3E97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4BF54FD6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A56DA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Italy / IOM / INGC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2C06A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C6678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100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3D9C5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1BAE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0B622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7FA9D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61EB8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23244210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49A2A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Samaritans purse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AF36E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9A950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408B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8500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1692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CC578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04BB0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4800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4502B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481C7EE4" w14:textId="77777777" w:rsidTr="00D543F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71B62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Consortium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25897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D7876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33E61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930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DE49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88890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BC152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55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44BCB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3D0E0E31" w14:textId="77777777" w:rsidTr="00D543F1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83CC9FF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subtotal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1DF4F6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Arrived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5B4B331E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245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6EF4F71D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53340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46B8FEFB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14482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421ACF4E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8107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198FC14C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46753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3AF751E8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9284</w:t>
            </w:r>
          </w:p>
        </w:tc>
      </w:tr>
      <w:tr w:rsidR="00EF2A48" w:rsidRPr="002E52C7" w14:paraId="4B5CEA4E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350A1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la reunion / CVM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20BB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Pipeline/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aa-ET"/>
              </w:rPr>
              <w:t xml:space="preserve"> </w:t>
            </w: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procured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98385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75A24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BBDE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9149B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3000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859CC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B8A2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66AE96D3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588CE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IFRC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E11D6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Pipeline/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aa-ET"/>
              </w:rPr>
              <w:t xml:space="preserve"> </w:t>
            </w: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procured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F3820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9075B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FED6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C03E1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81B1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52A8F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165B5E67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D058D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CRS/CARITAS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AD774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Pipeline/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aa-ET"/>
              </w:rPr>
              <w:t xml:space="preserve"> </w:t>
            </w: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procured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83FD3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574D1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56CF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217B8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4C37C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C5D7D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1D28F2E1" w14:textId="77777777" w:rsidTr="00D543F1">
        <w:trPr>
          <w:trHeight w:val="288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14EAA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UNHCR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3A0E8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Pipeline/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aa-ET"/>
              </w:rPr>
              <w:t xml:space="preserve"> </w:t>
            </w: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procured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0B341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420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9AFB0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BC12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CBCCF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40280" w14:textId="77777777" w:rsidR="00EF2A48" w:rsidRPr="002E52C7" w:rsidRDefault="00EF2A48" w:rsidP="00D543F1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10000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0D645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1000</w:t>
            </w:r>
          </w:p>
        </w:tc>
      </w:tr>
      <w:tr w:rsidR="00EF2A48" w:rsidRPr="002E52C7" w14:paraId="3F6E1127" w14:textId="77777777" w:rsidTr="00D543F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A6519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Cosaca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5553D" w14:textId="77777777" w:rsidR="00EF2A48" w:rsidRPr="002E52C7" w:rsidRDefault="00EF2A48" w:rsidP="00D543F1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</w:pP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Pipeline/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aa-ET"/>
              </w:rPr>
              <w:t xml:space="preserve"> </w:t>
            </w:r>
            <w:r w:rsidRPr="002E52C7">
              <w:rPr>
                <w:rFonts w:ascii="Calibri" w:hAnsi="Calibri" w:cs="Calibri"/>
                <w:color w:val="000000"/>
                <w:sz w:val="22"/>
                <w:szCs w:val="22"/>
                <w:lang w:val="aa-ET" w:eastAsia="aa-ET"/>
              </w:rPr>
              <w:t>procured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3C0E0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1049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B48A9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5BD4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2A517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3.970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42B5E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0579F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6612DC5D" w14:textId="77777777" w:rsidTr="00D543F1">
        <w:trPr>
          <w:trHeight w:val="276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4ED51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OFDA/IOM/WV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13715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Pipeline/</w:t>
            </w:r>
            <w:r>
              <w:rPr>
                <w:rFonts w:cs="Arial"/>
                <w:lang w:val="en-US" w:eastAsia="aa-ET"/>
              </w:rPr>
              <w:t xml:space="preserve"> </w:t>
            </w:r>
            <w:r w:rsidRPr="002E52C7">
              <w:rPr>
                <w:rFonts w:cs="Arial"/>
                <w:lang w:val="aa-ET" w:eastAsia="aa-ET"/>
              </w:rPr>
              <w:t>procured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B07CE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74853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E4D81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19.020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00DEE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1.800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3228C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60.400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152D0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47D55065" w14:textId="77777777" w:rsidTr="00D543F1">
        <w:trPr>
          <w:trHeight w:val="276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CBDB7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CHEMO Consortium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6FED5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Pipeline/</w:t>
            </w:r>
            <w:r>
              <w:rPr>
                <w:rFonts w:cs="Arial"/>
                <w:lang w:val="en-US" w:eastAsia="aa-ET"/>
              </w:rPr>
              <w:t xml:space="preserve"> </w:t>
            </w:r>
            <w:r w:rsidRPr="002E52C7">
              <w:rPr>
                <w:rFonts w:cs="Arial"/>
                <w:lang w:val="aa-ET" w:eastAsia="aa-ET"/>
              </w:rPr>
              <w:t>procured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F3D8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95D5D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12000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A5F5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746E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5844B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0ED1E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7C28F591" w14:textId="77777777" w:rsidTr="00D543F1">
        <w:trPr>
          <w:trHeight w:val="276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D7A1662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subtotal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FB98E1C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Pipeline/</w:t>
            </w:r>
            <w:r>
              <w:rPr>
                <w:rFonts w:cs="Arial"/>
                <w:lang w:val="en-US" w:eastAsia="aa-ET"/>
              </w:rPr>
              <w:t xml:space="preserve"> </w:t>
            </w:r>
            <w:r w:rsidRPr="002E52C7">
              <w:rPr>
                <w:rFonts w:cs="Arial"/>
                <w:lang w:val="aa-ET" w:eastAsia="aa-ET"/>
              </w:rPr>
              <w:t>procured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8DA036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1469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4821DD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50300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480B01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21020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DAF889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9770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7D6B13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70400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81806F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1000</w:t>
            </w:r>
          </w:p>
        </w:tc>
      </w:tr>
      <w:tr w:rsidR="00EF2A48" w:rsidRPr="002E52C7" w14:paraId="3C5A4C90" w14:textId="77777777" w:rsidTr="00D543F1">
        <w:trPr>
          <w:trHeight w:val="276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A61B44F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in country plus pipeline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14F25A0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4632651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1714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AC1DE4D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103640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A79E09B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35502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0AA495D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17877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FCD5153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117153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2B59D23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10284</w:t>
            </w:r>
          </w:p>
        </w:tc>
      </w:tr>
      <w:tr w:rsidR="00EF2A48" w:rsidRPr="002E52C7" w14:paraId="62D865D8" w14:textId="77777777" w:rsidTr="00D543F1">
        <w:trPr>
          <w:trHeight w:val="276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80C19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IOM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5087A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311A8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90BA2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02922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6CAAE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A3A11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29B9B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0E67DB90" w14:textId="77777777" w:rsidTr="00D543F1">
        <w:trPr>
          <w:trHeight w:val="276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7F5D3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CHEMO Consortium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E57C5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planned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A22A4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FD401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10000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0FD2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C9C84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D5AC1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20.000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F8B83" w14:textId="77777777" w:rsidR="00EF2A48" w:rsidRPr="002E52C7" w:rsidRDefault="00EF2A48" w:rsidP="00D543F1">
            <w:pPr>
              <w:spacing w:after="0"/>
              <w:rPr>
                <w:rFonts w:cs="Arial"/>
                <w:lang w:val="aa-ET" w:eastAsia="aa-ET"/>
              </w:rPr>
            </w:pPr>
            <w:r w:rsidRPr="002E52C7">
              <w:rPr>
                <w:rFonts w:cs="Arial"/>
                <w:lang w:val="aa-ET" w:eastAsia="aa-ET"/>
              </w:rPr>
              <w:t> </w:t>
            </w:r>
          </w:p>
        </w:tc>
      </w:tr>
      <w:tr w:rsidR="00EF2A48" w:rsidRPr="002E52C7" w14:paraId="5111D884" w14:textId="77777777" w:rsidTr="00D543F1">
        <w:trPr>
          <w:trHeight w:val="276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15ED4EA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subtotal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E1AF849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planned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BB3FC36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2DF6879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FB7E763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3D349D5A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6855E1D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20000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5783EE6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 </w:t>
            </w:r>
          </w:p>
        </w:tc>
      </w:tr>
      <w:tr w:rsidR="00EF2A48" w:rsidRPr="002E52C7" w14:paraId="42FCC454" w14:textId="77777777" w:rsidTr="00D543F1">
        <w:trPr>
          <w:trHeight w:val="276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AC2D6D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total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C577089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850B9D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1714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81B69B0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113640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B2751B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35502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436381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17877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74D0568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137153</w:t>
            </w: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0D553CD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10284</w:t>
            </w:r>
          </w:p>
        </w:tc>
      </w:tr>
      <w:tr w:rsidR="00EF2A48" w:rsidRPr="002E52C7" w14:paraId="721606AD" w14:textId="77777777" w:rsidTr="00D543F1">
        <w:trPr>
          <w:trHeight w:val="276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60490DF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target for 87500 hh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836AA5B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4323BE6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630D467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175000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5131D5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87500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7F19DFB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87500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B468BB6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175000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C6AA3AE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87500</w:t>
            </w:r>
          </w:p>
        </w:tc>
      </w:tr>
      <w:tr w:rsidR="00EF2A48" w:rsidRPr="002E52C7" w14:paraId="3138A640" w14:textId="77777777" w:rsidTr="00D543F1">
        <w:trPr>
          <w:trHeight w:val="276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20B0B17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gap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CB54F18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2A8081D" w14:textId="77777777" w:rsidR="00EF2A48" w:rsidRPr="002E52C7" w:rsidRDefault="00EF2A48" w:rsidP="00D543F1">
            <w:pPr>
              <w:spacing w:after="0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34C0373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61360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2D0E1F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51998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9838FB4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69623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72CE16E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37847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FD10850" w14:textId="77777777" w:rsidR="00EF2A48" w:rsidRPr="002E52C7" w:rsidRDefault="00EF2A48" w:rsidP="00D543F1">
            <w:pPr>
              <w:spacing w:after="0"/>
              <w:jc w:val="right"/>
              <w:rPr>
                <w:rFonts w:cs="Arial"/>
                <w:b/>
                <w:bCs/>
                <w:lang w:val="aa-ET" w:eastAsia="aa-ET"/>
              </w:rPr>
            </w:pPr>
            <w:r w:rsidRPr="002E52C7">
              <w:rPr>
                <w:rFonts w:cs="Arial"/>
                <w:b/>
                <w:bCs/>
                <w:lang w:val="aa-ET" w:eastAsia="aa-ET"/>
              </w:rPr>
              <w:t>77216</w:t>
            </w:r>
          </w:p>
        </w:tc>
      </w:tr>
    </w:tbl>
    <w:p w14:paraId="68E72DF1" w14:textId="2F3DDBDA" w:rsidR="00C2530F" w:rsidRDefault="00C2530F">
      <w:pPr>
        <w:spacing w:after="0"/>
        <w:rPr>
          <w:lang w:eastAsia="en-GB"/>
        </w:rPr>
      </w:pPr>
    </w:p>
    <w:sectPr w:rsidR="00C2530F" w:rsidSect="00D60416">
      <w:footerReference w:type="default" r:id="rId19"/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0BB5" w14:textId="77777777" w:rsidR="00C132F9" w:rsidRDefault="00C132F9">
      <w:r>
        <w:separator/>
      </w:r>
    </w:p>
  </w:endnote>
  <w:endnote w:type="continuationSeparator" w:id="0">
    <w:p w14:paraId="2A65CE0D" w14:textId="77777777" w:rsidR="00C132F9" w:rsidRDefault="00C1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09F6D" w14:textId="68081AA8" w:rsidR="008F22C9" w:rsidRPr="00153C39" w:rsidRDefault="008F22C9">
    <w:pPr>
      <w:pStyle w:val="Footer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</w:rPr>
      <w:tab/>
    </w:r>
    <w:r w:rsidRPr="00153C39">
      <w:rPr>
        <w:rFonts w:cs="Arial"/>
        <w:sz w:val="16"/>
        <w:szCs w:val="16"/>
        <w:lang w:val="en-US"/>
      </w:rPr>
      <w:t xml:space="preserve">Page </w:t>
    </w:r>
    <w:r w:rsidRPr="00153C39">
      <w:rPr>
        <w:rFonts w:cs="Arial"/>
        <w:sz w:val="16"/>
        <w:szCs w:val="16"/>
        <w:lang w:val="en-US"/>
      </w:rPr>
      <w:fldChar w:fldCharType="begin"/>
    </w:r>
    <w:r w:rsidRPr="00153C39">
      <w:rPr>
        <w:rFonts w:cs="Arial"/>
        <w:sz w:val="16"/>
        <w:szCs w:val="16"/>
        <w:lang w:val="en-US"/>
      </w:rPr>
      <w:instrText xml:space="preserve"> PAGE </w:instrText>
    </w:r>
    <w:r w:rsidRPr="00153C39">
      <w:rPr>
        <w:rFonts w:cs="Arial"/>
        <w:sz w:val="16"/>
        <w:szCs w:val="16"/>
        <w:lang w:val="en-US"/>
      </w:rPr>
      <w:fldChar w:fldCharType="separate"/>
    </w:r>
    <w:r w:rsidR="00C132F9">
      <w:rPr>
        <w:rFonts w:cs="Arial"/>
        <w:noProof/>
        <w:sz w:val="16"/>
        <w:szCs w:val="16"/>
        <w:lang w:val="en-US"/>
      </w:rPr>
      <w:t>1</w:t>
    </w:r>
    <w:r w:rsidRPr="00153C39">
      <w:rPr>
        <w:rFonts w:cs="Arial"/>
        <w:sz w:val="16"/>
        <w:szCs w:val="16"/>
        <w:lang w:val="en-US"/>
      </w:rPr>
      <w:fldChar w:fldCharType="end"/>
    </w:r>
    <w:r w:rsidRPr="00153C39">
      <w:rPr>
        <w:rFonts w:cs="Arial"/>
        <w:sz w:val="16"/>
        <w:szCs w:val="16"/>
        <w:lang w:val="en-US"/>
      </w:rPr>
      <w:t xml:space="preserve"> of </w:t>
    </w:r>
    <w:r w:rsidRPr="00153C39">
      <w:rPr>
        <w:rFonts w:cs="Arial"/>
        <w:sz w:val="16"/>
        <w:szCs w:val="16"/>
        <w:lang w:val="en-US"/>
      </w:rPr>
      <w:fldChar w:fldCharType="begin"/>
    </w:r>
    <w:r w:rsidRPr="00153C39">
      <w:rPr>
        <w:rFonts w:cs="Arial"/>
        <w:sz w:val="16"/>
        <w:szCs w:val="16"/>
        <w:lang w:val="en-US"/>
      </w:rPr>
      <w:instrText xml:space="preserve"> NUMPAGES </w:instrText>
    </w:r>
    <w:r w:rsidRPr="00153C39">
      <w:rPr>
        <w:rFonts w:cs="Arial"/>
        <w:sz w:val="16"/>
        <w:szCs w:val="16"/>
        <w:lang w:val="en-US"/>
      </w:rPr>
      <w:fldChar w:fldCharType="separate"/>
    </w:r>
    <w:r w:rsidR="00C132F9">
      <w:rPr>
        <w:rFonts w:cs="Arial"/>
        <w:noProof/>
        <w:sz w:val="16"/>
        <w:szCs w:val="16"/>
        <w:lang w:val="en-US"/>
      </w:rPr>
      <w:t>1</w:t>
    </w:r>
    <w:r w:rsidRPr="00153C39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7C060" w14:textId="77777777" w:rsidR="00C132F9" w:rsidRDefault="00C132F9">
      <w:r>
        <w:separator/>
      </w:r>
    </w:p>
  </w:footnote>
  <w:footnote w:type="continuationSeparator" w:id="0">
    <w:p w14:paraId="26E69A81" w14:textId="77777777" w:rsidR="00C132F9" w:rsidRDefault="00C1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0A30AB"/>
    <w:multiLevelType w:val="multilevel"/>
    <w:tmpl w:val="8E62B0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04DA4452"/>
    <w:multiLevelType w:val="hybridMultilevel"/>
    <w:tmpl w:val="9420FB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7D640F6"/>
    <w:multiLevelType w:val="hybridMultilevel"/>
    <w:tmpl w:val="B6F69F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40A95"/>
    <w:multiLevelType w:val="hybridMultilevel"/>
    <w:tmpl w:val="F006B200"/>
    <w:lvl w:ilvl="0" w:tplc="0DB0670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AD1709"/>
    <w:multiLevelType w:val="hybridMultilevel"/>
    <w:tmpl w:val="7A3E1E88"/>
    <w:lvl w:ilvl="0" w:tplc="F95A961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520" w:hanging="360"/>
      </w:pPr>
    </w:lvl>
    <w:lvl w:ilvl="2" w:tplc="0C00001B" w:tentative="1">
      <w:start w:val="1"/>
      <w:numFmt w:val="lowerRoman"/>
      <w:lvlText w:val="%3."/>
      <w:lvlJc w:val="right"/>
      <w:pPr>
        <w:ind w:left="3240" w:hanging="180"/>
      </w:pPr>
    </w:lvl>
    <w:lvl w:ilvl="3" w:tplc="0C00000F" w:tentative="1">
      <w:start w:val="1"/>
      <w:numFmt w:val="decimal"/>
      <w:lvlText w:val="%4."/>
      <w:lvlJc w:val="left"/>
      <w:pPr>
        <w:ind w:left="3960" w:hanging="360"/>
      </w:pPr>
    </w:lvl>
    <w:lvl w:ilvl="4" w:tplc="0C000019" w:tentative="1">
      <w:start w:val="1"/>
      <w:numFmt w:val="lowerLetter"/>
      <w:lvlText w:val="%5."/>
      <w:lvlJc w:val="left"/>
      <w:pPr>
        <w:ind w:left="4680" w:hanging="360"/>
      </w:pPr>
    </w:lvl>
    <w:lvl w:ilvl="5" w:tplc="0C00001B" w:tentative="1">
      <w:start w:val="1"/>
      <w:numFmt w:val="lowerRoman"/>
      <w:lvlText w:val="%6."/>
      <w:lvlJc w:val="right"/>
      <w:pPr>
        <w:ind w:left="5400" w:hanging="180"/>
      </w:pPr>
    </w:lvl>
    <w:lvl w:ilvl="6" w:tplc="0C00000F" w:tentative="1">
      <w:start w:val="1"/>
      <w:numFmt w:val="decimal"/>
      <w:lvlText w:val="%7."/>
      <w:lvlJc w:val="left"/>
      <w:pPr>
        <w:ind w:left="6120" w:hanging="360"/>
      </w:pPr>
    </w:lvl>
    <w:lvl w:ilvl="7" w:tplc="0C000019" w:tentative="1">
      <w:start w:val="1"/>
      <w:numFmt w:val="lowerLetter"/>
      <w:lvlText w:val="%8."/>
      <w:lvlJc w:val="left"/>
      <w:pPr>
        <w:ind w:left="6840" w:hanging="360"/>
      </w:pPr>
    </w:lvl>
    <w:lvl w:ilvl="8" w:tplc="0C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47046E"/>
    <w:multiLevelType w:val="hybridMultilevel"/>
    <w:tmpl w:val="24FC348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60B99"/>
    <w:multiLevelType w:val="hybridMultilevel"/>
    <w:tmpl w:val="3276383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E01"/>
    <w:multiLevelType w:val="hybridMultilevel"/>
    <w:tmpl w:val="423A1A14"/>
    <w:lvl w:ilvl="0" w:tplc="07D24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052ED9"/>
    <w:multiLevelType w:val="multilevel"/>
    <w:tmpl w:val="792A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5452B3"/>
    <w:multiLevelType w:val="hybridMultilevel"/>
    <w:tmpl w:val="C97C180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A5FEA"/>
    <w:multiLevelType w:val="hybridMultilevel"/>
    <w:tmpl w:val="A99413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C63296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8ECC05E">
      <w:start w:val="1"/>
      <w:numFmt w:val="none"/>
      <w:lvlText w:val="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E21BAA"/>
    <w:multiLevelType w:val="hybridMultilevel"/>
    <w:tmpl w:val="790A0B6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0152EF5"/>
    <w:multiLevelType w:val="hybridMultilevel"/>
    <w:tmpl w:val="A3C4189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542C0"/>
    <w:multiLevelType w:val="hybridMultilevel"/>
    <w:tmpl w:val="DE006220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1" w15:restartNumberingAfterBreak="0">
    <w:nsid w:val="44355751"/>
    <w:multiLevelType w:val="hybridMultilevel"/>
    <w:tmpl w:val="02EEC7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AA51B6"/>
    <w:multiLevelType w:val="multilevel"/>
    <w:tmpl w:val="065E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E92291"/>
    <w:multiLevelType w:val="hybridMultilevel"/>
    <w:tmpl w:val="9592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554C9B"/>
    <w:multiLevelType w:val="hybridMultilevel"/>
    <w:tmpl w:val="924AA234"/>
    <w:lvl w:ilvl="0" w:tplc="FF96E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47592"/>
    <w:multiLevelType w:val="hybridMultilevel"/>
    <w:tmpl w:val="7FA07F4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3380C"/>
    <w:multiLevelType w:val="hybridMultilevel"/>
    <w:tmpl w:val="38D08D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5F31A28"/>
    <w:multiLevelType w:val="hybridMultilevel"/>
    <w:tmpl w:val="065EBA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3F74C9"/>
    <w:multiLevelType w:val="hybridMultilevel"/>
    <w:tmpl w:val="4D36821C"/>
    <w:lvl w:ilvl="0" w:tplc="81C63296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A240B1"/>
    <w:multiLevelType w:val="hybridMultilevel"/>
    <w:tmpl w:val="8F7E6346"/>
    <w:lvl w:ilvl="0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3A74BF"/>
    <w:multiLevelType w:val="hybridMultilevel"/>
    <w:tmpl w:val="4C46A35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EE073B"/>
    <w:multiLevelType w:val="hybridMultilevel"/>
    <w:tmpl w:val="BF9690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87065B"/>
    <w:multiLevelType w:val="hybridMultilevel"/>
    <w:tmpl w:val="F03840A0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64AA5"/>
    <w:multiLevelType w:val="hybridMultilevel"/>
    <w:tmpl w:val="B3E6FED8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4" w15:restartNumberingAfterBreak="0">
    <w:nsid w:val="753952F2"/>
    <w:multiLevelType w:val="multilevel"/>
    <w:tmpl w:val="02EEC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83C756E"/>
    <w:multiLevelType w:val="hybridMultilevel"/>
    <w:tmpl w:val="851E2E3A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79B01F8D"/>
    <w:multiLevelType w:val="hybridMultilevel"/>
    <w:tmpl w:val="2730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C0446"/>
    <w:multiLevelType w:val="multilevel"/>
    <w:tmpl w:val="839A2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2"/>
  </w:num>
  <w:num w:numId="7">
    <w:abstractNumId w:val="11"/>
  </w:num>
  <w:num w:numId="8">
    <w:abstractNumId w:val="13"/>
  </w:num>
  <w:num w:numId="9">
    <w:abstractNumId w:val="17"/>
  </w:num>
  <w:num w:numId="10">
    <w:abstractNumId w:val="10"/>
  </w:num>
  <w:num w:numId="11">
    <w:abstractNumId w:val="20"/>
  </w:num>
  <w:num w:numId="12">
    <w:abstractNumId w:val="33"/>
  </w:num>
  <w:num w:numId="13">
    <w:abstractNumId w:val="35"/>
  </w:num>
  <w:num w:numId="14">
    <w:abstractNumId w:val="36"/>
  </w:num>
  <w:num w:numId="15">
    <w:abstractNumId w:val="28"/>
  </w:num>
  <w:num w:numId="16">
    <w:abstractNumId w:val="21"/>
  </w:num>
  <w:num w:numId="17">
    <w:abstractNumId w:val="37"/>
  </w:num>
  <w:num w:numId="18">
    <w:abstractNumId w:val="15"/>
  </w:num>
  <w:num w:numId="19">
    <w:abstractNumId w:val="18"/>
  </w:num>
  <w:num w:numId="20">
    <w:abstractNumId w:val="34"/>
  </w:num>
  <w:num w:numId="21">
    <w:abstractNumId w:val="27"/>
  </w:num>
  <w:num w:numId="22">
    <w:abstractNumId w:val="29"/>
  </w:num>
  <w:num w:numId="23">
    <w:abstractNumId w:val="31"/>
  </w:num>
  <w:num w:numId="24">
    <w:abstractNumId w:val="25"/>
  </w:num>
  <w:num w:numId="25">
    <w:abstractNumId w:val="23"/>
  </w:num>
  <w:num w:numId="26">
    <w:abstractNumId w:val="6"/>
  </w:num>
  <w:num w:numId="27">
    <w:abstractNumId w:val="22"/>
  </w:num>
  <w:num w:numId="28">
    <w:abstractNumId w:val="7"/>
  </w:num>
  <w:num w:numId="29">
    <w:abstractNumId w:val="14"/>
  </w:num>
  <w:num w:numId="30">
    <w:abstractNumId w:val="8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6"/>
  </w:num>
  <w:num w:numId="34">
    <w:abstractNumId w:val="30"/>
  </w:num>
  <w:num w:numId="35">
    <w:abstractNumId w:val="5"/>
  </w:num>
  <w:num w:numId="36">
    <w:abstractNumId w:val="32"/>
  </w:num>
  <w:num w:numId="37">
    <w:abstractNumId w:val="16"/>
  </w:num>
  <w:num w:numId="38">
    <w:abstractNumId w:val="2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29"/>
    <w:rsid w:val="000009C2"/>
    <w:rsid w:val="00000CFE"/>
    <w:rsid w:val="00002D78"/>
    <w:rsid w:val="0000692D"/>
    <w:rsid w:val="00037E93"/>
    <w:rsid w:val="000509D8"/>
    <w:rsid w:val="0007215D"/>
    <w:rsid w:val="0009021D"/>
    <w:rsid w:val="000A0C39"/>
    <w:rsid w:val="000A1C61"/>
    <w:rsid w:val="000C4113"/>
    <w:rsid w:val="000C606A"/>
    <w:rsid w:val="000D2834"/>
    <w:rsid w:val="000D2D96"/>
    <w:rsid w:val="000E119D"/>
    <w:rsid w:val="000E1533"/>
    <w:rsid w:val="000E2080"/>
    <w:rsid w:val="000F1F09"/>
    <w:rsid w:val="000F5BD8"/>
    <w:rsid w:val="00100A29"/>
    <w:rsid w:val="00113414"/>
    <w:rsid w:val="00144FE3"/>
    <w:rsid w:val="001460B3"/>
    <w:rsid w:val="0014700D"/>
    <w:rsid w:val="00152943"/>
    <w:rsid w:val="00152EB6"/>
    <w:rsid w:val="001532B6"/>
    <w:rsid w:val="00153C39"/>
    <w:rsid w:val="00160A79"/>
    <w:rsid w:val="0017217D"/>
    <w:rsid w:val="001A5F66"/>
    <w:rsid w:val="001B1991"/>
    <w:rsid w:val="001B64B2"/>
    <w:rsid w:val="001C0CFF"/>
    <w:rsid w:val="001C33AA"/>
    <w:rsid w:val="001C77F0"/>
    <w:rsid w:val="001D0CD0"/>
    <w:rsid w:val="001E173B"/>
    <w:rsid w:val="001E69BC"/>
    <w:rsid w:val="00212013"/>
    <w:rsid w:val="002120A0"/>
    <w:rsid w:val="00225499"/>
    <w:rsid w:val="00236051"/>
    <w:rsid w:val="00244A55"/>
    <w:rsid w:val="00254FCE"/>
    <w:rsid w:val="00264191"/>
    <w:rsid w:val="00265B9E"/>
    <w:rsid w:val="00267178"/>
    <w:rsid w:val="0027625E"/>
    <w:rsid w:val="002A27D9"/>
    <w:rsid w:val="002C0E31"/>
    <w:rsid w:val="002D43EB"/>
    <w:rsid w:val="002E193C"/>
    <w:rsid w:val="002E7EBB"/>
    <w:rsid w:val="003030B4"/>
    <w:rsid w:val="00305B43"/>
    <w:rsid w:val="00317339"/>
    <w:rsid w:val="003175C3"/>
    <w:rsid w:val="00324409"/>
    <w:rsid w:val="003277BC"/>
    <w:rsid w:val="00354E1D"/>
    <w:rsid w:val="00356437"/>
    <w:rsid w:val="00356592"/>
    <w:rsid w:val="00362B86"/>
    <w:rsid w:val="00364A43"/>
    <w:rsid w:val="00373E4D"/>
    <w:rsid w:val="0037636D"/>
    <w:rsid w:val="00376F75"/>
    <w:rsid w:val="00394B34"/>
    <w:rsid w:val="0039561C"/>
    <w:rsid w:val="00395834"/>
    <w:rsid w:val="003A0F30"/>
    <w:rsid w:val="003C0426"/>
    <w:rsid w:val="003D5253"/>
    <w:rsid w:val="003F0270"/>
    <w:rsid w:val="003F1E23"/>
    <w:rsid w:val="003F5F3B"/>
    <w:rsid w:val="0040587B"/>
    <w:rsid w:val="00423A5D"/>
    <w:rsid w:val="00423C08"/>
    <w:rsid w:val="0042508D"/>
    <w:rsid w:val="00441C11"/>
    <w:rsid w:val="00462A95"/>
    <w:rsid w:val="0046588A"/>
    <w:rsid w:val="004816BA"/>
    <w:rsid w:val="00482D13"/>
    <w:rsid w:val="00485722"/>
    <w:rsid w:val="0048704F"/>
    <w:rsid w:val="0049774B"/>
    <w:rsid w:val="004B2E62"/>
    <w:rsid w:val="004D6E2E"/>
    <w:rsid w:val="004E4959"/>
    <w:rsid w:val="004E6415"/>
    <w:rsid w:val="004F3DE7"/>
    <w:rsid w:val="004F64CA"/>
    <w:rsid w:val="00527164"/>
    <w:rsid w:val="00534635"/>
    <w:rsid w:val="0054269C"/>
    <w:rsid w:val="00557A51"/>
    <w:rsid w:val="0056737D"/>
    <w:rsid w:val="00592C86"/>
    <w:rsid w:val="0059321E"/>
    <w:rsid w:val="0059515C"/>
    <w:rsid w:val="005A501D"/>
    <w:rsid w:val="005B6810"/>
    <w:rsid w:val="005D00FE"/>
    <w:rsid w:val="005D08C1"/>
    <w:rsid w:val="005F6AA7"/>
    <w:rsid w:val="006018AA"/>
    <w:rsid w:val="00604EB7"/>
    <w:rsid w:val="00610F12"/>
    <w:rsid w:val="00611ACB"/>
    <w:rsid w:val="0061364D"/>
    <w:rsid w:val="00614720"/>
    <w:rsid w:val="00623AD9"/>
    <w:rsid w:val="00632E3C"/>
    <w:rsid w:val="00647396"/>
    <w:rsid w:val="00651BDF"/>
    <w:rsid w:val="00656300"/>
    <w:rsid w:val="00667DB9"/>
    <w:rsid w:val="0067542D"/>
    <w:rsid w:val="00685EF7"/>
    <w:rsid w:val="006949B0"/>
    <w:rsid w:val="00696BE9"/>
    <w:rsid w:val="006A3E93"/>
    <w:rsid w:val="006B0BC9"/>
    <w:rsid w:val="006B2ED1"/>
    <w:rsid w:val="006B367C"/>
    <w:rsid w:val="006B585C"/>
    <w:rsid w:val="006C2538"/>
    <w:rsid w:val="006C63E2"/>
    <w:rsid w:val="006D3071"/>
    <w:rsid w:val="006E0076"/>
    <w:rsid w:val="006E7A2F"/>
    <w:rsid w:val="006F011C"/>
    <w:rsid w:val="006F76D4"/>
    <w:rsid w:val="0070314D"/>
    <w:rsid w:val="00704521"/>
    <w:rsid w:val="00716695"/>
    <w:rsid w:val="00721F83"/>
    <w:rsid w:val="00724FF5"/>
    <w:rsid w:val="0075535F"/>
    <w:rsid w:val="00761D90"/>
    <w:rsid w:val="0077064C"/>
    <w:rsid w:val="0077189D"/>
    <w:rsid w:val="007727C9"/>
    <w:rsid w:val="00786895"/>
    <w:rsid w:val="007A0B21"/>
    <w:rsid w:val="007A205D"/>
    <w:rsid w:val="007A39DF"/>
    <w:rsid w:val="007C1880"/>
    <w:rsid w:val="007D11D3"/>
    <w:rsid w:val="007D59FB"/>
    <w:rsid w:val="007D5D27"/>
    <w:rsid w:val="007E3AAC"/>
    <w:rsid w:val="007F1A18"/>
    <w:rsid w:val="007F2755"/>
    <w:rsid w:val="0081170E"/>
    <w:rsid w:val="00814691"/>
    <w:rsid w:val="00827D8A"/>
    <w:rsid w:val="00831035"/>
    <w:rsid w:val="008359F8"/>
    <w:rsid w:val="00852B25"/>
    <w:rsid w:val="00854304"/>
    <w:rsid w:val="008600FD"/>
    <w:rsid w:val="008779AB"/>
    <w:rsid w:val="00887FD2"/>
    <w:rsid w:val="00891B5C"/>
    <w:rsid w:val="00894F73"/>
    <w:rsid w:val="008B7B8C"/>
    <w:rsid w:val="008C0EEE"/>
    <w:rsid w:val="008C1288"/>
    <w:rsid w:val="008C6FB9"/>
    <w:rsid w:val="008C7239"/>
    <w:rsid w:val="008E4616"/>
    <w:rsid w:val="008E62E9"/>
    <w:rsid w:val="008F22C9"/>
    <w:rsid w:val="008F2611"/>
    <w:rsid w:val="009564EC"/>
    <w:rsid w:val="00967694"/>
    <w:rsid w:val="00991635"/>
    <w:rsid w:val="009B7F0A"/>
    <w:rsid w:val="009C293D"/>
    <w:rsid w:val="009F126B"/>
    <w:rsid w:val="00A01BA4"/>
    <w:rsid w:val="00A10C6B"/>
    <w:rsid w:val="00A12109"/>
    <w:rsid w:val="00A25010"/>
    <w:rsid w:val="00A30456"/>
    <w:rsid w:val="00A31FE8"/>
    <w:rsid w:val="00A3793F"/>
    <w:rsid w:val="00A466F9"/>
    <w:rsid w:val="00A53473"/>
    <w:rsid w:val="00A54580"/>
    <w:rsid w:val="00A57453"/>
    <w:rsid w:val="00A718D3"/>
    <w:rsid w:val="00A83CDF"/>
    <w:rsid w:val="00A92734"/>
    <w:rsid w:val="00A97456"/>
    <w:rsid w:val="00AB29D1"/>
    <w:rsid w:val="00AB4989"/>
    <w:rsid w:val="00AB58FD"/>
    <w:rsid w:val="00AC0344"/>
    <w:rsid w:val="00AD4F2E"/>
    <w:rsid w:val="00AE1661"/>
    <w:rsid w:val="00AE4181"/>
    <w:rsid w:val="00AE555A"/>
    <w:rsid w:val="00B06C8E"/>
    <w:rsid w:val="00B163A6"/>
    <w:rsid w:val="00B21E43"/>
    <w:rsid w:val="00B2371B"/>
    <w:rsid w:val="00B25A59"/>
    <w:rsid w:val="00B31B36"/>
    <w:rsid w:val="00B34092"/>
    <w:rsid w:val="00B457EF"/>
    <w:rsid w:val="00B54469"/>
    <w:rsid w:val="00B55094"/>
    <w:rsid w:val="00B61FE2"/>
    <w:rsid w:val="00B65182"/>
    <w:rsid w:val="00B74C19"/>
    <w:rsid w:val="00B77ACF"/>
    <w:rsid w:val="00B846EF"/>
    <w:rsid w:val="00B8519E"/>
    <w:rsid w:val="00B863A5"/>
    <w:rsid w:val="00B96FD9"/>
    <w:rsid w:val="00BA2BD5"/>
    <w:rsid w:val="00BC2BFA"/>
    <w:rsid w:val="00BC5D66"/>
    <w:rsid w:val="00BC6CC2"/>
    <w:rsid w:val="00BD0460"/>
    <w:rsid w:val="00BD4AE4"/>
    <w:rsid w:val="00BE31C0"/>
    <w:rsid w:val="00BE602D"/>
    <w:rsid w:val="00BF024E"/>
    <w:rsid w:val="00BF4CD6"/>
    <w:rsid w:val="00C132F9"/>
    <w:rsid w:val="00C1669B"/>
    <w:rsid w:val="00C2530F"/>
    <w:rsid w:val="00C517B4"/>
    <w:rsid w:val="00C650D5"/>
    <w:rsid w:val="00C6653F"/>
    <w:rsid w:val="00CA6B21"/>
    <w:rsid w:val="00CA72CD"/>
    <w:rsid w:val="00CB78F7"/>
    <w:rsid w:val="00CC0220"/>
    <w:rsid w:val="00CD6FCB"/>
    <w:rsid w:val="00CE7994"/>
    <w:rsid w:val="00CF2A2E"/>
    <w:rsid w:val="00D05D4C"/>
    <w:rsid w:val="00D33AD1"/>
    <w:rsid w:val="00D35466"/>
    <w:rsid w:val="00D54D4D"/>
    <w:rsid w:val="00D56801"/>
    <w:rsid w:val="00D60416"/>
    <w:rsid w:val="00D61906"/>
    <w:rsid w:val="00D63AD5"/>
    <w:rsid w:val="00D6454D"/>
    <w:rsid w:val="00D65825"/>
    <w:rsid w:val="00D721B2"/>
    <w:rsid w:val="00D802D2"/>
    <w:rsid w:val="00DB2B7F"/>
    <w:rsid w:val="00DD2549"/>
    <w:rsid w:val="00DE3134"/>
    <w:rsid w:val="00DF3D55"/>
    <w:rsid w:val="00DF5609"/>
    <w:rsid w:val="00E020D4"/>
    <w:rsid w:val="00E0698E"/>
    <w:rsid w:val="00E239AB"/>
    <w:rsid w:val="00E31BA1"/>
    <w:rsid w:val="00E468A7"/>
    <w:rsid w:val="00E609E4"/>
    <w:rsid w:val="00E631B2"/>
    <w:rsid w:val="00E64684"/>
    <w:rsid w:val="00E71DFD"/>
    <w:rsid w:val="00E83177"/>
    <w:rsid w:val="00E87E77"/>
    <w:rsid w:val="00E93814"/>
    <w:rsid w:val="00E94CA2"/>
    <w:rsid w:val="00EA09C5"/>
    <w:rsid w:val="00EA0C1D"/>
    <w:rsid w:val="00EA27DC"/>
    <w:rsid w:val="00EA7D26"/>
    <w:rsid w:val="00ED38E0"/>
    <w:rsid w:val="00ED73DA"/>
    <w:rsid w:val="00EE6E9E"/>
    <w:rsid w:val="00EF0B66"/>
    <w:rsid w:val="00EF2A48"/>
    <w:rsid w:val="00EF37F2"/>
    <w:rsid w:val="00F00CCD"/>
    <w:rsid w:val="00F02560"/>
    <w:rsid w:val="00F27F33"/>
    <w:rsid w:val="00F3117D"/>
    <w:rsid w:val="00F37D04"/>
    <w:rsid w:val="00F44176"/>
    <w:rsid w:val="00F56ADB"/>
    <w:rsid w:val="00F6039C"/>
    <w:rsid w:val="00F62899"/>
    <w:rsid w:val="00F64E76"/>
    <w:rsid w:val="00F7355A"/>
    <w:rsid w:val="00F779D6"/>
    <w:rsid w:val="00F91D85"/>
    <w:rsid w:val="00F932E4"/>
    <w:rsid w:val="00F959C8"/>
    <w:rsid w:val="00FA36C3"/>
    <w:rsid w:val="00FB7FCC"/>
    <w:rsid w:val="00FC31ED"/>
    <w:rsid w:val="00FC7440"/>
    <w:rsid w:val="00FD0AD3"/>
    <w:rsid w:val="00FD1636"/>
    <w:rsid w:val="00FE0E14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5BFFD"/>
  <w15:docId w15:val="{1D0B7278-97B5-47ED-92AA-3291B530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13"/>
    <w:pPr>
      <w:spacing w:after="120"/>
    </w:pPr>
    <w:rPr>
      <w:rFonts w:ascii="Arial" w:hAnsi="Arial" w:cs="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013"/>
    <w:pPr>
      <w:keepNext/>
      <w:keepLines/>
      <w:jc w:val="center"/>
      <w:outlineLvl w:val="0"/>
    </w:pPr>
    <w:rPr>
      <w:rFonts w:cs="Times New Roman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12013"/>
    <w:pPr>
      <w:keepNext/>
      <w:keepLines/>
      <w:spacing w:before="120"/>
      <w:outlineLvl w:val="1"/>
    </w:pPr>
    <w:rPr>
      <w:rFonts w:cs="Times New Roman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1201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01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317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pPr>
      <w:numPr>
        <w:numId w:val="1"/>
      </w:numPr>
      <w:ind w:left="357" w:hanging="357"/>
    </w:pPr>
  </w:style>
  <w:style w:type="paragraph" w:styleId="ListNumber">
    <w:name w:val="List Number"/>
    <w:basedOn w:val="Normal"/>
    <w:pPr>
      <w:numPr>
        <w:numId w:val="4"/>
      </w:numPr>
      <w:ind w:left="0" w:firstLine="0"/>
    </w:pPr>
  </w:style>
  <w:style w:type="paragraph" w:styleId="ListNumber2">
    <w:name w:val="List Number 2"/>
    <w:basedOn w:val="Normal"/>
    <w:pPr>
      <w:numPr>
        <w:numId w:val="5"/>
      </w:numPr>
      <w:ind w:left="641" w:hanging="357"/>
    </w:pPr>
  </w:style>
  <w:style w:type="paragraph" w:styleId="Header">
    <w:name w:val="header"/>
    <w:basedOn w:val="Normal"/>
    <w:link w:val="HeaderChar"/>
    <w:uiPriority w:val="99"/>
    <w:rsid w:val="00D65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8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6FD9"/>
    <w:rPr>
      <w:rFonts w:ascii="Tahoma" w:hAnsi="Tahoma" w:cs="Tahoma"/>
      <w:sz w:val="16"/>
      <w:szCs w:val="16"/>
    </w:rPr>
  </w:style>
  <w:style w:type="character" w:styleId="Hyperlink">
    <w:name w:val="Hyperlink"/>
    <w:rsid w:val="00611AC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32E3C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212013"/>
    <w:rPr>
      <w:rFonts w:ascii="Arial" w:hAnsi="Arial" w:cs="Times New Roman"/>
      <w:b/>
      <w:bCs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sid w:val="00212013"/>
    <w:rPr>
      <w:rFonts w:ascii="Arial" w:hAnsi="Arial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sid w:val="00212013"/>
    <w:rPr>
      <w:rFonts w:ascii="Cambria" w:hAnsi="Cambria" w:cs="Times New Roman"/>
      <w:b/>
      <w:bCs/>
      <w:color w:val="4F81BD"/>
      <w:lang w:val="en-GB"/>
    </w:rPr>
  </w:style>
  <w:style w:type="character" w:customStyle="1" w:styleId="Heading4Char">
    <w:name w:val="Heading 4 Char"/>
    <w:basedOn w:val="DefaultParagraphFont"/>
    <w:link w:val="Heading4"/>
    <w:rsid w:val="0021201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212013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212013"/>
    <w:pPr>
      <w:ind w:left="720"/>
    </w:pPr>
  </w:style>
  <w:style w:type="paragraph" w:customStyle="1" w:styleId="ColorfulList-Accent12">
    <w:name w:val="Colorful List - Accent 12"/>
    <w:basedOn w:val="Normal"/>
    <w:uiPriority w:val="72"/>
    <w:qFormat/>
    <w:rsid w:val="00212013"/>
    <w:pPr>
      <w:spacing w:after="0"/>
      <w:contextualSpacing/>
    </w:pPr>
    <w:rPr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3D5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E71D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1DFD"/>
  </w:style>
  <w:style w:type="character" w:customStyle="1" w:styleId="CommentTextChar">
    <w:name w:val="Comment Text Char"/>
    <w:basedOn w:val="DefaultParagraphFont"/>
    <w:link w:val="CommentText"/>
    <w:semiHidden/>
    <w:rsid w:val="00E71DFD"/>
    <w:rPr>
      <w:rFonts w:ascii="Arial" w:hAnsi="Arial" w:cs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1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DFD"/>
    <w:rPr>
      <w:rFonts w:ascii="Arial" w:hAnsi="Arial" w:cs="Times"/>
      <w:b/>
      <w:bCs/>
      <w:lang w:eastAsia="en-US"/>
    </w:rPr>
  </w:style>
  <w:style w:type="paragraph" w:customStyle="1" w:styleId="Default">
    <w:name w:val="Default"/>
    <w:rsid w:val="00CC02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aa-E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16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eltercluster.org/response/mozambique-tropical-cyclone-idai-2019" TargetMode="External"/><Relationship Id="rId18" Type="http://schemas.openxmlformats.org/officeDocument/2006/relationships/hyperlink" Target="mailto:Moz.Tech1@sheltercluster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it.ly/2I3zftc" TargetMode="External"/><Relationship Id="rId17" Type="http://schemas.openxmlformats.org/officeDocument/2006/relationships/hyperlink" Target="mailto:Mbakr@iom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oz.Coord1@sheltercluster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oz.coord3@sheltercluster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z.coord2@shelterclus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2539E503C404DB4385E8D8A379112" ma:contentTypeVersion="0" ma:contentTypeDescription="Create a new document." ma:contentTypeScope="" ma:versionID="9219431e3bece34c1081dc1b457bf08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5B34-B01E-42A9-9349-DE88A59D7C6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534105-4179-49D9-9303-A3B9C203A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753A2-7EA3-4791-A20C-FF1D7EBCA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9B7721-2F7A-40E8-892B-48C3454E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FOR THE FILE</vt:lpstr>
    </vt:vector>
  </TitlesOfParts>
  <Company>International Federation (IFRC)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FOR THE FILE</dc:title>
  <dc:creator>Licensed User</dc:creator>
  <cp:lastModifiedBy>MCDONALD Brian</cp:lastModifiedBy>
  <cp:revision>6</cp:revision>
  <cp:lastPrinted>2006-08-01T09:44:00Z</cp:lastPrinted>
  <dcterms:created xsi:type="dcterms:W3CDTF">2019-04-05T04:37:00Z</dcterms:created>
  <dcterms:modified xsi:type="dcterms:W3CDTF">2019-04-06T10:38:00Z</dcterms:modified>
</cp:coreProperties>
</file>