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1913" w14:textId="3AAA0F6A" w:rsidR="008771D6" w:rsidRPr="00983D0E" w:rsidRDefault="008771D6" w:rsidP="008771D6">
      <w:pPr>
        <w:pStyle w:val="Heading3"/>
        <w:spacing w:before="0"/>
        <w:jc w:val="center"/>
      </w:pPr>
      <w:r w:rsidRPr="00983D0E">
        <w:t>Global Shelter Cluster Shelter Projects Working Group</w:t>
      </w:r>
    </w:p>
    <w:p w14:paraId="4629E44E" w14:textId="0739B8AA" w:rsidR="002B47FB" w:rsidRDefault="00223616" w:rsidP="008771D6">
      <w:pPr>
        <w:pStyle w:val="Heading3"/>
        <w:spacing w:before="0"/>
        <w:jc w:val="center"/>
      </w:pPr>
      <w:r>
        <w:t>Dial in call 0</w:t>
      </w:r>
      <w:r w:rsidR="00DB6D37">
        <w:t>6</w:t>
      </w:r>
      <w:r w:rsidR="008771D6" w:rsidRPr="00983D0E">
        <w:t xml:space="preserve"> </w:t>
      </w:r>
      <w:r w:rsidR="00DB6D37">
        <w:t>November</w:t>
      </w:r>
      <w:r>
        <w:t xml:space="preserve"> 2019</w:t>
      </w:r>
      <w:r w:rsidR="002B47FB">
        <w:t xml:space="preserve"> </w:t>
      </w:r>
    </w:p>
    <w:p w14:paraId="3DA30DD3" w14:textId="124A4446" w:rsidR="008771D6" w:rsidRPr="00983D0E" w:rsidRDefault="002B47FB" w:rsidP="008771D6">
      <w:pPr>
        <w:pStyle w:val="Heading3"/>
        <w:spacing w:before="0"/>
        <w:jc w:val="center"/>
      </w:pPr>
      <w:r>
        <w:t xml:space="preserve"> </w:t>
      </w:r>
      <w:r w:rsidR="008771D6" w:rsidRPr="00983D0E">
        <w:t>Meeting minutes</w:t>
      </w:r>
    </w:p>
    <w:p w14:paraId="33562282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0A769A50" w14:textId="7FCEE1B1" w:rsidR="008771D6" w:rsidRPr="00983D0E" w:rsidRDefault="008771D6" w:rsidP="008771D6">
      <w:pPr>
        <w:spacing w:after="0"/>
        <w:rPr>
          <w:rFonts w:eastAsia="Times New Roman"/>
          <w:b/>
          <w:bCs/>
        </w:rPr>
      </w:pPr>
      <w:r w:rsidRPr="00983D0E">
        <w:rPr>
          <w:rFonts w:eastAsia="Times New Roman"/>
          <w:b/>
          <w:bCs/>
        </w:rPr>
        <w:t xml:space="preserve">Date and venue: </w:t>
      </w:r>
      <w:r w:rsidR="00223616">
        <w:rPr>
          <w:rFonts w:eastAsia="Times New Roman"/>
        </w:rPr>
        <w:t>0</w:t>
      </w:r>
      <w:r w:rsidR="00DB6D37">
        <w:rPr>
          <w:rFonts w:eastAsia="Times New Roman"/>
        </w:rPr>
        <w:t>6</w:t>
      </w:r>
      <w:r w:rsidRPr="00983D0E">
        <w:rPr>
          <w:rFonts w:eastAsia="Times New Roman"/>
        </w:rPr>
        <w:t xml:space="preserve"> </w:t>
      </w:r>
      <w:r w:rsidR="00DB6D37">
        <w:rPr>
          <w:rFonts w:eastAsia="Times New Roman"/>
        </w:rPr>
        <w:t>November</w:t>
      </w:r>
      <w:r w:rsidRPr="00983D0E">
        <w:rPr>
          <w:rFonts w:eastAsia="Times New Roman"/>
        </w:rPr>
        <w:t xml:space="preserve"> </w:t>
      </w:r>
      <w:r w:rsidR="00223616">
        <w:rPr>
          <w:rFonts w:eastAsia="Times New Roman"/>
        </w:rPr>
        <w:t>2019 – Dial in call, 1</w:t>
      </w:r>
      <w:r w:rsidR="00DB6D37">
        <w:rPr>
          <w:rFonts w:eastAsia="Times New Roman"/>
        </w:rPr>
        <w:t>4</w:t>
      </w:r>
      <w:r w:rsidRPr="00983D0E">
        <w:rPr>
          <w:rFonts w:eastAsia="Times New Roman"/>
        </w:rPr>
        <w:t>:00-</w:t>
      </w:r>
      <w:r w:rsidR="00223616">
        <w:rPr>
          <w:rFonts w:eastAsia="Times New Roman"/>
        </w:rPr>
        <w:t>1</w:t>
      </w:r>
      <w:r w:rsidR="00DB6D37">
        <w:rPr>
          <w:rFonts w:eastAsia="Times New Roman"/>
        </w:rPr>
        <w:t>5</w:t>
      </w:r>
      <w:r w:rsidR="002B34E6">
        <w:rPr>
          <w:rFonts w:eastAsia="Times New Roman"/>
        </w:rPr>
        <w:t>:</w:t>
      </w:r>
      <w:r w:rsidR="004F0CA9">
        <w:rPr>
          <w:rFonts w:eastAsia="Times New Roman"/>
        </w:rPr>
        <w:t>00</w:t>
      </w:r>
      <w:r w:rsidRPr="00983D0E">
        <w:rPr>
          <w:rFonts w:eastAsia="Times New Roman"/>
        </w:rPr>
        <w:t xml:space="preserve"> </w:t>
      </w:r>
      <w:r w:rsidR="00DB6D37">
        <w:rPr>
          <w:rFonts w:eastAsia="Times New Roman"/>
        </w:rPr>
        <w:t xml:space="preserve">CET </w:t>
      </w:r>
      <w:r w:rsidRPr="00983D0E">
        <w:rPr>
          <w:rFonts w:eastAsia="Times New Roman"/>
        </w:rPr>
        <w:t>(GMT+1)</w:t>
      </w:r>
    </w:p>
    <w:p w14:paraId="030AB4AD" w14:textId="77777777" w:rsidR="008771D6" w:rsidRPr="00983D0E" w:rsidRDefault="008771D6" w:rsidP="008771D6">
      <w:pPr>
        <w:spacing w:after="0"/>
        <w:rPr>
          <w:rFonts w:eastAsia="Times New Roman"/>
          <w:b/>
          <w:bCs/>
        </w:rPr>
      </w:pPr>
    </w:p>
    <w:p w14:paraId="4CC1FA82" w14:textId="77777777" w:rsidR="008771D6" w:rsidRPr="00937C58" w:rsidRDefault="008771D6" w:rsidP="008771D6">
      <w:pPr>
        <w:spacing w:after="0"/>
        <w:rPr>
          <w:lang w:val="fr-FR"/>
        </w:rPr>
      </w:pPr>
      <w:r w:rsidRPr="00937C58">
        <w:rPr>
          <w:b/>
          <w:lang w:val="fr-FR"/>
        </w:rPr>
        <w:t>Participants:</w:t>
      </w:r>
      <w:r w:rsidRPr="00937C58">
        <w:rPr>
          <w:lang w:val="fr-FR"/>
        </w:rPr>
        <w:t xml:space="preserve"> </w:t>
      </w:r>
    </w:p>
    <w:p w14:paraId="48B426C5" w14:textId="2164F6BC" w:rsidR="008771D6" w:rsidRPr="00937C58" w:rsidRDefault="00ED6F24" w:rsidP="008771D6">
      <w:pPr>
        <w:spacing w:after="0"/>
        <w:rPr>
          <w:lang w:val="fr-FR"/>
        </w:rPr>
      </w:pPr>
      <w:r w:rsidRPr="00937C58">
        <w:rPr>
          <w:lang w:val="fr-FR"/>
        </w:rPr>
        <w:t>David Evans</w:t>
      </w:r>
      <w:r w:rsidR="006C3A3C" w:rsidRPr="00937C58">
        <w:rPr>
          <w:lang w:val="fr-FR"/>
        </w:rPr>
        <w:t xml:space="preserve"> (</w:t>
      </w:r>
      <w:r w:rsidRPr="00937C58">
        <w:rPr>
          <w:lang w:val="fr-FR"/>
        </w:rPr>
        <w:t>UN-Habitat</w:t>
      </w:r>
      <w:r w:rsidR="006C3A3C" w:rsidRPr="00937C58">
        <w:rPr>
          <w:lang w:val="fr-FR"/>
        </w:rPr>
        <w:t>)</w:t>
      </w:r>
      <w:r w:rsidR="008771D6" w:rsidRPr="00937C58">
        <w:rPr>
          <w:lang w:val="fr-FR"/>
        </w:rPr>
        <w:t>,</w:t>
      </w:r>
      <w:r w:rsidR="008771D6" w:rsidRPr="00937C58">
        <w:rPr>
          <w:lang w:val="fr-FR"/>
        </w:rPr>
        <w:tab/>
      </w:r>
      <w:r w:rsidR="00223616" w:rsidRPr="00937C58">
        <w:rPr>
          <w:lang w:val="fr-FR"/>
        </w:rPr>
        <w:tab/>
      </w:r>
      <w:r w:rsidR="00223616" w:rsidRPr="00937C58">
        <w:rPr>
          <w:lang w:val="fr-FR"/>
        </w:rPr>
        <w:tab/>
      </w:r>
      <w:r w:rsidR="00223616" w:rsidRPr="00937C58">
        <w:rPr>
          <w:lang w:val="fr-FR"/>
        </w:rPr>
        <w:tab/>
      </w:r>
      <w:r w:rsidR="006C3A3C" w:rsidRPr="00937C58">
        <w:rPr>
          <w:lang w:val="fr-FR"/>
        </w:rPr>
        <w:t>Jim Kennedy (</w:t>
      </w:r>
      <w:proofErr w:type="spellStart"/>
      <w:r w:rsidR="006C3A3C" w:rsidRPr="00937C58">
        <w:rPr>
          <w:lang w:val="fr-FR"/>
        </w:rPr>
        <w:t>independent</w:t>
      </w:r>
      <w:proofErr w:type="spellEnd"/>
      <w:r w:rsidR="006C3A3C" w:rsidRPr="00937C58">
        <w:rPr>
          <w:lang w:val="fr-FR"/>
        </w:rPr>
        <w:t>)</w:t>
      </w:r>
      <w:r w:rsidR="008771D6" w:rsidRPr="00937C58">
        <w:rPr>
          <w:lang w:val="fr-FR"/>
        </w:rPr>
        <w:t>,</w:t>
      </w:r>
      <w:r w:rsidR="008771D6" w:rsidRPr="00937C58">
        <w:rPr>
          <w:lang w:val="fr-FR"/>
        </w:rPr>
        <w:tab/>
      </w:r>
      <w:r w:rsidR="008771D6" w:rsidRPr="00937C58">
        <w:rPr>
          <w:lang w:val="fr-FR"/>
        </w:rPr>
        <w:tab/>
      </w:r>
    </w:p>
    <w:p w14:paraId="1096762A" w14:textId="77777777" w:rsidR="006C3A3C" w:rsidRPr="00F6387C" w:rsidRDefault="008771D6" w:rsidP="008771D6">
      <w:pPr>
        <w:spacing w:after="0"/>
        <w:rPr>
          <w:rFonts w:eastAsia="Times New Roman"/>
        </w:rPr>
      </w:pPr>
      <w:r w:rsidRPr="00F6387C">
        <w:rPr>
          <w:rFonts w:eastAsia="Times New Roman"/>
        </w:rPr>
        <w:t>Alberto Piccioli (IOM),</w:t>
      </w:r>
      <w:r w:rsidRPr="00F6387C">
        <w:rPr>
          <w:rFonts w:eastAsia="Times New Roman"/>
        </w:rPr>
        <w:tab/>
      </w:r>
      <w:r w:rsidRPr="00F6387C">
        <w:rPr>
          <w:rFonts w:eastAsia="Times New Roman"/>
        </w:rPr>
        <w:tab/>
      </w:r>
      <w:r w:rsidRPr="00F6387C">
        <w:rPr>
          <w:rFonts w:eastAsia="Times New Roman"/>
        </w:rPr>
        <w:tab/>
      </w:r>
      <w:r w:rsidRPr="00F6387C">
        <w:rPr>
          <w:rFonts w:eastAsia="Times New Roman"/>
        </w:rPr>
        <w:tab/>
      </w:r>
      <w:r w:rsidRPr="00F6387C">
        <w:rPr>
          <w:rFonts w:eastAsia="Times New Roman"/>
        </w:rPr>
        <w:tab/>
      </w:r>
      <w:r w:rsidR="006C3A3C" w:rsidRPr="00F6387C">
        <w:rPr>
          <w:rFonts w:eastAsia="Times New Roman"/>
        </w:rPr>
        <w:t>Joseph Ashmore (IOM),</w:t>
      </w:r>
    </w:p>
    <w:p w14:paraId="4240205E" w14:textId="0E12E6A6" w:rsidR="008771D6" w:rsidRPr="00F6387C" w:rsidRDefault="008771D6" w:rsidP="008771D6">
      <w:pPr>
        <w:spacing w:after="0"/>
        <w:rPr>
          <w:rFonts w:eastAsia="Times New Roman"/>
          <w:lang w:val="en-US"/>
        </w:rPr>
      </w:pPr>
      <w:r w:rsidRPr="00F6387C">
        <w:rPr>
          <w:rFonts w:eastAsia="Times New Roman"/>
          <w:lang w:val="en-US"/>
        </w:rPr>
        <w:t>Charles Parrack (</w:t>
      </w:r>
      <w:proofErr w:type="spellStart"/>
      <w:r w:rsidRPr="00F6387C">
        <w:rPr>
          <w:rFonts w:eastAsia="Times New Roman"/>
          <w:lang w:val="en-US"/>
        </w:rPr>
        <w:t>Cendep</w:t>
      </w:r>
      <w:proofErr w:type="spellEnd"/>
      <w:r w:rsidR="008C16E4" w:rsidRPr="00F6387C">
        <w:rPr>
          <w:rFonts w:eastAsia="Times New Roman"/>
          <w:lang w:val="en-US"/>
        </w:rPr>
        <w:t>/Oxford Brookes</w:t>
      </w:r>
      <w:r w:rsidRPr="00F6387C">
        <w:rPr>
          <w:rFonts w:eastAsia="Times New Roman"/>
          <w:lang w:val="en-US"/>
        </w:rPr>
        <w:t>),</w:t>
      </w:r>
      <w:r w:rsidRPr="00F6387C">
        <w:rPr>
          <w:rFonts w:eastAsia="Times New Roman"/>
          <w:lang w:val="en-US"/>
        </w:rPr>
        <w:tab/>
      </w:r>
      <w:r w:rsidRPr="00F6387C">
        <w:rPr>
          <w:rFonts w:eastAsia="Times New Roman"/>
          <w:lang w:val="en-US"/>
        </w:rPr>
        <w:tab/>
      </w:r>
      <w:r w:rsidR="00ED6F24" w:rsidRPr="00F6387C">
        <w:rPr>
          <w:lang w:val="en-US"/>
        </w:rPr>
        <w:t>Renee Wynveen</w:t>
      </w:r>
      <w:r w:rsidR="00223616" w:rsidRPr="00F6387C">
        <w:rPr>
          <w:lang w:val="en-US"/>
        </w:rPr>
        <w:t xml:space="preserve"> (</w:t>
      </w:r>
      <w:r w:rsidR="00F6387C" w:rsidRPr="00F6387C">
        <w:rPr>
          <w:lang w:val="en-US"/>
        </w:rPr>
        <w:t>UNHCR</w:t>
      </w:r>
      <w:r w:rsidRPr="00F6387C">
        <w:rPr>
          <w:lang w:val="en-US"/>
        </w:rPr>
        <w:t>),</w:t>
      </w:r>
    </w:p>
    <w:p w14:paraId="312696F5" w14:textId="24B392FB" w:rsidR="008771D6" w:rsidRPr="002A5550" w:rsidRDefault="00223616" w:rsidP="008771D6">
      <w:pPr>
        <w:spacing w:after="0"/>
        <w:rPr>
          <w:lang w:val="en-US"/>
        </w:rPr>
      </w:pPr>
      <w:r w:rsidRPr="00F6387C">
        <w:rPr>
          <w:lang w:val="en-US"/>
        </w:rPr>
        <w:t xml:space="preserve">Hilmi Mohamed </w:t>
      </w:r>
      <w:r w:rsidR="006C3A3C" w:rsidRPr="00F6387C">
        <w:rPr>
          <w:lang w:val="en-US"/>
        </w:rPr>
        <w:t>(</w:t>
      </w:r>
      <w:r w:rsidRPr="00F6387C">
        <w:rPr>
          <w:lang w:val="en-US"/>
        </w:rPr>
        <w:t>InterAction</w:t>
      </w:r>
      <w:r w:rsidR="006C3A3C" w:rsidRPr="00F6387C">
        <w:rPr>
          <w:lang w:val="en-US"/>
        </w:rPr>
        <w:t>)</w:t>
      </w:r>
      <w:r w:rsidR="001811E1" w:rsidRPr="00F6387C">
        <w:rPr>
          <w:lang w:val="en-US"/>
        </w:rPr>
        <w:t>,</w:t>
      </w:r>
      <w:r w:rsidR="008771D6" w:rsidRPr="00F6387C">
        <w:rPr>
          <w:lang w:val="en-US"/>
        </w:rPr>
        <w:tab/>
      </w:r>
      <w:r w:rsidRPr="00F6387C">
        <w:rPr>
          <w:lang w:val="en-US"/>
        </w:rPr>
        <w:tab/>
      </w:r>
      <w:r w:rsidRPr="00F6387C">
        <w:rPr>
          <w:lang w:val="en-US"/>
        </w:rPr>
        <w:tab/>
      </w:r>
      <w:r w:rsidR="008771D6" w:rsidRPr="00F6387C">
        <w:rPr>
          <w:lang w:val="en-US"/>
        </w:rPr>
        <w:tab/>
      </w:r>
      <w:r w:rsidR="008E473F" w:rsidRPr="00F6387C">
        <w:rPr>
          <w:rFonts w:eastAsia="Times New Roman"/>
          <w:lang w:val="en-US"/>
        </w:rPr>
        <w:t>Amelia Rule</w:t>
      </w:r>
      <w:r w:rsidR="006C3A3C" w:rsidRPr="00F6387C">
        <w:rPr>
          <w:rFonts w:eastAsia="Times New Roman"/>
          <w:lang w:val="en-US"/>
        </w:rPr>
        <w:t xml:space="preserve"> (</w:t>
      </w:r>
      <w:r w:rsidR="008E473F" w:rsidRPr="00F6387C">
        <w:rPr>
          <w:rFonts w:eastAsia="Times New Roman"/>
          <w:lang w:val="en-US"/>
        </w:rPr>
        <w:t>Care International UK</w:t>
      </w:r>
      <w:r w:rsidR="006C3A3C" w:rsidRPr="00F6387C">
        <w:rPr>
          <w:rFonts w:eastAsia="Times New Roman"/>
          <w:lang w:val="en-US"/>
        </w:rPr>
        <w:t>)</w:t>
      </w:r>
      <w:r w:rsidR="001811E1" w:rsidRPr="00F6387C">
        <w:rPr>
          <w:lang w:val="en-US"/>
        </w:rPr>
        <w:t>.</w:t>
      </w:r>
      <w:r w:rsidR="008771D6" w:rsidRPr="002A5550">
        <w:rPr>
          <w:lang w:val="en-US"/>
        </w:rPr>
        <w:tab/>
      </w:r>
    </w:p>
    <w:p w14:paraId="307A028E" w14:textId="77777777" w:rsidR="008771D6" w:rsidRPr="002A5550" w:rsidRDefault="008771D6" w:rsidP="008771D6">
      <w:pPr>
        <w:spacing w:after="0"/>
        <w:rPr>
          <w:rFonts w:eastAsia="Times New Roman"/>
          <w:lang w:val="en-US"/>
        </w:rPr>
      </w:pPr>
    </w:p>
    <w:p w14:paraId="53C0DB59" w14:textId="289A23E7" w:rsidR="008771D6" w:rsidRPr="002A5550" w:rsidRDefault="008771D6" w:rsidP="008771D6">
      <w:pPr>
        <w:spacing w:after="0"/>
        <w:rPr>
          <w:rFonts w:eastAsia="Times New Roman"/>
          <w:lang w:val="en-US"/>
        </w:rPr>
      </w:pPr>
      <w:r w:rsidRPr="002A5550">
        <w:rPr>
          <w:b/>
          <w:bCs/>
          <w:lang w:val="en-US"/>
        </w:rPr>
        <w:t>Apologies:</w:t>
      </w:r>
      <w:r w:rsidRPr="002A5550">
        <w:rPr>
          <w:rFonts w:eastAsia="Times New Roman"/>
          <w:lang w:val="en-US"/>
        </w:rPr>
        <w:t xml:space="preserve"> </w:t>
      </w:r>
      <w:r w:rsidR="006C3A3C" w:rsidRPr="002A5550">
        <w:rPr>
          <w:rFonts w:eastAsia="Times New Roman"/>
          <w:lang w:val="en-US"/>
        </w:rPr>
        <w:t>Chiara Jasna Vaccaro (DRC)</w:t>
      </w:r>
      <w:r w:rsidR="002A5550" w:rsidRPr="002A5550">
        <w:rPr>
          <w:rFonts w:eastAsia="Times New Roman"/>
          <w:lang w:val="en-US"/>
        </w:rPr>
        <w:t>, Step Haiselden (CARE Inter</w:t>
      </w:r>
      <w:r w:rsidR="002A5550">
        <w:rPr>
          <w:rFonts w:eastAsia="Times New Roman"/>
          <w:lang w:val="en-US"/>
        </w:rPr>
        <w:t>national UK)</w:t>
      </w:r>
      <w:r w:rsidR="008E473F">
        <w:rPr>
          <w:rFonts w:eastAsia="Times New Roman"/>
          <w:lang w:val="en-US"/>
        </w:rPr>
        <w:t xml:space="preserve">, </w:t>
      </w:r>
      <w:r w:rsidR="008E473F" w:rsidRPr="002A5550">
        <w:rPr>
          <w:rFonts w:eastAsia="Times New Roman"/>
          <w:lang w:val="en-US"/>
        </w:rPr>
        <w:t xml:space="preserve">Sandra </w:t>
      </w:r>
      <w:proofErr w:type="spellStart"/>
      <w:r w:rsidR="008E473F" w:rsidRPr="002A5550">
        <w:rPr>
          <w:rFonts w:eastAsia="Times New Roman"/>
          <w:lang w:val="en-US"/>
        </w:rPr>
        <w:t>d’Urzo</w:t>
      </w:r>
      <w:proofErr w:type="spellEnd"/>
      <w:r w:rsidR="008E473F" w:rsidRPr="002A5550">
        <w:rPr>
          <w:rFonts w:eastAsia="Times New Roman"/>
          <w:lang w:val="en-US"/>
        </w:rPr>
        <w:t xml:space="preserve"> (IFRC)</w:t>
      </w:r>
      <w:r w:rsidR="006C3A3C" w:rsidRPr="002A5550">
        <w:rPr>
          <w:lang w:val="en-US"/>
        </w:rPr>
        <w:t>.</w:t>
      </w:r>
      <w:r w:rsidRPr="002A5550">
        <w:rPr>
          <w:lang w:val="en-US"/>
        </w:rPr>
        <w:t xml:space="preserve">  </w:t>
      </w:r>
    </w:p>
    <w:p w14:paraId="634CE490" w14:textId="75D7FEA5" w:rsidR="008771D6" w:rsidRDefault="008771D6" w:rsidP="008771D6">
      <w:pPr>
        <w:pStyle w:val="Heading3"/>
      </w:pPr>
      <w:r w:rsidRPr="00983D0E">
        <w:t>Agenda</w:t>
      </w:r>
    </w:p>
    <w:p w14:paraId="191F3A8D" w14:textId="77777777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Welcome/intro on the next steps</w:t>
      </w:r>
    </w:p>
    <w:p w14:paraId="5E15E7BF" w14:textId="15CFD425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Timeline and milestones for the upcoming edition SP2019-2020</w:t>
      </w:r>
      <w:r w:rsidR="002F2BA2" w:rsidRPr="002F2BA2">
        <w:rPr>
          <w:rFonts w:eastAsia="Times New Roman"/>
        </w:rPr>
        <w:t>;</w:t>
      </w:r>
    </w:p>
    <w:p w14:paraId="096870E4" w14:textId="0D79D43D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Re-printing of past editions / and other opportunities to spend end-of-year funds</w:t>
      </w:r>
      <w:r w:rsidR="002F2BA2" w:rsidRPr="002F2BA2">
        <w:rPr>
          <w:rFonts w:eastAsia="Times New Roman"/>
        </w:rPr>
        <w:t>;</w:t>
      </w:r>
    </w:p>
    <w:p w14:paraId="06BFA0E4" w14:textId="654AF9C9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Mapping of global events for dissemination</w:t>
      </w:r>
      <w:r w:rsidR="002F2BA2" w:rsidRPr="002F2BA2">
        <w:rPr>
          <w:rFonts w:eastAsia="Times New Roman"/>
        </w:rPr>
        <w:t>;</w:t>
      </w:r>
    </w:p>
    <w:p w14:paraId="008BF7F0" w14:textId="2CFE51EF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Regional / country workshops (to organize or support)</w:t>
      </w:r>
      <w:r w:rsidR="002F2BA2" w:rsidRPr="002F2BA2">
        <w:rPr>
          <w:rFonts w:eastAsia="Times New Roman"/>
        </w:rPr>
        <w:t>;</w:t>
      </w:r>
    </w:p>
    <w:p w14:paraId="5225BCE1" w14:textId="339A042F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Translations and “lite” version</w:t>
      </w:r>
      <w:r w:rsidR="002F2BA2" w:rsidRPr="002F2BA2">
        <w:rPr>
          <w:rFonts w:eastAsia="Times New Roman"/>
        </w:rPr>
        <w:t>;</w:t>
      </w:r>
    </w:p>
    <w:p w14:paraId="0CCBDC75" w14:textId="179C17C8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Case study meta-analysis</w:t>
      </w:r>
      <w:r w:rsidR="002F2BA2" w:rsidRPr="002F2BA2">
        <w:rPr>
          <w:rFonts w:eastAsia="Times New Roman"/>
        </w:rPr>
        <w:t>;</w:t>
      </w:r>
    </w:p>
    <w:p w14:paraId="03D52A62" w14:textId="5A490D33" w:rsidR="00E67451" w:rsidRPr="002F2BA2" w:rsidRDefault="00E67451" w:rsidP="00E67451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2F2BA2">
        <w:rPr>
          <w:rFonts w:eastAsia="Times New Roman"/>
        </w:rPr>
        <w:t>AOB</w:t>
      </w:r>
      <w:r w:rsidR="002F2BA2" w:rsidRPr="002F2BA2">
        <w:rPr>
          <w:rFonts w:eastAsia="Times New Roman"/>
        </w:rPr>
        <w:t>.</w:t>
      </w:r>
    </w:p>
    <w:p w14:paraId="25474012" w14:textId="77777777" w:rsidR="008771D6" w:rsidRPr="00983D0E" w:rsidRDefault="008771D6" w:rsidP="008771D6">
      <w:pPr>
        <w:pStyle w:val="Heading3"/>
      </w:pPr>
      <w:r w:rsidRPr="00983D0E">
        <w:t>Actions</w:t>
      </w:r>
    </w:p>
    <w:p w14:paraId="2A2B9212" w14:textId="3A8B0AE3" w:rsidR="002B47FB" w:rsidRPr="006E31A8" w:rsidRDefault="002A5550" w:rsidP="002F2BCD">
      <w:pPr>
        <w:pStyle w:val="ListParagraph"/>
        <w:numPr>
          <w:ilvl w:val="0"/>
          <w:numId w:val="26"/>
        </w:numPr>
        <w:spacing w:after="160" w:line="259" w:lineRule="auto"/>
      </w:pPr>
      <w:bookmarkStart w:id="0" w:name="_Hlk525732726"/>
      <w:r w:rsidRPr="006E31A8">
        <w:rPr>
          <w:b/>
          <w:color w:val="FF0000"/>
        </w:rPr>
        <w:t>ACTION</w:t>
      </w:r>
      <w:r w:rsidR="008771D6" w:rsidRPr="006E31A8">
        <w:t xml:space="preserve">: </w:t>
      </w:r>
      <w:r w:rsidRPr="006E31A8">
        <w:rPr>
          <w:bCs/>
        </w:rPr>
        <w:t>All</w:t>
      </w:r>
      <w:r w:rsidRPr="006E31A8">
        <w:t xml:space="preserve"> </w:t>
      </w:r>
      <w:r w:rsidR="003329A4" w:rsidRPr="006E31A8">
        <w:rPr>
          <w:rFonts w:eastAsia="Times New Roman"/>
        </w:rPr>
        <w:t>to notify IOM if year-end funds are available that could be used for printing or other purposes.</w:t>
      </w:r>
    </w:p>
    <w:p w14:paraId="032D8028" w14:textId="0FA669C0" w:rsidR="003329A4" w:rsidRPr="006E31A8" w:rsidRDefault="003329A4" w:rsidP="002F2BCD">
      <w:pPr>
        <w:pStyle w:val="ListParagraph"/>
        <w:numPr>
          <w:ilvl w:val="0"/>
          <w:numId w:val="26"/>
        </w:numPr>
        <w:spacing w:after="160" w:line="259" w:lineRule="auto"/>
      </w:pPr>
      <w:r w:rsidRPr="006E31A8">
        <w:rPr>
          <w:b/>
          <w:color w:val="FF0000"/>
        </w:rPr>
        <w:t>ACTION</w:t>
      </w:r>
      <w:r w:rsidRPr="006E31A8">
        <w:rPr>
          <w:rFonts w:eastAsia="Times New Roman"/>
        </w:rPr>
        <w:t>: All to share WUF proposals with David</w:t>
      </w:r>
      <w:r w:rsidR="006F6484">
        <w:rPr>
          <w:rFonts w:eastAsia="Times New Roman"/>
        </w:rPr>
        <w:t xml:space="preserve"> – note this is broader than </w:t>
      </w:r>
      <w:r w:rsidR="004F0CA9">
        <w:rPr>
          <w:rFonts w:eastAsia="Times New Roman"/>
        </w:rPr>
        <w:t>S</w:t>
      </w:r>
      <w:r w:rsidR="006F6484">
        <w:rPr>
          <w:rFonts w:eastAsia="Times New Roman"/>
        </w:rPr>
        <w:t xml:space="preserve">helter </w:t>
      </w:r>
      <w:r w:rsidR="004F0CA9">
        <w:rPr>
          <w:rFonts w:eastAsia="Times New Roman"/>
        </w:rPr>
        <w:t>P</w:t>
      </w:r>
      <w:r w:rsidR="006F6484">
        <w:rPr>
          <w:rFonts w:eastAsia="Times New Roman"/>
        </w:rPr>
        <w:t>rojects.</w:t>
      </w:r>
    </w:p>
    <w:p w14:paraId="392B4E60" w14:textId="392605F0" w:rsidR="003329A4" w:rsidRPr="006E31A8" w:rsidRDefault="00324366" w:rsidP="006F6484">
      <w:pPr>
        <w:pStyle w:val="ListParagraph"/>
        <w:numPr>
          <w:ilvl w:val="0"/>
          <w:numId w:val="26"/>
        </w:numPr>
        <w:spacing w:after="160" w:line="259" w:lineRule="auto"/>
      </w:pPr>
      <w:r w:rsidRPr="006E31A8">
        <w:rPr>
          <w:b/>
          <w:color w:val="FF0000"/>
        </w:rPr>
        <w:t>ACTION</w:t>
      </w:r>
      <w:r w:rsidRPr="006E31A8">
        <w:t xml:space="preserve">: </w:t>
      </w:r>
      <w:r w:rsidR="000E5DFC" w:rsidRPr="006E31A8">
        <w:t xml:space="preserve">All to reach out to IOM for </w:t>
      </w:r>
      <w:r w:rsidR="00DF1172" w:rsidRPr="006E31A8">
        <w:t>suggestions on workshop locations and possible synergies</w:t>
      </w:r>
      <w:r w:rsidR="00794C01" w:rsidRPr="006E31A8">
        <w:t xml:space="preserve"> in co-hosting the events.</w:t>
      </w:r>
    </w:p>
    <w:p w14:paraId="0EA515A5" w14:textId="3929B70D" w:rsidR="006E31A8" w:rsidRPr="006E31A8" w:rsidRDefault="006E31A8" w:rsidP="006E31A8">
      <w:pPr>
        <w:pStyle w:val="ListParagraph"/>
        <w:numPr>
          <w:ilvl w:val="0"/>
          <w:numId w:val="26"/>
        </w:numPr>
        <w:spacing w:after="160" w:line="259" w:lineRule="auto"/>
      </w:pPr>
      <w:r w:rsidRPr="006E31A8">
        <w:rPr>
          <w:b/>
          <w:color w:val="FF0000"/>
        </w:rPr>
        <w:t>ACTION</w:t>
      </w:r>
      <w:r w:rsidRPr="006E31A8">
        <w:rPr>
          <w:rFonts w:eastAsia="Times New Roman"/>
        </w:rPr>
        <w:t xml:space="preserve">: </w:t>
      </w:r>
      <w:r w:rsidR="00413D28">
        <w:rPr>
          <w:rFonts w:eastAsia="Times New Roman"/>
        </w:rPr>
        <w:t xml:space="preserve">IOM to share </w:t>
      </w:r>
      <w:r w:rsidR="00DC5DB5">
        <w:rPr>
          <w:rFonts w:eastAsia="Times New Roman"/>
        </w:rPr>
        <w:t xml:space="preserve">the formatted </w:t>
      </w:r>
      <w:r w:rsidR="00DC5DB5">
        <w:rPr>
          <w:rFonts w:eastAsia="Times New Roman"/>
        </w:rPr>
        <w:t xml:space="preserve">case study </w:t>
      </w:r>
      <w:r w:rsidR="00DC5DB5">
        <w:rPr>
          <w:rFonts w:eastAsia="Times New Roman"/>
        </w:rPr>
        <w:t>translations and a</w:t>
      </w:r>
      <w:r w:rsidRPr="006E31A8">
        <w:rPr>
          <w:rFonts w:eastAsia="Times New Roman"/>
        </w:rPr>
        <w:t>ll to disseminate the</w:t>
      </w:r>
      <w:r w:rsidR="00DC5DB5">
        <w:rPr>
          <w:rFonts w:eastAsia="Times New Roman"/>
        </w:rPr>
        <w:t>se</w:t>
      </w:r>
      <w:r w:rsidRPr="006E31A8">
        <w:rPr>
          <w:rFonts w:eastAsia="Times New Roman"/>
        </w:rPr>
        <w:t xml:space="preserve"> in their respective organizations for the regions/countries of interest.</w:t>
      </w:r>
      <w:bookmarkStart w:id="1" w:name="_GoBack"/>
      <w:bookmarkEnd w:id="1"/>
    </w:p>
    <w:p w14:paraId="59B74411" w14:textId="6289F0D0" w:rsidR="006E31A8" w:rsidRPr="006E31A8" w:rsidRDefault="006E31A8" w:rsidP="006E31A8">
      <w:pPr>
        <w:pStyle w:val="ListParagraph"/>
        <w:numPr>
          <w:ilvl w:val="0"/>
          <w:numId w:val="26"/>
        </w:numPr>
        <w:spacing w:after="160" w:line="259" w:lineRule="auto"/>
      </w:pPr>
      <w:r w:rsidRPr="006E31A8">
        <w:rPr>
          <w:b/>
          <w:color w:val="FF0000"/>
        </w:rPr>
        <w:t>ACTION</w:t>
      </w:r>
      <w:r w:rsidRPr="006E31A8">
        <w:rPr>
          <w:rFonts w:eastAsia="Times New Roman"/>
        </w:rPr>
        <w:t xml:space="preserve">: IOM to revive the smaller working group focusing on </w:t>
      </w:r>
      <w:r>
        <w:rPr>
          <w:rFonts w:eastAsia="Times New Roman"/>
        </w:rPr>
        <w:t>the meta-analysis</w:t>
      </w:r>
      <w:r w:rsidRPr="006E31A8">
        <w:rPr>
          <w:rFonts w:eastAsia="Times New Roman"/>
        </w:rPr>
        <w:t>, and share a revised methodology for feedback. All to feed</w:t>
      </w:r>
      <w:r>
        <w:rPr>
          <w:rFonts w:eastAsia="Times New Roman"/>
        </w:rPr>
        <w:t xml:space="preserve"> </w:t>
      </w:r>
      <w:r w:rsidRPr="006E31A8">
        <w:rPr>
          <w:rFonts w:eastAsia="Times New Roman"/>
        </w:rPr>
        <w:t>back on the use and audience.</w:t>
      </w:r>
    </w:p>
    <w:bookmarkEnd w:id="0"/>
    <w:p w14:paraId="021A8D78" w14:textId="77777777" w:rsidR="008771D6" w:rsidRPr="00983D0E" w:rsidRDefault="008771D6" w:rsidP="008771D6">
      <w:pPr>
        <w:pStyle w:val="Heading3"/>
      </w:pPr>
      <w:r w:rsidRPr="00983D0E">
        <w:t>Discussion</w:t>
      </w:r>
    </w:p>
    <w:p w14:paraId="06E4533E" w14:textId="59BA04BB" w:rsidR="00DB6D37" w:rsidRP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>Timeline and milestones for the upcoming edition SP2019-2020</w:t>
      </w:r>
    </w:p>
    <w:p w14:paraId="10AD26CF" w14:textId="77777777" w:rsidR="00215E96" w:rsidRDefault="001D1F66" w:rsidP="00DB6D37">
      <w:pPr>
        <w:spacing w:after="0"/>
        <w:rPr>
          <w:rFonts w:eastAsia="Times New Roman"/>
        </w:rPr>
      </w:pPr>
      <w:r>
        <w:rPr>
          <w:rFonts w:eastAsia="Times New Roman"/>
        </w:rPr>
        <w:t>Ba</w:t>
      </w:r>
      <w:r w:rsidR="008D2E4E">
        <w:rPr>
          <w:rFonts w:eastAsia="Times New Roman"/>
        </w:rPr>
        <w:t xml:space="preserve">ckground: IOM has received some funding </w:t>
      </w:r>
      <w:r w:rsidR="00215E96">
        <w:rPr>
          <w:rFonts w:eastAsia="Times New Roman"/>
        </w:rPr>
        <w:t xml:space="preserve">for two years </w:t>
      </w:r>
      <w:r w:rsidR="008D2E4E">
        <w:rPr>
          <w:rFonts w:eastAsia="Times New Roman"/>
        </w:rPr>
        <w:t>from OFDA to continue with the dissemination work</w:t>
      </w:r>
      <w:r w:rsidR="00215E96">
        <w:rPr>
          <w:rFonts w:eastAsia="Times New Roman"/>
        </w:rPr>
        <w:t>,</w:t>
      </w:r>
      <w:r w:rsidR="008D2E4E">
        <w:rPr>
          <w:rFonts w:eastAsia="Times New Roman"/>
        </w:rPr>
        <w:t xml:space="preserve"> as well as the production of the next edition.</w:t>
      </w:r>
      <w:r w:rsidR="00952E2D">
        <w:rPr>
          <w:rFonts w:eastAsia="Times New Roman"/>
        </w:rPr>
        <w:t xml:space="preserve"> </w:t>
      </w:r>
    </w:p>
    <w:p w14:paraId="154234CB" w14:textId="3D0C01C8" w:rsidR="00DB6D37" w:rsidRDefault="00952E2D" w:rsidP="00DB6D37">
      <w:pPr>
        <w:spacing w:after="0"/>
        <w:rPr>
          <w:rFonts w:eastAsia="Times New Roman"/>
        </w:rPr>
      </w:pPr>
      <w:r>
        <w:rPr>
          <w:rFonts w:eastAsia="Times New Roman"/>
        </w:rPr>
        <w:t>The main deliverables include</w:t>
      </w:r>
      <w:r w:rsidR="000E6B11">
        <w:rPr>
          <w:rFonts w:eastAsia="Times New Roman"/>
        </w:rPr>
        <w:t>:</w:t>
      </w:r>
    </w:p>
    <w:p w14:paraId="513FC4B9" w14:textId="699ACE7C" w:rsidR="000E6B11" w:rsidRDefault="000E6B11" w:rsidP="000E6B11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>Production of the eight</w:t>
      </w:r>
      <w:r w:rsidR="000702C5">
        <w:rPr>
          <w:rFonts w:eastAsia="Times New Roman"/>
        </w:rPr>
        <w:t>h</w:t>
      </w:r>
      <w:r>
        <w:rPr>
          <w:rFonts w:eastAsia="Times New Roman"/>
        </w:rPr>
        <w:t xml:space="preserve"> edition of the publication: Shelter Projects 2019-2020;</w:t>
      </w:r>
    </w:p>
    <w:p w14:paraId="4C575FC4" w14:textId="7A7CF4DB" w:rsidR="000E6B11" w:rsidRDefault="00443090" w:rsidP="000E6B11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Case study </w:t>
      </w:r>
      <w:r w:rsidR="00DD191C">
        <w:rPr>
          <w:rFonts w:eastAsia="Times New Roman"/>
        </w:rPr>
        <w:t>meta-analysis</w:t>
      </w:r>
      <w:r>
        <w:rPr>
          <w:rFonts w:eastAsia="Times New Roman"/>
        </w:rPr>
        <w:t xml:space="preserve"> across past editions;</w:t>
      </w:r>
    </w:p>
    <w:p w14:paraId="6B11FA2C" w14:textId="2983EC5A" w:rsidR="00443090" w:rsidRDefault="009B0D52" w:rsidP="000E6B11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Development of a </w:t>
      </w:r>
      <w:r w:rsidR="00F126DD">
        <w:rPr>
          <w:rFonts w:eastAsia="Times New Roman"/>
        </w:rPr>
        <w:t xml:space="preserve">lighter version of the introduction and selected case studies, and translation into </w:t>
      </w:r>
      <w:r w:rsidR="000C74DF">
        <w:rPr>
          <w:rFonts w:eastAsia="Times New Roman"/>
        </w:rPr>
        <w:t>key languages (French, Spanish, Arabic);</w:t>
      </w:r>
    </w:p>
    <w:p w14:paraId="450EF46A" w14:textId="7F33F5AC" w:rsidR="000C74DF" w:rsidRDefault="00D72736" w:rsidP="000E6B11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>Dissemination: six country- or regional-level workshops;</w:t>
      </w:r>
    </w:p>
    <w:p w14:paraId="0764D57A" w14:textId="76F29CBD" w:rsidR="00D72736" w:rsidRDefault="00E373FC" w:rsidP="000E6B11">
      <w:pPr>
        <w:pStyle w:val="ListParagraph"/>
        <w:numPr>
          <w:ilvl w:val="0"/>
          <w:numId w:val="26"/>
        </w:numPr>
        <w:spacing w:after="0"/>
        <w:rPr>
          <w:rFonts w:eastAsia="Times New Roman"/>
        </w:rPr>
      </w:pPr>
      <w:r>
        <w:rPr>
          <w:rFonts w:eastAsia="Times New Roman"/>
        </w:rPr>
        <w:t>Project process</w:t>
      </w:r>
      <w:r w:rsidR="006B40A6">
        <w:rPr>
          <w:rFonts w:eastAsia="Times New Roman"/>
        </w:rPr>
        <w:t xml:space="preserve">, meetings and launch: working group monthly </w:t>
      </w:r>
      <w:r w:rsidR="009D3C24">
        <w:rPr>
          <w:rFonts w:eastAsia="Times New Roman"/>
        </w:rPr>
        <w:t xml:space="preserve">dial-in </w:t>
      </w:r>
      <w:r w:rsidR="00350C34">
        <w:rPr>
          <w:rFonts w:eastAsia="Times New Roman"/>
        </w:rPr>
        <w:t xml:space="preserve">meetings, inception workshop, </w:t>
      </w:r>
      <w:r w:rsidR="009D3C24">
        <w:rPr>
          <w:rFonts w:eastAsia="Times New Roman"/>
        </w:rPr>
        <w:t>global launch events</w:t>
      </w:r>
      <w:r w:rsidR="00B742AE">
        <w:rPr>
          <w:rFonts w:eastAsia="Times New Roman"/>
        </w:rPr>
        <w:t>, participation in global shelter events/fora</w:t>
      </w:r>
      <w:r w:rsidR="009D3C24">
        <w:rPr>
          <w:rFonts w:eastAsia="Times New Roman"/>
        </w:rPr>
        <w:t>.</w:t>
      </w:r>
    </w:p>
    <w:p w14:paraId="5473F75E" w14:textId="69EF4FB1" w:rsidR="00C43AA4" w:rsidRDefault="00C43AA4" w:rsidP="00C43AA4">
      <w:pPr>
        <w:spacing w:after="0"/>
        <w:rPr>
          <w:rFonts w:eastAsia="Times New Roman"/>
        </w:rPr>
      </w:pPr>
    </w:p>
    <w:p w14:paraId="1CD12B1F" w14:textId="2FE468C3" w:rsidR="00C43AA4" w:rsidRDefault="00944509" w:rsidP="00C43AA4">
      <w:pPr>
        <w:spacing w:after="0"/>
        <w:rPr>
          <w:rFonts w:eastAsia="Times New Roman"/>
        </w:rPr>
      </w:pPr>
      <w:r>
        <w:rPr>
          <w:rFonts w:eastAsia="Times New Roman"/>
        </w:rPr>
        <w:lastRenderedPageBreak/>
        <w:t xml:space="preserve">IOM proposed </w:t>
      </w:r>
      <w:r w:rsidR="00BD2260">
        <w:rPr>
          <w:rFonts w:eastAsia="Times New Roman"/>
        </w:rPr>
        <w:t xml:space="preserve">to hold the inception workshop </w:t>
      </w:r>
      <w:r w:rsidR="00DE2F1E">
        <w:rPr>
          <w:rFonts w:eastAsia="Times New Roman"/>
        </w:rPr>
        <w:t>i</w:t>
      </w:r>
      <w:r w:rsidR="005A49C9">
        <w:rPr>
          <w:rFonts w:eastAsia="Times New Roman"/>
        </w:rPr>
        <w:t xml:space="preserve">n the </w:t>
      </w:r>
      <w:r w:rsidR="005965CE">
        <w:rPr>
          <w:rFonts w:eastAsia="Times New Roman"/>
        </w:rPr>
        <w:t xml:space="preserve">afternoon of </w:t>
      </w:r>
      <w:r w:rsidR="00FA2CA0" w:rsidRPr="004F0CA9">
        <w:rPr>
          <w:rFonts w:eastAsia="Times New Roman"/>
          <w:b/>
          <w:bCs/>
        </w:rPr>
        <w:t>Monday 2</w:t>
      </w:r>
      <w:r w:rsidR="00AA32B0" w:rsidRPr="004F0CA9">
        <w:rPr>
          <w:rFonts w:eastAsia="Times New Roman"/>
          <w:b/>
          <w:bCs/>
        </w:rPr>
        <w:t xml:space="preserve"> December 2019</w:t>
      </w:r>
      <w:r w:rsidR="00AA32B0">
        <w:rPr>
          <w:rFonts w:eastAsia="Times New Roman"/>
        </w:rPr>
        <w:t>,</w:t>
      </w:r>
      <w:r w:rsidR="005A49C9">
        <w:rPr>
          <w:rFonts w:eastAsia="Times New Roman"/>
        </w:rPr>
        <w:t xml:space="preserve"> before the SAG </w:t>
      </w:r>
      <w:r w:rsidR="00152192">
        <w:rPr>
          <w:rFonts w:eastAsia="Times New Roman"/>
        </w:rPr>
        <w:t xml:space="preserve">retreat </w:t>
      </w:r>
      <w:r w:rsidR="00DE2F1E">
        <w:rPr>
          <w:rFonts w:eastAsia="Times New Roman"/>
        </w:rPr>
        <w:t>on 3-4</w:t>
      </w:r>
      <w:r w:rsidR="00152192">
        <w:rPr>
          <w:rFonts w:eastAsia="Times New Roman"/>
        </w:rPr>
        <w:t xml:space="preserve"> December.</w:t>
      </w:r>
    </w:p>
    <w:p w14:paraId="6893BAD5" w14:textId="77777777" w:rsidR="00EE4253" w:rsidRDefault="00EE4253" w:rsidP="00C43AA4">
      <w:pPr>
        <w:spacing w:after="0"/>
        <w:rPr>
          <w:rFonts w:eastAsia="Times New Roman"/>
        </w:rPr>
      </w:pPr>
    </w:p>
    <w:p w14:paraId="78B65CDF" w14:textId="1534CD3D" w:rsidR="00777CC1" w:rsidRPr="00215E96" w:rsidRDefault="00215E96" w:rsidP="00C43AA4">
      <w:pPr>
        <w:spacing w:after="0"/>
        <w:rPr>
          <w:rFonts w:eastAsia="Times New Roman"/>
        </w:rPr>
      </w:pPr>
      <w:r w:rsidRPr="00215E96">
        <w:rPr>
          <w:rFonts w:eastAsia="Times New Roman"/>
        </w:rPr>
        <w:t>Additionally, t</w:t>
      </w:r>
      <w:r w:rsidR="00F027AF" w:rsidRPr="00215E96">
        <w:rPr>
          <w:rFonts w:eastAsia="Times New Roman"/>
        </w:rPr>
        <w:t xml:space="preserve">he prosed timeline for the 2019-2020 edition was presented </w:t>
      </w:r>
      <w:r w:rsidR="00EA7FCB" w:rsidRPr="00215E96">
        <w:rPr>
          <w:rFonts w:eastAsia="Times New Roman"/>
        </w:rPr>
        <w:t xml:space="preserve">and a suggestion was </w:t>
      </w:r>
      <w:r w:rsidR="00681BBD" w:rsidRPr="00215E96">
        <w:rPr>
          <w:rFonts w:eastAsia="Times New Roman"/>
        </w:rPr>
        <w:t xml:space="preserve">made to anticipate the call for abstracts compared to previous editions, to allow for more time to collect potential project abstracts from contributors. The main step </w:t>
      </w:r>
      <w:r w:rsidR="0050572F" w:rsidRPr="00215E96">
        <w:rPr>
          <w:rFonts w:eastAsia="Times New Roman"/>
        </w:rPr>
        <w:t xml:space="preserve">before launching the call for abstract would be to revise and agree on the abstract form to be used. </w:t>
      </w:r>
      <w:r w:rsidR="00B122E9" w:rsidRPr="00215E96">
        <w:rPr>
          <w:rFonts w:eastAsia="Times New Roman"/>
        </w:rPr>
        <w:t xml:space="preserve">This could be done during the inception workshop in December or a </w:t>
      </w:r>
      <w:r w:rsidRPr="00215E96">
        <w:rPr>
          <w:rFonts w:eastAsia="Times New Roman"/>
        </w:rPr>
        <w:t>dial in meeting.</w:t>
      </w:r>
    </w:p>
    <w:p w14:paraId="160055A2" w14:textId="77777777" w:rsidR="008D2E4E" w:rsidRPr="00DB6D37" w:rsidRDefault="008D2E4E" w:rsidP="00DB6D37">
      <w:pPr>
        <w:spacing w:after="0"/>
        <w:rPr>
          <w:rFonts w:eastAsia="Times New Roman"/>
        </w:rPr>
      </w:pPr>
    </w:p>
    <w:p w14:paraId="005A2EF8" w14:textId="09B11297" w:rsidR="00DB6D37" w:rsidRP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 xml:space="preserve">Re-printing of past editions / and other opportunities to spend </w:t>
      </w:r>
      <w:r w:rsidR="0080234C">
        <w:rPr>
          <w:rFonts w:eastAsia="Times New Roman"/>
          <w:b/>
          <w:bCs/>
        </w:rPr>
        <w:t>year-end</w:t>
      </w:r>
      <w:r w:rsidRPr="00DB6D37">
        <w:rPr>
          <w:rFonts w:eastAsia="Times New Roman"/>
          <w:b/>
          <w:bCs/>
        </w:rPr>
        <w:t xml:space="preserve"> funds</w:t>
      </w:r>
    </w:p>
    <w:p w14:paraId="694CDBBC" w14:textId="68541D62" w:rsidR="00DB6D37" w:rsidRPr="00EE4253" w:rsidRDefault="00C029C5" w:rsidP="00DB6D37">
      <w:pPr>
        <w:spacing w:after="0"/>
        <w:rPr>
          <w:rFonts w:eastAsia="Times New Roman"/>
        </w:rPr>
      </w:pPr>
      <w:r>
        <w:rPr>
          <w:rFonts w:eastAsia="Times New Roman"/>
        </w:rPr>
        <w:t xml:space="preserve">IOM has some funding to </w:t>
      </w:r>
      <w:r w:rsidR="00725DB3">
        <w:rPr>
          <w:rFonts w:eastAsia="Times New Roman"/>
        </w:rPr>
        <w:t>re-print past editions</w:t>
      </w:r>
      <w:r w:rsidR="0058631B">
        <w:rPr>
          <w:rFonts w:eastAsia="Times New Roman"/>
        </w:rPr>
        <w:t xml:space="preserve"> and thematic booklets</w:t>
      </w:r>
      <w:r w:rsidR="00C154EE">
        <w:rPr>
          <w:rFonts w:eastAsia="Times New Roman"/>
        </w:rPr>
        <w:t>,</w:t>
      </w:r>
      <w:r w:rsidR="0058631B">
        <w:rPr>
          <w:rFonts w:eastAsia="Times New Roman"/>
        </w:rPr>
        <w:t xml:space="preserve"> as well as</w:t>
      </w:r>
      <w:r w:rsidR="00C154EE">
        <w:rPr>
          <w:rFonts w:eastAsia="Times New Roman"/>
        </w:rPr>
        <w:t xml:space="preserve"> </w:t>
      </w:r>
      <w:r w:rsidR="00B4270D">
        <w:rPr>
          <w:rFonts w:eastAsia="Times New Roman"/>
        </w:rPr>
        <w:t>procure flash-drives</w:t>
      </w:r>
      <w:r w:rsidR="0058631B">
        <w:rPr>
          <w:rFonts w:eastAsia="Times New Roman"/>
        </w:rPr>
        <w:t>.</w:t>
      </w:r>
      <w:r w:rsidR="002F5301">
        <w:rPr>
          <w:rFonts w:eastAsia="Times New Roman"/>
        </w:rPr>
        <w:t xml:space="preserve"> It was discussed that </w:t>
      </w:r>
      <w:r w:rsidR="00492FEB">
        <w:rPr>
          <w:rFonts w:eastAsia="Times New Roman"/>
        </w:rPr>
        <w:t>contributions from partners are also welcome</w:t>
      </w:r>
      <w:r w:rsidR="0069145A">
        <w:rPr>
          <w:rFonts w:eastAsia="Times New Roman"/>
        </w:rPr>
        <w:t xml:space="preserve">, no matter how small. </w:t>
      </w:r>
      <w:r w:rsidR="00F12A69">
        <w:rPr>
          <w:rFonts w:eastAsia="Times New Roman"/>
        </w:rPr>
        <w:t>However</w:t>
      </w:r>
      <w:r w:rsidR="007D01CE">
        <w:rPr>
          <w:rFonts w:eastAsia="Times New Roman"/>
        </w:rPr>
        <w:t>,</w:t>
      </w:r>
      <w:r w:rsidR="00F12A69">
        <w:rPr>
          <w:rFonts w:eastAsia="Times New Roman"/>
        </w:rPr>
        <w:t xml:space="preserve"> it was noted tha</w:t>
      </w:r>
      <w:r w:rsidR="00C30D78">
        <w:rPr>
          <w:rFonts w:eastAsia="Times New Roman"/>
        </w:rPr>
        <w:t xml:space="preserve">t </w:t>
      </w:r>
      <w:r w:rsidR="00F520EC">
        <w:rPr>
          <w:rFonts w:eastAsia="Times New Roman"/>
        </w:rPr>
        <w:t xml:space="preserve">costs per copy are lower if </w:t>
      </w:r>
      <w:r w:rsidR="00F81C48">
        <w:rPr>
          <w:rFonts w:eastAsia="Times New Roman"/>
        </w:rPr>
        <w:t>larger amounts of copies are procured.</w:t>
      </w:r>
      <w:r w:rsidR="0058631B">
        <w:rPr>
          <w:rFonts w:eastAsia="Times New Roman"/>
        </w:rPr>
        <w:t xml:space="preserve"> </w:t>
      </w:r>
      <w:r w:rsidR="00EE4253" w:rsidRPr="00B44A3C">
        <w:rPr>
          <w:rFonts w:eastAsia="Times New Roman"/>
          <w:b/>
          <w:bCs/>
        </w:rPr>
        <w:t xml:space="preserve">ACTION: </w:t>
      </w:r>
      <w:r w:rsidR="00EE4253">
        <w:rPr>
          <w:rFonts w:eastAsia="Times New Roman"/>
        </w:rPr>
        <w:t xml:space="preserve">all to </w:t>
      </w:r>
      <w:r w:rsidR="002F5301">
        <w:rPr>
          <w:rFonts w:eastAsia="Times New Roman"/>
        </w:rPr>
        <w:t>notify IOM if year-end funds are available that could be used for printing or other purposes.</w:t>
      </w:r>
    </w:p>
    <w:p w14:paraId="726A6347" w14:textId="77777777" w:rsidR="00E822C3" w:rsidRPr="00DB6D37" w:rsidRDefault="00E822C3" w:rsidP="00DB6D37">
      <w:pPr>
        <w:spacing w:after="0"/>
        <w:rPr>
          <w:rFonts w:eastAsia="Times New Roman"/>
        </w:rPr>
      </w:pPr>
    </w:p>
    <w:p w14:paraId="1EC89179" w14:textId="17C4E0E2" w:rsidR="00DB6D37" w:rsidRP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>Mapping of global events for dissemination</w:t>
      </w:r>
    </w:p>
    <w:p w14:paraId="43A3E237" w14:textId="77777777" w:rsidR="00D84EAC" w:rsidRDefault="00DA33AB" w:rsidP="00180140">
      <w:pPr>
        <w:spacing w:after="0"/>
        <w:rPr>
          <w:rFonts w:eastAsia="Times New Roman"/>
        </w:rPr>
      </w:pPr>
      <w:r>
        <w:rPr>
          <w:rFonts w:eastAsia="Times New Roman"/>
        </w:rPr>
        <w:t xml:space="preserve">All are encouraged to </w:t>
      </w:r>
      <w:r w:rsidR="00794D02">
        <w:rPr>
          <w:rFonts w:eastAsia="Times New Roman"/>
        </w:rPr>
        <w:t>suggest</w:t>
      </w:r>
      <w:r w:rsidR="00F65F91">
        <w:rPr>
          <w:rFonts w:eastAsia="Times New Roman"/>
        </w:rPr>
        <w:t xml:space="preserve"> </w:t>
      </w:r>
      <w:r w:rsidR="00794D02">
        <w:rPr>
          <w:rFonts w:eastAsia="Times New Roman"/>
        </w:rPr>
        <w:t xml:space="preserve">relevant </w:t>
      </w:r>
      <w:r w:rsidR="00F65F91">
        <w:rPr>
          <w:rFonts w:eastAsia="Times New Roman"/>
        </w:rPr>
        <w:t xml:space="preserve">global events </w:t>
      </w:r>
      <w:r w:rsidR="00455704">
        <w:rPr>
          <w:rFonts w:eastAsia="Times New Roman"/>
        </w:rPr>
        <w:t>for dissemination</w:t>
      </w:r>
      <w:r w:rsidR="00794D02">
        <w:rPr>
          <w:rFonts w:eastAsia="Times New Roman"/>
        </w:rPr>
        <w:t xml:space="preserve">. The </w:t>
      </w:r>
      <w:r w:rsidR="00180140">
        <w:rPr>
          <w:rFonts w:eastAsia="Times New Roman"/>
        </w:rPr>
        <w:t xml:space="preserve">group discussed more in detail the </w:t>
      </w:r>
      <w:r w:rsidR="00AD19D1">
        <w:rPr>
          <w:rFonts w:eastAsia="Times New Roman"/>
        </w:rPr>
        <w:t>World Urban Forum 10</w:t>
      </w:r>
      <w:r w:rsidR="00180140">
        <w:rPr>
          <w:rFonts w:eastAsia="Times New Roman"/>
        </w:rPr>
        <w:t xml:space="preserve"> (</w:t>
      </w:r>
      <w:r w:rsidR="00AD19D1">
        <w:rPr>
          <w:rFonts w:eastAsia="Times New Roman"/>
        </w:rPr>
        <w:t>Abu Dhabi, February 2020</w:t>
      </w:r>
      <w:r w:rsidR="00180140">
        <w:rPr>
          <w:rFonts w:eastAsia="Times New Roman"/>
        </w:rPr>
        <w:t xml:space="preserve">), as different organizations applied to host side events. </w:t>
      </w:r>
    </w:p>
    <w:p w14:paraId="25B7C07F" w14:textId="678BA3DB" w:rsidR="00D84EAC" w:rsidRDefault="009F39E6" w:rsidP="00D84EAC">
      <w:pPr>
        <w:pStyle w:val="ListParagraph"/>
        <w:numPr>
          <w:ilvl w:val="0"/>
          <w:numId w:val="35"/>
        </w:numPr>
        <w:spacing w:after="0"/>
        <w:rPr>
          <w:rFonts w:eastAsia="Times New Roman"/>
        </w:rPr>
      </w:pPr>
      <w:r w:rsidRPr="00D84EAC">
        <w:rPr>
          <w:rFonts w:eastAsia="Times New Roman"/>
        </w:rPr>
        <w:t xml:space="preserve">David/UN-Habitat explained that </w:t>
      </w:r>
      <w:r w:rsidR="006E6D4F" w:rsidRPr="00D84EAC">
        <w:rPr>
          <w:rFonts w:eastAsia="Times New Roman"/>
        </w:rPr>
        <w:t xml:space="preserve">only 80 slots are available and </w:t>
      </w:r>
      <w:r w:rsidR="0021426E" w:rsidRPr="00D84EAC">
        <w:rPr>
          <w:rFonts w:eastAsia="Times New Roman"/>
        </w:rPr>
        <w:t>around 380 applications were received</w:t>
      </w:r>
      <w:r w:rsidR="001659EC" w:rsidRPr="00D84EAC">
        <w:rPr>
          <w:rFonts w:eastAsia="Times New Roman"/>
        </w:rPr>
        <w:t>, and to inform him of any submission</w:t>
      </w:r>
      <w:r w:rsidR="00D84EAC" w:rsidRPr="00D84EAC">
        <w:rPr>
          <w:rFonts w:eastAsia="Times New Roman"/>
        </w:rPr>
        <w:t xml:space="preserve"> related to shelter or crisis response more broadly</w:t>
      </w:r>
      <w:r w:rsidR="0021426E" w:rsidRPr="00D84EAC">
        <w:rPr>
          <w:rFonts w:eastAsia="Times New Roman"/>
        </w:rPr>
        <w:t xml:space="preserve">. </w:t>
      </w:r>
      <w:r w:rsidR="0003205B">
        <w:rPr>
          <w:rFonts w:eastAsia="Times New Roman"/>
        </w:rPr>
        <w:t xml:space="preserve">David also mentioned that other formats </w:t>
      </w:r>
      <w:r w:rsidR="00975F54">
        <w:rPr>
          <w:rFonts w:eastAsia="Times New Roman"/>
        </w:rPr>
        <w:t xml:space="preserve">are available beyond side events, such as the Urban Library space, and these could be good alternatives </w:t>
      </w:r>
      <w:r w:rsidR="00F33602">
        <w:rPr>
          <w:rFonts w:eastAsia="Times New Roman"/>
        </w:rPr>
        <w:t>too.</w:t>
      </w:r>
    </w:p>
    <w:p w14:paraId="114C45E7" w14:textId="0775A0E4" w:rsidR="00D84EAC" w:rsidRPr="00345A6D" w:rsidRDefault="00A77648" w:rsidP="00345A6D">
      <w:pPr>
        <w:pStyle w:val="ListParagraph"/>
        <w:numPr>
          <w:ilvl w:val="0"/>
          <w:numId w:val="35"/>
        </w:numPr>
        <w:spacing w:after="0"/>
        <w:rPr>
          <w:rFonts w:eastAsia="Times New Roman"/>
        </w:rPr>
      </w:pPr>
      <w:r w:rsidRPr="00D84EAC">
        <w:rPr>
          <w:rFonts w:eastAsia="Times New Roman"/>
        </w:rPr>
        <w:t xml:space="preserve">IOM mentioned that </w:t>
      </w:r>
      <w:r w:rsidR="00AC6F2C" w:rsidRPr="00D84EAC">
        <w:rPr>
          <w:rFonts w:eastAsia="Times New Roman"/>
        </w:rPr>
        <w:t>one proposal was submitted jointly</w:t>
      </w:r>
      <w:r w:rsidR="00A96BF8" w:rsidRPr="00D84EAC">
        <w:rPr>
          <w:rFonts w:eastAsia="Times New Roman"/>
        </w:rPr>
        <w:t xml:space="preserve"> as Global Shelter Cluster with focus on coordination and some of the initiatives </w:t>
      </w:r>
      <w:r w:rsidR="004E2E22" w:rsidRPr="00D84EAC">
        <w:rPr>
          <w:rFonts w:eastAsia="Times New Roman"/>
        </w:rPr>
        <w:t>taken forward by different working groups</w:t>
      </w:r>
      <w:r w:rsidR="00B44A3C">
        <w:rPr>
          <w:rFonts w:eastAsia="Times New Roman"/>
        </w:rPr>
        <w:t>, including but not limited to Shelter Projects</w:t>
      </w:r>
      <w:r w:rsidR="004E2E22" w:rsidRPr="00D84EAC">
        <w:rPr>
          <w:rFonts w:eastAsia="Times New Roman"/>
        </w:rPr>
        <w:t xml:space="preserve"> (participating agencies include IFRC, UNHCR, IOM, Habitat for Humanity and InterAction). </w:t>
      </w:r>
      <w:r w:rsidR="00B44A3C">
        <w:rPr>
          <w:rFonts w:eastAsia="Times New Roman"/>
          <w:b/>
          <w:bCs/>
        </w:rPr>
        <w:t>ACTION</w:t>
      </w:r>
      <w:r w:rsidR="00D84EAC">
        <w:rPr>
          <w:rFonts w:eastAsia="Times New Roman"/>
        </w:rPr>
        <w:t>: IOM to share the</w:t>
      </w:r>
      <w:r w:rsidR="006F6484">
        <w:rPr>
          <w:rFonts w:eastAsia="Times New Roman"/>
        </w:rPr>
        <w:t xml:space="preserve"> </w:t>
      </w:r>
      <w:r w:rsidR="004F0CA9">
        <w:rPr>
          <w:rFonts w:eastAsia="Times New Roman"/>
        </w:rPr>
        <w:t>S</w:t>
      </w:r>
      <w:r w:rsidR="006F6484">
        <w:rPr>
          <w:rFonts w:eastAsia="Times New Roman"/>
        </w:rPr>
        <w:t xml:space="preserve">helter </w:t>
      </w:r>
      <w:r w:rsidR="004F0CA9">
        <w:rPr>
          <w:rFonts w:eastAsia="Times New Roman"/>
        </w:rPr>
        <w:t>C</w:t>
      </w:r>
      <w:r w:rsidR="006F6484">
        <w:rPr>
          <w:rFonts w:eastAsia="Times New Roman"/>
        </w:rPr>
        <w:t>luster</w:t>
      </w:r>
      <w:r w:rsidR="00D84EAC">
        <w:rPr>
          <w:rFonts w:eastAsia="Times New Roman"/>
        </w:rPr>
        <w:t xml:space="preserve"> proposal with David.</w:t>
      </w:r>
    </w:p>
    <w:p w14:paraId="2E4FEBCA" w14:textId="77777777" w:rsidR="00E822C3" w:rsidRPr="00DB6D37" w:rsidRDefault="00E822C3" w:rsidP="00DB6D37">
      <w:pPr>
        <w:spacing w:after="0"/>
        <w:rPr>
          <w:rFonts w:eastAsia="Times New Roman"/>
        </w:rPr>
      </w:pPr>
    </w:p>
    <w:p w14:paraId="0F819D56" w14:textId="15A1D777" w:rsidR="00DB6D37" w:rsidRP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>Regional / country workshops</w:t>
      </w:r>
    </w:p>
    <w:p w14:paraId="2F89CA61" w14:textId="28779FE3" w:rsidR="00543B19" w:rsidRDefault="00807873" w:rsidP="007550D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As part of the dissemination project,</w:t>
      </w:r>
      <w:r w:rsidR="00ED58C2">
        <w:rPr>
          <w:rFonts w:eastAsia="Times New Roman"/>
        </w:rPr>
        <w:t xml:space="preserve"> and based on the success of previous events,</w:t>
      </w:r>
      <w:r>
        <w:rPr>
          <w:rFonts w:eastAsia="Times New Roman"/>
        </w:rPr>
        <w:t xml:space="preserve"> </w:t>
      </w:r>
      <w:r w:rsidR="008B32B2">
        <w:rPr>
          <w:rFonts w:eastAsia="Times New Roman"/>
        </w:rPr>
        <w:t xml:space="preserve">IOM </w:t>
      </w:r>
      <w:r w:rsidR="00AC327B">
        <w:rPr>
          <w:rFonts w:eastAsia="Times New Roman"/>
        </w:rPr>
        <w:t>will</w:t>
      </w:r>
      <w:r w:rsidR="008B32B2">
        <w:rPr>
          <w:rFonts w:eastAsia="Times New Roman"/>
        </w:rPr>
        <w:t xml:space="preserve"> support</w:t>
      </w:r>
      <w:r w:rsidR="008F5E5B">
        <w:rPr>
          <w:rFonts w:eastAsia="Times New Roman"/>
        </w:rPr>
        <w:t xml:space="preserve"> or co-host six country or regional workshops. </w:t>
      </w:r>
      <w:r w:rsidR="00AC327B">
        <w:rPr>
          <w:rFonts w:eastAsia="Times New Roman"/>
        </w:rPr>
        <w:t xml:space="preserve">Support </w:t>
      </w:r>
      <w:r w:rsidR="00543B19">
        <w:rPr>
          <w:rFonts w:eastAsia="Times New Roman"/>
        </w:rPr>
        <w:t>is welcome from partners, as well as suggestions to combine different agencies’ and working groups’ efforts.</w:t>
      </w:r>
    </w:p>
    <w:p w14:paraId="103D9A6A" w14:textId="77777777" w:rsidR="00ED58C2" w:rsidRDefault="00ED58C2" w:rsidP="007550DF">
      <w:pPr>
        <w:spacing w:after="0" w:line="240" w:lineRule="auto"/>
        <w:rPr>
          <w:rFonts w:eastAsia="Times New Roman"/>
        </w:rPr>
      </w:pPr>
    </w:p>
    <w:p w14:paraId="7DD99F0E" w14:textId="16D58A7C" w:rsidR="007550DF" w:rsidRPr="007550DF" w:rsidRDefault="00E53E50" w:rsidP="007550D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</w:t>
      </w:r>
      <w:r w:rsidR="00543B19">
        <w:rPr>
          <w:rFonts w:eastAsia="Times New Roman"/>
        </w:rPr>
        <w:t xml:space="preserve"> following </w:t>
      </w:r>
      <w:r w:rsidR="00ED58C2">
        <w:rPr>
          <w:rFonts w:eastAsia="Times New Roman"/>
        </w:rPr>
        <w:t>locations were discussed</w:t>
      </w:r>
      <w:r>
        <w:rPr>
          <w:rFonts w:eastAsia="Times New Roman"/>
        </w:rPr>
        <w:t>:</w:t>
      </w:r>
    </w:p>
    <w:p w14:paraId="5E92FC1B" w14:textId="77777777" w:rsidR="00D852B9" w:rsidRDefault="00544DF7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D58C2">
        <w:rPr>
          <w:rFonts w:eastAsia="Times New Roman"/>
          <w:b/>
          <w:bCs/>
        </w:rPr>
        <w:t>Asia-Pacific forum</w:t>
      </w:r>
      <w:r>
        <w:rPr>
          <w:rFonts w:eastAsia="Times New Roman"/>
        </w:rPr>
        <w:t>: Nepal, 2020 dates tbc</w:t>
      </w:r>
      <w:r w:rsidR="00ED58C2">
        <w:rPr>
          <w:rFonts w:eastAsia="Times New Roman"/>
        </w:rPr>
        <w:t xml:space="preserve">. </w:t>
      </w:r>
    </w:p>
    <w:p w14:paraId="465D9E43" w14:textId="77777777" w:rsidR="00D852B9" w:rsidRDefault="00EC1A92" w:rsidP="00D852B9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This </w:t>
      </w:r>
      <w:r w:rsidR="00B24B71">
        <w:rPr>
          <w:rFonts w:eastAsia="Times New Roman"/>
        </w:rPr>
        <w:t xml:space="preserve">event has been gathering momentum over the years, and IOM is happy to continue supporting it </w:t>
      </w:r>
      <w:r w:rsidR="00C73839">
        <w:rPr>
          <w:rFonts w:eastAsia="Times New Roman"/>
        </w:rPr>
        <w:t xml:space="preserve">but does not need to </w:t>
      </w:r>
      <w:r w:rsidR="00F25AC5">
        <w:rPr>
          <w:rFonts w:eastAsia="Times New Roman"/>
        </w:rPr>
        <w:t>lead/host it</w:t>
      </w:r>
      <w:r w:rsidR="00C73839">
        <w:rPr>
          <w:rFonts w:eastAsia="Times New Roman"/>
        </w:rPr>
        <w:t>.</w:t>
      </w:r>
      <w:r w:rsidR="00F25AC5">
        <w:rPr>
          <w:rFonts w:eastAsia="Times New Roman"/>
        </w:rPr>
        <w:t xml:space="preserve"> </w:t>
      </w:r>
    </w:p>
    <w:p w14:paraId="60B7B687" w14:textId="108D3F3E" w:rsidR="00544DF7" w:rsidRDefault="00A907F8" w:rsidP="00D852B9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CRS/HRRP colleagues at the Indonesia forum in August 2019 mentioned </w:t>
      </w:r>
      <w:r w:rsidR="000B281A">
        <w:rPr>
          <w:rFonts w:eastAsia="Times New Roman"/>
        </w:rPr>
        <w:t xml:space="preserve">that Nepal </w:t>
      </w:r>
      <w:r w:rsidR="0028357C">
        <w:rPr>
          <w:rFonts w:eastAsia="Times New Roman"/>
        </w:rPr>
        <w:t>could host the next edition.</w:t>
      </w:r>
    </w:p>
    <w:p w14:paraId="0AD687F7" w14:textId="00D23C29" w:rsidR="00B31683" w:rsidRDefault="00544DF7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D58C2">
        <w:rPr>
          <w:rFonts w:eastAsia="Times New Roman"/>
          <w:b/>
          <w:bCs/>
        </w:rPr>
        <w:t>Manila/Philippines</w:t>
      </w:r>
      <w:r>
        <w:rPr>
          <w:rFonts w:eastAsia="Times New Roman"/>
        </w:rPr>
        <w:t>: Feb</w:t>
      </w:r>
      <w:r w:rsidR="0036501B">
        <w:rPr>
          <w:rFonts w:eastAsia="Times New Roman"/>
        </w:rPr>
        <w:t>ruary</w:t>
      </w:r>
      <w:r>
        <w:rPr>
          <w:rFonts w:eastAsia="Times New Roman"/>
        </w:rPr>
        <w:t xml:space="preserve"> 2020, country specific</w:t>
      </w:r>
      <w:r w:rsidR="0028357C">
        <w:rPr>
          <w:rFonts w:eastAsia="Times New Roman"/>
        </w:rPr>
        <w:t xml:space="preserve">. </w:t>
      </w:r>
    </w:p>
    <w:p w14:paraId="7AE45EE6" w14:textId="77777777" w:rsidR="003E24BF" w:rsidRDefault="0028357C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IOM </w:t>
      </w:r>
      <w:r w:rsidR="00303AEB">
        <w:rPr>
          <w:rFonts w:eastAsia="Times New Roman"/>
        </w:rPr>
        <w:t xml:space="preserve">is discussing with counterparts in the Philippines </w:t>
      </w:r>
      <w:r w:rsidR="000051E8">
        <w:rPr>
          <w:rFonts w:eastAsia="Times New Roman"/>
        </w:rPr>
        <w:t xml:space="preserve">to support a national workshop organized by the </w:t>
      </w:r>
      <w:r w:rsidR="00A92563">
        <w:rPr>
          <w:rFonts w:eastAsia="Times New Roman"/>
        </w:rPr>
        <w:t>DSWD</w:t>
      </w:r>
      <w:r w:rsidR="000051E8">
        <w:rPr>
          <w:rFonts w:eastAsia="Times New Roman"/>
        </w:rPr>
        <w:t xml:space="preserve"> and supported by IOM and IFRC focusing on the revision of the </w:t>
      </w:r>
      <w:r w:rsidR="00D25334">
        <w:rPr>
          <w:rFonts w:eastAsia="Times New Roman"/>
        </w:rPr>
        <w:t xml:space="preserve">government </w:t>
      </w:r>
      <w:r w:rsidR="00B31683">
        <w:rPr>
          <w:rFonts w:eastAsia="Times New Roman"/>
        </w:rPr>
        <w:t xml:space="preserve">shelter strategy. </w:t>
      </w:r>
    </w:p>
    <w:p w14:paraId="02E2423F" w14:textId="733378B8" w:rsidR="00544DF7" w:rsidRDefault="00B31683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lastRenderedPageBreak/>
        <w:t xml:space="preserve">Case studies could be used as learning aids to </w:t>
      </w:r>
      <w:r w:rsidR="009D0F32">
        <w:rPr>
          <w:rFonts w:eastAsia="Times New Roman"/>
        </w:rPr>
        <w:t xml:space="preserve">discuss possible scenarios, </w:t>
      </w:r>
      <w:r>
        <w:rPr>
          <w:rFonts w:eastAsia="Times New Roman"/>
        </w:rPr>
        <w:t xml:space="preserve">illustrate different </w:t>
      </w:r>
      <w:r w:rsidR="000F295F">
        <w:rPr>
          <w:rFonts w:eastAsia="Times New Roman"/>
        </w:rPr>
        <w:t>assistance options</w:t>
      </w:r>
      <w:r w:rsidR="009D0F32">
        <w:rPr>
          <w:rFonts w:eastAsia="Times New Roman"/>
        </w:rPr>
        <w:t xml:space="preserve">, and discuss the strengths and weaknesses of each. </w:t>
      </w:r>
    </w:p>
    <w:p w14:paraId="18AB1971" w14:textId="395EA638" w:rsidR="0036501B" w:rsidRDefault="0036501B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IOM and IFRC to follow up. Anyone else interested to </w:t>
      </w:r>
      <w:r w:rsidR="00D852B9">
        <w:rPr>
          <w:rFonts w:eastAsia="Times New Roman"/>
        </w:rPr>
        <w:t>join should reach out to IOM.</w:t>
      </w:r>
    </w:p>
    <w:p w14:paraId="63E0C91C" w14:textId="4A786FC3" w:rsidR="00B31683" w:rsidRDefault="00544DF7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D58C2">
        <w:rPr>
          <w:rFonts w:eastAsia="Times New Roman"/>
          <w:b/>
          <w:bCs/>
        </w:rPr>
        <w:t>(East) Africa</w:t>
      </w:r>
      <w:r>
        <w:rPr>
          <w:rFonts w:eastAsia="Times New Roman"/>
        </w:rPr>
        <w:t xml:space="preserve">: Nairobi, </w:t>
      </w:r>
      <w:r w:rsidR="008823FD">
        <w:rPr>
          <w:rFonts w:eastAsia="Times New Roman"/>
        </w:rPr>
        <w:t xml:space="preserve">2020, </w:t>
      </w:r>
      <w:r>
        <w:rPr>
          <w:rFonts w:eastAsia="Times New Roman"/>
        </w:rPr>
        <w:t>organizers and dates tbc</w:t>
      </w:r>
      <w:r w:rsidR="00D223F9">
        <w:rPr>
          <w:rFonts w:eastAsia="Times New Roman"/>
        </w:rPr>
        <w:t>.</w:t>
      </w:r>
      <w:r w:rsidR="006F6484">
        <w:rPr>
          <w:rFonts w:eastAsia="Times New Roman"/>
        </w:rPr>
        <w:t xml:space="preserve"> (note the locations for an Africa shelter forum can be discussed but there remains momentum in Nairobi as a hub)</w:t>
      </w:r>
      <w:r w:rsidR="00D223F9">
        <w:rPr>
          <w:rFonts w:eastAsia="Times New Roman"/>
        </w:rPr>
        <w:t xml:space="preserve"> </w:t>
      </w:r>
    </w:p>
    <w:p w14:paraId="20FC185C" w14:textId="77777777" w:rsidR="00B31683" w:rsidRDefault="00B31683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This event was successful over the past two years and participants felt like it could be organized over three days, with the option of a field day to be discussed. </w:t>
      </w:r>
    </w:p>
    <w:p w14:paraId="5301B1FF" w14:textId="77777777" w:rsidR="00B31683" w:rsidRDefault="00D223F9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David/UN-Habitat is happy to </w:t>
      </w:r>
      <w:r w:rsidR="00446146">
        <w:rPr>
          <w:rFonts w:eastAsia="Times New Roman"/>
        </w:rPr>
        <w:t xml:space="preserve">support Chiara/DRC and others in organizing the next Nairobi forum. </w:t>
      </w:r>
    </w:p>
    <w:p w14:paraId="3D141F43" w14:textId="023F5738" w:rsidR="00544DF7" w:rsidRDefault="00662E8D" w:rsidP="00B31683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IOM </w:t>
      </w:r>
      <w:r w:rsidR="00AD425F">
        <w:rPr>
          <w:rFonts w:eastAsia="Times New Roman"/>
        </w:rPr>
        <w:t xml:space="preserve">also </w:t>
      </w:r>
      <w:r>
        <w:rPr>
          <w:rFonts w:eastAsia="Times New Roman"/>
        </w:rPr>
        <w:t>continues to be supportive</w:t>
      </w:r>
      <w:r w:rsidR="00AD425F">
        <w:rPr>
          <w:rFonts w:eastAsia="Times New Roman"/>
        </w:rPr>
        <w:t>.</w:t>
      </w:r>
    </w:p>
    <w:p w14:paraId="480025E8" w14:textId="7284C3D6" w:rsidR="00544DF7" w:rsidRDefault="00544DF7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D58C2">
        <w:rPr>
          <w:rFonts w:eastAsia="Times New Roman"/>
          <w:b/>
          <w:bCs/>
        </w:rPr>
        <w:t>Middle East</w:t>
      </w:r>
      <w:r>
        <w:rPr>
          <w:rFonts w:eastAsia="Times New Roman"/>
        </w:rPr>
        <w:t>: location, organizers and dates tbc</w:t>
      </w:r>
      <w:r w:rsidR="002B7847">
        <w:rPr>
          <w:rFonts w:eastAsia="Times New Roman"/>
        </w:rPr>
        <w:t>.</w:t>
      </w:r>
    </w:p>
    <w:p w14:paraId="6A59E0B3" w14:textId="43E5DA0A" w:rsidR="0046618A" w:rsidRDefault="0046618A" w:rsidP="0046618A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CARE </w:t>
      </w:r>
      <w:r w:rsidR="001F33E3">
        <w:rPr>
          <w:rFonts w:eastAsia="Times New Roman"/>
        </w:rPr>
        <w:t>is planning a regional shelter training (funding TBC)</w:t>
      </w:r>
      <w:r w:rsidR="009B7B26">
        <w:rPr>
          <w:rFonts w:eastAsia="Times New Roman"/>
        </w:rPr>
        <w:t xml:space="preserve"> in the Middle East, which could be </w:t>
      </w:r>
      <w:r w:rsidR="00844C9D">
        <w:rPr>
          <w:rFonts w:eastAsia="Times New Roman"/>
        </w:rPr>
        <w:t>aligned with dates for the shelter forum;</w:t>
      </w:r>
    </w:p>
    <w:p w14:paraId="63EA7D15" w14:textId="696850B2" w:rsidR="00844C9D" w:rsidRDefault="00844C9D" w:rsidP="0046618A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It was also suggested to include </w:t>
      </w:r>
      <w:r w:rsidR="00D11EA0">
        <w:rPr>
          <w:rFonts w:eastAsia="Times New Roman"/>
        </w:rPr>
        <w:t>the Urban working group and other initiatives such as the PASSA training</w:t>
      </w:r>
      <w:r w:rsidR="0013046F">
        <w:rPr>
          <w:rFonts w:eastAsia="Times New Roman"/>
        </w:rPr>
        <w:t xml:space="preserve"> for shelter actors in the region.</w:t>
      </w:r>
    </w:p>
    <w:p w14:paraId="48BB1A96" w14:textId="4BFF2744" w:rsidR="00544DF7" w:rsidRDefault="00C67903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C1A92">
        <w:rPr>
          <w:rFonts w:eastAsia="Times New Roman"/>
          <w:b/>
          <w:bCs/>
        </w:rPr>
        <w:t>Latin America / Caribbean</w:t>
      </w:r>
      <w:r>
        <w:rPr>
          <w:rFonts w:eastAsia="Times New Roman"/>
        </w:rPr>
        <w:t xml:space="preserve">: </w:t>
      </w:r>
      <w:r w:rsidR="000B28DC">
        <w:rPr>
          <w:rFonts w:eastAsia="Times New Roman"/>
        </w:rPr>
        <w:t xml:space="preserve">Guatemala </w:t>
      </w:r>
      <w:r w:rsidR="00937C58">
        <w:rPr>
          <w:rFonts w:eastAsia="Times New Roman"/>
        </w:rPr>
        <w:t>C</w:t>
      </w:r>
      <w:r w:rsidR="000B28DC">
        <w:rPr>
          <w:rFonts w:eastAsia="Times New Roman"/>
        </w:rPr>
        <w:t>ity, 10-11 December</w:t>
      </w:r>
      <w:r w:rsidR="008823FD">
        <w:rPr>
          <w:rFonts w:eastAsia="Times New Roman"/>
        </w:rPr>
        <w:t xml:space="preserve"> 2019</w:t>
      </w:r>
      <w:r w:rsidR="0069587E">
        <w:rPr>
          <w:rFonts w:eastAsia="Times New Roman"/>
        </w:rPr>
        <w:t>.</w:t>
      </w:r>
    </w:p>
    <w:p w14:paraId="52225C75" w14:textId="1C3A9E9F" w:rsidR="00733D0B" w:rsidRDefault="00733D0B" w:rsidP="00733D0B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733D0B">
        <w:rPr>
          <w:rFonts w:eastAsia="Times New Roman"/>
        </w:rPr>
        <w:t>O</w:t>
      </w:r>
      <w:r>
        <w:rPr>
          <w:rFonts w:eastAsia="Times New Roman"/>
        </w:rPr>
        <w:t>rganized by InterAction</w:t>
      </w:r>
      <w:r w:rsidR="00C92485">
        <w:rPr>
          <w:rFonts w:eastAsia="Times New Roman"/>
        </w:rPr>
        <w:t xml:space="preserve"> with Habitat for Humanity, PCI and others.</w:t>
      </w:r>
    </w:p>
    <w:p w14:paraId="0FE3F2B6" w14:textId="79F7E8ED" w:rsidR="00C92485" w:rsidRPr="00733D0B" w:rsidRDefault="008823FD" w:rsidP="00733D0B">
      <w:pPr>
        <w:pStyle w:val="ListParagraph"/>
        <w:numPr>
          <w:ilvl w:val="2"/>
          <w:numId w:val="3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All to promote </w:t>
      </w:r>
      <w:r w:rsidR="00E469B6">
        <w:rPr>
          <w:rFonts w:eastAsia="Times New Roman"/>
        </w:rPr>
        <w:t>within respective organizations.</w:t>
      </w:r>
    </w:p>
    <w:p w14:paraId="56B2BBA8" w14:textId="04E2232B" w:rsidR="00C67903" w:rsidRDefault="00C67903" w:rsidP="00544DF7">
      <w:pPr>
        <w:pStyle w:val="ListParagraph"/>
        <w:numPr>
          <w:ilvl w:val="1"/>
          <w:numId w:val="32"/>
        </w:numPr>
        <w:spacing w:after="0" w:line="240" w:lineRule="auto"/>
        <w:contextualSpacing w:val="0"/>
        <w:rPr>
          <w:rFonts w:eastAsia="Times New Roman"/>
        </w:rPr>
      </w:pPr>
      <w:r w:rsidRPr="00EC1A92">
        <w:rPr>
          <w:rFonts w:eastAsia="Times New Roman"/>
          <w:b/>
          <w:bCs/>
        </w:rPr>
        <w:t>Haiti</w:t>
      </w:r>
      <w:r w:rsidR="00740DFC">
        <w:rPr>
          <w:rFonts w:eastAsia="Times New Roman"/>
        </w:rPr>
        <w:t xml:space="preserve">: </w:t>
      </w:r>
      <w:r w:rsidR="0011217D">
        <w:rPr>
          <w:rFonts w:eastAsia="Times New Roman"/>
        </w:rPr>
        <w:t>Nex</w:t>
      </w:r>
      <w:r w:rsidR="00580417">
        <w:rPr>
          <w:rFonts w:eastAsia="Times New Roman"/>
        </w:rPr>
        <w:t xml:space="preserve">t January </w:t>
      </w:r>
      <w:r w:rsidR="00A171FB">
        <w:rPr>
          <w:rFonts w:eastAsia="Times New Roman"/>
        </w:rPr>
        <w:t>would be the 10</w:t>
      </w:r>
      <w:r w:rsidR="00A171FB" w:rsidRPr="00A171FB">
        <w:rPr>
          <w:rFonts w:eastAsia="Times New Roman"/>
          <w:vertAlign w:val="superscript"/>
        </w:rPr>
        <w:t>th</w:t>
      </w:r>
      <w:r w:rsidR="00A171FB">
        <w:rPr>
          <w:rFonts w:eastAsia="Times New Roman"/>
        </w:rPr>
        <w:t xml:space="preserve"> anniversary of the </w:t>
      </w:r>
      <w:r w:rsidR="003D102E">
        <w:rPr>
          <w:rFonts w:eastAsia="Times New Roman"/>
        </w:rPr>
        <w:t xml:space="preserve">Haiti 2010 earthquake. IOM and other actors are planning a set of </w:t>
      </w:r>
      <w:r w:rsidR="00B202D5">
        <w:rPr>
          <w:rFonts w:eastAsia="Times New Roman"/>
        </w:rPr>
        <w:t xml:space="preserve">memorial </w:t>
      </w:r>
      <w:r w:rsidR="003D102E">
        <w:rPr>
          <w:rFonts w:eastAsia="Times New Roman"/>
        </w:rPr>
        <w:t xml:space="preserve">events during the week of </w:t>
      </w:r>
      <w:r w:rsidR="00B202D5">
        <w:rPr>
          <w:rFonts w:eastAsia="Times New Roman"/>
        </w:rPr>
        <w:t xml:space="preserve">6—10 </w:t>
      </w:r>
      <w:r w:rsidR="009A0754">
        <w:rPr>
          <w:rFonts w:eastAsia="Times New Roman"/>
        </w:rPr>
        <w:t xml:space="preserve">January 2020. This could be a good opportunity </w:t>
      </w:r>
      <w:r w:rsidR="006F6484">
        <w:rPr>
          <w:rFonts w:eastAsia="Times New Roman"/>
        </w:rPr>
        <w:t xml:space="preserve">(subject to security situation) </w:t>
      </w:r>
      <w:r w:rsidR="009A0754">
        <w:rPr>
          <w:rFonts w:eastAsia="Times New Roman"/>
        </w:rPr>
        <w:t xml:space="preserve">for a </w:t>
      </w:r>
      <w:r w:rsidR="00540B16">
        <w:rPr>
          <w:rFonts w:eastAsia="Times New Roman"/>
        </w:rPr>
        <w:t>country</w:t>
      </w:r>
      <w:r w:rsidR="004F0CA9">
        <w:rPr>
          <w:rFonts w:eastAsia="Times New Roman"/>
        </w:rPr>
        <w:t>-</w:t>
      </w:r>
      <w:r w:rsidR="00540B16">
        <w:rPr>
          <w:rFonts w:eastAsia="Times New Roman"/>
        </w:rPr>
        <w:t xml:space="preserve">level workshop looking back at the past 10 years </w:t>
      </w:r>
      <w:r w:rsidR="00C028C2">
        <w:rPr>
          <w:rFonts w:eastAsia="Times New Roman"/>
        </w:rPr>
        <w:t>of post-disaster response and recovery activities.</w:t>
      </w:r>
    </w:p>
    <w:p w14:paraId="527D48AF" w14:textId="184D7724" w:rsidR="00740DFC" w:rsidRDefault="00740DFC" w:rsidP="00740DFC">
      <w:pPr>
        <w:spacing w:after="0" w:line="240" w:lineRule="auto"/>
        <w:rPr>
          <w:rFonts w:eastAsia="Times New Roman"/>
        </w:rPr>
      </w:pPr>
    </w:p>
    <w:p w14:paraId="6EE0514E" w14:textId="390F9C2F" w:rsidR="00D108DB" w:rsidRDefault="00D108DB" w:rsidP="00740DF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Suggestions on themes</w:t>
      </w:r>
      <w:r w:rsidR="00EC1A92">
        <w:rPr>
          <w:rFonts w:eastAsia="Times New Roman"/>
        </w:rPr>
        <w:t xml:space="preserve"> were also made: </w:t>
      </w:r>
    </w:p>
    <w:p w14:paraId="26E77A10" w14:textId="65D26C8E" w:rsidR="00EC1A92" w:rsidRDefault="00C028C2" w:rsidP="00EC1A92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Charles/</w:t>
      </w:r>
      <w:proofErr w:type="spellStart"/>
      <w:r>
        <w:rPr>
          <w:rFonts w:eastAsia="Times New Roman"/>
        </w:rPr>
        <w:t>Cendep</w:t>
      </w:r>
      <w:proofErr w:type="spellEnd"/>
      <w:r>
        <w:rPr>
          <w:rFonts w:eastAsia="Times New Roman"/>
        </w:rPr>
        <w:t xml:space="preserve"> suggest</w:t>
      </w:r>
      <w:r w:rsidR="00761A6F">
        <w:rPr>
          <w:rFonts w:eastAsia="Times New Roman"/>
        </w:rPr>
        <w:t>ed</w:t>
      </w:r>
      <w:r>
        <w:rPr>
          <w:rFonts w:eastAsia="Times New Roman"/>
        </w:rPr>
        <w:t xml:space="preserve"> to </w:t>
      </w:r>
      <w:r w:rsidR="006B7C4E">
        <w:rPr>
          <w:rFonts w:eastAsia="Times New Roman"/>
        </w:rPr>
        <w:t xml:space="preserve">renew the focus on </w:t>
      </w:r>
      <w:r w:rsidR="006B7C4E" w:rsidRPr="00881534">
        <w:rPr>
          <w:rFonts w:eastAsia="Times New Roman"/>
          <w:b/>
          <w:bCs/>
        </w:rPr>
        <w:t>long-term impact studies</w:t>
      </w:r>
      <w:r w:rsidR="009E2EEE">
        <w:rPr>
          <w:rFonts w:eastAsia="Times New Roman"/>
        </w:rPr>
        <w:t xml:space="preserve">. This could be </w:t>
      </w:r>
      <w:r w:rsidR="00172BD0">
        <w:rPr>
          <w:rFonts w:eastAsia="Times New Roman"/>
        </w:rPr>
        <w:t xml:space="preserve">prioritized for one of the events </w:t>
      </w:r>
      <w:r w:rsidR="007F38D7">
        <w:rPr>
          <w:rFonts w:eastAsia="Times New Roman"/>
        </w:rPr>
        <w:t xml:space="preserve">mentioned </w:t>
      </w:r>
      <w:r w:rsidR="00172BD0">
        <w:rPr>
          <w:rFonts w:eastAsia="Times New Roman"/>
        </w:rPr>
        <w:t>above</w:t>
      </w:r>
      <w:r w:rsidR="00C22F3F">
        <w:rPr>
          <w:rFonts w:eastAsia="Times New Roman"/>
        </w:rPr>
        <w:t xml:space="preserve"> (a</w:t>
      </w:r>
      <w:r w:rsidR="00567277">
        <w:rPr>
          <w:rFonts w:eastAsia="Times New Roman"/>
        </w:rPr>
        <w:t>ll are potentially relevant</w:t>
      </w:r>
      <w:r w:rsidR="00C22F3F">
        <w:rPr>
          <w:rFonts w:eastAsia="Times New Roman"/>
        </w:rPr>
        <w:t>).</w:t>
      </w:r>
      <w:r w:rsidR="00B21674">
        <w:rPr>
          <w:rFonts w:eastAsia="Times New Roman"/>
        </w:rPr>
        <w:t xml:space="preserve"> </w:t>
      </w:r>
      <w:r w:rsidR="00C22F3F">
        <w:rPr>
          <w:rFonts w:eastAsia="Times New Roman"/>
        </w:rPr>
        <w:t xml:space="preserve">IOM and </w:t>
      </w:r>
      <w:proofErr w:type="spellStart"/>
      <w:r w:rsidR="00C22F3F">
        <w:rPr>
          <w:rFonts w:eastAsia="Times New Roman"/>
        </w:rPr>
        <w:t>Cendep</w:t>
      </w:r>
      <w:proofErr w:type="spellEnd"/>
      <w:r w:rsidR="00C22F3F">
        <w:rPr>
          <w:rFonts w:eastAsia="Times New Roman"/>
        </w:rPr>
        <w:t xml:space="preserve"> to </w:t>
      </w:r>
      <w:r w:rsidR="00B21674">
        <w:rPr>
          <w:rFonts w:eastAsia="Times New Roman"/>
        </w:rPr>
        <w:t>discuss further.</w:t>
      </w:r>
    </w:p>
    <w:p w14:paraId="2FD348BD" w14:textId="33F096AC" w:rsidR="00CE3C88" w:rsidRPr="00EC1A92" w:rsidRDefault="00CE3C88" w:rsidP="00EC1A92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Joseph/IOM suggested </w:t>
      </w:r>
      <w:r w:rsidR="005D28E5">
        <w:rPr>
          <w:rFonts w:eastAsia="Times New Roman"/>
        </w:rPr>
        <w:t>that next year will also be the 15</w:t>
      </w:r>
      <w:r w:rsidR="005D28E5" w:rsidRPr="005D28E5">
        <w:rPr>
          <w:rFonts w:eastAsia="Times New Roman"/>
          <w:vertAlign w:val="superscript"/>
        </w:rPr>
        <w:t>th</w:t>
      </w:r>
      <w:r w:rsidR="005D28E5">
        <w:rPr>
          <w:rFonts w:eastAsia="Times New Roman"/>
        </w:rPr>
        <w:t xml:space="preserve"> anniversary of the humanitarian reform and the establishment of the cluster system</w:t>
      </w:r>
      <w:r w:rsidR="006F6484">
        <w:rPr>
          <w:rFonts w:eastAsia="Times New Roman"/>
        </w:rPr>
        <w:t xml:space="preserve"> (see also not</w:t>
      </w:r>
      <w:r w:rsidR="004F0CA9">
        <w:rPr>
          <w:rFonts w:eastAsia="Times New Roman"/>
        </w:rPr>
        <w:t>e</w:t>
      </w:r>
      <w:r w:rsidR="006F6484">
        <w:rPr>
          <w:rFonts w:eastAsia="Times New Roman"/>
        </w:rPr>
        <w:t xml:space="preserve"> on crisis anniversaries below)</w:t>
      </w:r>
      <w:r w:rsidR="005D28E5">
        <w:rPr>
          <w:rFonts w:eastAsia="Times New Roman"/>
        </w:rPr>
        <w:t xml:space="preserve">. This could be a theme for </w:t>
      </w:r>
      <w:r w:rsidR="00BE7AA1">
        <w:rPr>
          <w:rFonts w:eastAsia="Times New Roman"/>
        </w:rPr>
        <w:t>any of the workshops</w:t>
      </w:r>
      <w:r w:rsidR="0021208A">
        <w:rPr>
          <w:rFonts w:eastAsia="Times New Roman"/>
        </w:rPr>
        <w:t xml:space="preserve">, and </w:t>
      </w:r>
      <w:r w:rsidR="001D56D1">
        <w:rPr>
          <w:rFonts w:eastAsia="Times New Roman"/>
        </w:rPr>
        <w:t xml:space="preserve">could be linked with </w:t>
      </w:r>
      <w:r w:rsidR="00306C01">
        <w:rPr>
          <w:rFonts w:eastAsia="Times New Roman"/>
        </w:rPr>
        <w:t>the point below, as well.</w:t>
      </w:r>
    </w:p>
    <w:p w14:paraId="325794A6" w14:textId="77777777" w:rsidR="00D108DB" w:rsidRDefault="00D108DB" w:rsidP="00740DFC">
      <w:pPr>
        <w:spacing w:after="0" w:line="240" w:lineRule="auto"/>
        <w:rPr>
          <w:rFonts w:eastAsia="Times New Roman"/>
        </w:rPr>
      </w:pPr>
    </w:p>
    <w:p w14:paraId="52937E1E" w14:textId="40590B9C" w:rsidR="00D108DB" w:rsidRPr="00740DFC" w:rsidRDefault="00D108DB" w:rsidP="00740DF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Any other suggestions on location</w:t>
      </w:r>
      <w:r w:rsidR="00662E86">
        <w:rPr>
          <w:rFonts w:eastAsia="Times New Roman"/>
        </w:rPr>
        <w:t>s</w:t>
      </w:r>
      <w:r w:rsidR="00A444EC">
        <w:rPr>
          <w:rFonts w:eastAsia="Times New Roman"/>
        </w:rPr>
        <w:t>, joint initiatives and themes are welcome.</w:t>
      </w:r>
    </w:p>
    <w:p w14:paraId="079C1AE9" w14:textId="77777777" w:rsidR="0031667F" w:rsidRDefault="0031667F" w:rsidP="00DB6D37">
      <w:pPr>
        <w:spacing w:after="0"/>
        <w:rPr>
          <w:rFonts w:eastAsia="Times New Roman"/>
          <w:b/>
          <w:bCs/>
        </w:rPr>
      </w:pPr>
    </w:p>
    <w:p w14:paraId="695B411D" w14:textId="4DBC79DC" w:rsidR="00DB6D37" w:rsidRPr="00DB6D37" w:rsidRDefault="0031667F" w:rsidP="00DB6D37">
      <w:pPr>
        <w:spacing w:after="0"/>
        <w:rPr>
          <w:rFonts w:eastAsia="Times New Roman"/>
        </w:rPr>
      </w:pPr>
      <w:r w:rsidRPr="00DB6D37">
        <w:rPr>
          <w:rFonts w:eastAsia="Times New Roman"/>
          <w:b/>
          <w:bCs/>
        </w:rPr>
        <w:t>“</w:t>
      </w:r>
      <w:r>
        <w:rPr>
          <w:rFonts w:eastAsia="Times New Roman"/>
          <w:b/>
          <w:bCs/>
        </w:rPr>
        <w:t>L</w:t>
      </w:r>
      <w:r w:rsidRPr="00DB6D37">
        <w:rPr>
          <w:rFonts w:eastAsia="Times New Roman"/>
          <w:b/>
          <w:bCs/>
        </w:rPr>
        <w:t xml:space="preserve">ite” </w:t>
      </w:r>
      <w:r w:rsidR="00ED6793">
        <w:rPr>
          <w:rFonts w:eastAsia="Times New Roman"/>
          <w:b/>
          <w:bCs/>
        </w:rPr>
        <w:t>edition</w:t>
      </w:r>
    </w:p>
    <w:p w14:paraId="291623A5" w14:textId="7AE1A067" w:rsidR="0031667F" w:rsidRDefault="00B95629" w:rsidP="00DB6D37">
      <w:pPr>
        <w:spacing w:after="0"/>
        <w:rPr>
          <w:rFonts w:eastAsia="Times New Roman"/>
        </w:rPr>
      </w:pPr>
      <w:r>
        <w:rPr>
          <w:rFonts w:eastAsia="Times New Roman"/>
        </w:rPr>
        <w:t xml:space="preserve">As part of its dissemination strategy, and especially targeting </w:t>
      </w:r>
      <w:r w:rsidR="00082852">
        <w:rPr>
          <w:rFonts w:eastAsia="Times New Roman"/>
        </w:rPr>
        <w:t>a diverse</w:t>
      </w:r>
      <w:r w:rsidR="0040505F">
        <w:rPr>
          <w:rFonts w:eastAsia="Times New Roman"/>
        </w:rPr>
        <w:t xml:space="preserve"> audience of no</w:t>
      </w:r>
      <w:r w:rsidR="00AC1876">
        <w:rPr>
          <w:rFonts w:eastAsia="Times New Roman"/>
        </w:rPr>
        <w:t xml:space="preserve">n-shelter </w:t>
      </w:r>
      <w:r w:rsidR="001619AD">
        <w:rPr>
          <w:rFonts w:eastAsia="Times New Roman"/>
        </w:rPr>
        <w:t xml:space="preserve">experts, </w:t>
      </w:r>
      <w:r w:rsidR="00EC543F">
        <w:rPr>
          <w:rFonts w:eastAsia="Times New Roman"/>
        </w:rPr>
        <w:t>IOM is proposing to develop</w:t>
      </w:r>
      <w:r w:rsidR="00380737">
        <w:rPr>
          <w:rFonts w:eastAsia="Times New Roman"/>
        </w:rPr>
        <w:t xml:space="preserve"> a</w:t>
      </w:r>
      <w:r w:rsidR="00720DAB" w:rsidRPr="00720DAB">
        <w:rPr>
          <w:rFonts w:eastAsia="Times New Roman"/>
        </w:rPr>
        <w:t xml:space="preserve"> “lite” edition of the publication, which </w:t>
      </w:r>
      <w:r w:rsidR="00380737">
        <w:rPr>
          <w:rFonts w:eastAsia="Times New Roman"/>
        </w:rPr>
        <w:t>would</w:t>
      </w:r>
      <w:r w:rsidR="00720DAB" w:rsidRPr="00720DAB">
        <w:rPr>
          <w:rFonts w:eastAsia="Times New Roman"/>
        </w:rPr>
        <w:t xml:space="preserve"> include a shorter version of the introduction chapter and a selection of short, visual, case studies illustrating key messages and recurring themes on shelter and settlement best practice.</w:t>
      </w:r>
      <w:r w:rsidR="00380737">
        <w:rPr>
          <w:rFonts w:eastAsia="Times New Roman"/>
        </w:rPr>
        <w:t xml:space="preserve"> A draft table of content was shared prior to the call.</w:t>
      </w:r>
      <w:r w:rsidR="00920AAE">
        <w:rPr>
          <w:rFonts w:eastAsia="Times New Roman"/>
        </w:rPr>
        <w:t xml:space="preserve"> The main components would be:</w:t>
      </w:r>
    </w:p>
    <w:p w14:paraId="18598D01" w14:textId="70D93D02" w:rsidR="001B0BC8" w:rsidRDefault="001B0BC8" w:rsidP="001B0BC8">
      <w:pPr>
        <w:pStyle w:val="ListParagraph"/>
        <w:numPr>
          <w:ilvl w:val="0"/>
          <w:numId w:val="33"/>
        </w:numPr>
        <w:spacing w:after="0"/>
        <w:rPr>
          <w:rFonts w:eastAsia="Times New Roman"/>
        </w:rPr>
      </w:pPr>
      <w:r>
        <w:rPr>
          <w:rFonts w:eastAsia="Times New Roman"/>
        </w:rPr>
        <w:t>Foreword, contents and acknowledgements;</w:t>
      </w:r>
    </w:p>
    <w:p w14:paraId="3CD37FF6" w14:textId="31CCD835" w:rsidR="00920AAE" w:rsidRDefault="001B0BC8" w:rsidP="001B0BC8">
      <w:pPr>
        <w:pStyle w:val="ListParagraph"/>
        <w:numPr>
          <w:ilvl w:val="0"/>
          <w:numId w:val="33"/>
        </w:numPr>
        <w:spacing w:after="0"/>
        <w:rPr>
          <w:rFonts w:eastAsia="Times New Roman"/>
        </w:rPr>
      </w:pPr>
      <w:r>
        <w:rPr>
          <w:rFonts w:eastAsia="Times New Roman"/>
        </w:rPr>
        <w:t>Introduction</w:t>
      </w:r>
      <w:r w:rsidR="00CA4DCD">
        <w:rPr>
          <w:rFonts w:eastAsia="Times New Roman"/>
        </w:rPr>
        <w:t xml:space="preserve">: shelter key messages and </w:t>
      </w:r>
      <w:r w:rsidR="00E364C6">
        <w:rPr>
          <w:rFonts w:eastAsia="Times New Roman"/>
        </w:rPr>
        <w:t>defining the shelter sector (</w:t>
      </w:r>
      <w:r w:rsidR="006273D3">
        <w:rPr>
          <w:rFonts w:eastAsia="Times New Roman"/>
        </w:rPr>
        <w:t xml:space="preserve">displacement figures / shelter needs; </w:t>
      </w:r>
      <w:proofErr w:type="spellStart"/>
      <w:r w:rsidR="00FD3143">
        <w:rPr>
          <w:rFonts w:eastAsia="Times New Roman"/>
        </w:rPr>
        <w:t>shelter-NFI</w:t>
      </w:r>
      <w:proofErr w:type="spellEnd"/>
      <w:r w:rsidR="00FD3143">
        <w:rPr>
          <w:rFonts w:eastAsia="Times New Roman"/>
        </w:rPr>
        <w:t xml:space="preserve"> response delivery figures);</w:t>
      </w:r>
    </w:p>
    <w:p w14:paraId="1A8F3648" w14:textId="78D0C253" w:rsidR="00FD3143" w:rsidRDefault="00FD3143" w:rsidP="001B0BC8">
      <w:pPr>
        <w:pStyle w:val="ListParagraph"/>
        <w:numPr>
          <w:ilvl w:val="0"/>
          <w:numId w:val="33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Case studies: </w:t>
      </w:r>
      <w:r w:rsidR="004816A9">
        <w:rPr>
          <w:rFonts w:eastAsia="Times New Roman"/>
        </w:rPr>
        <w:t xml:space="preserve">visual one-pagers </w:t>
      </w:r>
      <w:r w:rsidR="00434002">
        <w:rPr>
          <w:rFonts w:eastAsia="Times New Roman"/>
        </w:rPr>
        <w:t>selected to illustrate the key messages introduced in the above section.</w:t>
      </w:r>
    </w:p>
    <w:p w14:paraId="7BBBE315" w14:textId="5F5A4A9F" w:rsidR="006D3F41" w:rsidRDefault="006D3F41" w:rsidP="006D3F41">
      <w:pPr>
        <w:spacing w:after="0"/>
        <w:rPr>
          <w:rFonts w:eastAsia="Times New Roman"/>
        </w:rPr>
      </w:pPr>
    </w:p>
    <w:p w14:paraId="25EDB092" w14:textId="3A70CF96" w:rsidR="00EA1933" w:rsidRDefault="00EA1933" w:rsidP="006D3F4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The “lite” edition, which should </w:t>
      </w:r>
      <w:r w:rsidR="00C10ABB">
        <w:rPr>
          <w:rFonts w:eastAsia="Times New Roman"/>
        </w:rPr>
        <w:t>be</w:t>
      </w:r>
      <w:r>
        <w:rPr>
          <w:rFonts w:eastAsia="Times New Roman"/>
        </w:rPr>
        <w:t xml:space="preserve"> around 30 pages of length in total, would be translated into key languages and </w:t>
      </w:r>
      <w:r w:rsidR="004D1AF7">
        <w:rPr>
          <w:rFonts w:eastAsia="Times New Roman"/>
        </w:rPr>
        <w:t>shared widely beyond the shelter and settlements sector.</w:t>
      </w:r>
    </w:p>
    <w:p w14:paraId="14D88623" w14:textId="519E9B9F" w:rsidR="00C10ABB" w:rsidRDefault="00C10ABB" w:rsidP="006D3F41">
      <w:pPr>
        <w:spacing w:after="0"/>
        <w:rPr>
          <w:rFonts w:eastAsia="Times New Roman"/>
        </w:rPr>
      </w:pPr>
    </w:p>
    <w:p w14:paraId="4CC4F15C" w14:textId="6F8F6AD9" w:rsidR="00C10ABB" w:rsidRPr="006D3F41" w:rsidRDefault="00111809" w:rsidP="006D3F41">
      <w:pPr>
        <w:spacing w:after="0"/>
        <w:rPr>
          <w:rFonts w:eastAsia="Times New Roman"/>
        </w:rPr>
      </w:pPr>
      <w:r>
        <w:rPr>
          <w:rFonts w:eastAsia="Times New Roman"/>
        </w:rPr>
        <w:t xml:space="preserve">Amelia/CARE </w:t>
      </w:r>
      <w:r w:rsidR="00A11276">
        <w:rPr>
          <w:rFonts w:eastAsia="Times New Roman"/>
        </w:rPr>
        <w:t xml:space="preserve">suggested that this edition could also include </w:t>
      </w:r>
      <w:r w:rsidR="00853B27">
        <w:rPr>
          <w:rFonts w:eastAsia="Times New Roman"/>
        </w:rPr>
        <w:t>a section on the gaps and needs of the shelter sector</w:t>
      </w:r>
      <w:r w:rsidR="00CE118D">
        <w:rPr>
          <w:rFonts w:eastAsia="Times New Roman"/>
        </w:rPr>
        <w:t>; it was raised that this could be joined with the</w:t>
      </w:r>
      <w:r w:rsidR="0074412E">
        <w:rPr>
          <w:rFonts w:eastAsia="Times New Roman"/>
        </w:rPr>
        <w:t xml:space="preserve"> research </w:t>
      </w:r>
      <w:r w:rsidR="00CF29C7">
        <w:rPr>
          <w:rFonts w:eastAsia="Times New Roman"/>
        </w:rPr>
        <w:t>led by</w:t>
      </w:r>
      <w:r w:rsidR="0074412E">
        <w:rPr>
          <w:rFonts w:eastAsia="Times New Roman"/>
        </w:rPr>
        <w:t xml:space="preserve"> </w:t>
      </w:r>
      <w:proofErr w:type="spellStart"/>
      <w:r w:rsidR="0074412E">
        <w:rPr>
          <w:rFonts w:eastAsia="Times New Roman"/>
        </w:rPr>
        <w:t>Cendep</w:t>
      </w:r>
      <w:proofErr w:type="spellEnd"/>
      <w:r w:rsidR="0074412E">
        <w:rPr>
          <w:rFonts w:eastAsia="Times New Roman"/>
        </w:rPr>
        <w:t xml:space="preserve"> on </w:t>
      </w:r>
      <w:r w:rsidR="00CF29C7">
        <w:rPr>
          <w:rFonts w:eastAsia="Times New Roman"/>
        </w:rPr>
        <w:t>sector learning needs.</w:t>
      </w:r>
    </w:p>
    <w:p w14:paraId="6E9375ED" w14:textId="77777777" w:rsidR="00720DAB" w:rsidRPr="0031667F" w:rsidRDefault="00720DAB" w:rsidP="00DB6D37">
      <w:pPr>
        <w:spacing w:after="0"/>
        <w:rPr>
          <w:rFonts w:eastAsia="Times New Roman"/>
        </w:rPr>
      </w:pPr>
    </w:p>
    <w:p w14:paraId="7A7DADF3" w14:textId="5F05B3D4" w:rsid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>Translations</w:t>
      </w:r>
    </w:p>
    <w:p w14:paraId="0AB78E2D" w14:textId="268C1B77" w:rsidR="00DB6D37" w:rsidRDefault="0031667F" w:rsidP="00DB6D37">
      <w:pPr>
        <w:spacing w:after="0"/>
        <w:rPr>
          <w:rFonts w:eastAsia="Times New Roman"/>
        </w:rPr>
      </w:pPr>
      <w:r>
        <w:rPr>
          <w:rFonts w:eastAsia="Times New Roman"/>
        </w:rPr>
        <w:t xml:space="preserve">In 2018, </w:t>
      </w:r>
      <w:r w:rsidR="00937557">
        <w:rPr>
          <w:rFonts w:eastAsia="Times New Roman"/>
        </w:rPr>
        <w:t xml:space="preserve">IOM translated 13 case studies </w:t>
      </w:r>
      <w:r w:rsidR="008152D3">
        <w:rPr>
          <w:rFonts w:eastAsia="Times New Roman"/>
        </w:rPr>
        <w:t>(4 into French, 7 into Spanish and 2 into Arabic). These are now available in the formatted version and will be uploaded to the website. More translations can be done but will require funding or in-house capacity from partners.</w:t>
      </w:r>
      <w:r w:rsidR="00E35701">
        <w:rPr>
          <w:rFonts w:eastAsia="Times New Roman"/>
        </w:rPr>
        <w:t xml:space="preserve"> </w:t>
      </w:r>
      <w:r w:rsidR="00E35701" w:rsidRPr="00720DAB">
        <w:rPr>
          <w:rFonts w:eastAsia="Times New Roman"/>
          <w:b/>
          <w:bCs/>
        </w:rPr>
        <w:t>ACTION</w:t>
      </w:r>
      <w:r w:rsidR="00E35701">
        <w:rPr>
          <w:rFonts w:eastAsia="Times New Roman"/>
        </w:rPr>
        <w:t xml:space="preserve">: All to disseminate the translations </w:t>
      </w:r>
      <w:r w:rsidR="007D2FFC">
        <w:rPr>
          <w:rFonts w:eastAsia="Times New Roman"/>
        </w:rPr>
        <w:t>in their respective organizations for the regions/countries of interest.</w:t>
      </w:r>
    </w:p>
    <w:p w14:paraId="2552A07A" w14:textId="77777777" w:rsidR="0031667F" w:rsidRPr="00DB6D37" w:rsidRDefault="0031667F" w:rsidP="00DB6D37">
      <w:pPr>
        <w:spacing w:after="0"/>
        <w:rPr>
          <w:rFonts w:eastAsia="Times New Roman"/>
        </w:rPr>
      </w:pPr>
    </w:p>
    <w:p w14:paraId="42874EF2" w14:textId="3517A40D" w:rsidR="00DB6D37" w:rsidRDefault="00DB6D37" w:rsidP="00DB6D37">
      <w:pPr>
        <w:spacing w:after="0"/>
        <w:rPr>
          <w:rFonts w:eastAsia="Times New Roman"/>
          <w:b/>
          <w:bCs/>
        </w:rPr>
      </w:pPr>
      <w:r w:rsidRPr="00DB6D37">
        <w:rPr>
          <w:rFonts w:eastAsia="Times New Roman"/>
          <w:b/>
          <w:bCs/>
        </w:rPr>
        <w:t>Case study meta-analysis</w:t>
      </w:r>
    </w:p>
    <w:p w14:paraId="4B9F69ED" w14:textId="60E836D3" w:rsidR="00770A8C" w:rsidRDefault="00AF0E6D" w:rsidP="00DB6D37">
      <w:pPr>
        <w:spacing w:after="0"/>
        <w:rPr>
          <w:rFonts w:eastAsia="Times New Roman"/>
        </w:rPr>
      </w:pPr>
      <w:r>
        <w:rPr>
          <w:rFonts w:eastAsia="Times New Roman"/>
        </w:rPr>
        <w:t xml:space="preserve">Based on the </w:t>
      </w:r>
      <w:r w:rsidR="00FE4713">
        <w:rPr>
          <w:rFonts w:eastAsia="Times New Roman"/>
        </w:rPr>
        <w:t xml:space="preserve">methodology developed earlier this year by the working group, </w:t>
      </w:r>
      <w:r w:rsidR="00913C22">
        <w:rPr>
          <w:rFonts w:eastAsia="Times New Roman"/>
        </w:rPr>
        <w:t xml:space="preserve">IOM is proposing to take this work forward and apply the analysis to </w:t>
      </w:r>
      <w:r w:rsidR="0033797D">
        <w:rPr>
          <w:rFonts w:eastAsia="Times New Roman"/>
        </w:rPr>
        <w:t xml:space="preserve">all the case studies included in the publication since its first edition in 2008. </w:t>
      </w:r>
      <w:r w:rsidR="00887891" w:rsidRPr="006E31A8">
        <w:rPr>
          <w:rFonts w:eastAsia="Times New Roman"/>
          <w:b/>
          <w:bCs/>
        </w:rPr>
        <w:t>ACTION</w:t>
      </w:r>
      <w:r w:rsidR="00887891">
        <w:rPr>
          <w:rFonts w:eastAsia="Times New Roman"/>
        </w:rPr>
        <w:t xml:space="preserve">: </w:t>
      </w:r>
      <w:r w:rsidR="00617270">
        <w:rPr>
          <w:rFonts w:eastAsia="Times New Roman"/>
        </w:rPr>
        <w:t xml:space="preserve">IOM to revive the </w:t>
      </w:r>
      <w:r w:rsidR="00121ADA">
        <w:rPr>
          <w:rFonts w:eastAsia="Times New Roman"/>
        </w:rPr>
        <w:t xml:space="preserve">smaller </w:t>
      </w:r>
      <w:r w:rsidR="00617270">
        <w:rPr>
          <w:rFonts w:eastAsia="Times New Roman"/>
        </w:rPr>
        <w:t xml:space="preserve">working group </w:t>
      </w:r>
      <w:r w:rsidR="00121ADA">
        <w:rPr>
          <w:rFonts w:eastAsia="Times New Roman"/>
        </w:rPr>
        <w:t xml:space="preserve">focusing </w:t>
      </w:r>
      <w:r w:rsidR="00617270">
        <w:rPr>
          <w:rFonts w:eastAsia="Times New Roman"/>
        </w:rPr>
        <w:t>on this</w:t>
      </w:r>
      <w:r w:rsidR="00121ADA">
        <w:rPr>
          <w:rFonts w:eastAsia="Times New Roman"/>
        </w:rPr>
        <w:t xml:space="preserve">, and share a revised </w:t>
      </w:r>
      <w:r w:rsidR="006A4B95">
        <w:rPr>
          <w:rFonts w:eastAsia="Times New Roman"/>
        </w:rPr>
        <w:t xml:space="preserve">methodology for feedback. </w:t>
      </w:r>
      <w:r w:rsidR="00DF711B">
        <w:rPr>
          <w:rFonts w:eastAsia="Times New Roman"/>
        </w:rPr>
        <w:t>All to feed</w:t>
      </w:r>
      <w:r w:rsidR="006E31A8">
        <w:rPr>
          <w:rFonts w:eastAsia="Times New Roman"/>
        </w:rPr>
        <w:t xml:space="preserve"> </w:t>
      </w:r>
      <w:r w:rsidR="00DF711B">
        <w:rPr>
          <w:rFonts w:eastAsia="Times New Roman"/>
        </w:rPr>
        <w:t>back on the use an</w:t>
      </w:r>
      <w:r w:rsidR="00806434">
        <w:rPr>
          <w:rFonts w:eastAsia="Times New Roman"/>
        </w:rPr>
        <w:t>d audience for this.</w:t>
      </w:r>
    </w:p>
    <w:p w14:paraId="5B3394D0" w14:textId="2CD90B0A" w:rsidR="007D2FFC" w:rsidRDefault="007D2FFC" w:rsidP="00DB6D37">
      <w:pPr>
        <w:spacing w:after="0"/>
        <w:rPr>
          <w:rFonts w:eastAsia="Times New Roman"/>
        </w:rPr>
      </w:pPr>
    </w:p>
    <w:p w14:paraId="1D894A63" w14:textId="19A4C637" w:rsidR="00DC3BC5" w:rsidRPr="008C2891" w:rsidRDefault="00DC3BC5" w:rsidP="00DB6D37">
      <w:pPr>
        <w:spacing w:after="0"/>
        <w:rPr>
          <w:rFonts w:eastAsia="Times New Roman"/>
          <w:b/>
          <w:bCs/>
        </w:rPr>
      </w:pPr>
      <w:r w:rsidRPr="008C2891">
        <w:rPr>
          <w:rFonts w:eastAsia="Times New Roman"/>
          <w:b/>
          <w:bCs/>
        </w:rPr>
        <w:t>AOB</w:t>
      </w:r>
    </w:p>
    <w:p w14:paraId="6154F422" w14:textId="7865A0F4" w:rsidR="00281234" w:rsidRDefault="00281234" w:rsidP="00281234">
      <w:pPr>
        <w:pStyle w:val="ListParagraph"/>
        <w:numPr>
          <w:ilvl w:val="0"/>
          <w:numId w:val="3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David/UN-Habitat suggested to include </w:t>
      </w:r>
      <w:r w:rsidR="008003AE">
        <w:rPr>
          <w:rFonts w:eastAsia="Times New Roman"/>
        </w:rPr>
        <w:t xml:space="preserve">more focus on durable solutions / humanitarian-development nexus in the introduction of the upcoming edition (and potentially </w:t>
      </w:r>
      <w:r w:rsidR="009E6EF1">
        <w:rPr>
          <w:rFonts w:eastAsia="Times New Roman"/>
        </w:rPr>
        <w:t>in the lite edition)</w:t>
      </w:r>
      <w:r w:rsidR="001D4313">
        <w:rPr>
          <w:rFonts w:eastAsia="Times New Roman"/>
        </w:rPr>
        <w:t>.</w:t>
      </w:r>
    </w:p>
    <w:p w14:paraId="6DDCA860" w14:textId="691EC44F" w:rsidR="008C2891" w:rsidRPr="00281234" w:rsidRDefault="00265F76" w:rsidP="00281234">
      <w:pPr>
        <w:pStyle w:val="ListParagraph"/>
        <w:numPr>
          <w:ilvl w:val="0"/>
          <w:numId w:val="37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More broadly and as mentioned above, 2020 provides opportunities to look back at the work of the humanitarian shelter sector and what </w:t>
      </w:r>
      <w:r w:rsidR="00C6370D">
        <w:rPr>
          <w:rFonts w:eastAsia="Times New Roman"/>
        </w:rPr>
        <w:t xml:space="preserve">can be learned from the past 15 years, from large-scale responses such as the Asian Tsunami of December 2004, the Pakistan earthquake </w:t>
      </w:r>
      <w:r w:rsidR="00895C79">
        <w:rPr>
          <w:rFonts w:eastAsia="Times New Roman"/>
        </w:rPr>
        <w:t>of 2005, the</w:t>
      </w:r>
      <w:r w:rsidR="00C6370D">
        <w:rPr>
          <w:rFonts w:eastAsia="Times New Roman"/>
        </w:rPr>
        <w:t xml:space="preserve"> Haiti ear</w:t>
      </w:r>
      <w:r w:rsidR="00895C79">
        <w:rPr>
          <w:rFonts w:eastAsia="Times New Roman"/>
        </w:rPr>
        <w:t>thquake of 2010</w:t>
      </w:r>
      <w:r w:rsidR="00EA62BB">
        <w:rPr>
          <w:rFonts w:eastAsia="Times New Roman"/>
        </w:rPr>
        <w:t xml:space="preserve"> and </w:t>
      </w:r>
      <w:r w:rsidR="0020342D">
        <w:rPr>
          <w:rFonts w:eastAsia="Times New Roman"/>
        </w:rPr>
        <w:t>the Nepal 2015 earthquakes, amongst others.</w:t>
      </w:r>
    </w:p>
    <w:p w14:paraId="3C8DB190" w14:textId="77777777" w:rsidR="00DB6D37" w:rsidRPr="002B47FB" w:rsidRDefault="00DB6D37" w:rsidP="00DB6D37">
      <w:pPr>
        <w:spacing w:after="0"/>
        <w:rPr>
          <w:lang w:val="en-US"/>
        </w:rPr>
      </w:pPr>
    </w:p>
    <w:p w14:paraId="49B73C89" w14:textId="24082F86" w:rsidR="00026417" w:rsidRPr="00983D0E" w:rsidRDefault="008771D6" w:rsidP="00C33B35">
      <w:pPr>
        <w:spacing w:after="0" w:line="240" w:lineRule="auto"/>
        <w:jc w:val="center"/>
      </w:pPr>
      <w:r w:rsidRPr="003329A4">
        <w:rPr>
          <w:b/>
          <w:i/>
          <w:lang w:eastAsia="en-GB"/>
        </w:rPr>
        <w:t xml:space="preserve">Next meeting to be held </w:t>
      </w:r>
      <w:r w:rsidR="0008076D" w:rsidRPr="003329A4">
        <w:rPr>
          <w:b/>
          <w:i/>
          <w:lang w:eastAsia="en-GB"/>
        </w:rPr>
        <w:t xml:space="preserve">in </w:t>
      </w:r>
      <w:r w:rsidR="00DB6D37" w:rsidRPr="003329A4">
        <w:rPr>
          <w:b/>
          <w:i/>
          <w:lang w:eastAsia="en-GB"/>
        </w:rPr>
        <w:t>December</w:t>
      </w:r>
      <w:r w:rsidR="006C3A3C" w:rsidRPr="003329A4">
        <w:rPr>
          <w:b/>
          <w:i/>
          <w:lang w:eastAsia="en-GB"/>
        </w:rPr>
        <w:t xml:space="preserve"> </w:t>
      </w:r>
      <w:r w:rsidRPr="003329A4">
        <w:rPr>
          <w:b/>
          <w:i/>
          <w:lang w:eastAsia="en-GB"/>
        </w:rPr>
        <w:t>(</w:t>
      </w:r>
      <w:r w:rsidR="00F86C18" w:rsidRPr="003329A4">
        <w:rPr>
          <w:b/>
          <w:i/>
          <w:lang w:eastAsia="en-GB"/>
        </w:rPr>
        <w:t>in person</w:t>
      </w:r>
      <w:r w:rsidR="006F6484">
        <w:rPr>
          <w:b/>
          <w:i/>
          <w:lang w:eastAsia="en-GB"/>
        </w:rPr>
        <w:t xml:space="preserve"> in Geneva</w:t>
      </w:r>
      <w:r w:rsidR="00F86C18" w:rsidRPr="003329A4">
        <w:rPr>
          <w:b/>
          <w:i/>
          <w:lang w:eastAsia="en-GB"/>
        </w:rPr>
        <w:t xml:space="preserve"> on 2 December, or </w:t>
      </w:r>
      <w:r w:rsidR="003329A4" w:rsidRPr="003329A4">
        <w:rPr>
          <w:b/>
          <w:i/>
          <w:lang w:eastAsia="en-GB"/>
        </w:rPr>
        <w:t xml:space="preserve">dial-in / </w:t>
      </w:r>
      <w:r w:rsidR="006C3A3C" w:rsidRPr="003329A4">
        <w:rPr>
          <w:b/>
          <w:i/>
          <w:lang w:eastAsia="en-GB"/>
        </w:rPr>
        <w:t>date TBC</w:t>
      </w:r>
      <w:r w:rsidRPr="003329A4">
        <w:rPr>
          <w:b/>
          <w:i/>
          <w:lang w:eastAsia="en-GB"/>
        </w:rPr>
        <w:t>).</w:t>
      </w:r>
    </w:p>
    <w:sectPr w:rsidR="00026417" w:rsidRPr="00983D0E" w:rsidSect="00F2687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C6BA" w14:textId="77777777" w:rsidR="00C45B4D" w:rsidRDefault="00C45B4D" w:rsidP="0032379A">
      <w:pPr>
        <w:spacing w:after="0" w:line="240" w:lineRule="auto"/>
      </w:pPr>
      <w:r>
        <w:separator/>
      </w:r>
    </w:p>
  </w:endnote>
  <w:endnote w:type="continuationSeparator" w:id="0">
    <w:p w14:paraId="15BA86B7" w14:textId="77777777" w:rsidR="00C45B4D" w:rsidRDefault="00C45B4D" w:rsidP="0032379A">
      <w:pPr>
        <w:spacing w:after="0" w:line="240" w:lineRule="auto"/>
      </w:pPr>
      <w:r>
        <w:continuationSeparator/>
      </w:r>
    </w:p>
  </w:endnote>
  <w:endnote w:type="continuationNotice" w:id="1">
    <w:p w14:paraId="2E918137" w14:textId="77777777" w:rsidR="00C45B4D" w:rsidRDefault="00C45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6BE7CA82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8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7B713" w14:textId="77777777" w:rsidR="00C45B4D" w:rsidRDefault="00C45B4D" w:rsidP="0032379A">
      <w:pPr>
        <w:spacing w:after="0" w:line="240" w:lineRule="auto"/>
      </w:pPr>
      <w:r>
        <w:separator/>
      </w:r>
    </w:p>
  </w:footnote>
  <w:footnote w:type="continuationSeparator" w:id="0">
    <w:p w14:paraId="292BE50C" w14:textId="77777777" w:rsidR="00C45B4D" w:rsidRDefault="00C45B4D" w:rsidP="0032379A">
      <w:pPr>
        <w:spacing w:after="0" w:line="240" w:lineRule="auto"/>
      </w:pPr>
      <w:r>
        <w:continuationSeparator/>
      </w:r>
    </w:p>
  </w:footnote>
  <w:footnote w:type="continuationNotice" w:id="1">
    <w:p w14:paraId="2FDDD05E" w14:textId="77777777" w:rsidR="00C45B4D" w:rsidRDefault="00C45B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2FD6C" w14:textId="77777777" w:rsidR="00954FE1" w:rsidRDefault="00954FE1" w:rsidP="0058748F">
    <w:pPr>
      <w:pStyle w:val="Header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63A859E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58748F">
    <w:pPr>
      <w:pStyle w:val="Header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58748F">
    <w:pPr>
      <w:pStyle w:val="Header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3B7C731E" w14:textId="3440C435" w:rsidR="00923C40" w:rsidRDefault="00923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B4C"/>
    <w:multiLevelType w:val="hybridMultilevel"/>
    <w:tmpl w:val="D6B0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247F"/>
    <w:multiLevelType w:val="hybridMultilevel"/>
    <w:tmpl w:val="EC4CDA28"/>
    <w:lvl w:ilvl="0" w:tplc="8BEC44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4FA5"/>
    <w:multiLevelType w:val="hybridMultilevel"/>
    <w:tmpl w:val="863A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458B2"/>
    <w:multiLevelType w:val="hybridMultilevel"/>
    <w:tmpl w:val="49023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2653"/>
    <w:multiLevelType w:val="hybridMultilevel"/>
    <w:tmpl w:val="F9B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9591B"/>
    <w:multiLevelType w:val="hybridMultilevel"/>
    <w:tmpl w:val="E5847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767B7"/>
    <w:multiLevelType w:val="hybridMultilevel"/>
    <w:tmpl w:val="0302CD90"/>
    <w:lvl w:ilvl="0" w:tplc="0E32EA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F154B"/>
    <w:multiLevelType w:val="hybridMultilevel"/>
    <w:tmpl w:val="1E34FE78"/>
    <w:lvl w:ilvl="0" w:tplc="506004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43A63"/>
    <w:multiLevelType w:val="hybridMultilevel"/>
    <w:tmpl w:val="FFC02CE4"/>
    <w:lvl w:ilvl="0" w:tplc="35B4C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5A7BCB"/>
    <w:multiLevelType w:val="hybridMultilevel"/>
    <w:tmpl w:val="5664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28"/>
  </w:num>
  <w:num w:numId="5">
    <w:abstractNumId w:val="1"/>
  </w:num>
  <w:num w:numId="6">
    <w:abstractNumId w:val="33"/>
  </w:num>
  <w:num w:numId="7">
    <w:abstractNumId w:val="27"/>
  </w:num>
  <w:num w:numId="8">
    <w:abstractNumId w:val="30"/>
  </w:num>
  <w:num w:numId="9">
    <w:abstractNumId w:val="5"/>
  </w:num>
  <w:num w:numId="10">
    <w:abstractNumId w:val="4"/>
  </w:num>
  <w:num w:numId="11">
    <w:abstractNumId w:val="23"/>
  </w:num>
  <w:num w:numId="12">
    <w:abstractNumId w:val="12"/>
  </w:num>
  <w:num w:numId="13">
    <w:abstractNumId w:val="22"/>
  </w:num>
  <w:num w:numId="14">
    <w:abstractNumId w:val="16"/>
  </w:num>
  <w:num w:numId="15">
    <w:abstractNumId w:val="11"/>
  </w:num>
  <w:num w:numId="16">
    <w:abstractNumId w:val="24"/>
  </w:num>
  <w:num w:numId="17">
    <w:abstractNumId w:val="20"/>
  </w:num>
  <w:num w:numId="18">
    <w:abstractNumId w:val="29"/>
  </w:num>
  <w:num w:numId="19">
    <w:abstractNumId w:val="13"/>
  </w:num>
  <w:num w:numId="20">
    <w:abstractNumId w:val="25"/>
  </w:num>
  <w:num w:numId="21">
    <w:abstractNumId w:val="19"/>
  </w:num>
  <w:num w:numId="22">
    <w:abstractNumId w:val="26"/>
  </w:num>
  <w:num w:numId="23">
    <w:abstractNumId w:val="32"/>
  </w:num>
  <w:num w:numId="24">
    <w:abstractNumId w:val="8"/>
  </w:num>
  <w:num w:numId="25">
    <w:abstractNumId w:val="14"/>
  </w:num>
  <w:num w:numId="26">
    <w:abstractNumId w:val="17"/>
  </w:num>
  <w:num w:numId="27">
    <w:abstractNumId w:val="15"/>
  </w:num>
  <w:num w:numId="28">
    <w:abstractNumId w:val="1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6"/>
  </w:num>
  <w:num w:numId="35">
    <w:abstractNumId w:val="0"/>
  </w:num>
  <w:num w:numId="36">
    <w:abstractNumId w:val="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B5"/>
    <w:rsid w:val="00004D7B"/>
    <w:rsid w:val="000051E8"/>
    <w:rsid w:val="000065D2"/>
    <w:rsid w:val="000110AC"/>
    <w:rsid w:val="0001293E"/>
    <w:rsid w:val="00015443"/>
    <w:rsid w:val="0001581F"/>
    <w:rsid w:val="00015DC5"/>
    <w:rsid w:val="00022932"/>
    <w:rsid w:val="00022F2C"/>
    <w:rsid w:val="00023B48"/>
    <w:rsid w:val="00026417"/>
    <w:rsid w:val="00026C04"/>
    <w:rsid w:val="0003205B"/>
    <w:rsid w:val="00034AD1"/>
    <w:rsid w:val="00041BA9"/>
    <w:rsid w:val="00044649"/>
    <w:rsid w:val="00054679"/>
    <w:rsid w:val="00057001"/>
    <w:rsid w:val="000662C0"/>
    <w:rsid w:val="000702C5"/>
    <w:rsid w:val="00074A69"/>
    <w:rsid w:val="000759D7"/>
    <w:rsid w:val="000771A1"/>
    <w:rsid w:val="0008076D"/>
    <w:rsid w:val="00081DFB"/>
    <w:rsid w:val="00082852"/>
    <w:rsid w:val="0009014F"/>
    <w:rsid w:val="000914DA"/>
    <w:rsid w:val="0009528C"/>
    <w:rsid w:val="000960E3"/>
    <w:rsid w:val="0009642B"/>
    <w:rsid w:val="000A1129"/>
    <w:rsid w:val="000A52DB"/>
    <w:rsid w:val="000B1B31"/>
    <w:rsid w:val="000B281A"/>
    <w:rsid w:val="000B28DC"/>
    <w:rsid w:val="000B32CF"/>
    <w:rsid w:val="000B6149"/>
    <w:rsid w:val="000C1D43"/>
    <w:rsid w:val="000C74DF"/>
    <w:rsid w:val="000D6E3B"/>
    <w:rsid w:val="000D763F"/>
    <w:rsid w:val="000E37B0"/>
    <w:rsid w:val="000E3807"/>
    <w:rsid w:val="000E5DFC"/>
    <w:rsid w:val="000E6B11"/>
    <w:rsid w:val="000F295F"/>
    <w:rsid w:val="000F571B"/>
    <w:rsid w:val="00100653"/>
    <w:rsid w:val="00101FB8"/>
    <w:rsid w:val="00111809"/>
    <w:rsid w:val="0011217D"/>
    <w:rsid w:val="001165F9"/>
    <w:rsid w:val="00121ADA"/>
    <w:rsid w:val="001248DC"/>
    <w:rsid w:val="00125DB5"/>
    <w:rsid w:val="0013046F"/>
    <w:rsid w:val="001325BB"/>
    <w:rsid w:val="00133518"/>
    <w:rsid w:val="00133BD3"/>
    <w:rsid w:val="00133D73"/>
    <w:rsid w:val="0014095C"/>
    <w:rsid w:val="00140ABF"/>
    <w:rsid w:val="00142FDD"/>
    <w:rsid w:val="0014622A"/>
    <w:rsid w:val="001463DF"/>
    <w:rsid w:val="00150C67"/>
    <w:rsid w:val="00152192"/>
    <w:rsid w:val="00153A14"/>
    <w:rsid w:val="00160E9A"/>
    <w:rsid w:val="001619AD"/>
    <w:rsid w:val="001659EC"/>
    <w:rsid w:val="00166A6D"/>
    <w:rsid w:val="00172BD0"/>
    <w:rsid w:val="001738E9"/>
    <w:rsid w:val="00180140"/>
    <w:rsid w:val="001801A8"/>
    <w:rsid w:val="001811E1"/>
    <w:rsid w:val="00183B30"/>
    <w:rsid w:val="00191146"/>
    <w:rsid w:val="00195A90"/>
    <w:rsid w:val="00197771"/>
    <w:rsid w:val="001A07CC"/>
    <w:rsid w:val="001A7966"/>
    <w:rsid w:val="001B0439"/>
    <w:rsid w:val="001B0BC8"/>
    <w:rsid w:val="001B1A42"/>
    <w:rsid w:val="001B69BF"/>
    <w:rsid w:val="001C6D4B"/>
    <w:rsid w:val="001C730B"/>
    <w:rsid w:val="001D1F66"/>
    <w:rsid w:val="001D4313"/>
    <w:rsid w:val="001D56D1"/>
    <w:rsid w:val="001D6B81"/>
    <w:rsid w:val="001E15AE"/>
    <w:rsid w:val="001E7DFA"/>
    <w:rsid w:val="001F1CD0"/>
    <w:rsid w:val="001F33E3"/>
    <w:rsid w:val="002023DE"/>
    <w:rsid w:val="0020342D"/>
    <w:rsid w:val="00205E1B"/>
    <w:rsid w:val="0021208A"/>
    <w:rsid w:val="0021426E"/>
    <w:rsid w:val="002152AC"/>
    <w:rsid w:val="002157A9"/>
    <w:rsid w:val="00215E96"/>
    <w:rsid w:val="00217169"/>
    <w:rsid w:val="002211DF"/>
    <w:rsid w:val="00223616"/>
    <w:rsid w:val="0022420A"/>
    <w:rsid w:val="00225296"/>
    <w:rsid w:val="00232AE5"/>
    <w:rsid w:val="00233103"/>
    <w:rsid w:val="002358C3"/>
    <w:rsid w:val="00237B79"/>
    <w:rsid w:val="00237EB3"/>
    <w:rsid w:val="0024063B"/>
    <w:rsid w:val="002426EF"/>
    <w:rsid w:val="00265F76"/>
    <w:rsid w:val="002673D5"/>
    <w:rsid w:val="00273C76"/>
    <w:rsid w:val="00273D31"/>
    <w:rsid w:val="00273F24"/>
    <w:rsid w:val="00281234"/>
    <w:rsid w:val="00282799"/>
    <w:rsid w:val="0028357C"/>
    <w:rsid w:val="002901F5"/>
    <w:rsid w:val="00292D61"/>
    <w:rsid w:val="002A12C2"/>
    <w:rsid w:val="002A4CEB"/>
    <w:rsid w:val="002A5550"/>
    <w:rsid w:val="002B1EA9"/>
    <w:rsid w:val="002B34E6"/>
    <w:rsid w:val="002B47FB"/>
    <w:rsid w:val="002B60B2"/>
    <w:rsid w:val="002B65C5"/>
    <w:rsid w:val="002B7045"/>
    <w:rsid w:val="002B7847"/>
    <w:rsid w:val="002C252A"/>
    <w:rsid w:val="002C3B17"/>
    <w:rsid w:val="002D1408"/>
    <w:rsid w:val="002E0447"/>
    <w:rsid w:val="002E1FEB"/>
    <w:rsid w:val="002F0F85"/>
    <w:rsid w:val="002F2BA2"/>
    <w:rsid w:val="002F2BCD"/>
    <w:rsid w:val="002F2D96"/>
    <w:rsid w:val="002F3F0A"/>
    <w:rsid w:val="002F5301"/>
    <w:rsid w:val="002F5997"/>
    <w:rsid w:val="002F6B39"/>
    <w:rsid w:val="00303AEB"/>
    <w:rsid w:val="00304DC4"/>
    <w:rsid w:val="00306C01"/>
    <w:rsid w:val="00310293"/>
    <w:rsid w:val="00316277"/>
    <w:rsid w:val="0031667F"/>
    <w:rsid w:val="003234F0"/>
    <w:rsid w:val="0032379A"/>
    <w:rsid w:val="00324366"/>
    <w:rsid w:val="003315AA"/>
    <w:rsid w:val="003329A4"/>
    <w:rsid w:val="003359AA"/>
    <w:rsid w:val="0033797D"/>
    <w:rsid w:val="003426A7"/>
    <w:rsid w:val="00344B1A"/>
    <w:rsid w:val="00345A6D"/>
    <w:rsid w:val="00345E26"/>
    <w:rsid w:val="00350C34"/>
    <w:rsid w:val="00353522"/>
    <w:rsid w:val="00354AED"/>
    <w:rsid w:val="0035770A"/>
    <w:rsid w:val="00361272"/>
    <w:rsid w:val="00361C35"/>
    <w:rsid w:val="00362F66"/>
    <w:rsid w:val="0036501B"/>
    <w:rsid w:val="003703C6"/>
    <w:rsid w:val="00371142"/>
    <w:rsid w:val="00380737"/>
    <w:rsid w:val="003818D0"/>
    <w:rsid w:val="00385684"/>
    <w:rsid w:val="003866D2"/>
    <w:rsid w:val="0038766F"/>
    <w:rsid w:val="00391889"/>
    <w:rsid w:val="00392EBB"/>
    <w:rsid w:val="00394DC2"/>
    <w:rsid w:val="00395EE3"/>
    <w:rsid w:val="003A0487"/>
    <w:rsid w:val="003A1607"/>
    <w:rsid w:val="003A2A46"/>
    <w:rsid w:val="003A2C74"/>
    <w:rsid w:val="003A5A3D"/>
    <w:rsid w:val="003A6730"/>
    <w:rsid w:val="003B2710"/>
    <w:rsid w:val="003B4774"/>
    <w:rsid w:val="003B71C2"/>
    <w:rsid w:val="003C0BEC"/>
    <w:rsid w:val="003C15BB"/>
    <w:rsid w:val="003C3861"/>
    <w:rsid w:val="003C3C1E"/>
    <w:rsid w:val="003C487B"/>
    <w:rsid w:val="003C5449"/>
    <w:rsid w:val="003D0A67"/>
    <w:rsid w:val="003D102E"/>
    <w:rsid w:val="003D229C"/>
    <w:rsid w:val="003D3485"/>
    <w:rsid w:val="003D5BC6"/>
    <w:rsid w:val="003D73B3"/>
    <w:rsid w:val="003E1EA6"/>
    <w:rsid w:val="003E24BF"/>
    <w:rsid w:val="003E47FA"/>
    <w:rsid w:val="003F161C"/>
    <w:rsid w:val="0040505F"/>
    <w:rsid w:val="00411327"/>
    <w:rsid w:val="00412125"/>
    <w:rsid w:val="00413D28"/>
    <w:rsid w:val="00415BD7"/>
    <w:rsid w:val="00420861"/>
    <w:rsid w:val="00423E90"/>
    <w:rsid w:val="00424D90"/>
    <w:rsid w:val="00431D49"/>
    <w:rsid w:val="00434002"/>
    <w:rsid w:val="00435579"/>
    <w:rsid w:val="00443090"/>
    <w:rsid w:val="0044373A"/>
    <w:rsid w:val="00443A1C"/>
    <w:rsid w:val="00446146"/>
    <w:rsid w:val="00454163"/>
    <w:rsid w:val="00455704"/>
    <w:rsid w:val="00457BA8"/>
    <w:rsid w:val="0046618A"/>
    <w:rsid w:val="00467AF6"/>
    <w:rsid w:val="004723B0"/>
    <w:rsid w:val="004735C8"/>
    <w:rsid w:val="004753E8"/>
    <w:rsid w:val="00477777"/>
    <w:rsid w:val="004816A9"/>
    <w:rsid w:val="00486525"/>
    <w:rsid w:val="004867DD"/>
    <w:rsid w:val="00492FEB"/>
    <w:rsid w:val="00496B44"/>
    <w:rsid w:val="004A220E"/>
    <w:rsid w:val="004A4A70"/>
    <w:rsid w:val="004A74A0"/>
    <w:rsid w:val="004B01D6"/>
    <w:rsid w:val="004B0A0B"/>
    <w:rsid w:val="004B3E92"/>
    <w:rsid w:val="004B47D8"/>
    <w:rsid w:val="004C4892"/>
    <w:rsid w:val="004C607F"/>
    <w:rsid w:val="004D1AF7"/>
    <w:rsid w:val="004D2053"/>
    <w:rsid w:val="004D5A12"/>
    <w:rsid w:val="004E2274"/>
    <w:rsid w:val="004E2361"/>
    <w:rsid w:val="004E2E22"/>
    <w:rsid w:val="004E3CF9"/>
    <w:rsid w:val="004F0CA9"/>
    <w:rsid w:val="004F2542"/>
    <w:rsid w:val="005022A4"/>
    <w:rsid w:val="00504BCF"/>
    <w:rsid w:val="0050572F"/>
    <w:rsid w:val="00506955"/>
    <w:rsid w:val="00506F62"/>
    <w:rsid w:val="005122A5"/>
    <w:rsid w:val="005135FC"/>
    <w:rsid w:val="0051425E"/>
    <w:rsid w:val="00517631"/>
    <w:rsid w:val="00520B8A"/>
    <w:rsid w:val="00521828"/>
    <w:rsid w:val="00540B16"/>
    <w:rsid w:val="00543B19"/>
    <w:rsid w:val="00544DF7"/>
    <w:rsid w:val="00550D92"/>
    <w:rsid w:val="005541CB"/>
    <w:rsid w:val="00554DC4"/>
    <w:rsid w:val="00561050"/>
    <w:rsid w:val="00563E2A"/>
    <w:rsid w:val="00567277"/>
    <w:rsid w:val="005704F2"/>
    <w:rsid w:val="0057095F"/>
    <w:rsid w:val="00571F7F"/>
    <w:rsid w:val="005735B0"/>
    <w:rsid w:val="00574423"/>
    <w:rsid w:val="00576EF9"/>
    <w:rsid w:val="00580417"/>
    <w:rsid w:val="00582091"/>
    <w:rsid w:val="00584BA3"/>
    <w:rsid w:val="0058631B"/>
    <w:rsid w:val="00586C2F"/>
    <w:rsid w:val="0058748F"/>
    <w:rsid w:val="00590946"/>
    <w:rsid w:val="005921FE"/>
    <w:rsid w:val="00592ADF"/>
    <w:rsid w:val="00594D9E"/>
    <w:rsid w:val="005965CE"/>
    <w:rsid w:val="005A1E30"/>
    <w:rsid w:val="005A23EA"/>
    <w:rsid w:val="005A2DA5"/>
    <w:rsid w:val="005A49C9"/>
    <w:rsid w:val="005B01F6"/>
    <w:rsid w:val="005B2183"/>
    <w:rsid w:val="005B2E05"/>
    <w:rsid w:val="005B63E3"/>
    <w:rsid w:val="005B7DFF"/>
    <w:rsid w:val="005D23E5"/>
    <w:rsid w:val="005D28E5"/>
    <w:rsid w:val="005D3418"/>
    <w:rsid w:val="005E2E8C"/>
    <w:rsid w:val="005F5DC2"/>
    <w:rsid w:val="0060092A"/>
    <w:rsid w:val="00606F0D"/>
    <w:rsid w:val="00617270"/>
    <w:rsid w:val="00620FF0"/>
    <w:rsid w:val="006228F8"/>
    <w:rsid w:val="006273D3"/>
    <w:rsid w:val="006335E2"/>
    <w:rsid w:val="00633716"/>
    <w:rsid w:val="00641DD8"/>
    <w:rsid w:val="006433B6"/>
    <w:rsid w:val="006512AE"/>
    <w:rsid w:val="00652CC0"/>
    <w:rsid w:val="00660644"/>
    <w:rsid w:val="006616BF"/>
    <w:rsid w:val="00662E86"/>
    <w:rsid w:val="00662E8D"/>
    <w:rsid w:val="00671461"/>
    <w:rsid w:val="0067253F"/>
    <w:rsid w:val="00673686"/>
    <w:rsid w:val="00680132"/>
    <w:rsid w:val="00681AC6"/>
    <w:rsid w:val="00681BBD"/>
    <w:rsid w:val="0068278B"/>
    <w:rsid w:val="00683B91"/>
    <w:rsid w:val="00684FFA"/>
    <w:rsid w:val="0068730A"/>
    <w:rsid w:val="0069145A"/>
    <w:rsid w:val="00691488"/>
    <w:rsid w:val="00691898"/>
    <w:rsid w:val="00693B76"/>
    <w:rsid w:val="00694587"/>
    <w:rsid w:val="0069587E"/>
    <w:rsid w:val="006961C4"/>
    <w:rsid w:val="006A2D04"/>
    <w:rsid w:val="006A44B5"/>
    <w:rsid w:val="006A4B95"/>
    <w:rsid w:val="006B31B2"/>
    <w:rsid w:val="006B40A6"/>
    <w:rsid w:val="006B6A21"/>
    <w:rsid w:val="006B7C4E"/>
    <w:rsid w:val="006C3522"/>
    <w:rsid w:val="006C3A3C"/>
    <w:rsid w:val="006C3E34"/>
    <w:rsid w:val="006C4722"/>
    <w:rsid w:val="006C70EB"/>
    <w:rsid w:val="006D0109"/>
    <w:rsid w:val="006D0D3D"/>
    <w:rsid w:val="006D3F41"/>
    <w:rsid w:val="006E31A8"/>
    <w:rsid w:val="006E6D4F"/>
    <w:rsid w:val="006F3D8F"/>
    <w:rsid w:val="006F6484"/>
    <w:rsid w:val="006F7EF6"/>
    <w:rsid w:val="00711106"/>
    <w:rsid w:val="007117B9"/>
    <w:rsid w:val="00711B71"/>
    <w:rsid w:val="00712CCE"/>
    <w:rsid w:val="00717601"/>
    <w:rsid w:val="00720DAB"/>
    <w:rsid w:val="00722333"/>
    <w:rsid w:val="00725DB3"/>
    <w:rsid w:val="007260C6"/>
    <w:rsid w:val="00726C11"/>
    <w:rsid w:val="00733D0B"/>
    <w:rsid w:val="007348A7"/>
    <w:rsid w:val="00740DFC"/>
    <w:rsid w:val="00741045"/>
    <w:rsid w:val="0074412E"/>
    <w:rsid w:val="00747590"/>
    <w:rsid w:val="00750A64"/>
    <w:rsid w:val="007550DF"/>
    <w:rsid w:val="007602D9"/>
    <w:rsid w:val="00761A6F"/>
    <w:rsid w:val="00763AFB"/>
    <w:rsid w:val="00766BBC"/>
    <w:rsid w:val="00767BB2"/>
    <w:rsid w:val="00770A8C"/>
    <w:rsid w:val="00771924"/>
    <w:rsid w:val="00772BD0"/>
    <w:rsid w:val="00774041"/>
    <w:rsid w:val="0077467A"/>
    <w:rsid w:val="00777CC1"/>
    <w:rsid w:val="007833F7"/>
    <w:rsid w:val="007908E7"/>
    <w:rsid w:val="007916CE"/>
    <w:rsid w:val="00792A51"/>
    <w:rsid w:val="00794C01"/>
    <w:rsid w:val="00794D02"/>
    <w:rsid w:val="00794E43"/>
    <w:rsid w:val="007A57AF"/>
    <w:rsid w:val="007A59E1"/>
    <w:rsid w:val="007B3C31"/>
    <w:rsid w:val="007C2242"/>
    <w:rsid w:val="007C2A29"/>
    <w:rsid w:val="007C7133"/>
    <w:rsid w:val="007D01CE"/>
    <w:rsid w:val="007D2FFC"/>
    <w:rsid w:val="007D555B"/>
    <w:rsid w:val="007E414E"/>
    <w:rsid w:val="007E4345"/>
    <w:rsid w:val="007F38D7"/>
    <w:rsid w:val="007F3F6A"/>
    <w:rsid w:val="007F673F"/>
    <w:rsid w:val="008003AE"/>
    <w:rsid w:val="008006EE"/>
    <w:rsid w:val="0080234C"/>
    <w:rsid w:val="00805AA1"/>
    <w:rsid w:val="00806434"/>
    <w:rsid w:val="00807873"/>
    <w:rsid w:val="008106AB"/>
    <w:rsid w:val="008106F2"/>
    <w:rsid w:val="00812101"/>
    <w:rsid w:val="008152D3"/>
    <w:rsid w:val="00822169"/>
    <w:rsid w:val="0082344C"/>
    <w:rsid w:val="00825832"/>
    <w:rsid w:val="0083160A"/>
    <w:rsid w:val="00834B37"/>
    <w:rsid w:val="00840CC3"/>
    <w:rsid w:val="00841355"/>
    <w:rsid w:val="008433F9"/>
    <w:rsid w:val="00844C9D"/>
    <w:rsid w:val="00845C9A"/>
    <w:rsid w:val="008476FB"/>
    <w:rsid w:val="00853B27"/>
    <w:rsid w:val="00860021"/>
    <w:rsid w:val="008601C3"/>
    <w:rsid w:val="00862AEB"/>
    <w:rsid w:val="0086493A"/>
    <w:rsid w:val="00871116"/>
    <w:rsid w:val="0087399F"/>
    <w:rsid w:val="008771D6"/>
    <w:rsid w:val="00877A9F"/>
    <w:rsid w:val="008801D8"/>
    <w:rsid w:val="00880A61"/>
    <w:rsid w:val="00881534"/>
    <w:rsid w:val="008823FD"/>
    <w:rsid w:val="00885DB3"/>
    <w:rsid w:val="00887891"/>
    <w:rsid w:val="00893239"/>
    <w:rsid w:val="00895C79"/>
    <w:rsid w:val="008A0D1E"/>
    <w:rsid w:val="008A1426"/>
    <w:rsid w:val="008A7C68"/>
    <w:rsid w:val="008B32B2"/>
    <w:rsid w:val="008C16E4"/>
    <w:rsid w:val="008C2643"/>
    <w:rsid w:val="008C2891"/>
    <w:rsid w:val="008C2F14"/>
    <w:rsid w:val="008C47C2"/>
    <w:rsid w:val="008C5479"/>
    <w:rsid w:val="008D0A5E"/>
    <w:rsid w:val="008D2E4E"/>
    <w:rsid w:val="008E0B09"/>
    <w:rsid w:val="008E0F33"/>
    <w:rsid w:val="008E1041"/>
    <w:rsid w:val="008E473F"/>
    <w:rsid w:val="008E573D"/>
    <w:rsid w:val="008E577E"/>
    <w:rsid w:val="008E67A2"/>
    <w:rsid w:val="008F0421"/>
    <w:rsid w:val="008F5E5B"/>
    <w:rsid w:val="009012E0"/>
    <w:rsid w:val="00901F1B"/>
    <w:rsid w:val="009028F1"/>
    <w:rsid w:val="009047B4"/>
    <w:rsid w:val="009070D8"/>
    <w:rsid w:val="00913C22"/>
    <w:rsid w:val="009153A2"/>
    <w:rsid w:val="0091690D"/>
    <w:rsid w:val="00917098"/>
    <w:rsid w:val="00917DA8"/>
    <w:rsid w:val="00920AAE"/>
    <w:rsid w:val="00923404"/>
    <w:rsid w:val="00923C40"/>
    <w:rsid w:val="00931B99"/>
    <w:rsid w:val="00935E31"/>
    <w:rsid w:val="00937557"/>
    <w:rsid w:val="00937C58"/>
    <w:rsid w:val="00942ACB"/>
    <w:rsid w:val="00944509"/>
    <w:rsid w:val="00952E2D"/>
    <w:rsid w:val="009530BC"/>
    <w:rsid w:val="00954FE1"/>
    <w:rsid w:val="00955F02"/>
    <w:rsid w:val="00956D81"/>
    <w:rsid w:val="00957A1D"/>
    <w:rsid w:val="00972D2B"/>
    <w:rsid w:val="0097370C"/>
    <w:rsid w:val="00975F54"/>
    <w:rsid w:val="00976316"/>
    <w:rsid w:val="009811DF"/>
    <w:rsid w:val="00983D0E"/>
    <w:rsid w:val="00985B5A"/>
    <w:rsid w:val="00985EAA"/>
    <w:rsid w:val="00986D79"/>
    <w:rsid w:val="009942E8"/>
    <w:rsid w:val="00994511"/>
    <w:rsid w:val="00996162"/>
    <w:rsid w:val="00996F86"/>
    <w:rsid w:val="00997758"/>
    <w:rsid w:val="009A0754"/>
    <w:rsid w:val="009A3FF0"/>
    <w:rsid w:val="009B0D52"/>
    <w:rsid w:val="009B13EA"/>
    <w:rsid w:val="009B6FA2"/>
    <w:rsid w:val="009B7B26"/>
    <w:rsid w:val="009C1D70"/>
    <w:rsid w:val="009C2C5F"/>
    <w:rsid w:val="009C3EFE"/>
    <w:rsid w:val="009C445A"/>
    <w:rsid w:val="009D0F32"/>
    <w:rsid w:val="009D3C24"/>
    <w:rsid w:val="009D515C"/>
    <w:rsid w:val="009E2292"/>
    <w:rsid w:val="009E2EEE"/>
    <w:rsid w:val="009E6EF1"/>
    <w:rsid w:val="009E7731"/>
    <w:rsid w:val="009F39E6"/>
    <w:rsid w:val="009F40CB"/>
    <w:rsid w:val="009F7FA0"/>
    <w:rsid w:val="00A01BF5"/>
    <w:rsid w:val="00A11276"/>
    <w:rsid w:val="00A13F56"/>
    <w:rsid w:val="00A171FB"/>
    <w:rsid w:val="00A27015"/>
    <w:rsid w:val="00A27855"/>
    <w:rsid w:val="00A32DAF"/>
    <w:rsid w:val="00A43801"/>
    <w:rsid w:val="00A43D37"/>
    <w:rsid w:val="00A444EC"/>
    <w:rsid w:val="00A53F99"/>
    <w:rsid w:val="00A56653"/>
    <w:rsid w:val="00A673DC"/>
    <w:rsid w:val="00A67512"/>
    <w:rsid w:val="00A77648"/>
    <w:rsid w:val="00A84EDF"/>
    <w:rsid w:val="00A854FF"/>
    <w:rsid w:val="00A87989"/>
    <w:rsid w:val="00A90020"/>
    <w:rsid w:val="00A907F8"/>
    <w:rsid w:val="00A92563"/>
    <w:rsid w:val="00A95FB8"/>
    <w:rsid w:val="00A9667D"/>
    <w:rsid w:val="00A96BF8"/>
    <w:rsid w:val="00A97A13"/>
    <w:rsid w:val="00AA32B0"/>
    <w:rsid w:val="00AA3956"/>
    <w:rsid w:val="00AA5F7C"/>
    <w:rsid w:val="00AA6BD7"/>
    <w:rsid w:val="00AB0E02"/>
    <w:rsid w:val="00AB223B"/>
    <w:rsid w:val="00AB233F"/>
    <w:rsid w:val="00AB2431"/>
    <w:rsid w:val="00AB2B07"/>
    <w:rsid w:val="00AB5731"/>
    <w:rsid w:val="00AC0E4E"/>
    <w:rsid w:val="00AC0EE7"/>
    <w:rsid w:val="00AC12D4"/>
    <w:rsid w:val="00AC1876"/>
    <w:rsid w:val="00AC327B"/>
    <w:rsid w:val="00AC5646"/>
    <w:rsid w:val="00AC6F2C"/>
    <w:rsid w:val="00AC7849"/>
    <w:rsid w:val="00AD173F"/>
    <w:rsid w:val="00AD19D1"/>
    <w:rsid w:val="00AD425F"/>
    <w:rsid w:val="00AE2F0F"/>
    <w:rsid w:val="00AE3207"/>
    <w:rsid w:val="00AE5642"/>
    <w:rsid w:val="00AF0E6D"/>
    <w:rsid w:val="00AF27B4"/>
    <w:rsid w:val="00AF45A2"/>
    <w:rsid w:val="00AF4AB9"/>
    <w:rsid w:val="00AF5671"/>
    <w:rsid w:val="00B004D9"/>
    <w:rsid w:val="00B021D8"/>
    <w:rsid w:val="00B030D8"/>
    <w:rsid w:val="00B03D4C"/>
    <w:rsid w:val="00B10596"/>
    <w:rsid w:val="00B122E9"/>
    <w:rsid w:val="00B14C32"/>
    <w:rsid w:val="00B201D4"/>
    <w:rsid w:val="00B202D5"/>
    <w:rsid w:val="00B21674"/>
    <w:rsid w:val="00B24B71"/>
    <w:rsid w:val="00B256A6"/>
    <w:rsid w:val="00B31683"/>
    <w:rsid w:val="00B31949"/>
    <w:rsid w:val="00B34879"/>
    <w:rsid w:val="00B4270D"/>
    <w:rsid w:val="00B4323B"/>
    <w:rsid w:val="00B43612"/>
    <w:rsid w:val="00B44A3C"/>
    <w:rsid w:val="00B44E82"/>
    <w:rsid w:val="00B50093"/>
    <w:rsid w:val="00B504AE"/>
    <w:rsid w:val="00B53EFB"/>
    <w:rsid w:val="00B600D7"/>
    <w:rsid w:val="00B61751"/>
    <w:rsid w:val="00B61EE4"/>
    <w:rsid w:val="00B66028"/>
    <w:rsid w:val="00B72D1A"/>
    <w:rsid w:val="00B742AE"/>
    <w:rsid w:val="00B813C4"/>
    <w:rsid w:val="00B8357F"/>
    <w:rsid w:val="00B842B5"/>
    <w:rsid w:val="00B85315"/>
    <w:rsid w:val="00B8788A"/>
    <w:rsid w:val="00B90D21"/>
    <w:rsid w:val="00B91987"/>
    <w:rsid w:val="00B94664"/>
    <w:rsid w:val="00B94EB1"/>
    <w:rsid w:val="00B94F34"/>
    <w:rsid w:val="00B95629"/>
    <w:rsid w:val="00B97694"/>
    <w:rsid w:val="00BA0BB1"/>
    <w:rsid w:val="00BB73BD"/>
    <w:rsid w:val="00BC40B1"/>
    <w:rsid w:val="00BC4CF0"/>
    <w:rsid w:val="00BC5680"/>
    <w:rsid w:val="00BD2260"/>
    <w:rsid w:val="00BD5DCE"/>
    <w:rsid w:val="00BE5CF8"/>
    <w:rsid w:val="00BE7AA1"/>
    <w:rsid w:val="00BF1C33"/>
    <w:rsid w:val="00BF2D42"/>
    <w:rsid w:val="00BF32A0"/>
    <w:rsid w:val="00C02152"/>
    <w:rsid w:val="00C028C2"/>
    <w:rsid w:val="00C029C5"/>
    <w:rsid w:val="00C043FE"/>
    <w:rsid w:val="00C079B6"/>
    <w:rsid w:val="00C07F57"/>
    <w:rsid w:val="00C10516"/>
    <w:rsid w:val="00C10ABB"/>
    <w:rsid w:val="00C13A00"/>
    <w:rsid w:val="00C154EE"/>
    <w:rsid w:val="00C21DB9"/>
    <w:rsid w:val="00C22F3F"/>
    <w:rsid w:val="00C25ABF"/>
    <w:rsid w:val="00C2645F"/>
    <w:rsid w:val="00C26C0B"/>
    <w:rsid w:val="00C27E03"/>
    <w:rsid w:val="00C30D78"/>
    <w:rsid w:val="00C328F5"/>
    <w:rsid w:val="00C33B35"/>
    <w:rsid w:val="00C34654"/>
    <w:rsid w:val="00C41708"/>
    <w:rsid w:val="00C43AA4"/>
    <w:rsid w:val="00C44442"/>
    <w:rsid w:val="00C445BC"/>
    <w:rsid w:val="00C458F8"/>
    <w:rsid w:val="00C45B4D"/>
    <w:rsid w:val="00C523AC"/>
    <w:rsid w:val="00C526CF"/>
    <w:rsid w:val="00C6370D"/>
    <w:rsid w:val="00C67903"/>
    <w:rsid w:val="00C72F08"/>
    <w:rsid w:val="00C73839"/>
    <w:rsid w:val="00C75DDA"/>
    <w:rsid w:val="00C7720A"/>
    <w:rsid w:val="00C838F1"/>
    <w:rsid w:val="00C85E0C"/>
    <w:rsid w:val="00C9192F"/>
    <w:rsid w:val="00C92485"/>
    <w:rsid w:val="00C959AC"/>
    <w:rsid w:val="00C97703"/>
    <w:rsid w:val="00CA0148"/>
    <w:rsid w:val="00CA34EE"/>
    <w:rsid w:val="00CA4DCD"/>
    <w:rsid w:val="00CA4EE2"/>
    <w:rsid w:val="00CB04A4"/>
    <w:rsid w:val="00CB3748"/>
    <w:rsid w:val="00CB3D10"/>
    <w:rsid w:val="00CC36CD"/>
    <w:rsid w:val="00CC7019"/>
    <w:rsid w:val="00CD090E"/>
    <w:rsid w:val="00CD17BE"/>
    <w:rsid w:val="00CD2F5D"/>
    <w:rsid w:val="00CE118D"/>
    <w:rsid w:val="00CE2FBA"/>
    <w:rsid w:val="00CE3C88"/>
    <w:rsid w:val="00CE663A"/>
    <w:rsid w:val="00CF213E"/>
    <w:rsid w:val="00CF29C7"/>
    <w:rsid w:val="00CF2DC7"/>
    <w:rsid w:val="00D015E9"/>
    <w:rsid w:val="00D0171B"/>
    <w:rsid w:val="00D06908"/>
    <w:rsid w:val="00D06A07"/>
    <w:rsid w:val="00D07C60"/>
    <w:rsid w:val="00D108DB"/>
    <w:rsid w:val="00D10B9E"/>
    <w:rsid w:val="00D11BB4"/>
    <w:rsid w:val="00D11EA0"/>
    <w:rsid w:val="00D12F06"/>
    <w:rsid w:val="00D223F9"/>
    <w:rsid w:val="00D22795"/>
    <w:rsid w:val="00D234C4"/>
    <w:rsid w:val="00D24D64"/>
    <w:rsid w:val="00D25334"/>
    <w:rsid w:val="00D32475"/>
    <w:rsid w:val="00D46FC5"/>
    <w:rsid w:val="00D55865"/>
    <w:rsid w:val="00D57FE4"/>
    <w:rsid w:val="00D63D62"/>
    <w:rsid w:val="00D668A0"/>
    <w:rsid w:val="00D669C4"/>
    <w:rsid w:val="00D72736"/>
    <w:rsid w:val="00D742FD"/>
    <w:rsid w:val="00D74819"/>
    <w:rsid w:val="00D76B80"/>
    <w:rsid w:val="00D84EAC"/>
    <w:rsid w:val="00D852B9"/>
    <w:rsid w:val="00D87742"/>
    <w:rsid w:val="00D9201B"/>
    <w:rsid w:val="00D96113"/>
    <w:rsid w:val="00D97761"/>
    <w:rsid w:val="00D97B16"/>
    <w:rsid w:val="00DA08DD"/>
    <w:rsid w:val="00DA1540"/>
    <w:rsid w:val="00DA33AB"/>
    <w:rsid w:val="00DA59D6"/>
    <w:rsid w:val="00DA6F89"/>
    <w:rsid w:val="00DB3AFE"/>
    <w:rsid w:val="00DB55E3"/>
    <w:rsid w:val="00DB6D37"/>
    <w:rsid w:val="00DC3BC5"/>
    <w:rsid w:val="00DC5944"/>
    <w:rsid w:val="00DC5DB5"/>
    <w:rsid w:val="00DD191C"/>
    <w:rsid w:val="00DD41F5"/>
    <w:rsid w:val="00DD665D"/>
    <w:rsid w:val="00DE2F1E"/>
    <w:rsid w:val="00DE3731"/>
    <w:rsid w:val="00DE5AF1"/>
    <w:rsid w:val="00DF1172"/>
    <w:rsid w:val="00DF4AC2"/>
    <w:rsid w:val="00DF711B"/>
    <w:rsid w:val="00E01067"/>
    <w:rsid w:val="00E04AF5"/>
    <w:rsid w:val="00E11182"/>
    <w:rsid w:val="00E1785D"/>
    <w:rsid w:val="00E23E62"/>
    <w:rsid w:val="00E25873"/>
    <w:rsid w:val="00E27FDE"/>
    <w:rsid w:val="00E305D8"/>
    <w:rsid w:val="00E3413F"/>
    <w:rsid w:val="00E34322"/>
    <w:rsid w:val="00E35701"/>
    <w:rsid w:val="00E364C6"/>
    <w:rsid w:val="00E372B9"/>
    <w:rsid w:val="00E373FC"/>
    <w:rsid w:val="00E469B6"/>
    <w:rsid w:val="00E47721"/>
    <w:rsid w:val="00E50463"/>
    <w:rsid w:val="00E53E50"/>
    <w:rsid w:val="00E55CD3"/>
    <w:rsid w:val="00E6039E"/>
    <w:rsid w:val="00E61CF2"/>
    <w:rsid w:val="00E6390E"/>
    <w:rsid w:val="00E67451"/>
    <w:rsid w:val="00E775FB"/>
    <w:rsid w:val="00E822C3"/>
    <w:rsid w:val="00E85BEC"/>
    <w:rsid w:val="00E91824"/>
    <w:rsid w:val="00E93750"/>
    <w:rsid w:val="00E93F7B"/>
    <w:rsid w:val="00E955FE"/>
    <w:rsid w:val="00E957AE"/>
    <w:rsid w:val="00E966AA"/>
    <w:rsid w:val="00E9737A"/>
    <w:rsid w:val="00E97A55"/>
    <w:rsid w:val="00EA1933"/>
    <w:rsid w:val="00EA62BB"/>
    <w:rsid w:val="00EA7FCB"/>
    <w:rsid w:val="00EB1AD4"/>
    <w:rsid w:val="00EB6144"/>
    <w:rsid w:val="00EC1A92"/>
    <w:rsid w:val="00EC20F1"/>
    <w:rsid w:val="00EC543F"/>
    <w:rsid w:val="00ED57CC"/>
    <w:rsid w:val="00ED58C2"/>
    <w:rsid w:val="00ED6793"/>
    <w:rsid w:val="00ED6F24"/>
    <w:rsid w:val="00EE1011"/>
    <w:rsid w:val="00EE1372"/>
    <w:rsid w:val="00EE4253"/>
    <w:rsid w:val="00EE7373"/>
    <w:rsid w:val="00EE7C4C"/>
    <w:rsid w:val="00F027AF"/>
    <w:rsid w:val="00F05135"/>
    <w:rsid w:val="00F072EF"/>
    <w:rsid w:val="00F112AF"/>
    <w:rsid w:val="00F117D3"/>
    <w:rsid w:val="00F126DD"/>
    <w:rsid w:val="00F12A69"/>
    <w:rsid w:val="00F13139"/>
    <w:rsid w:val="00F25AC5"/>
    <w:rsid w:val="00F26873"/>
    <w:rsid w:val="00F33602"/>
    <w:rsid w:val="00F33DD3"/>
    <w:rsid w:val="00F35D63"/>
    <w:rsid w:val="00F364D9"/>
    <w:rsid w:val="00F368B6"/>
    <w:rsid w:val="00F41182"/>
    <w:rsid w:val="00F520EC"/>
    <w:rsid w:val="00F52DE9"/>
    <w:rsid w:val="00F57D79"/>
    <w:rsid w:val="00F6281A"/>
    <w:rsid w:val="00F6387C"/>
    <w:rsid w:val="00F63F3E"/>
    <w:rsid w:val="00F65F91"/>
    <w:rsid w:val="00F739ED"/>
    <w:rsid w:val="00F81C48"/>
    <w:rsid w:val="00F85EAA"/>
    <w:rsid w:val="00F86C18"/>
    <w:rsid w:val="00F93EAC"/>
    <w:rsid w:val="00FA0FAF"/>
    <w:rsid w:val="00FA2CA0"/>
    <w:rsid w:val="00FB0A73"/>
    <w:rsid w:val="00FB496D"/>
    <w:rsid w:val="00FB7412"/>
    <w:rsid w:val="00FC1044"/>
    <w:rsid w:val="00FC4A6D"/>
    <w:rsid w:val="00FD2C3B"/>
    <w:rsid w:val="00FD3143"/>
    <w:rsid w:val="00FE02A4"/>
    <w:rsid w:val="00FE4713"/>
    <w:rsid w:val="00FF2510"/>
    <w:rsid w:val="00FF5926"/>
    <w:rsid w:val="00FF69C5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7F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F0C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D747-4E34-4D88-BB02-87C3FA946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147e6-8584-4167-aaac-ac83e5172c5f"/>
    <ds:schemaRef ds:uri="8c6b154a-f912-4e7c-ba31-a5bc00580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17DC8-4D2E-43A1-A054-D2F1303AC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E1240-AD04-4D9A-B6FD-EDB848B5A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91203D-4DB6-4CFC-92A2-776566A3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4</cp:revision>
  <cp:lastPrinted>2019-11-06T12:28:00Z</cp:lastPrinted>
  <dcterms:created xsi:type="dcterms:W3CDTF">2019-11-07T09:35:00Z</dcterms:created>
  <dcterms:modified xsi:type="dcterms:W3CDTF">2019-11-07T09:45:00Z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