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74D77" w14:textId="541034B5" w:rsidR="001D60F1" w:rsidRPr="0060242B" w:rsidRDefault="007D3B9A" w:rsidP="0060242B">
      <w:pPr>
        <w:pStyle w:val="Heading1"/>
        <w:rPr>
          <w:b/>
          <w:bCs/>
          <w:color w:val="C00000"/>
          <w:lang w:val="es-BO"/>
        </w:rPr>
      </w:pPr>
      <w:r w:rsidRPr="0060242B">
        <w:rPr>
          <w:b/>
          <w:bCs/>
          <w:color w:val="C00000"/>
          <w:lang w:val="es-BO"/>
        </w:rPr>
        <w:t xml:space="preserve">Consideraciones especiales para la preparación y respuesta ante brotes de Covid-19 para apoyar a </w:t>
      </w:r>
      <w:r w:rsidR="007D5171" w:rsidRPr="0060242B">
        <w:rPr>
          <w:b/>
          <w:bCs/>
          <w:color w:val="C00000"/>
          <w:lang w:val="es-BO"/>
        </w:rPr>
        <w:t>las comunidades residiendo</w:t>
      </w:r>
      <w:r w:rsidRPr="0060242B">
        <w:rPr>
          <w:b/>
          <w:bCs/>
          <w:color w:val="C00000"/>
          <w:lang w:val="es-BO"/>
        </w:rPr>
        <w:t xml:space="preserve"> en asentamientos urbanos informales y barrios marginal</w:t>
      </w:r>
      <w:r w:rsidR="007D5171" w:rsidRPr="0060242B">
        <w:rPr>
          <w:b/>
          <w:bCs/>
          <w:color w:val="C00000"/>
          <w:lang w:val="es-BO"/>
        </w:rPr>
        <w:t>e</w:t>
      </w:r>
      <w:r w:rsidRPr="0060242B">
        <w:rPr>
          <w:b/>
          <w:bCs/>
          <w:color w:val="C00000"/>
          <w:lang w:val="es-BO"/>
        </w:rPr>
        <w:t>s</w:t>
      </w:r>
    </w:p>
    <w:p w14:paraId="7515FA53" w14:textId="587338EB" w:rsidR="007D5171" w:rsidRPr="007D5171" w:rsidRDefault="007D5171" w:rsidP="007D5171">
      <w:pPr>
        <w:rPr>
          <w:i/>
          <w:iCs/>
          <w:color w:val="C00000"/>
          <w:lang w:val="es-BO"/>
        </w:rPr>
      </w:pPr>
      <w:r w:rsidRPr="007D5171">
        <w:rPr>
          <w:i/>
          <w:iCs/>
          <w:color w:val="C00000"/>
          <w:lang w:val="es-BO"/>
        </w:rPr>
        <w:t xml:space="preserve">Orientación provisional del </w:t>
      </w:r>
      <w:r w:rsidR="0060242B">
        <w:rPr>
          <w:i/>
          <w:iCs/>
          <w:color w:val="C00000"/>
          <w:lang w:val="es-BO"/>
        </w:rPr>
        <w:t xml:space="preserve">Comité Permanente </w:t>
      </w:r>
      <w:r w:rsidR="00A23D65">
        <w:rPr>
          <w:i/>
          <w:iCs/>
          <w:color w:val="C00000"/>
          <w:lang w:val="es-BO"/>
        </w:rPr>
        <w:t>Inter agencial</w:t>
      </w:r>
      <w:r w:rsidR="0060242B">
        <w:rPr>
          <w:i/>
          <w:iCs/>
          <w:color w:val="C00000"/>
          <w:lang w:val="es-BO"/>
        </w:rPr>
        <w:t xml:space="preserve"> (</w:t>
      </w:r>
      <w:r w:rsidRPr="007D5171">
        <w:rPr>
          <w:i/>
          <w:iCs/>
          <w:color w:val="C00000"/>
          <w:lang w:val="es-BO"/>
        </w:rPr>
        <w:t>IASC</w:t>
      </w:r>
      <w:r w:rsidR="0060242B">
        <w:rPr>
          <w:i/>
          <w:iCs/>
          <w:color w:val="C00000"/>
          <w:lang w:val="es-BO"/>
        </w:rPr>
        <w:t>)</w:t>
      </w:r>
      <w:r w:rsidR="00A23D65">
        <w:rPr>
          <w:i/>
          <w:iCs/>
          <w:color w:val="C00000"/>
          <w:lang w:val="es-BO"/>
        </w:rPr>
        <w:t xml:space="preserve"> </w:t>
      </w:r>
      <w:r w:rsidR="0060242B">
        <w:rPr>
          <w:i/>
          <w:iCs/>
          <w:color w:val="C00000"/>
          <w:lang w:val="es-BO"/>
        </w:rPr>
        <w:t>(</w:t>
      </w:r>
      <w:r w:rsidRPr="007D5171">
        <w:rPr>
          <w:i/>
          <w:iCs/>
          <w:color w:val="C00000"/>
          <w:lang w:val="es-BO"/>
        </w:rPr>
        <w:t xml:space="preserve">aprobación pendiente) </w:t>
      </w:r>
    </w:p>
    <w:p w14:paraId="77C9001B" w14:textId="77777777" w:rsidR="007D5171" w:rsidRPr="007D3B9A" w:rsidRDefault="007D5171" w:rsidP="007D5171">
      <w:pPr>
        <w:rPr>
          <w:lang w:val="es-BO"/>
        </w:rPr>
      </w:pPr>
    </w:p>
    <w:p w14:paraId="058C44BA" w14:textId="266A8857" w:rsidR="007D3B9A" w:rsidRDefault="007D5171" w:rsidP="007D5171">
      <w:pPr>
        <w:rPr>
          <w:lang w:val="es-BO"/>
        </w:rPr>
      </w:pPr>
      <w:r>
        <w:rPr>
          <w:lang w:val="es-BO"/>
        </w:rPr>
        <w:t>L</w:t>
      </w:r>
      <w:r w:rsidR="007D3B9A" w:rsidRPr="007D3B9A">
        <w:rPr>
          <w:lang w:val="es-BO"/>
        </w:rPr>
        <w:t xml:space="preserve">a crisis humanitaria causada por la pandemia de COVID-19 </w:t>
      </w:r>
      <w:r w:rsidR="0060242B">
        <w:rPr>
          <w:lang w:val="es-BO"/>
        </w:rPr>
        <w:t xml:space="preserve">va a tener </w:t>
      </w:r>
      <w:r>
        <w:rPr>
          <w:lang w:val="es-BO"/>
        </w:rPr>
        <w:t xml:space="preserve">probablemente </w:t>
      </w:r>
      <w:r w:rsidR="007D3B9A" w:rsidRPr="007D3B9A">
        <w:rPr>
          <w:lang w:val="es-BO"/>
        </w:rPr>
        <w:t xml:space="preserve">graves consecuencias </w:t>
      </w:r>
      <w:r w:rsidR="00BF760D">
        <w:rPr>
          <w:lang w:val="es-BO"/>
        </w:rPr>
        <w:t xml:space="preserve">socioeconómicas y </w:t>
      </w:r>
      <w:r w:rsidR="007D3B9A" w:rsidRPr="007D3B9A">
        <w:rPr>
          <w:lang w:val="es-BO"/>
        </w:rPr>
        <w:t xml:space="preserve">para la salud </w:t>
      </w:r>
      <w:r w:rsidR="00BF760D">
        <w:rPr>
          <w:lang w:val="es-BO"/>
        </w:rPr>
        <w:t>de la población urbana</w:t>
      </w:r>
      <w:r w:rsidR="007D3B9A" w:rsidRPr="007D3B9A">
        <w:rPr>
          <w:lang w:val="es-BO"/>
        </w:rPr>
        <w:t>, particularmente en los más pobres de los pobres y en aquellos que viven en asentamientos informales y barrios marginales. Actualmente, alrededor del 56% de la población mundial, 4.400 millones, vive en ciudades, y más de mil millones vive en barrios marginales y asentamientos informales. Existen desafíos y problemas específicos que surgen debido a la exacerbación de las vulnerabilidades crónicas en estos entornos, que deben verse junto con el impacto socioeconómico y de salud de COVID-19 en la respuesta</w:t>
      </w:r>
      <w:r w:rsidR="007D3B9A">
        <w:rPr>
          <w:lang w:val="es-BO"/>
        </w:rPr>
        <w:t>.</w:t>
      </w:r>
    </w:p>
    <w:p w14:paraId="066900C6" w14:textId="3313FB36" w:rsidR="007D3B9A" w:rsidRPr="0060242B" w:rsidRDefault="007D3B9A" w:rsidP="0060242B">
      <w:pPr>
        <w:pStyle w:val="Heading2"/>
        <w:rPr>
          <w:color w:val="C00000"/>
          <w:lang w:val="es-BO"/>
        </w:rPr>
      </w:pPr>
      <w:r w:rsidRPr="0060242B">
        <w:rPr>
          <w:color w:val="C00000"/>
          <w:lang w:val="es-BO"/>
        </w:rPr>
        <w:t>OBJETIVOS</w:t>
      </w:r>
    </w:p>
    <w:p w14:paraId="20991A8A" w14:textId="53215857" w:rsidR="007D3B9A" w:rsidRDefault="004E6070" w:rsidP="007D5171">
      <w:pPr>
        <w:rPr>
          <w:lang w:val="es-BO"/>
        </w:rPr>
      </w:pPr>
      <w:r w:rsidRPr="004E6070">
        <w:rPr>
          <w:lang w:val="es-BO"/>
        </w:rPr>
        <w:t xml:space="preserve">Desde una perspectiva de protección, género e inclusión, derechos humanos y salud pública, es de vital importancia que las personas que viven en asentamientos urbanos informales y barrios marginales se incluyan en todos los planes de preparación, respuesta y recuperación de brotes de COVID-19. Esta guía provisional está alineada con el Plan Estratégico de Preparación y Respuesta de COVID-19 de la OMS y la Guía técnica de la OMS para COVID-19, y se dirige principalmente a la comunidad humanitaria / de desarrollo más amplia que trabaja en situaciones humanitarias. Quienes participan en la toma de decisiones y la implementación de actividades multisectoriales de preparación y respuesta ante brotes de COVID-19, deben comprender cómo responder de manera adecuada y efectiva en los asentamientos informales en entornos urbanos. </w:t>
      </w:r>
      <w:r w:rsidR="0060242B">
        <w:rPr>
          <w:lang w:val="es-BO"/>
        </w:rPr>
        <w:t>Esta guía n</w:t>
      </w:r>
      <w:r w:rsidRPr="004E6070">
        <w:rPr>
          <w:lang w:val="es-BO"/>
        </w:rPr>
        <w:t>o pretende ser exhaustiv</w:t>
      </w:r>
      <w:r w:rsidR="0060242B">
        <w:rPr>
          <w:lang w:val="es-BO"/>
        </w:rPr>
        <w:t>a</w:t>
      </w:r>
      <w:r w:rsidRPr="004E6070">
        <w:rPr>
          <w:lang w:val="es-BO"/>
        </w:rPr>
        <w:t xml:space="preserve"> y se hacen referencias a otras Notas de orientación y resúmenes relevantes del IASC.</w:t>
      </w:r>
    </w:p>
    <w:p w14:paraId="3BDF08EB" w14:textId="30F8E2FC" w:rsidR="00DE5A2D" w:rsidRPr="00BB2410" w:rsidRDefault="00DE5A2D" w:rsidP="00BB2410">
      <w:pPr>
        <w:pStyle w:val="Heading2"/>
        <w:rPr>
          <w:color w:val="C00000"/>
          <w:lang w:val="es-BO"/>
        </w:rPr>
      </w:pPr>
      <w:r w:rsidRPr="00BB2410">
        <w:rPr>
          <w:color w:val="C00000"/>
          <w:lang w:val="es-BO"/>
        </w:rPr>
        <w:t xml:space="preserve">CONSIDERACIONES ESPECIALES PARA LOS </w:t>
      </w:r>
      <w:r w:rsidR="00BB2410">
        <w:rPr>
          <w:color w:val="C00000"/>
          <w:lang w:val="es-BO"/>
        </w:rPr>
        <w:t>ASENTAMIENTOS</w:t>
      </w:r>
      <w:r w:rsidRPr="00BB2410">
        <w:rPr>
          <w:color w:val="C00000"/>
          <w:lang w:val="es-BO"/>
        </w:rPr>
        <w:t xml:space="preserve"> INFORMALES</w:t>
      </w:r>
    </w:p>
    <w:p w14:paraId="13C406E1" w14:textId="5CFE4F5E" w:rsidR="004E6070" w:rsidRDefault="00DE5A2D" w:rsidP="0010553E">
      <w:pPr>
        <w:rPr>
          <w:lang w:val="es-BO"/>
        </w:rPr>
      </w:pPr>
      <w:r w:rsidRPr="00DE5A2D">
        <w:rPr>
          <w:lang w:val="es-BO"/>
        </w:rPr>
        <w:t xml:space="preserve">Esta guía, basada en un resumen desarrollado por </w:t>
      </w:r>
      <w:r w:rsidR="00BB2410">
        <w:rPr>
          <w:lang w:val="es-BO"/>
        </w:rPr>
        <w:t xml:space="preserve">la Plataforma de la Asociación Científica para la Acción Humanitaria </w:t>
      </w:r>
      <w:hyperlink r:id="rId8" w:history="1">
        <w:r w:rsidRPr="00BB2410">
          <w:rPr>
            <w:rStyle w:val="Hyperlink"/>
            <w:lang w:val="es-BO"/>
          </w:rPr>
          <w:t>[enlace],</w:t>
        </w:r>
      </w:hyperlink>
      <w:r w:rsidRPr="00DE5A2D">
        <w:rPr>
          <w:lang w:val="es-BO"/>
        </w:rPr>
        <w:t xml:space="preserve"> establece consideraciones clave para proteger los asentamientos urbanos informales de la propagación y los impactos de COVID-19. La guía </w:t>
      </w:r>
      <w:r w:rsidR="0010553E">
        <w:rPr>
          <w:lang w:val="es-BO"/>
        </w:rPr>
        <w:t>publicada</w:t>
      </w:r>
      <w:r w:rsidRPr="00DE5A2D">
        <w:rPr>
          <w:lang w:val="es-BO"/>
        </w:rPr>
        <w:t xml:space="preserve"> sobre “</w:t>
      </w:r>
      <w:r w:rsidR="0010553E" w:rsidRPr="0010553E">
        <w:rPr>
          <w:lang w:val="es-BO"/>
        </w:rPr>
        <w:t>Escalamiento de las Operaciones de Preparación para el brote de</w:t>
      </w:r>
      <w:r w:rsidR="0010553E">
        <w:rPr>
          <w:lang w:val="es-BO"/>
        </w:rPr>
        <w:t xml:space="preserve"> </w:t>
      </w:r>
      <w:r w:rsidR="0010553E" w:rsidRPr="0010553E">
        <w:rPr>
          <w:lang w:val="es-BO"/>
        </w:rPr>
        <w:t xml:space="preserve">Covid-19 y Operaciones de respuesta en situaciones humanitarias, </w:t>
      </w:r>
      <w:r w:rsidR="0010553E">
        <w:rPr>
          <w:lang w:val="es-BO"/>
        </w:rPr>
        <w:t>i</w:t>
      </w:r>
      <w:r w:rsidR="0010553E" w:rsidRPr="0010553E">
        <w:rPr>
          <w:lang w:val="es-BO"/>
        </w:rPr>
        <w:t>ncluyendo albergues colectivos y escenarios similares</w:t>
      </w:r>
      <w:r w:rsidRPr="00DE5A2D">
        <w:rPr>
          <w:lang w:val="es-BO"/>
        </w:rPr>
        <w:t xml:space="preserve">” </w:t>
      </w:r>
      <w:hyperlink r:id="rId9" w:history="1">
        <w:r w:rsidRPr="0010553E">
          <w:rPr>
            <w:rStyle w:val="Hyperlink"/>
            <w:lang w:val="es-BO"/>
          </w:rPr>
          <w:t>[enlace]</w:t>
        </w:r>
      </w:hyperlink>
      <w:r w:rsidRPr="00DE5A2D">
        <w:rPr>
          <w:lang w:val="es-BO"/>
        </w:rPr>
        <w:t xml:space="preserve"> también es relevante, pero los asentamientos informales necesitan un enfoque adicional. Los asentamientos informales no tienen una gestión formal (como un campamento) y tienden a estar fuera del alcance de las respuestas del gobierno debido a su naturaleza informal.</w:t>
      </w:r>
    </w:p>
    <w:p w14:paraId="65F3CA15" w14:textId="77777777" w:rsidR="00DE5A2D" w:rsidRPr="0010553E" w:rsidRDefault="00DE5A2D" w:rsidP="0010553E">
      <w:pPr>
        <w:pStyle w:val="Heading3"/>
        <w:rPr>
          <w:color w:val="C00000"/>
          <w:lang w:val="es-BO"/>
        </w:rPr>
      </w:pPr>
      <w:r w:rsidRPr="0010553E">
        <w:rPr>
          <w:color w:val="C00000"/>
          <w:lang w:val="es-BO"/>
        </w:rPr>
        <w:t>Características principales</w:t>
      </w:r>
    </w:p>
    <w:p w14:paraId="68C627D4" w14:textId="6013A319" w:rsidR="000914F1" w:rsidRPr="00DE5A2D" w:rsidRDefault="00DE5A2D" w:rsidP="007D5171">
      <w:pPr>
        <w:rPr>
          <w:lang w:val="es-BO"/>
        </w:rPr>
      </w:pPr>
      <w:r w:rsidRPr="00DE5A2D">
        <w:rPr>
          <w:lang w:val="es-BO"/>
        </w:rPr>
        <w:t>Los asentamientos informales y los barrios marginales no están planificados. Muchos están superpoblados, tanto a nivel de vecindario como de casas, con un espacio público muy limitado y carecen de acceso (o tienen acceso limitado) a servicios básicos tales como instalaciones de agua, saneamiento y salud asequibles. En los asentamientos informales, la vivienda y la tenencia de la tierra a menudo son inseguras</w:t>
      </w:r>
      <w:r w:rsidR="000914F1">
        <w:rPr>
          <w:lang w:val="es-BO"/>
        </w:rPr>
        <w:t>, y suelen estar amenazadas</w:t>
      </w:r>
      <w:r w:rsidRPr="00DE5A2D">
        <w:rPr>
          <w:lang w:val="es-BO"/>
        </w:rPr>
        <w:t xml:space="preserve"> de desalojo </w:t>
      </w:r>
      <w:r w:rsidR="000914F1">
        <w:rPr>
          <w:lang w:val="es-BO"/>
        </w:rPr>
        <w:t>por parte de</w:t>
      </w:r>
      <w:r w:rsidRPr="00DE5A2D">
        <w:rPr>
          <w:lang w:val="es-BO"/>
        </w:rPr>
        <w:t xml:space="preserve"> los propietarios y de los gobiernos locales. Es necesario prestar especial atención a las necesidades de los grupos vulnerables </w:t>
      </w:r>
      <w:r w:rsidRPr="00DE5A2D">
        <w:rPr>
          <w:lang w:val="es-BO"/>
        </w:rPr>
        <w:lastRenderedPageBreak/>
        <w:t>identificados, especialmente aquellos que necesitan asistencia y apoyo específicos en esta crisis, incluidas las vulnerabilidades médicas y sociales.</w:t>
      </w:r>
    </w:p>
    <w:p w14:paraId="147051BC" w14:textId="588F6413" w:rsidR="00DE5A2D" w:rsidRDefault="00DE5A2D" w:rsidP="007D5171">
      <w:pPr>
        <w:rPr>
          <w:lang w:val="es-BO"/>
        </w:rPr>
      </w:pPr>
      <w:r w:rsidRPr="00DE5A2D">
        <w:rPr>
          <w:lang w:val="es-BO"/>
        </w:rPr>
        <w:t xml:space="preserve">Muchas de las recomendaciones </w:t>
      </w:r>
      <w:r w:rsidR="001128E2">
        <w:rPr>
          <w:lang w:val="es-BO"/>
        </w:rPr>
        <w:t>generales</w:t>
      </w:r>
      <w:r w:rsidRPr="00DE5A2D">
        <w:rPr>
          <w:lang w:val="es-BO"/>
        </w:rPr>
        <w:t xml:space="preserve"> para protegerse de COVID-19 (lavarse las manos con frecuencia, aislarse y distanciarse físicamente) son casi imposibles de implementar. La falta de acceso a servicios de agua y saneamiento</w:t>
      </w:r>
      <w:r w:rsidR="001128E2" w:rsidRPr="001128E2">
        <w:rPr>
          <w:lang w:val="es-BO"/>
        </w:rPr>
        <w:t xml:space="preserve"> </w:t>
      </w:r>
      <w:r w:rsidR="001128E2">
        <w:rPr>
          <w:lang w:val="es-BO"/>
        </w:rPr>
        <w:t>particulares</w:t>
      </w:r>
      <w:r w:rsidRPr="00DE5A2D">
        <w:rPr>
          <w:lang w:val="es-BO"/>
        </w:rPr>
        <w:t>, junto con el hacinamiento a nivel de hogares, hacen que el autoaislamiento estricto o l</w:t>
      </w:r>
      <w:r w:rsidR="001128E2">
        <w:rPr>
          <w:lang w:val="es-BO"/>
        </w:rPr>
        <w:t xml:space="preserve">as cuarentenas </w:t>
      </w:r>
      <w:r w:rsidRPr="00DE5A2D">
        <w:rPr>
          <w:lang w:val="es-BO"/>
        </w:rPr>
        <w:t xml:space="preserve">sean extremadamente difíciles. Los barrios marginales son concentraciones de pobreza urbana y, en consecuencia, los habitantes de los barrios marginales tienen una capacidad muy limitada para gestionar los </w:t>
      </w:r>
      <w:r w:rsidR="001128E2">
        <w:rPr>
          <w:lang w:val="es-BO"/>
        </w:rPr>
        <w:t>shocks</w:t>
      </w:r>
      <w:r w:rsidRPr="00DE5A2D">
        <w:rPr>
          <w:lang w:val="es-BO"/>
        </w:rPr>
        <w:t xml:space="preserve"> socioeconómicos. Con frecuencia, quedarse en casa para los pobres urbanos no es una opción factible, ya que viven día a día, tanto por su trabajo como por el acceso a los alimentos. El acceso a la educación en el mejor de los casos, difícil para muchos jóvenes en barrios marginales, se ve afectado negativamente por la crisis.</w:t>
      </w:r>
    </w:p>
    <w:p w14:paraId="523B5DD3" w14:textId="70FF5275" w:rsidR="00DE5A2D" w:rsidRPr="00DE5A2D" w:rsidRDefault="00DE5A2D" w:rsidP="007D5171">
      <w:pPr>
        <w:rPr>
          <w:lang w:val="es-BO"/>
        </w:rPr>
      </w:pPr>
      <w:r w:rsidRPr="00DE5A2D">
        <w:rPr>
          <w:lang w:val="es-BO"/>
        </w:rPr>
        <w:t xml:space="preserve">La informalidad de estas comunidades significa que no son reconocidas oficialmente por los gobiernos. Hay pocos datos disponibles sobre su tamaño y perfil socioeconómico, con estadísticas a nivel de ciudad que ocultan las desigualdades. Esta exclusión a menudo se traduce en ignorancia sobre la comunidad, estigmatización, desconfianza mutua y exclusión de las respuestas dirigidas por el gobierno. El alcance de las estructuras formales de gobierno es limitado, y los residentes tienen grandes dificultades para que se escuche su voz. Los mecanismos informales de gobernanza son importantes, pero corren el riesgo de fragmentación y </w:t>
      </w:r>
      <w:r w:rsidR="001128E2">
        <w:rPr>
          <w:lang w:val="es-BO"/>
        </w:rPr>
        <w:t xml:space="preserve">son </w:t>
      </w:r>
      <w:r w:rsidRPr="00DE5A2D">
        <w:rPr>
          <w:lang w:val="es-BO"/>
        </w:rPr>
        <w:t xml:space="preserve">a menudo </w:t>
      </w:r>
      <w:r w:rsidR="001128E2">
        <w:rPr>
          <w:lang w:val="es-BO"/>
        </w:rPr>
        <w:t>cuestionados</w:t>
      </w:r>
      <w:r w:rsidRPr="00DE5A2D">
        <w:rPr>
          <w:lang w:val="es-BO"/>
        </w:rPr>
        <w:t>.</w:t>
      </w:r>
    </w:p>
    <w:p w14:paraId="4A8B581F" w14:textId="1CE7A005" w:rsidR="00DE5A2D" w:rsidRPr="00DE5A2D" w:rsidRDefault="00DE5A2D" w:rsidP="007D5171">
      <w:pPr>
        <w:rPr>
          <w:lang w:val="es-BO"/>
        </w:rPr>
      </w:pPr>
      <w:r w:rsidRPr="00DE5A2D">
        <w:rPr>
          <w:lang w:val="es-BO"/>
        </w:rPr>
        <w:t xml:space="preserve">Además de su aparente informalidad, muchos barrios marginales están altamente organizados, con estructuras de liderazgo bien establecidas. Los asentamientos informales y los barrios marginales tienden a tener una amplia variedad de organizaciones basadas en la comunidad, cada una con su propio nivel de legitimidad que a menudo llena los vacíos en la provisión de servicios (por ejemplo, recolección de basura, seguridad). Estos incluyen grupos de mujeres y jóvenes, grupos de </w:t>
      </w:r>
      <w:r w:rsidR="00F2279C">
        <w:rPr>
          <w:lang w:val="es-BO"/>
        </w:rPr>
        <w:t>base religiosa</w:t>
      </w:r>
      <w:r w:rsidRPr="00DE5A2D">
        <w:rPr>
          <w:lang w:val="es-BO"/>
        </w:rPr>
        <w:t>, estructuras tradicionales de la comunidad, etc. Las estructuras de liderazgo tradicionales a veces se superponen con grupos criminales u otros. La comprensión de estas complejas relaciones requiere un buen conocimiento de su diversidad sociocultural, enmarcada por sus áreas de origen y origen étnico. Los barrios marginales más grandes no son homogéneos, pero pueden tener varias "aldeas" más pequeñas con diferentes costumbres y comportamientos sociales.</w:t>
      </w:r>
    </w:p>
    <w:p w14:paraId="1B05E982" w14:textId="484BD746" w:rsidR="00DE5A2D" w:rsidRDefault="00DE5A2D" w:rsidP="007D5171">
      <w:pPr>
        <w:rPr>
          <w:lang w:val="es-BO"/>
        </w:rPr>
      </w:pPr>
      <w:r w:rsidRPr="00DE5A2D">
        <w:rPr>
          <w:lang w:val="es-BO"/>
        </w:rPr>
        <w:t xml:space="preserve">Los habitantes de asentamientos informales y barrios marginales </w:t>
      </w:r>
      <w:commentRangeStart w:id="0"/>
      <w:r w:rsidRPr="00DE5A2D">
        <w:rPr>
          <w:lang w:val="es-BO"/>
        </w:rPr>
        <w:t>mantienen</w:t>
      </w:r>
      <w:commentRangeEnd w:id="0"/>
      <w:r w:rsidR="00E014CA">
        <w:rPr>
          <w:rStyle w:val="CommentReference"/>
        </w:rPr>
        <w:commentReference w:id="0"/>
      </w:r>
      <w:r w:rsidRPr="00DE5A2D">
        <w:rPr>
          <w:lang w:val="es-BO"/>
        </w:rPr>
        <w:t xml:space="preserve"> fuertes vínculos con sus hogares rurales, </w:t>
      </w:r>
      <w:r w:rsidR="00CE1758" w:rsidRPr="00DE5A2D">
        <w:rPr>
          <w:lang w:val="es-BO"/>
        </w:rPr>
        <w:t>envian</w:t>
      </w:r>
      <w:r w:rsidR="00CE1758">
        <w:rPr>
          <w:lang w:val="es-BO"/>
        </w:rPr>
        <w:t>do</w:t>
      </w:r>
      <w:r w:rsidRPr="00DE5A2D">
        <w:rPr>
          <w:lang w:val="es-BO"/>
        </w:rPr>
        <w:t xml:space="preserve"> </w:t>
      </w:r>
      <w:r w:rsidR="00CE1758">
        <w:rPr>
          <w:lang w:val="es-BO"/>
        </w:rPr>
        <w:t>dinero</w:t>
      </w:r>
      <w:r w:rsidRPr="00DE5A2D">
        <w:rPr>
          <w:lang w:val="es-BO"/>
        </w:rPr>
        <w:t xml:space="preserve"> y viajan</w:t>
      </w:r>
      <w:r w:rsidR="00CE1758">
        <w:rPr>
          <w:lang w:val="es-BO"/>
        </w:rPr>
        <w:t>do</w:t>
      </w:r>
      <w:r w:rsidRPr="00DE5A2D">
        <w:rPr>
          <w:lang w:val="es-BO"/>
        </w:rPr>
        <w:t xml:space="preserve"> con frecuencia por razones laborales y sociales. También </w:t>
      </w:r>
      <w:commentRangeStart w:id="1"/>
      <w:r w:rsidRPr="00DE5A2D">
        <w:rPr>
          <w:lang w:val="es-BO"/>
        </w:rPr>
        <w:t>regresarán</w:t>
      </w:r>
      <w:commentRangeEnd w:id="1"/>
      <w:r w:rsidR="00CE1758">
        <w:rPr>
          <w:rStyle w:val="CommentReference"/>
        </w:rPr>
        <w:commentReference w:id="1"/>
      </w:r>
      <w:r w:rsidRPr="00DE5A2D">
        <w:rPr>
          <w:lang w:val="es-BO"/>
        </w:rPr>
        <w:t xml:space="preserve"> cuando est</w:t>
      </w:r>
      <w:r w:rsidR="00CE1758">
        <w:rPr>
          <w:lang w:val="es-BO"/>
        </w:rPr>
        <w:t>á</w:t>
      </w:r>
      <w:r w:rsidRPr="00DE5A2D">
        <w:rPr>
          <w:lang w:val="es-BO"/>
        </w:rPr>
        <w:t>n enfermos, o para devolver a sus familiares fallecidos al hogar familiar. Esta movilidad a menudo contribuye en gran medida a la propagación de pandemias.</w:t>
      </w:r>
    </w:p>
    <w:p w14:paraId="34B67D28" w14:textId="1F4E9321" w:rsidR="00C60AD1" w:rsidRPr="00C60AD1" w:rsidRDefault="00C60AD1" w:rsidP="007D5171">
      <w:pPr>
        <w:rPr>
          <w:lang w:val="es-BO"/>
        </w:rPr>
      </w:pPr>
      <w:r w:rsidRPr="00C60AD1">
        <w:rPr>
          <w:lang w:val="es-BO"/>
        </w:rPr>
        <w:t xml:space="preserve">Estos desafíos se exacerban aún más para algunos habitantes, debido a su género, edad, discapacidad, condición de refugiado o migrante, orientación sexual, fe y otros factores de identidad interseccionales. Se debe prestar especial atención a los jóvenes y a los niños, particularmente a los hogares encabezados por niños, que </w:t>
      </w:r>
      <w:r w:rsidR="00CE1758">
        <w:rPr>
          <w:lang w:val="es-BO"/>
        </w:rPr>
        <w:t>pudieran</w:t>
      </w:r>
      <w:r w:rsidRPr="00C60AD1">
        <w:rPr>
          <w:lang w:val="es-BO"/>
        </w:rPr>
        <w:t xml:space="preserve"> ser particularmente vulnerables. La evidencia de pandemias previas (así como información preliminar </w:t>
      </w:r>
      <w:r w:rsidR="00CE1758">
        <w:rPr>
          <w:lang w:val="es-BO"/>
        </w:rPr>
        <w:t>a</w:t>
      </w:r>
      <w:r w:rsidRPr="00C60AD1">
        <w:rPr>
          <w:lang w:val="es-BO"/>
        </w:rPr>
        <w:t xml:space="preserve">l brote de COVID-19) muestra que varios factores aumentan el riesgo de violencia sexual y de género (VSG) y daños a mujeres, niños y otros grupos vulnerables. Además, </w:t>
      </w:r>
      <w:r w:rsidR="00CE1758">
        <w:rPr>
          <w:lang w:val="es-BO"/>
        </w:rPr>
        <w:t xml:space="preserve">dado que </w:t>
      </w:r>
      <w:r w:rsidRPr="00C60AD1">
        <w:rPr>
          <w:lang w:val="es-BO"/>
        </w:rPr>
        <w:t xml:space="preserve">muchas personas que viven en asentamientos informales no pueden trabajar desde sus hogares, </w:t>
      </w:r>
      <w:r w:rsidR="00CE1758">
        <w:rPr>
          <w:lang w:val="es-BO"/>
        </w:rPr>
        <w:t>se</w:t>
      </w:r>
      <w:r w:rsidRPr="00C60AD1">
        <w:rPr>
          <w:lang w:val="es-BO"/>
        </w:rPr>
        <w:t xml:space="preserve"> plantea</w:t>
      </w:r>
      <w:r w:rsidR="00CE1758">
        <w:rPr>
          <w:lang w:val="es-BO"/>
        </w:rPr>
        <w:t>n</w:t>
      </w:r>
      <w:r w:rsidRPr="00C60AD1">
        <w:rPr>
          <w:lang w:val="es-BO"/>
        </w:rPr>
        <w:t xml:space="preserve"> problemas con los jóvenes y los niños que se quedan en sus hogares, </w:t>
      </w:r>
      <w:r w:rsidR="00CE1758">
        <w:rPr>
          <w:lang w:val="es-BO"/>
        </w:rPr>
        <w:t>sin</w:t>
      </w:r>
      <w:r w:rsidRPr="00C60AD1">
        <w:rPr>
          <w:lang w:val="es-BO"/>
        </w:rPr>
        <w:t xml:space="preserve"> acceso </w:t>
      </w:r>
      <w:r w:rsidR="00CE1758">
        <w:rPr>
          <w:lang w:val="es-BO"/>
        </w:rPr>
        <w:t xml:space="preserve">adecuado </w:t>
      </w:r>
      <w:r w:rsidRPr="00C60AD1">
        <w:rPr>
          <w:lang w:val="es-BO"/>
        </w:rPr>
        <w:t>a educación y vulnerables a la violencia.</w:t>
      </w:r>
    </w:p>
    <w:p w14:paraId="5CF0904C" w14:textId="3418746B" w:rsidR="00DE5A2D" w:rsidRDefault="003C25B2" w:rsidP="003C25B2">
      <w:pPr>
        <w:pStyle w:val="Heading2"/>
        <w:rPr>
          <w:color w:val="C00000"/>
          <w:lang w:val="es-BO"/>
        </w:rPr>
      </w:pPr>
      <w:r>
        <w:rPr>
          <w:color w:val="C00000"/>
          <w:lang w:val="es-BO"/>
        </w:rPr>
        <w:lastRenderedPageBreak/>
        <w:t>C</w:t>
      </w:r>
      <w:r w:rsidRPr="003C25B2">
        <w:rPr>
          <w:color w:val="C00000"/>
          <w:lang w:val="es-BO"/>
        </w:rPr>
        <w:t>ONSIDERACIONES ESPECIALES CLAVE PARA SU INCLUSIÓN EN OPERACIONES DE PREPARACIÓN Y RESPUESTA NACIONALES Y LOCALES AL COVID-19</w:t>
      </w:r>
    </w:p>
    <w:p w14:paraId="38E56500" w14:textId="77777777" w:rsidR="003C25B2" w:rsidRPr="003C25B2" w:rsidRDefault="003C25B2" w:rsidP="003C25B2">
      <w:pPr>
        <w:rPr>
          <w:lang w:val="es-BO"/>
        </w:rPr>
      </w:pPr>
    </w:p>
    <w:p w14:paraId="53BF2336" w14:textId="15FD405D" w:rsidR="00DD1F95" w:rsidRPr="00371506" w:rsidRDefault="003C25B2" w:rsidP="003C25B2">
      <w:pPr>
        <w:pStyle w:val="Heading3"/>
        <w:rPr>
          <w:color w:val="C00000"/>
          <w:lang w:val="es-BO"/>
        </w:rPr>
      </w:pPr>
      <w:r w:rsidRPr="00371506">
        <w:rPr>
          <w:color w:val="C00000"/>
          <w:lang w:val="es-BO"/>
        </w:rPr>
        <w:t>Principios clave para la preparación, respuesta y recuperación.</w:t>
      </w:r>
    </w:p>
    <w:p w14:paraId="1A9F916C" w14:textId="77777777" w:rsidR="00C73D50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C73D50">
        <w:rPr>
          <w:lang w:val="es-BO"/>
        </w:rPr>
        <w:t xml:space="preserve">Apoyar a </w:t>
      </w:r>
      <w:r w:rsidR="00C73D50" w:rsidRPr="00C73D50">
        <w:rPr>
          <w:lang w:val="es-BO"/>
        </w:rPr>
        <w:t xml:space="preserve">que </w:t>
      </w:r>
      <w:r w:rsidRPr="00C73D50">
        <w:rPr>
          <w:lang w:val="es-BO"/>
        </w:rPr>
        <w:t>los gobiernos locales involucren a los líderes de la comunidad para poner en práctica un plan de preparación y respuesta, movilizando los activos y la capacidad de respuesta de todas las organizaciones comunitarias.</w:t>
      </w:r>
    </w:p>
    <w:p w14:paraId="3515D859" w14:textId="77777777" w:rsidR="00C73D50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C73D50">
        <w:rPr>
          <w:lang w:val="es-BO"/>
        </w:rPr>
        <w:t>Adoptar una respuesta multisectorial integrada basada en áreas, que reconozca las características espaciales</w:t>
      </w:r>
      <w:r w:rsidR="00C73D50" w:rsidRPr="00C73D50">
        <w:rPr>
          <w:lang w:val="es-BO"/>
        </w:rPr>
        <w:t xml:space="preserve"> y</w:t>
      </w:r>
      <w:r w:rsidRPr="00C73D50">
        <w:rPr>
          <w:lang w:val="es-BO"/>
        </w:rPr>
        <w:t xml:space="preserve"> las normas sociales y culturales</w:t>
      </w:r>
      <w:r w:rsidR="00C73D50" w:rsidRPr="00C73D50">
        <w:rPr>
          <w:lang w:val="es-BO"/>
        </w:rPr>
        <w:t>, así como</w:t>
      </w:r>
      <w:r w:rsidRPr="00C73D50">
        <w:rPr>
          <w:lang w:val="es-BO"/>
        </w:rPr>
        <w:t xml:space="preserve"> la dinámica de poder.</w:t>
      </w:r>
    </w:p>
    <w:p w14:paraId="133AB399" w14:textId="77777777" w:rsidR="003C25B2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proofErr w:type="gramStart"/>
      <w:r w:rsidRPr="003C25B2">
        <w:rPr>
          <w:lang w:val="es-BO"/>
        </w:rPr>
        <w:t>Asegurar</w:t>
      </w:r>
      <w:proofErr w:type="gramEnd"/>
      <w:r w:rsidRPr="003C25B2">
        <w:rPr>
          <w:lang w:val="es-BO"/>
        </w:rPr>
        <w:t xml:space="preserve"> que las nuevas modalidades operativas en respuesta a COVID 19 sean relevantes y mejoren los esfuerzos de preparación y reducción de riesgos a largo plazo</w:t>
      </w:r>
      <w:r w:rsidR="003C25B2" w:rsidRPr="003C25B2">
        <w:rPr>
          <w:lang w:val="es-BO"/>
        </w:rPr>
        <w:t>.</w:t>
      </w:r>
    </w:p>
    <w:p w14:paraId="6C59F6C9" w14:textId="3D15B9C5" w:rsidR="00DD1F95" w:rsidRPr="003C25B2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3C25B2">
        <w:rPr>
          <w:lang w:val="es-BO"/>
        </w:rPr>
        <w:t>Priorizar las intervenciones de emergencia que pued</w:t>
      </w:r>
      <w:r w:rsidR="003C25B2">
        <w:rPr>
          <w:lang w:val="es-BO"/>
        </w:rPr>
        <w:t>a</w:t>
      </w:r>
      <w:r w:rsidRPr="003C25B2">
        <w:rPr>
          <w:lang w:val="es-BO"/>
        </w:rPr>
        <w:t>n ser sostenidas y consolidadas en la fase de recuperación.</w:t>
      </w:r>
    </w:p>
    <w:p w14:paraId="525D774D" w14:textId="77777777" w:rsidR="00DD1F95" w:rsidRPr="003C25B2" w:rsidRDefault="00DD1F95" w:rsidP="003C25B2">
      <w:pPr>
        <w:pStyle w:val="Heading3"/>
        <w:rPr>
          <w:color w:val="C00000"/>
          <w:lang w:val="es-BO"/>
        </w:rPr>
      </w:pPr>
      <w:r w:rsidRPr="003C25B2">
        <w:rPr>
          <w:color w:val="C00000"/>
          <w:lang w:val="es-BO"/>
        </w:rPr>
        <w:t>Datos y evaluaciones</w:t>
      </w:r>
    </w:p>
    <w:p w14:paraId="5DD9C187" w14:textId="467D8B5B" w:rsidR="003C25B2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3C25B2">
        <w:rPr>
          <w:lang w:val="es-BO"/>
        </w:rPr>
        <w:t>Inv</w:t>
      </w:r>
      <w:r w:rsidR="004043D1">
        <w:rPr>
          <w:lang w:val="es-BO"/>
        </w:rPr>
        <w:t>ertir</w:t>
      </w:r>
      <w:r w:rsidRPr="003C25B2">
        <w:rPr>
          <w:lang w:val="es-BO"/>
        </w:rPr>
        <w:t xml:space="preserve"> temprano en la elaboración de perfiles de asentamientos informales y barrios marginales, tanto en términos de su población (vulnerabilidades crónicas y agudas - salud, seguridad alimentaria, ingresos / gastos, diversos perfiles socioculturales) como su organización espacial (por ejemplo, agua, saneamiento y puntos de residuos</w:t>
      </w:r>
      <w:r w:rsidR="003C25B2" w:rsidRPr="003C25B2">
        <w:rPr>
          <w:lang w:val="es-BO"/>
        </w:rPr>
        <w:t xml:space="preserve"> sólidos</w:t>
      </w:r>
      <w:r w:rsidRPr="003C25B2">
        <w:rPr>
          <w:lang w:val="es-BO"/>
        </w:rPr>
        <w:t>, mercados, centros de transporte)</w:t>
      </w:r>
      <w:r w:rsidR="003C25B2" w:rsidRPr="003C25B2">
        <w:rPr>
          <w:lang w:val="es-BO"/>
        </w:rPr>
        <w:t>.</w:t>
      </w:r>
    </w:p>
    <w:p w14:paraId="316D75A5" w14:textId="77777777" w:rsidR="003C25B2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3C25B2">
        <w:rPr>
          <w:lang w:val="es-BO"/>
        </w:rPr>
        <w:t xml:space="preserve">Mapear los diferentes grupos autoorganizados y organizaciones comunitarias, sus roles e interrelaciones actuales y su </w:t>
      </w:r>
      <w:r w:rsidR="003C25B2" w:rsidRPr="003C25B2">
        <w:rPr>
          <w:lang w:val="es-BO"/>
        </w:rPr>
        <w:t xml:space="preserve">valor </w:t>
      </w:r>
      <w:r w:rsidRPr="003C25B2">
        <w:rPr>
          <w:lang w:val="es-BO"/>
        </w:rPr>
        <w:t>potencial en una respuesta humanitaria</w:t>
      </w:r>
      <w:r w:rsidR="003C25B2" w:rsidRPr="003C25B2">
        <w:rPr>
          <w:lang w:val="es-BO"/>
        </w:rPr>
        <w:t>.</w:t>
      </w:r>
    </w:p>
    <w:p w14:paraId="6C2B2654" w14:textId="77777777" w:rsidR="004043D1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4043D1">
        <w:rPr>
          <w:lang w:val="es-BO"/>
        </w:rPr>
        <w:t xml:space="preserve">Apoyar la recopilación de datos </w:t>
      </w:r>
      <w:r w:rsidR="003C25B2" w:rsidRPr="004043D1">
        <w:rPr>
          <w:lang w:val="es-BO"/>
        </w:rPr>
        <w:t>liderada</w:t>
      </w:r>
      <w:r w:rsidRPr="004043D1">
        <w:rPr>
          <w:lang w:val="es-BO"/>
        </w:rPr>
        <w:t xml:space="preserve"> por la comunidad, basándose en el conocimiento local, asegurando</w:t>
      </w:r>
      <w:r w:rsidR="003C25B2" w:rsidRPr="004043D1">
        <w:rPr>
          <w:lang w:val="es-BO"/>
        </w:rPr>
        <w:t xml:space="preserve"> </w:t>
      </w:r>
      <w:r w:rsidRPr="004043D1">
        <w:rPr>
          <w:lang w:val="es-BO"/>
        </w:rPr>
        <w:t>la propiedad de los datos recopilados y la agregación en bases de datos y evaluaciones lideradas por el gobierno local</w:t>
      </w:r>
      <w:r w:rsidR="004043D1" w:rsidRPr="004043D1">
        <w:rPr>
          <w:lang w:val="es-BO"/>
        </w:rPr>
        <w:t>.</w:t>
      </w:r>
    </w:p>
    <w:p w14:paraId="3E05EE80" w14:textId="4E6A5F2C" w:rsidR="00C60AD1" w:rsidRPr="004043D1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4043D1">
        <w:rPr>
          <w:lang w:val="es-BO"/>
        </w:rPr>
        <w:t>Mapear y monitorear las relaciones y movimientos dentro y entre asentamientos informales específicos y comunidades de barrios marginales y sus áreas de origen</w:t>
      </w:r>
      <w:r w:rsidR="004043D1">
        <w:rPr>
          <w:lang w:val="es-BO"/>
        </w:rPr>
        <w:t>.</w:t>
      </w:r>
    </w:p>
    <w:p w14:paraId="64341513" w14:textId="69169DC8" w:rsidR="00DD1F95" w:rsidRPr="004043D1" w:rsidRDefault="004043D1" w:rsidP="004043D1">
      <w:pPr>
        <w:pStyle w:val="Heading3"/>
        <w:rPr>
          <w:color w:val="C00000"/>
          <w:lang w:val="es-BO"/>
        </w:rPr>
      </w:pPr>
      <w:r w:rsidRPr="004043D1">
        <w:rPr>
          <w:color w:val="C00000"/>
          <w:lang w:val="es-BO"/>
        </w:rPr>
        <w:t>Gobernanza</w:t>
      </w:r>
    </w:p>
    <w:p w14:paraId="2110582F" w14:textId="77777777" w:rsidR="004043D1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4043D1">
        <w:rPr>
          <w:lang w:val="es-BO"/>
        </w:rPr>
        <w:t>Facilitar las conexiones entre los mecanismos de gobernanza formales e informales (incluido el gobierno local - las comunidades) para dar voz a los pobres urbanos y garantizar que puedan ayudar a dar forma a las intervenciones.</w:t>
      </w:r>
    </w:p>
    <w:p w14:paraId="7205E63B" w14:textId="77777777" w:rsidR="004043D1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4043D1">
        <w:rPr>
          <w:lang w:val="es-BO"/>
        </w:rPr>
        <w:t>Armonizar los activos específicos de las organizaciones comunitarias existentes para una respuesta más efectiva, mientras se busca fortalecer la representación inclusiva</w:t>
      </w:r>
      <w:r w:rsidR="004043D1" w:rsidRPr="004043D1">
        <w:rPr>
          <w:lang w:val="es-BO"/>
        </w:rPr>
        <w:t>.</w:t>
      </w:r>
    </w:p>
    <w:p w14:paraId="4F506470" w14:textId="18A0A062" w:rsidR="00DD1F95" w:rsidRPr="004043D1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4043D1">
        <w:rPr>
          <w:lang w:val="es-BO"/>
        </w:rPr>
        <w:t>Evaluar el impacto de la entrada de recursos durante una crisis para que no exacerbe tensiones entre diferentes grupos.</w:t>
      </w:r>
    </w:p>
    <w:p w14:paraId="5A2A0716" w14:textId="77777777" w:rsidR="00DD1F95" w:rsidRPr="004043D1" w:rsidRDefault="00DD1F95" w:rsidP="004043D1">
      <w:pPr>
        <w:pStyle w:val="Heading3"/>
        <w:rPr>
          <w:color w:val="C00000"/>
          <w:lang w:val="es-BO"/>
        </w:rPr>
      </w:pPr>
      <w:r w:rsidRPr="004043D1">
        <w:rPr>
          <w:color w:val="C00000"/>
          <w:lang w:val="es-BO"/>
        </w:rPr>
        <w:t>Comunicación de riesgos y compromiso comunitario</w:t>
      </w:r>
    </w:p>
    <w:p w14:paraId="5AE17028" w14:textId="77777777" w:rsidR="00206D28" w:rsidRDefault="004043D1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206D28">
        <w:rPr>
          <w:lang w:val="es-BO"/>
        </w:rPr>
        <w:t>Establecer</w:t>
      </w:r>
      <w:r w:rsidR="00DD1F95" w:rsidRPr="00206D28">
        <w:rPr>
          <w:lang w:val="es-BO"/>
        </w:rPr>
        <w:t xml:space="preserve"> confianza y garanti</w:t>
      </w:r>
      <w:r w:rsidR="00206D28" w:rsidRPr="00206D28">
        <w:rPr>
          <w:lang w:val="es-BO"/>
        </w:rPr>
        <w:t>zar</w:t>
      </w:r>
      <w:r w:rsidR="00DD1F95" w:rsidRPr="00206D28">
        <w:rPr>
          <w:lang w:val="es-BO"/>
        </w:rPr>
        <w:t xml:space="preserve"> la comprensión mutua para que las personas que viven en asentamientos informales comprendan </w:t>
      </w:r>
      <w:r w:rsidR="00206D28" w:rsidRPr="00206D28">
        <w:rPr>
          <w:lang w:val="es-BO"/>
        </w:rPr>
        <w:t xml:space="preserve">plenamente </w:t>
      </w:r>
      <w:r w:rsidR="00DD1F95" w:rsidRPr="00206D28">
        <w:rPr>
          <w:lang w:val="es-BO"/>
        </w:rPr>
        <w:t>los riesgos y puedan movilizar a sus comunidades para tomar todas las medidas posibles</w:t>
      </w:r>
      <w:r w:rsidR="00206D28" w:rsidRPr="00206D28">
        <w:rPr>
          <w:lang w:val="es-BO"/>
        </w:rPr>
        <w:t xml:space="preserve">.  Al mismo tiempo, </w:t>
      </w:r>
      <w:commentRangeStart w:id="2"/>
      <w:r w:rsidR="00DD1F95" w:rsidRPr="00206D28">
        <w:rPr>
          <w:lang w:val="es-BO"/>
        </w:rPr>
        <w:t>supera</w:t>
      </w:r>
      <w:r w:rsidR="00206D28" w:rsidRPr="00206D28">
        <w:rPr>
          <w:lang w:val="es-BO"/>
        </w:rPr>
        <w:t>r</w:t>
      </w:r>
      <w:commentRangeEnd w:id="2"/>
      <w:r w:rsidR="00206D28">
        <w:rPr>
          <w:rStyle w:val="CommentReference"/>
        </w:rPr>
        <w:commentReference w:id="2"/>
      </w:r>
      <w:r w:rsidR="00DD1F95" w:rsidRPr="00206D28">
        <w:rPr>
          <w:lang w:val="es-BO"/>
        </w:rPr>
        <w:t xml:space="preserve"> la desconfianza en los mensajes públicos y contrarresta</w:t>
      </w:r>
      <w:r w:rsidR="00206D28" w:rsidRPr="00206D28">
        <w:rPr>
          <w:lang w:val="es-BO"/>
        </w:rPr>
        <w:t>r</w:t>
      </w:r>
      <w:r w:rsidR="00DD1F95" w:rsidRPr="00206D28">
        <w:rPr>
          <w:lang w:val="es-BO"/>
        </w:rPr>
        <w:t xml:space="preserve"> la desinformación.</w:t>
      </w:r>
    </w:p>
    <w:p w14:paraId="7F5705D4" w14:textId="77777777" w:rsidR="00206D28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206D28">
        <w:rPr>
          <w:lang w:val="es-BO"/>
        </w:rPr>
        <w:t>Identifi</w:t>
      </w:r>
      <w:r w:rsidR="00206D28" w:rsidRPr="00206D28">
        <w:rPr>
          <w:lang w:val="es-BO"/>
        </w:rPr>
        <w:t>car</w:t>
      </w:r>
      <w:r w:rsidRPr="00206D28">
        <w:rPr>
          <w:lang w:val="es-BO"/>
        </w:rPr>
        <w:t xml:space="preserve"> líderes comunitarios entre diferentes grupos </w:t>
      </w:r>
      <w:r w:rsidR="00206D28" w:rsidRPr="00206D28">
        <w:rPr>
          <w:lang w:val="es-BO"/>
        </w:rPr>
        <w:t xml:space="preserve">sociales </w:t>
      </w:r>
      <w:r w:rsidRPr="00206D28">
        <w:rPr>
          <w:lang w:val="es-BO"/>
        </w:rPr>
        <w:t>y áreas</w:t>
      </w:r>
      <w:r w:rsidR="00206D28" w:rsidRPr="00206D28">
        <w:rPr>
          <w:lang w:val="es-BO"/>
        </w:rPr>
        <w:t>,</w:t>
      </w:r>
      <w:r w:rsidRPr="00206D28">
        <w:rPr>
          <w:lang w:val="es-BO"/>
        </w:rPr>
        <w:t xml:space="preserve"> y </w:t>
      </w:r>
      <w:r w:rsidR="00206D28" w:rsidRPr="00206D28">
        <w:rPr>
          <w:lang w:val="es-BO"/>
        </w:rPr>
        <w:t xml:space="preserve">recurrir a </w:t>
      </w:r>
      <w:r w:rsidRPr="00206D28">
        <w:rPr>
          <w:lang w:val="es-BO"/>
        </w:rPr>
        <w:t xml:space="preserve">su influencia para difundir mensajes </w:t>
      </w:r>
      <w:r w:rsidR="00206D28" w:rsidRPr="00206D28">
        <w:rPr>
          <w:lang w:val="es-BO"/>
        </w:rPr>
        <w:t xml:space="preserve">e </w:t>
      </w:r>
      <w:r w:rsidRPr="00206D28">
        <w:rPr>
          <w:lang w:val="es-BO"/>
        </w:rPr>
        <w:t>información correctos.</w:t>
      </w:r>
    </w:p>
    <w:p w14:paraId="7710C6F8" w14:textId="04C4C5EF" w:rsidR="00206D28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206D28">
        <w:rPr>
          <w:lang w:val="es-BO"/>
        </w:rPr>
        <w:lastRenderedPageBreak/>
        <w:t>Aseg</w:t>
      </w:r>
      <w:r w:rsidR="00206D28" w:rsidRPr="00206D28">
        <w:rPr>
          <w:lang w:val="es-BO"/>
        </w:rPr>
        <w:t>urarse</w:t>
      </w:r>
      <w:r w:rsidRPr="00206D28">
        <w:rPr>
          <w:lang w:val="es-BO"/>
        </w:rPr>
        <w:t xml:space="preserve"> de que los métodos de comunicación y los mensajes sean sensibles a los diversos antecedentes socioculturales en un asentamiento específico, traduciendo material a los idiomas utilizados, en formatos múltiples y accesibles, incluso para personas con discapacidad auditiva, visual e </w:t>
      </w:r>
      <w:r w:rsidR="00206D28" w:rsidRPr="00206D28">
        <w:rPr>
          <w:lang w:val="es-BO"/>
        </w:rPr>
        <w:t xml:space="preserve">intelectual, así como para </w:t>
      </w:r>
      <w:r w:rsidRPr="00206D28">
        <w:rPr>
          <w:lang w:val="es-BO"/>
        </w:rPr>
        <w:t>personas con baja alfabetización</w:t>
      </w:r>
      <w:r w:rsidR="00206D28">
        <w:rPr>
          <w:lang w:val="es-BO"/>
        </w:rPr>
        <w:t>.</w:t>
      </w:r>
    </w:p>
    <w:p w14:paraId="1CF2E362" w14:textId="77777777" w:rsidR="00206D28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206D28">
        <w:rPr>
          <w:lang w:val="es-BO"/>
        </w:rPr>
        <w:t>Asegurar</w:t>
      </w:r>
      <w:r w:rsidR="00206D28" w:rsidRPr="00206D28">
        <w:rPr>
          <w:lang w:val="es-BO"/>
        </w:rPr>
        <w:t>se que existan</w:t>
      </w:r>
      <w:r w:rsidRPr="00206D28">
        <w:rPr>
          <w:lang w:val="es-BO"/>
        </w:rPr>
        <w:t xml:space="preserve"> mecanismos de retroalimentación y </w:t>
      </w:r>
      <w:r w:rsidR="00206D28" w:rsidRPr="00206D28">
        <w:rPr>
          <w:lang w:val="es-BO"/>
        </w:rPr>
        <w:t xml:space="preserve">recepción de </w:t>
      </w:r>
      <w:r w:rsidRPr="00206D28">
        <w:rPr>
          <w:lang w:val="es-BO"/>
        </w:rPr>
        <w:t>quejas sobre la viabilidad de las medidas de mitigación y asistencia.</w:t>
      </w:r>
    </w:p>
    <w:p w14:paraId="2BE8469D" w14:textId="00D8D784" w:rsidR="00DD1F95" w:rsidRPr="00206D28" w:rsidRDefault="00206D28" w:rsidP="007D5171">
      <w:pPr>
        <w:pStyle w:val="ListParagraph"/>
        <w:numPr>
          <w:ilvl w:val="0"/>
          <w:numId w:val="1"/>
        </w:numPr>
        <w:rPr>
          <w:lang w:val="es-BO"/>
        </w:rPr>
      </w:pPr>
      <w:r>
        <w:rPr>
          <w:lang w:val="es-BO"/>
        </w:rPr>
        <w:t>P</w:t>
      </w:r>
      <w:r w:rsidR="00DD1F95" w:rsidRPr="00206D28">
        <w:rPr>
          <w:lang w:val="es-BO"/>
        </w:rPr>
        <w:t>repar</w:t>
      </w:r>
      <w:r>
        <w:rPr>
          <w:lang w:val="es-BO"/>
        </w:rPr>
        <w:t>ar</w:t>
      </w:r>
      <w:r w:rsidR="00DD1F95" w:rsidRPr="00206D28">
        <w:rPr>
          <w:lang w:val="es-BO"/>
        </w:rPr>
        <w:t xml:space="preserve"> y compart</w:t>
      </w:r>
      <w:r>
        <w:rPr>
          <w:lang w:val="es-BO"/>
        </w:rPr>
        <w:t>ir</w:t>
      </w:r>
      <w:r w:rsidR="00DD1F95" w:rsidRPr="00206D28">
        <w:rPr>
          <w:lang w:val="es-BO"/>
        </w:rPr>
        <w:t xml:space="preserve"> la comunicación pública para abordar y prevenir el estigma y la discriminación que pued</w:t>
      </w:r>
      <w:r>
        <w:rPr>
          <w:lang w:val="es-BO"/>
        </w:rPr>
        <w:t>a</w:t>
      </w:r>
      <w:r w:rsidR="00DD1F95" w:rsidRPr="00206D28">
        <w:rPr>
          <w:lang w:val="es-BO"/>
        </w:rPr>
        <w:t xml:space="preserve">n impedir que las personas busquen atención médica. Los mensajes sobre "grupos de alto riesgo" deben ser sensibles para minimizar el impacto negativo </w:t>
      </w:r>
      <w:r>
        <w:rPr>
          <w:lang w:val="es-BO"/>
        </w:rPr>
        <w:t>sobre</w:t>
      </w:r>
      <w:r w:rsidR="00DD1F95" w:rsidRPr="00206D28">
        <w:rPr>
          <w:lang w:val="es-BO"/>
        </w:rPr>
        <w:t xml:space="preserve"> esos grupos.</w:t>
      </w:r>
    </w:p>
    <w:p w14:paraId="01163D84" w14:textId="77777777" w:rsidR="00DD1F95" w:rsidRPr="00206D28" w:rsidRDefault="00DD1F95" w:rsidP="00206D28">
      <w:pPr>
        <w:pStyle w:val="Heading3"/>
        <w:rPr>
          <w:color w:val="C00000"/>
          <w:lang w:val="es-BO"/>
        </w:rPr>
      </w:pPr>
      <w:r w:rsidRPr="00206D28">
        <w:rPr>
          <w:color w:val="C00000"/>
          <w:lang w:val="es-BO"/>
        </w:rPr>
        <w:t>Acceso a servicios básicos y de supervivencia en asentamientos informales.</w:t>
      </w:r>
    </w:p>
    <w:p w14:paraId="6FEFE90D" w14:textId="77777777" w:rsidR="000632C5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0632C5">
        <w:rPr>
          <w:lang w:val="es-BO"/>
        </w:rPr>
        <w:t xml:space="preserve">Trabajar con los gobiernos locales y los proveedores de servicios para </w:t>
      </w:r>
      <w:r w:rsidR="000632C5" w:rsidRPr="000632C5">
        <w:rPr>
          <w:lang w:val="es-BO"/>
        </w:rPr>
        <w:t xml:space="preserve">poder </w:t>
      </w:r>
      <w:r w:rsidRPr="000632C5">
        <w:rPr>
          <w:lang w:val="es-BO"/>
        </w:rPr>
        <w:t>ampliar rápidamente el suministro asequible de agua segura, saneamiento y gestión de residuos sólidos, asegurando una cobertura suficiente, a la luz de los probables aumentos en la demanda. Se debe alentar a las empresas de servicios de agua a ampliar las líneas de servicio y a proporcionar agua para servicios gratuitos y trabajar estrechamente con proveedores de servicios informales.</w:t>
      </w:r>
    </w:p>
    <w:p w14:paraId="1548BFE9" w14:textId="77777777" w:rsidR="002F0A2D" w:rsidRDefault="000632C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2F0A2D">
        <w:rPr>
          <w:lang w:val="es-BO"/>
        </w:rPr>
        <w:t>Instalar</w:t>
      </w:r>
      <w:r w:rsidR="00DD1F95" w:rsidRPr="002F0A2D">
        <w:rPr>
          <w:lang w:val="es-BO"/>
        </w:rPr>
        <w:t xml:space="preserve"> estaciones de lavado de manos adecuadas en ubicaciones estratégicas (por ejemplo, cerca de baños, mercados, centros de transporte, centros de información, rutas principales de entrada y salida) y util</w:t>
      </w:r>
      <w:r w:rsidR="002F0A2D" w:rsidRPr="002F0A2D">
        <w:rPr>
          <w:lang w:val="es-BO"/>
        </w:rPr>
        <w:t>izarlas</w:t>
      </w:r>
      <w:r w:rsidR="00DD1F95" w:rsidRPr="002F0A2D">
        <w:rPr>
          <w:lang w:val="es-BO"/>
        </w:rPr>
        <w:t xml:space="preserve"> como centros principales para </w:t>
      </w:r>
      <w:r w:rsidR="002F0A2D" w:rsidRPr="002F0A2D">
        <w:rPr>
          <w:lang w:val="es-BO"/>
        </w:rPr>
        <w:t>concientizar a la población</w:t>
      </w:r>
      <w:r w:rsidR="00DD1F95" w:rsidRPr="002F0A2D">
        <w:rPr>
          <w:lang w:val="es-BO"/>
        </w:rPr>
        <w:t xml:space="preserve"> sobre COVID-19</w:t>
      </w:r>
      <w:r w:rsidR="002F0A2D" w:rsidRPr="002F0A2D">
        <w:rPr>
          <w:lang w:val="es-BO"/>
        </w:rPr>
        <w:t>.</w:t>
      </w:r>
    </w:p>
    <w:p w14:paraId="6B699066" w14:textId="6C808484" w:rsidR="002F0A2D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2F0A2D">
        <w:rPr>
          <w:lang w:val="es-BO"/>
        </w:rPr>
        <w:t>Diseñ</w:t>
      </w:r>
      <w:r w:rsidR="002F0A2D" w:rsidRPr="002F0A2D">
        <w:rPr>
          <w:lang w:val="es-BO"/>
        </w:rPr>
        <w:t>ar</w:t>
      </w:r>
      <w:r w:rsidRPr="002F0A2D">
        <w:rPr>
          <w:lang w:val="es-BO"/>
        </w:rPr>
        <w:t xml:space="preserve"> estrategias para el suministro de alimentos y ag</w:t>
      </w:r>
      <w:r w:rsidR="002F0A2D" w:rsidRPr="002F0A2D">
        <w:rPr>
          <w:lang w:val="es-BO"/>
        </w:rPr>
        <w:t>ua,</w:t>
      </w:r>
      <w:r w:rsidRPr="002F0A2D">
        <w:rPr>
          <w:lang w:val="es-BO"/>
        </w:rPr>
        <w:t xml:space="preserve"> que </w:t>
      </w:r>
      <w:r w:rsidR="002F0A2D" w:rsidRPr="002F0A2D">
        <w:rPr>
          <w:lang w:val="es-BO"/>
        </w:rPr>
        <w:t>tomen en cuenta</w:t>
      </w:r>
      <w:r w:rsidRPr="002F0A2D">
        <w:rPr>
          <w:lang w:val="es-BO"/>
        </w:rPr>
        <w:t xml:space="preserve"> que los hogares </w:t>
      </w:r>
      <w:r w:rsidR="002F0A2D" w:rsidRPr="002F0A2D">
        <w:rPr>
          <w:lang w:val="es-BO"/>
        </w:rPr>
        <w:t>podrían</w:t>
      </w:r>
      <w:r w:rsidRPr="002F0A2D">
        <w:rPr>
          <w:lang w:val="es-BO"/>
        </w:rPr>
        <w:t xml:space="preserve"> no tener suficiente capacidad de almacenamiento durante varios días y encuentren formas creativas para facilitar el distanciamiento físico (por ejemplo, </w:t>
      </w:r>
      <w:r w:rsidR="00A23D65" w:rsidRPr="002F0A2D">
        <w:rPr>
          <w:lang w:val="es-BO"/>
        </w:rPr>
        <w:t>minimercados</w:t>
      </w:r>
      <w:r w:rsidRPr="002F0A2D">
        <w:rPr>
          <w:lang w:val="es-BO"/>
        </w:rPr>
        <w:t xml:space="preserve"> dispersos, entregas a domicilio)</w:t>
      </w:r>
      <w:r w:rsidR="002F0A2D" w:rsidRPr="002F0A2D">
        <w:rPr>
          <w:lang w:val="es-BO"/>
        </w:rPr>
        <w:t>.</w:t>
      </w:r>
    </w:p>
    <w:p w14:paraId="188ADB34" w14:textId="77777777" w:rsidR="002F0A2D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2F0A2D">
        <w:rPr>
          <w:lang w:val="es-BO"/>
        </w:rPr>
        <w:t xml:space="preserve">Monitorear </w:t>
      </w:r>
      <w:r w:rsidR="002F0A2D" w:rsidRPr="002F0A2D">
        <w:rPr>
          <w:lang w:val="es-BO"/>
        </w:rPr>
        <w:t xml:space="preserve">cuidadosamente </w:t>
      </w:r>
      <w:r w:rsidRPr="002F0A2D">
        <w:rPr>
          <w:lang w:val="es-BO"/>
        </w:rPr>
        <w:t>la inseguridad alimentaria y el acceso y la asequibilidad de alimentos nutritivos y promover medidas de mitigación (ej. Agricultura urbana, programas de reemplazo para alimentación escolar)</w:t>
      </w:r>
      <w:r w:rsidR="002F0A2D" w:rsidRPr="002F0A2D">
        <w:rPr>
          <w:lang w:val="es-BO"/>
        </w:rPr>
        <w:t>.</w:t>
      </w:r>
    </w:p>
    <w:p w14:paraId="22A1BF0B" w14:textId="77777777" w:rsidR="00213B38" w:rsidRDefault="00213B38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213B38">
        <w:rPr>
          <w:lang w:val="es-BO"/>
        </w:rPr>
        <w:t>Concentrarse</w:t>
      </w:r>
      <w:r w:rsidR="00DD1F95" w:rsidRPr="00213B38">
        <w:rPr>
          <w:lang w:val="es-BO"/>
        </w:rPr>
        <w:t xml:space="preserve"> en formas creativas para proporcionar </w:t>
      </w:r>
      <w:r w:rsidRPr="00213B38">
        <w:rPr>
          <w:lang w:val="es-BO"/>
        </w:rPr>
        <w:t xml:space="preserve">a los niños </w:t>
      </w:r>
      <w:r w:rsidR="00DD1F95" w:rsidRPr="00213B38">
        <w:rPr>
          <w:lang w:val="es-BO"/>
        </w:rPr>
        <w:t xml:space="preserve">alternativas a la escuela y </w:t>
      </w:r>
      <w:r w:rsidRPr="00213B38">
        <w:rPr>
          <w:lang w:val="es-BO"/>
        </w:rPr>
        <w:t>a</w:t>
      </w:r>
      <w:r w:rsidR="00DD1F95" w:rsidRPr="00213B38">
        <w:rPr>
          <w:lang w:val="es-BO"/>
        </w:rPr>
        <w:t>l juego, para mitigar el cierre de las escuelas y las restricciones a los movimientos en ausencia de espacio</w:t>
      </w:r>
      <w:r w:rsidRPr="00213B38">
        <w:rPr>
          <w:lang w:val="es-BO"/>
        </w:rPr>
        <w:t>s</w:t>
      </w:r>
      <w:r w:rsidR="00DD1F95" w:rsidRPr="00213B38">
        <w:rPr>
          <w:lang w:val="es-BO"/>
        </w:rPr>
        <w:t xml:space="preserve"> comunitario</w:t>
      </w:r>
      <w:r w:rsidRPr="00213B38">
        <w:rPr>
          <w:lang w:val="es-BO"/>
        </w:rPr>
        <w:t>s</w:t>
      </w:r>
      <w:r w:rsidR="00DD1F95" w:rsidRPr="00213B38">
        <w:rPr>
          <w:lang w:val="es-BO"/>
        </w:rPr>
        <w:t xml:space="preserve"> o familiar</w:t>
      </w:r>
      <w:r w:rsidRPr="00213B38">
        <w:rPr>
          <w:lang w:val="es-BO"/>
        </w:rPr>
        <w:t>es</w:t>
      </w:r>
      <w:r w:rsidR="00DD1F95" w:rsidRPr="00213B38">
        <w:rPr>
          <w:lang w:val="es-BO"/>
        </w:rPr>
        <w:t xml:space="preserve">, lo que interrumpe la rutina de los niños y al mismo tiempo coloca nuevos estresores en los </w:t>
      </w:r>
      <w:r w:rsidRPr="00213B38">
        <w:rPr>
          <w:lang w:val="es-BO"/>
        </w:rPr>
        <w:t>encargados del cuidado de los niños</w:t>
      </w:r>
      <w:r w:rsidR="00DD1F95" w:rsidRPr="00213B38">
        <w:rPr>
          <w:lang w:val="es-BO"/>
        </w:rPr>
        <w:t xml:space="preserve">. Esto debe incluir oportunidades de aprendizaje temprano para los </w:t>
      </w:r>
      <w:r w:rsidRPr="00213B38">
        <w:rPr>
          <w:lang w:val="es-BO"/>
        </w:rPr>
        <w:t xml:space="preserve">niños </w:t>
      </w:r>
      <w:r w:rsidR="00DD1F95" w:rsidRPr="00213B38">
        <w:rPr>
          <w:lang w:val="es-BO"/>
        </w:rPr>
        <w:t xml:space="preserve">más pequeños, lo que </w:t>
      </w:r>
      <w:r w:rsidRPr="00213B38">
        <w:rPr>
          <w:lang w:val="es-BO"/>
        </w:rPr>
        <w:t>podría</w:t>
      </w:r>
      <w:r w:rsidR="00DD1F95" w:rsidRPr="00213B38">
        <w:rPr>
          <w:lang w:val="es-BO"/>
        </w:rPr>
        <w:t xml:space="preserve"> implicar proporcionar consejos e ideas para </w:t>
      </w:r>
      <w:r w:rsidRPr="00213B38">
        <w:rPr>
          <w:lang w:val="es-BO"/>
        </w:rPr>
        <w:t xml:space="preserve">que los </w:t>
      </w:r>
      <w:r w:rsidR="00DD1F95" w:rsidRPr="00213B38">
        <w:rPr>
          <w:lang w:val="es-BO"/>
        </w:rPr>
        <w:t xml:space="preserve">padres </w:t>
      </w:r>
      <w:r w:rsidRPr="00213B38">
        <w:rPr>
          <w:lang w:val="es-BO"/>
        </w:rPr>
        <w:t>apliquen con sus</w:t>
      </w:r>
      <w:r w:rsidR="00DD1F95" w:rsidRPr="00213B38">
        <w:rPr>
          <w:lang w:val="es-BO"/>
        </w:rPr>
        <w:t xml:space="preserve"> hijos en </w:t>
      </w:r>
      <w:r w:rsidRPr="00213B38">
        <w:rPr>
          <w:lang w:val="es-BO"/>
        </w:rPr>
        <w:t>sus</w:t>
      </w:r>
      <w:r w:rsidR="00DD1F95" w:rsidRPr="00213B38">
        <w:rPr>
          <w:lang w:val="es-BO"/>
        </w:rPr>
        <w:t xml:space="preserve"> hogar</w:t>
      </w:r>
      <w:r w:rsidRPr="00213B38">
        <w:rPr>
          <w:lang w:val="es-BO"/>
        </w:rPr>
        <w:t>es</w:t>
      </w:r>
      <w:r w:rsidR="00DD1F95" w:rsidRPr="00213B38">
        <w:rPr>
          <w:lang w:val="es-BO"/>
        </w:rPr>
        <w:t>.</w:t>
      </w:r>
    </w:p>
    <w:p w14:paraId="2097D877" w14:textId="57CAC0AF" w:rsidR="00DD1F95" w:rsidRPr="00213B38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213B38">
        <w:rPr>
          <w:lang w:val="es-BO"/>
        </w:rPr>
        <w:t>Involucr</w:t>
      </w:r>
      <w:r w:rsidR="00213B38">
        <w:rPr>
          <w:lang w:val="es-BO"/>
        </w:rPr>
        <w:t>ar</w:t>
      </w:r>
      <w:r w:rsidRPr="00213B38">
        <w:rPr>
          <w:lang w:val="es-BO"/>
        </w:rPr>
        <w:t xml:space="preserve"> a todas las partes interesadas para asegurar </w:t>
      </w:r>
      <w:r w:rsidR="00213B38">
        <w:rPr>
          <w:lang w:val="es-BO"/>
        </w:rPr>
        <w:t xml:space="preserve">consistencia en los </w:t>
      </w:r>
      <w:r w:rsidRPr="00213B38">
        <w:rPr>
          <w:lang w:val="es-BO"/>
        </w:rPr>
        <w:t>mensajes sobre la continuidad de los servicios educativos</w:t>
      </w:r>
      <w:r w:rsidR="00213B38">
        <w:rPr>
          <w:lang w:val="es-BO"/>
        </w:rPr>
        <w:t>,</w:t>
      </w:r>
      <w:r w:rsidRPr="00213B38">
        <w:rPr>
          <w:lang w:val="es-BO"/>
        </w:rPr>
        <w:t xml:space="preserve"> para fortalecer el apoyo de la comunidad </w:t>
      </w:r>
      <w:r w:rsidR="00610895">
        <w:rPr>
          <w:lang w:val="es-BO"/>
        </w:rPr>
        <w:t>durante el</w:t>
      </w:r>
      <w:r w:rsidRPr="00213B38">
        <w:rPr>
          <w:lang w:val="es-BO"/>
        </w:rPr>
        <w:t xml:space="preserve"> cierre de las escuelas</w:t>
      </w:r>
      <w:r w:rsidR="00610895">
        <w:rPr>
          <w:lang w:val="es-BO"/>
        </w:rPr>
        <w:t xml:space="preserve"> y desarrollar compromisos que garanticen el retorno de los niños a las escuelas, cuando éstas </w:t>
      </w:r>
      <w:r w:rsidRPr="00213B38">
        <w:rPr>
          <w:lang w:val="es-BO"/>
        </w:rPr>
        <w:t>vuelvan a abrir.</w:t>
      </w:r>
    </w:p>
    <w:p w14:paraId="5FAE076E" w14:textId="14E0C544" w:rsidR="00DD1F95" w:rsidRPr="00610895" w:rsidRDefault="00610895" w:rsidP="00610895">
      <w:pPr>
        <w:pStyle w:val="Heading3"/>
        <w:rPr>
          <w:color w:val="C00000"/>
          <w:lang w:val="es-BO"/>
        </w:rPr>
      </w:pPr>
      <w:r>
        <w:rPr>
          <w:color w:val="C00000"/>
          <w:lang w:val="es-BO"/>
        </w:rPr>
        <w:t>Alojamiento</w:t>
      </w:r>
      <w:r w:rsidR="00DD1F95" w:rsidRPr="00610895">
        <w:rPr>
          <w:color w:val="C00000"/>
          <w:lang w:val="es-BO"/>
        </w:rPr>
        <w:t xml:space="preserve"> y asentamientos</w:t>
      </w:r>
    </w:p>
    <w:p w14:paraId="36EE487C" w14:textId="77777777" w:rsidR="00610895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610895">
        <w:rPr>
          <w:lang w:val="es-BO"/>
        </w:rPr>
        <w:t>Anali</w:t>
      </w:r>
      <w:r w:rsidR="00610895" w:rsidRPr="00610895">
        <w:rPr>
          <w:lang w:val="es-BO"/>
        </w:rPr>
        <w:t>zar</w:t>
      </w:r>
      <w:r w:rsidRPr="00610895">
        <w:rPr>
          <w:lang w:val="es-BO"/>
        </w:rPr>
        <w:t xml:space="preserve"> la configuración espacial del asentamiento para brindar orientación sobre el control de movimiento, una mejor cobertura de los servicios básicos, sistemas alternativos de distribución de alimentos, etc.</w:t>
      </w:r>
    </w:p>
    <w:p w14:paraId="328C80F6" w14:textId="77777777" w:rsidR="00610895" w:rsidRDefault="006108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610895">
        <w:rPr>
          <w:lang w:val="es-BO"/>
        </w:rPr>
        <w:lastRenderedPageBreak/>
        <w:t xml:space="preserve">Realizar un mapeo de </w:t>
      </w:r>
      <w:r w:rsidR="00DD1F95" w:rsidRPr="00610895">
        <w:rPr>
          <w:lang w:val="es-BO"/>
        </w:rPr>
        <w:t xml:space="preserve">espacios y edificios (por ejemplo, edificios vacíos, hoteles, escuelas, etc.) </w:t>
      </w:r>
      <w:r w:rsidRPr="00610895">
        <w:rPr>
          <w:lang w:val="es-BO"/>
        </w:rPr>
        <w:t>dentro o cerca de</w:t>
      </w:r>
      <w:r w:rsidR="00DD1F95" w:rsidRPr="00610895">
        <w:rPr>
          <w:lang w:val="es-BO"/>
        </w:rPr>
        <w:t xml:space="preserve"> asentamientos informales y barrios marginales que </w:t>
      </w:r>
      <w:r w:rsidRPr="00610895">
        <w:rPr>
          <w:lang w:val="es-BO"/>
        </w:rPr>
        <w:t>puedan ser usados</w:t>
      </w:r>
      <w:r w:rsidR="00DD1F95" w:rsidRPr="00610895">
        <w:rPr>
          <w:lang w:val="es-BO"/>
        </w:rPr>
        <w:t xml:space="preserve"> para aislar a los más vulnerables, clasificar casos potenciales y poner en cuarentena limitada</w:t>
      </w:r>
      <w:r w:rsidRPr="00610895">
        <w:rPr>
          <w:lang w:val="es-BO"/>
        </w:rPr>
        <w:t>.</w:t>
      </w:r>
    </w:p>
    <w:p w14:paraId="7E12D088" w14:textId="59CB7076" w:rsidR="00DD1F95" w:rsidRPr="00610895" w:rsidRDefault="00610895" w:rsidP="007D5171">
      <w:pPr>
        <w:pStyle w:val="ListParagraph"/>
        <w:numPr>
          <w:ilvl w:val="0"/>
          <w:numId w:val="1"/>
        </w:numPr>
        <w:rPr>
          <w:lang w:val="es-BO"/>
        </w:rPr>
      </w:pPr>
      <w:r>
        <w:rPr>
          <w:lang w:val="es-BO"/>
        </w:rPr>
        <w:t>Proveer</w:t>
      </w:r>
      <w:r w:rsidR="00DD1F95" w:rsidRPr="00610895">
        <w:rPr>
          <w:lang w:val="es-BO"/>
        </w:rPr>
        <w:t xml:space="preserve"> opciones de bajo costo para facilitar el aislamiento de casos de bajo riesgo en viviendas de una sola habitación considerando opciones de partición</w:t>
      </w:r>
      <w:r>
        <w:rPr>
          <w:lang w:val="es-BO"/>
        </w:rPr>
        <w:t>.</w:t>
      </w:r>
    </w:p>
    <w:p w14:paraId="32D6F0A3" w14:textId="77777777" w:rsidR="00DD1F95" w:rsidRPr="00610895" w:rsidRDefault="00DD1F95" w:rsidP="00610895">
      <w:pPr>
        <w:pStyle w:val="Heading3"/>
        <w:rPr>
          <w:color w:val="C00000"/>
          <w:lang w:val="es-BO"/>
        </w:rPr>
      </w:pPr>
      <w:r w:rsidRPr="00610895">
        <w:rPr>
          <w:color w:val="C00000"/>
          <w:lang w:val="es-BO"/>
        </w:rPr>
        <w:t>Medios de vida y movilidad</w:t>
      </w:r>
    </w:p>
    <w:p w14:paraId="6E99166D" w14:textId="77777777" w:rsidR="00610895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610895">
        <w:rPr>
          <w:lang w:val="es-BO"/>
        </w:rPr>
        <w:t>Promover y adaptar las redes de seguridad social a la realidad de los asentamientos informales y los barrios marginales (inclu</w:t>
      </w:r>
      <w:r w:rsidR="00610895" w:rsidRPr="00610895">
        <w:rPr>
          <w:lang w:val="es-BO"/>
        </w:rPr>
        <w:t xml:space="preserve">yendo ahorros muy limitados </w:t>
      </w:r>
      <w:r w:rsidRPr="00610895">
        <w:rPr>
          <w:lang w:val="es-BO"/>
        </w:rPr>
        <w:t xml:space="preserve">o la capacidad </w:t>
      </w:r>
      <w:r w:rsidR="00610895" w:rsidRPr="00610895">
        <w:rPr>
          <w:lang w:val="es-BO"/>
        </w:rPr>
        <w:t xml:space="preserve">limitada </w:t>
      </w:r>
      <w:r w:rsidRPr="00610895">
        <w:rPr>
          <w:lang w:val="es-BO"/>
        </w:rPr>
        <w:t xml:space="preserve">de ahorro), asegurando el acceso a los servicios de salud, agua y alimentos, </w:t>
      </w:r>
      <w:r w:rsidR="00610895" w:rsidRPr="00610895">
        <w:rPr>
          <w:lang w:val="es-BO"/>
        </w:rPr>
        <w:t>tomando en cuenta</w:t>
      </w:r>
      <w:r w:rsidRPr="00610895">
        <w:rPr>
          <w:lang w:val="es-BO"/>
        </w:rPr>
        <w:t xml:space="preserve"> las desigualdades internas para evitar tensiones disruptivas</w:t>
      </w:r>
      <w:r w:rsidR="00610895" w:rsidRPr="00610895">
        <w:rPr>
          <w:lang w:val="es-BO"/>
        </w:rPr>
        <w:t>.</w:t>
      </w:r>
    </w:p>
    <w:p w14:paraId="7F03668B" w14:textId="77777777" w:rsidR="003F3D42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3F3D42">
        <w:rPr>
          <w:lang w:val="es-BO"/>
        </w:rPr>
        <w:t xml:space="preserve">Priorizar la asistencia en efectivo para ayudar a cubrir </w:t>
      </w:r>
      <w:r w:rsidR="0049796D" w:rsidRPr="003F3D42">
        <w:rPr>
          <w:lang w:val="es-BO"/>
        </w:rPr>
        <w:t>necesidades de</w:t>
      </w:r>
      <w:r w:rsidRPr="003F3D42">
        <w:rPr>
          <w:lang w:val="es-BO"/>
        </w:rPr>
        <w:t xml:space="preserve"> alquiler, servicios públicos y otras necesidades relacionadas con la vivienda.</w:t>
      </w:r>
    </w:p>
    <w:p w14:paraId="0B32C109" w14:textId="77777777" w:rsidR="003F3D42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3F3D42">
        <w:rPr>
          <w:lang w:val="es-BO"/>
        </w:rPr>
        <w:t>Tom</w:t>
      </w:r>
      <w:r w:rsidR="003F3D42" w:rsidRPr="003F3D42">
        <w:rPr>
          <w:lang w:val="es-BO"/>
        </w:rPr>
        <w:t>ar</w:t>
      </w:r>
      <w:r w:rsidRPr="003F3D42">
        <w:rPr>
          <w:lang w:val="es-BO"/>
        </w:rPr>
        <w:t xml:space="preserve"> medidas para que los servicios informales esenciales, como la venta de alimentos, el suministro de agua, artículos de higiene, cuidado de niño</w:t>
      </w:r>
      <w:r w:rsidR="003F3D42" w:rsidRPr="003F3D42">
        <w:rPr>
          <w:lang w:val="es-BO"/>
        </w:rPr>
        <w:t xml:space="preserve"> y</w:t>
      </w:r>
      <w:r w:rsidRPr="003F3D42">
        <w:rPr>
          <w:lang w:val="es-BO"/>
        </w:rPr>
        <w:t xml:space="preserve"> personas con discapacidad, personas mayores y personas con enfermedades, puedan mantenerse de la manera más segura posible, incluso durante </w:t>
      </w:r>
      <w:r w:rsidR="003F3D42" w:rsidRPr="003F3D42">
        <w:rPr>
          <w:lang w:val="es-BO"/>
        </w:rPr>
        <w:t>la cuarentena.</w:t>
      </w:r>
    </w:p>
    <w:p w14:paraId="792A6C93" w14:textId="42C2468F" w:rsidR="00DD1F95" w:rsidRPr="003F3D42" w:rsidRDefault="003F3D42" w:rsidP="007D5171">
      <w:pPr>
        <w:pStyle w:val="ListParagraph"/>
        <w:numPr>
          <w:ilvl w:val="0"/>
          <w:numId w:val="1"/>
        </w:numPr>
        <w:rPr>
          <w:lang w:val="es-BO"/>
        </w:rPr>
      </w:pPr>
      <w:r>
        <w:rPr>
          <w:lang w:val="es-BO"/>
        </w:rPr>
        <w:t xml:space="preserve">Hacer un mapeo de los </w:t>
      </w:r>
      <w:r w:rsidR="00DD1F95" w:rsidRPr="003F3D42">
        <w:rPr>
          <w:lang w:val="es-BO"/>
        </w:rPr>
        <w:t>movimientos entre asentamientos urbanos informales y barrios marginales y áreas rurales de origen y considerar trabajar con líderes locales y comunidades en ambos extremos para implementar estrategias de control, enfocándose también en centros de transporte y puntos de entrada.</w:t>
      </w:r>
    </w:p>
    <w:p w14:paraId="0B8CC6EF" w14:textId="5846E6AD" w:rsidR="00DD1F95" w:rsidRPr="003F3D42" w:rsidRDefault="00DD1F95" w:rsidP="003F3D42">
      <w:pPr>
        <w:pStyle w:val="Heading3"/>
        <w:rPr>
          <w:color w:val="C00000"/>
          <w:lang w:val="es-BO"/>
        </w:rPr>
      </w:pPr>
      <w:r w:rsidRPr="003F3D42">
        <w:rPr>
          <w:color w:val="C00000"/>
          <w:lang w:val="es-BO"/>
        </w:rPr>
        <w:t>Protecci</w:t>
      </w:r>
      <w:r w:rsidR="003F3D42">
        <w:rPr>
          <w:color w:val="C00000"/>
          <w:lang w:val="es-BO"/>
        </w:rPr>
        <w:t>ó</w:t>
      </w:r>
      <w:r w:rsidRPr="003F3D42">
        <w:rPr>
          <w:color w:val="C00000"/>
          <w:lang w:val="es-BO"/>
        </w:rPr>
        <w:t>n</w:t>
      </w:r>
    </w:p>
    <w:p w14:paraId="7CD9EA93" w14:textId="77777777" w:rsidR="0089455A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proofErr w:type="gramStart"/>
      <w:r w:rsidRPr="0089455A">
        <w:rPr>
          <w:lang w:val="es-BO"/>
        </w:rPr>
        <w:t>Asegurar</w:t>
      </w:r>
      <w:proofErr w:type="gramEnd"/>
      <w:r w:rsidRPr="0089455A">
        <w:rPr>
          <w:lang w:val="es-BO"/>
        </w:rPr>
        <w:t xml:space="preserve"> que </w:t>
      </w:r>
      <w:r w:rsidR="0089455A" w:rsidRPr="0089455A">
        <w:rPr>
          <w:lang w:val="es-BO"/>
        </w:rPr>
        <w:t>la</w:t>
      </w:r>
      <w:r w:rsidRPr="0089455A">
        <w:rPr>
          <w:lang w:val="es-BO"/>
        </w:rPr>
        <w:t xml:space="preserve"> protección </w:t>
      </w:r>
      <w:r w:rsidR="0089455A" w:rsidRPr="0089455A">
        <w:rPr>
          <w:lang w:val="es-BO"/>
        </w:rPr>
        <w:t>predomine durante</w:t>
      </w:r>
      <w:r w:rsidRPr="0089455A">
        <w:rPr>
          <w:lang w:val="es-BO"/>
        </w:rPr>
        <w:t xml:space="preserve"> la respuesta y, a través de asociaciones multisectoriales, </w:t>
      </w:r>
      <w:r w:rsidR="0089455A" w:rsidRPr="0089455A">
        <w:rPr>
          <w:lang w:val="es-BO"/>
        </w:rPr>
        <w:t xml:space="preserve">que </w:t>
      </w:r>
      <w:r w:rsidRPr="0089455A">
        <w:rPr>
          <w:lang w:val="es-BO"/>
        </w:rPr>
        <w:t xml:space="preserve">la detección de desafíos de protección y el monitoreo de las necesidades de protección </w:t>
      </w:r>
      <w:r w:rsidR="0089455A" w:rsidRPr="0089455A">
        <w:rPr>
          <w:lang w:val="es-BO"/>
        </w:rPr>
        <w:t>pueda dar</w:t>
      </w:r>
      <w:r w:rsidRPr="0089455A">
        <w:rPr>
          <w:lang w:val="es-BO"/>
        </w:rPr>
        <w:t xml:space="preserve"> respuesta a los riesgos de protección identificados, con un enfoque </w:t>
      </w:r>
      <w:r w:rsidR="0089455A" w:rsidRPr="0089455A">
        <w:rPr>
          <w:lang w:val="es-BO"/>
        </w:rPr>
        <w:t>que incluya a</w:t>
      </w:r>
      <w:r w:rsidRPr="0089455A">
        <w:rPr>
          <w:lang w:val="es-BO"/>
        </w:rPr>
        <w:t xml:space="preserve"> los trabajadores de la salud, proveedores de servicios, etc. (Directrices de la Federación Internacional</w:t>
      </w:r>
      <w:r w:rsidR="0089455A" w:rsidRPr="0089455A">
        <w:rPr>
          <w:lang w:val="es-BO"/>
        </w:rPr>
        <w:t xml:space="preserve"> de la Cruz Roja y Media Luna Roja)</w:t>
      </w:r>
      <w:r w:rsidRPr="0089455A">
        <w:rPr>
          <w:lang w:val="es-BO"/>
        </w:rPr>
        <w:t>.</w:t>
      </w:r>
    </w:p>
    <w:p w14:paraId="5F7843A9" w14:textId="77777777" w:rsidR="0089455A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89455A">
        <w:rPr>
          <w:lang w:val="es-BO"/>
        </w:rPr>
        <w:t>Monitorear cuidadosamente los aumentos en las tensiones y violencia a nivel comunitario y familiar</w:t>
      </w:r>
      <w:r w:rsidR="0089455A" w:rsidRPr="0089455A">
        <w:rPr>
          <w:lang w:val="es-BO"/>
        </w:rPr>
        <w:t>,</w:t>
      </w:r>
      <w:r w:rsidRPr="0089455A">
        <w:rPr>
          <w:lang w:val="es-BO"/>
        </w:rPr>
        <w:t xml:space="preserve"> y trabajar con organizaciones y líderes comunitarios para crear conciencia y mitiga</w:t>
      </w:r>
      <w:r w:rsidR="0089455A" w:rsidRPr="0089455A">
        <w:rPr>
          <w:lang w:val="es-BO"/>
        </w:rPr>
        <w:t>rlos</w:t>
      </w:r>
      <w:r w:rsidRPr="0089455A">
        <w:rPr>
          <w:lang w:val="es-BO"/>
        </w:rPr>
        <w:t xml:space="preserve">, prestando atención a la violencia de género. </w:t>
      </w:r>
      <w:r w:rsidR="0089455A" w:rsidRPr="0089455A">
        <w:rPr>
          <w:lang w:val="es-BO"/>
        </w:rPr>
        <w:t xml:space="preserve">Se puede adaptar orientación adicional </w:t>
      </w:r>
      <w:r w:rsidRPr="0089455A">
        <w:rPr>
          <w:lang w:val="es-BO"/>
        </w:rPr>
        <w:t xml:space="preserve">sobre la igualdad de género y el empoderamiento de las mujeres a partir de la </w:t>
      </w:r>
      <w:hyperlink r:id="rId14" w:history="1">
        <w:r w:rsidRPr="0089455A">
          <w:rPr>
            <w:rStyle w:val="Hyperlink"/>
            <w:lang w:val="es-BO"/>
          </w:rPr>
          <w:t>Alerta de Género del IASC</w:t>
        </w:r>
      </w:hyperlink>
      <w:r w:rsidRPr="0089455A">
        <w:rPr>
          <w:lang w:val="es-BO"/>
        </w:rPr>
        <w:t>.</w:t>
      </w:r>
    </w:p>
    <w:p w14:paraId="6BD42432" w14:textId="77777777" w:rsidR="00532D28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proofErr w:type="gramStart"/>
      <w:r w:rsidRPr="00532D28">
        <w:rPr>
          <w:lang w:val="es-BO"/>
        </w:rPr>
        <w:t>Asegurar</w:t>
      </w:r>
      <w:proofErr w:type="gramEnd"/>
      <w:r w:rsidRPr="00532D28">
        <w:rPr>
          <w:lang w:val="es-BO"/>
        </w:rPr>
        <w:t xml:space="preserve"> que el aislamiento de los miembros de la familia no priv</w:t>
      </w:r>
      <w:r w:rsidR="00532D28" w:rsidRPr="00532D28">
        <w:rPr>
          <w:lang w:val="es-BO"/>
        </w:rPr>
        <w:t>e</w:t>
      </w:r>
      <w:r w:rsidRPr="00532D28">
        <w:rPr>
          <w:lang w:val="es-BO"/>
        </w:rPr>
        <w:t xml:space="preserve"> a las personas de sus sistemas de apoyo social y mecanismos de afrontamiento</w:t>
      </w:r>
      <w:r w:rsidR="00532D28" w:rsidRPr="00532D28">
        <w:rPr>
          <w:lang w:val="es-BO"/>
        </w:rPr>
        <w:t>,</w:t>
      </w:r>
      <w:r w:rsidRPr="00532D28">
        <w:rPr>
          <w:lang w:val="es-BO"/>
        </w:rPr>
        <w:t xml:space="preserve"> ni exacerb</w:t>
      </w:r>
      <w:r w:rsidR="00532D28" w:rsidRPr="00532D28">
        <w:rPr>
          <w:lang w:val="es-BO"/>
        </w:rPr>
        <w:t>e</w:t>
      </w:r>
      <w:r w:rsidRPr="00532D28">
        <w:rPr>
          <w:lang w:val="es-BO"/>
        </w:rPr>
        <w:t xml:space="preserve"> la estigmatización.</w:t>
      </w:r>
    </w:p>
    <w:p w14:paraId="5A6E3B48" w14:textId="77777777" w:rsidR="00532D28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532D28">
        <w:rPr>
          <w:lang w:val="es-BO"/>
        </w:rPr>
        <w:t>Monitore</w:t>
      </w:r>
      <w:r w:rsidR="00532D28" w:rsidRPr="00532D28">
        <w:rPr>
          <w:lang w:val="es-BO"/>
        </w:rPr>
        <w:t>ar</w:t>
      </w:r>
      <w:r w:rsidRPr="00532D28">
        <w:rPr>
          <w:lang w:val="es-BO"/>
        </w:rPr>
        <w:t xml:space="preserve"> el riesgo de posibles desalojos, ya que las familias corren el riesgo de no pagar los alquileres, </w:t>
      </w:r>
      <w:r w:rsidR="00532D28" w:rsidRPr="00532D28">
        <w:rPr>
          <w:lang w:val="es-BO"/>
        </w:rPr>
        <w:t xml:space="preserve">de la misma manera que </w:t>
      </w:r>
      <w:r w:rsidRPr="00532D28">
        <w:rPr>
          <w:lang w:val="es-BO"/>
        </w:rPr>
        <w:t>los miembros marginados de la comunidad, las víctimas de la enfermedad o los proveedores de atención médica corren el riesgo de ser estigmatizados.</w:t>
      </w:r>
    </w:p>
    <w:p w14:paraId="4516198C" w14:textId="77777777" w:rsidR="00532D28" w:rsidRDefault="00DD1F95" w:rsidP="007D5171">
      <w:pPr>
        <w:pStyle w:val="ListParagraph"/>
        <w:numPr>
          <w:ilvl w:val="0"/>
          <w:numId w:val="1"/>
        </w:numPr>
        <w:rPr>
          <w:lang w:val="es-BO"/>
        </w:rPr>
      </w:pPr>
      <w:r w:rsidRPr="00532D28">
        <w:rPr>
          <w:lang w:val="es-BO"/>
        </w:rPr>
        <w:t xml:space="preserve">Abogar por la suspensión de todos los desalojos residenciales </w:t>
      </w:r>
      <w:r w:rsidR="00532D28" w:rsidRPr="00532D28">
        <w:rPr>
          <w:lang w:val="es-BO"/>
        </w:rPr>
        <w:t>durante el período de la</w:t>
      </w:r>
      <w:r w:rsidRPr="00532D28">
        <w:rPr>
          <w:lang w:val="es-BO"/>
        </w:rPr>
        <w:t xml:space="preserve"> emergencia de salud, ya que los desalojos pueden aumentar en gran medida los riesgos de transmisión comunitaria y trabajar con los gobiernos para establecer sistemas de monitoreo e intervención para evitar también los desalojos informales.</w:t>
      </w:r>
    </w:p>
    <w:p w14:paraId="57C36A1E" w14:textId="319C158E" w:rsidR="00DD1F95" w:rsidRPr="00532D28" w:rsidRDefault="00532D28" w:rsidP="007D5171">
      <w:pPr>
        <w:pStyle w:val="ListParagraph"/>
        <w:numPr>
          <w:ilvl w:val="0"/>
          <w:numId w:val="1"/>
        </w:numPr>
        <w:rPr>
          <w:lang w:val="es-BO"/>
        </w:rPr>
      </w:pPr>
      <w:r>
        <w:rPr>
          <w:lang w:val="es-BO"/>
        </w:rPr>
        <w:t xml:space="preserve">Cerciorarse de </w:t>
      </w:r>
      <w:r w:rsidR="00DD1F95" w:rsidRPr="00532D28">
        <w:rPr>
          <w:lang w:val="es-BO"/>
        </w:rPr>
        <w:t xml:space="preserve">que </w:t>
      </w:r>
      <w:r>
        <w:rPr>
          <w:lang w:val="es-BO"/>
        </w:rPr>
        <w:t>toda medida de</w:t>
      </w:r>
      <w:r w:rsidR="00DD1F95" w:rsidRPr="00532D28">
        <w:rPr>
          <w:lang w:val="es-BO"/>
        </w:rPr>
        <w:t xml:space="preserve"> cuarentena o </w:t>
      </w:r>
      <w:r>
        <w:rPr>
          <w:lang w:val="es-BO"/>
        </w:rPr>
        <w:t xml:space="preserve">para </w:t>
      </w:r>
      <w:r w:rsidR="00DD1F95" w:rsidRPr="00532D28">
        <w:rPr>
          <w:lang w:val="es-BO"/>
        </w:rPr>
        <w:t xml:space="preserve">separar a los grupos enfermos o vulnerables sea temporal, para que </w:t>
      </w:r>
      <w:r>
        <w:rPr>
          <w:lang w:val="es-BO"/>
        </w:rPr>
        <w:t xml:space="preserve">las personas </w:t>
      </w:r>
      <w:r w:rsidR="00DD1F95" w:rsidRPr="00532D28">
        <w:rPr>
          <w:lang w:val="es-BO"/>
        </w:rPr>
        <w:t>puedan regresar a</w:t>
      </w:r>
      <w:r>
        <w:rPr>
          <w:lang w:val="es-BO"/>
        </w:rPr>
        <w:t xml:space="preserve"> sus</w:t>
      </w:r>
      <w:r w:rsidR="00DD1F95" w:rsidRPr="00532D28">
        <w:rPr>
          <w:lang w:val="es-BO"/>
        </w:rPr>
        <w:t xml:space="preserve"> casa</w:t>
      </w:r>
      <w:r>
        <w:rPr>
          <w:lang w:val="es-BO"/>
        </w:rPr>
        <w:t>s</w:t>
      </w:r>
      <w:r w:rsidR="00DD1F95" w:rsidRPr="00532D28">
        <w:rPr>
          <w:lang w:val="es-BO"/>
        </w:rPr>
        <w:t xml:space="preserve"> una vez que el riesgo haya </w:t>
      </w:r>
      <w:r>
        <w:rPr>
          <w:lang w:val="es-BO"/>
        </w:rPr>
        <w:t>pasado</w:t>
      </w:r>
      <w:r w:rsidR="00DD1F95" w:rsidRPr="00532D28">
        <w:rPr>
          <w:lang w:val="es-BO"/>
        </w:rPr>
        <w:t xml:space="preserve">. Dichas garantías serán esenciales para generar confianza de la comunidad </w:t>
      </w:r>
      <w:r w:rsidR="00DD1F95" w:rsidRPr="00532D28">
        <w:rPr>
          <w:lang w:val="es-BO"/>
        </w:rPr>
        <w:lastRenderedPageBreak/>
        <w:t>en las medidas de cuarentena, reduciendo</w:t>
      </w:r>
      <w:r>
        <w:rPr>
          <w:lang w:val="es-BO"/>
        </w:rPr>
        <w:t xml:space="preserve"> así</w:t>
      </w:r>
      <w:r w:rsidR="00DD1F95" w:rsidRPr="00532D28">
        <w:rPr>
          <w:lang w:val="es-BO"/>
        </w:rPr>
        <w:t xml:space="preserve"> las posibilidades de resistencia a estas medidas</w:t>
      </w:r>
      <w:r>
        <w:rPr>
          <w:lang w:val="es-BO"/>
        </w:rPr>
        <w:t>,</w:t>
      </w:r>
      <w:r w:rsidR="00DD1F95" w:rsidRPr="00532D28">
        <w:rPr>
          <w:lang w:val="es-BO"/>
        </w:rPr>
        <w:t xml:space="preserve"> que podrían obstaculizar las acciones de protección y mitigación.</w:t>
      </w:r>
    </w:p>
    <w:p w14:paraId="489E00B9" w14:textId="79957EED" w:rsidR="00DD1F95" w:rsidRDefault="00DD1F95" w:rsidP="007D5171">
      <w:pPr>
        <w:rPr>
          <w:lang w:val="es-BO"/>
        </w:rPr>
      </w:pPr>
    </w:p>
    <w:p w14:paraId="77333B3D" w14:textId="7DDDF485" w:rsidR="00DD1F95" w:rsidRPr="004F43B2" w:rsidRDefault="00DD1F95" w:rsidP="004F43B2">
      <w:pPr>
        <w:pStyle w:val="Heading3"/>
        <w:rPr>
          <w:color w:val="C00000"/>
          <w:lang w:val="es-BO"/>
        </w:rPr>
      </w:pPr>
      <w:r w:rsidRPr="004F43B2">
        <w:rPr>
          <w:color w:val="C00000"/>
          <w:lang w:val="es-BO"/>
        </w:rPr>
        <w:t>Recursos útiles</w:t>
      </w:r>
    </w:p>
    <w:p w14:paraId="662E31CC" w14:textId="096F6865" w:rsidR="00DD1F95" w:rsidRDefault="00DD1F95" w:rsidP="007D5171">
      <w:r>
        <w:t>SSHAP key-considerations-covid-19-informal-urban-settlements (March 2020) [</w:t>
      </w:r>
      <w:hyperlink r:id="rId15" w:history="1">
        <w:r w:rsidR="004F43B2" w:rsidRPr="004F43B2">
          <w:rPr>
            <w:rStyle w:val="Hyperlink"/>
          </w:rPr>
          <w:t>enlace</w:t>
        </w:r>
      </w:hyperlink>
      <w:r>
        <w:t xml:space="preserve">] </w:t>
      </w:r>
    </w:p>
    <w:p w14:paraId="153956D9" w14:textId="6AD570C5" w:rsidR="00DD1F95" w:rsidRDefault="00DD1F95" w:rsidP="007D5171">
      <w:r>
        <w:t>Global Disaster Preparedness Center COVID-19 Portal: [</w:t>
      </w:r>
      <w:hyperlink r:id="rId16" w:history="1">
        <w:r w:rsidR="004F43B2" w:rsidRPr="004F43B2">
          <w:rPr>
            <w:rStyle w:val="Hyperlink"/>
          </w:rPr>
          <w:t>enlace</w:t>
        </w:r>
      </w:hyperlink>
      <w:r>
        <w:t xml:space="preserve">] </w:t>
      </w:r>
    </w:p>
    <w:p w14:paraId="53C58059" w14:textId="4FFC5654" w:rsidR="00DD1F95" w:rsidRPr="009D676B" w:rsidRDefault="00DD1F95" w:rsidP="007D5171">
      <w:pPr>
        <w:rPr>
          <w:lang w:val="es-BO"/>
        </w:rPr>
      </w:pPr>
      <w:r w:rsidRPr="009D676B">
        <w:rPr>
          <w:lang w:val="es-BO"/>
        </w:rPr>
        <w:t>IFRC COVID-19 Community response resources [</w:t>
      </w:r>
      <w:hyperlink r:id="rId17" w:anchor="details" w:history="1">
        <w:r w:rsidR="004F43B2" w:rsidRPr="009D676B">
          <w:rPr>
            <w:rStyle w:val="Hyperlink"/>
            <w:lang w:val="es-BO"/>
          </w:rPr>
          <w:t>enlace</w:t>
        </w:r>
      </w:hyperlink>
      <w:r w:rsidRPr="009D676B">
        <w:rPr>
          <w:lang w:val="es-BO"/>
        </w:rPr>
        <w:t xml:space="preserve">] + </w:t>
      </w:r>
      <w:r w:rsidR="009D676B" w:rsidRPr="009D676B">
        <w:rPr>
          <w:lang w:val="es-BO"/>
        </w:rPr>
        <w:t>Consideraciones de protección, género e inclusión</w:t>
      </w:r>
      <w:r w:rsidR="009D676B" w:rsidRPr="009D676B">
        <w:rPr>
          <w:lang w:val="es-BO"/>
        </w:rPr>
        <w:t xml:space="preserve"> </w:t>
      </w:r>
      <w:r w:rsidRPr="009D676B">
        <w:rPr>
          <w:lang w:val="es-BO"/>
        </w:rPr>
        <w:t>[</w:t>
      </w:r>
      <w:hyperlink r:id="rId18" w:history="1">
        <w:r w:rsidR="004F43B2" w:rsidRPr="009D676B">
          <w:rPr>
            <w:rStyle w:val="Hyperlink"/>
            <w:lang w:val="es-BO"/>
          </w:rPr>
          <w:t>enlace</w:t>
        </w:r>
      </w:hyperlink>
      <w:r w:rsidRPr="009D676B">
        <w:rPr>
          <w:lang w:val="es-BO"/>
        </w:rPr>
        <w:t xml:space="preserve">] </w:t>
      </w:r>
    </w:p>
    <w:p w14:paraId="6EF86CB0" w14:textId="386139C6" w:rsidR="009D676B" w:rsidRDefault="009D676B" w:rsidP="007D5171">
      <w:pPr>
        <w:rPr>
          <w:lang w:val="es-BO"/>
        </w:rPr>
      </w:pPr>
      <w:r w:rsidRPr="009D676B">
        <w:rPr>
          <w:lang w:val="es-BO"/>
        </w:rPr>
        <w:t xml:space="preserve">Infografías del Centro de </w:t>
      </w:r>
      <w:r>
        <w:rPr>
          <w:lang w:val="es-BO"/>
        </w:rPr>
        <w:t xml:space="preserve">Medios de Vida de la FICR para </w:t>
      </w:r>
      <w:r w:rsidR="00DD1F95" w:rsidRPr="009D676B">
        <w:rPr>
          <w:lang w:val="es-BO"/>
        </w:rPr>
        <w:t xml:space="preserve">COVID 19: </w:t>
      </w:r>
      <w:hyperlink r:id="rId19" w:history="1">
        <w:r w:rsidRPr="0098428D">
          <w:rPr>
            <w:rStyle w:val="Hyperlink"/>
            <w:lang w:val="es-BO"/>
          </w:rPr>
          <w:t>https://www.livelihoodscentre.org/covid-19-and-livelihoods</w:t>
        </w:r>
      </w:hyperlink>
    </w:p>
    <w:p w14:paraId="30587AF1" w14:textId="1DC5D95D" w:rsidR="003A40C3" w:rsidRDefault="00DD1F95" w:rsidP="007D5171">
      <w:r>
        <w:t>SDI ‘Know Your City’</w:t>
      </w:r>
      <w:r w:rsidR="003A40C3">
        <w:t>:</w:t>
      </w:r>
      <w:r>
        <w:t xml:space="preserve"> </w:t>
      </w:r>
      <w:hyperlink r:id="rId20" w:history="1">
        <w:r w:rsidR="003A40C3" w:rsidRPr="0098428D">
          <w:rPr>
            <w:rStyle w:val="Hyperlink"/>
          </w:rPr>
          <w:t>https://knowyourcity.info/</w:t>
        </w:r>
      </w:hyperlink>
    </w:p>
    <w:p w14:paraId="2B13295B" w14:textId="7750A906" w:rsidR="00DD1F95" w:rsidRDefault="00DD1F95" w:rsidP="007D5171">
      <w:pPr>
        <w:rPr>
          <w:lang w:val="fr-CA"/>
        </w:rPr>
      </w:pPr>
      <w:r w:rsidRPr="00DD1F95">
        <w:rPr>
          <w:lang w:val="fr-CA"/>
        </w:rPr>
        <w:t xml:space="preserve">UN-Habitat COVID-19 </w:t>
      </w:r>
      <w:proofErr w:type="spellStart"/>
      <w:r w:rsidRPr="00DD1F95">
        <w:rPr>
          <w:lang w:val="fr-CA"/>
        </w:rPr>
        <w:t>Response</w:t>
      </w:r>
      <w:proofErr w:type="spellEnd"/>
      <w:r w:rsidRPr="00DD1F95">
        <w:rPr>
          <w:lang w:val="fr-CA"/>
        </w:rPr>
        <w:t xml:space="preserve"> [</w:t>
      </w:r>
      <w:hyperlink r:id="rId21" w:history="1">
        <w:r w:rsidR="003A40C3" w:rsidRPr="003A40C3">
          <w:rPr>
            <w:rStyle w:val="Hyperlink"/>
            <w:lang w:val="fr-CA"/>
          </w:rPr>
          <w:t>enlace</w:t>
        </w:r>
      </w:hyperlink>
      <w:r w:rsidRPr="00DD1F95">
        <w:rPr>
          <w:lang w:val="fr-CA"/>
        </w:rPr>
        <w:t>]</w:t>
      </w:r>
    </w:p>
    <w:p w14:paraId="4C4B4558" w14:textId="77777777" w:rsidR="00DD1F95" w:rsidRPr="00DD1F95" w:rsidRDefault="00DD1F95" w:rsidP="007D5171">
      <w:pPr>
        <w:rPr>
          <w:lang w:val="fr-CA"/>
        </w:rPr>
      </w:pPr>
    </w:p>
    <w:sectPr w:rsidR="00DD1F95" w:rsidRPr="00DD1F9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ilia Blades" w:date="2020-05-01T15:38:00Z" w:initials="LB">
    <w:p w14:paraId="49D11BF4" w14:textId="4B623B23" w:rsidR="00C73D50" w:rsidRDefault="00C73D50">
      <w:pPr>
        <w:pStyle w:val="CommentText"/>
      </w:pPr>
      <w:r>
        <w:rPr>
          <w:rStyle w:val="CommentReference"/>
        </w:rPr>
        <w:annotationRef/>
      </w:r>
      <w:proofErr w:type="spellStart"/>
      <w:r>
        <w:t>Suelen</w:t>
      </w:r>
      <w:proofErr w:type="spellEnd"/>
      <w:r>
        <w:t xml:space="preserve"> </w:t>
      </w:r>
      <w:proofErr w:type="spellStart"/>
      <w:r>
        <w:t>mantener</w:t>
      </w:r>
      <w:proofErr w:type="spellEnd"/>
    </w:p>
  </w:comment>
  <w:comment w:id="1" w:author="Lilia Blades" w:date="2020-05-04T14:58:00Z" w:initials="LB">
    <w:p w14:paraId="40F753C5" w14:textId="0AFF886A" w:rsidR="00C73D50" w:rsidRDefault="00C73D50">
      <w:pPr>
        <w:pStyle w:val="CommentText"/>
      </w:pPr>
      <w:r>
        <w:rPr>
          <w:rStyle w:val="CommentReference"/>
        </w:rPr>
        <w:annotationRef/>
      </w:r>
      <w:proofErr w:type="spellStart"/>
      <w:r>
        <w:t>Suelen</w:t>
      </w:r>
      <w:proofErr w:type="spellEnd"/>
      <w:r>
        <w:t xml:space="preserve"> </w:t>
      </w:r>
      <w:proofErr w:type="spellStart"/>
      <w:r>
        <w:t>regresar</w:t>
      </w:r>
      <w:proofErr w:type="spellEnd"/>
    </w:p>
  </w:comment>
  <w:comment w:id="2" w:author="Lilia Blades" w:date="2020-05-04T16:08:00Z" w:initials="LB">
    <w:p w14:paraId="57E6380A" w14:textId="4AA25D6A" w:rsidR="00206D28" w:rsidRDefault="00206D28">
      <w:pPr>
        <w:pStyle w:val="CommentText"/>
      </w:pPr>
      <w:r>
        <w:rPr>
          <w:rStyle w:val="CommentReference"/>
        </w:rPr>
        <w:annotationRef/>
      </w:r>
      <w:proofErr w:type="spellStart"/>
      <w:r>
        <w:t>Trabajar</w:t>
      </w:r>
      <w:proofErr w:type="spellEnd"/>
      <w:r>
        <w:t xml:space="preserve"> para supercar la </w:t>
      </w:r>
      <w:proofErr w:type="spellStart"/>
      <w:r>
        <w:t>desconfianza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9D11BF4" w15:done="0"/>
  <w15:commentEx w15:paraId="40F753C5" w15:done="0"/>
  <w15:commentEx w15:paraId="57E638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6C0EB" w16cex:dateUtc="2020-05-01T19:38:00Z"/>
  <w16cex:commentExtensible w16cex:durableId="225AAC0C" w16cex:dateUtc="2020-05-04T18:58:00Z"/>
  <w16cex:commentExtensible w16cex:durableId="225ABC8F" w16cex:dateUtc="2020-05-04T2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D11BF4" w16cid:durableId="2256C0EB"/>
  <w16cid:commentId w16cid:paraId="40F753C5" w16cid:durableId="225AAC0C"/>
  <w16cid:commentId w16cid:paraId="57E6380A" w16cid:durableId="225ABC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8C922" w14:textId="77777777" w:rsidR="00846303" w:rsidRDefault="00846303" w:rsidP="00A23D65">
      <w:pPr>
        <w:spacing w:after="0" w:line="240" w:lineRule="auto"/>
      </w:pPr>
      <w:r>
        <w:separator/>
      </w:r>
    </w:p>
  </w:endnote>
  <w:endnote w:type="continuationSeparator" w:id="0">
    <w:p w14:paraId="6D1E9071" w14:textId="77777777" w:rsidR="00846303" w:rsidRDefault="00846303" w:rsidP="00A2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4DC11" w14:textId="77777777" w:rsidR="00A23D65" w:rsidRDefault="00A23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BEEB8" w14:textId="77777777" w:rsidR="00A23D65" w:rsidRDefault="00A23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D71EB" w14:textId="77777777" w:rsidR="00A23D65" w:rsidRDefault="00A23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37FB4" w14:textId="77777777" w:rsidR="00846303" w:rsidRDefault="00846303" w:rsidP="00A23D65">
      <w:pPr>
        <w:spacing w:after="0" w:line="240" w:lineRule="auto"/>
      </w:pPr>
      <w:r>
        <w:separator/>
      </w:r>
    </w:p>
  </w:footnote>
  <w:footnote w:type="continuationSeparator" w:id="0">
    <w:p w14:paraId="292018C1" w14:textId="77777777" w:rsidR="00846303" w:rsidRDefault="00846303" w:rsidP="00A2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5CB8B" w14:textId="43A680C8" w:rsidR="00A23D65" w:rsidRDefault="00A23D65">
    <w:pPr>
      <w:pStyle w:val="Header"/>
    </w:pPr>
    <w:r>
      <w:rPr>
        <w:noProof/>
      </w:rPr>
      <w:pict w14:anchorId="088DD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0815610" o:spid="_x0000_s2050" type="#_x0000_t136" style="position:absolute;margin-left:0;margin-top:0;width:527.9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C6DFC" w14:textId="6C0A5989" w:rsidR="00A23D65" w:rsidRDefault="00A23D65">
    <w:pPr>
      <w:pStyle w:val="Header"/>
    </w:pPr>
    <w:r>
      <w:rPr>
        <w:noProof/>
      </w:rPr>
      <w:pict w14:anchorId="0D17FB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0815611" o:spid="_x0000_s2051" type="#_x0000_t136" style="position:absolute;margin-left:0;margin-top:0;width:527.9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E01E6" w14:textId="351B69D9" w:rsidR="00A23D65" w:rsidRDefault="00A23D65">
    <w:pPr>
      <w:pStyle w:val="Header"/>
    </w:pPr>
    <w:r>
      <w:rPr>
        <w:noProof/>
      </w:rPr>
      <w:pict w14:anchorId="6A1B51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0815609" o:spid="_x0000_s2049" type="#_x0000_t136" style="position:absolute;margin-left:0;margin-top:0;width:527.9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221FBE"/>
    <w:multiLevelType w:val="hybridMultilevel"/>
    <w:tmpl w:val="FBA45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lia Blades">
    <w15:presenceInfo w15:providerId="Windows Live" w15:userId="5df9fa6e5f0ea2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9A"/>
    <w:rsid w:val="00061723"/>
    <w:rsid w:val="000632C5"/>
    <w:rsid w:val="000914F1"/>
    <w:rsid w:val="0010553E"/>
    <w:rsid w:val="001128E2"/>
    <w:rsid w:val="001C16FB"/>
    <w:rsid w:val="001D60F1"/>
    <w:rsid w:val="00206D28"/>
    <w:rsid w:val="00213B38"/>
    <w:rsid w:val="002F0A2D"/>
    <w:rsid w:val="00371506"/>
    <w:rsid w:val="003A40C3"/>
    <w:rsid w:val="003C25B2"/>
    <w:rsid w:val="003D5825"/>
    <w:rsid w:val="003F3D42"/>
    <w:rsid w:val="004043D1"/>
    <w:rsid w:val="0049796D"/>
    <w:rsid w:val="004E6070"/>
    <w:rsid w:val="004F43B2"/>
    <w:rsid w:val="00532D28"/>
    <w:rsid w:val="0060242B"/>
    <w:rsid w:val="00610895"/>
    <w:rsid w:val="00713CE0"/>
    <w:rsid w:val="007D3B9A"/>
    <w:rsid w:val="007D5171"/>
    <w:rsid w:val="00807E00"/>
    <w:rsid w:val="00846303"/>
    <w:rsid w:val="0089455A"/>
    <w:rsid w:val="009D676B"/>
    <w:rsid w:val="00A23D65"/>
    <w:rsid w:val="00BB2410"/>
    <w:rsid w:val="00BF760D"/>
    <w:rsid w:val="00C60AD1"/>
    <w:rsid w:val="00C73D50"/>
    <w:rsid w:val="00CE1758"/>
    <w:rsid w:val="00D06DFE"/>
    <w:rsid w:val="00D61137"/>
    <w:rsid w:val="00DD1F95"/>
    <w:rsid w:val="00DE5A2D"/>
    <w:rsid w:val="00E014CA"/>
    <w:rsid w:val="00E85683"/>
    <w:rsid w:val="00F2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740298"/>
  <w15:chartTrackingRefBased/>
  <w15:docId w15:val="{6D024F79-AA36-4A91-9848-18199A57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5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1F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2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24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B2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41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55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1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D65"/>
  </w:style>
  <w:style w:type="paragraph" w:styleId="Footer">
    <w:name w:val="footer"/>
    <w:basedOn w:val="Normal"/>
    <w:link w:val="FooterChar"/>
    <w:uiPriority w:val="99"/>
    <w:unhideWhenUsed/>
    <w:rsid w:val="00A2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scienceinaction.org/resources/key-considerations-covid-19-informal-urban-settlements-march-2020/" TargetMode="External"/><Relationship Id="rId13" Type="http://schemas.microsoft.com/office/2018/08/relationships/commentsExtensible" Target="commentsExtensible.xml"/><Relationship Id="rId18" Type="http://schemas.openxmlformats.org/officeDocument/2006/relationships/hyperlink" Target="https://media.ifrc.org/ifrc/wp-content/uploads/sites/5/2020/04/Guia-basica-de-PGI-y-COVID-mensajes-clave-y-grupos-en-situacion-de-vulnerabilidad-ESP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unhabitat.org/un-habitat-covid-19-response-plan" TargetMode="Externa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yperlink" Target="https://go.ifrc.org/emergencies/3972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preparecenter.org/topics/covid-19-coronavirus" TargetMode="External"/><Relationship Id="rId20" Type="http://schemas.openxmlformats.org/officeDocument/2006/relationships/hyperlink" Target="https://knowyourcity.info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ocialscienceinaction.org/resources/key-considerations-covid-19-informal-urban-settlements-march-2020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hyperlink" Target="https://www.livelihoodscentre.org/covid-19-and-livelihoo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heltercluster.org/covid-19-and-shelter/documents/iasc-guia-provisional-escalamiento-de-covid-19-incluyendo-campamentos" TargetMode="External"/><Relationship Id="rId14" Type="http://schemas.openxmlformats.org/officeDocument/2006/relationships/hyperlink" Target="https://interagencystandingcommittee.org/system/files/2020-03/IASC%20Interim%20Guidance%20on%20COVID-19%20-%20Gender%20Alert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691B-0D9D-455E-8266-76CB5714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Blades</dc:creator>
  <cp:keywords/>
  <dc:description/>
  <cp:lastModifiedBy>Lilia Blades</cp:lastModifiedBy>
  <cp:revision>2</cp:revision>
  <dcterms:created xsi:type="dcterms:W3CDTF">2020-05-04T21:04:00Z</dcterms:created>
  <dcterms:modified xsi:type="dcterms:W3CDTF">2020-05-04T21:04:00Z</dcterms:modified>
</cp:coreProperties>
</file>