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DB" w:rsidRPr="00650EEA" w:rsidRDefault="00A45E97" w:rsidP="007924A4">
      <w:pPr>
        <w:spacing w:before="20"/>
        <w:jc w:val="center"/>
        <w:rPr>
          <w:rFonts w:asciiTheme="majorBidi" w:hAnsiTheme="majorBidi" w:cstheme="majorBidi"/>
          <w:b/>
          <w:bCs/>
          <w:noProof/>
          <w:sz w:val="22"/>
          <w:szCs w:val="22"/>
        </w:rPr>
      </w:pPr>
      <w:r w:rsidRPr="00650EEA">
        <w:rPr>
          <w:rFonts w:asciiTheme="majorBidi" w:hAnsiTheme="majorBidi" w:cstheme="majorBidi"/>
          <w:b/>
          <w:bCs/>
          <w:noProof/>
          <w:sz w:val="22"/>
          <w:szCs w:val="22"/>
        </w:rPr>
        <w:t xml:space="preserve">Egg Protection Framework </w:t>
      </w:r>
    </w:p>
    <w:p w:rsidR="00A45E97" w:rsidRPr="00650EEA" w:rsidRDefault="00A45E97" w:rsidP="007924A4">
      <w:pPr>
        <w:spacing w:before="2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50EEA">
        <w:rPr>
          <w:rFonts w:asciiTheme="majorBidi" w:hAnsiTheme="majorBidi" w:cstheme="majorBidi"/>
          <w:b/>
          <w:bCs/>
          <w:noProof/>
          <w:sz w:val="22"/>
          <w:szCs w:val="22"/>
        </w:rPr>
        <w:t xml:space="preserve">Catogorization of Shelter/NFIs activities  </w:t>
      </w:r>
    </w:p>
    <w:p w:rsidR="00C768DB" w:rsidRPr="00650EEA" w:rsidRDefault="00C768DB" w:rsidP="007924A4">
      <w:pPr>
        <w:spacing w:before="20"/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786B61" w:rsidRPr="00650EEA" w:rsidRDefault="00786B61" w:rsidP="00BB43B5">
      <w:pPr>
        <w:numPr>
          <w:ilvl w:val="0"/>
          <w:numId w:val="1"/>
        </w:numPr>
        <w:spacing w:before="20"/>
        <w:ind w:left="360"/>
        <w:rPr>
          <w:rFonts w:asciiTheme="majorBidi" w:hAnsiTheme="majorBidi" w:cstheme="majorBidi"/>
          <w:sz w:val="22"/>
          <w:szCs w:val="22"/>
        </w:rPr>
      </w:pPr>
      <w:r w:rsidRPr="00650EEA">
        <w:rPr>
          <w:rFonts w:asciiTheme="majorBidi" w:hAnsiTheme="majorBidi" w:cstheme="majorBidi"/>
          <w:b/>
          <w:bCs/>
          <w:sz w:val="22"/>
          <w:szCs w:val="22"/>
        </w:rPr>
        <w:t xml:space="preserve">Responsive: </w:t>
      </w:r>
      <w:r w:rsidR="00BB43B5">
        <w:t>any</w:t>
      </w:r>
      <w:r w:rsidR="00BB43B5">
        <w:rPr>
          <w:spacing w:val="-9"/>
        </w:rPr>
        <w:t xml:space="preserve"> </w:t>
      </w:r>
      <w:r w:rsidR="00BB43B5">
        <w:t>activity</w:t>
      </w:r>
      <w:r w:rsidR="00BB43B5">
        <w:rPr>
          <w:spacing w:val="-9"/>
        </w:rPr>
        <w:t xml:space="preserve"> </w:t>
      </w:r>
      <w:r w:rsidR="00BB43B5">
        <w:t>undertaken</w:t>
      </w:r>
      <w:r w:rsidR="00BB43B5">
        <w:rPr>
          <w:spacing w:val="-6"/>
        </w:rPr>
        <w:t xml:space="preserve"> </w:t>
      </w:r>
      <w:r w:rsidR="00BB43B5">
        <w:t>in</w:t>
      </w:r>
      <w:r w:rsidR="00BB43B5">
        <w:rPr>
          <w:spacing w:val="-7"/>
        </w:rPr>
        <w:t xml:space="preserve"> </w:t>
      </w:r>
      <w:r w:rsidR="00BB43B5">
        <w:t>connection</w:t>
      </w:r>
      <w:r w:rsidR="00BB43B5">
        <w:rPr>
          <w:spacing w:val="-6"/>
        </w:rPr>
        <w:t xml:space="preserve"> </w:t>
      </w:r>
      <w:r w:rsidR="00BB43B5">
        <w:t>with</w:t>
      </w:r>
      <w:r w:rsidR="00BB43B5">
        <w:rPr>
          <w:spacing w:val="-9"/>
        </w:rPr>
        <w:t xml:space="preserve"> </w:t>
      </w:r>
      <w:r w:rsidR="00BB43B5">
        <w:t>an</w:t>
      </w:r>
      <w:r w:rsidR="00BB43B5">
        <w:rPr>
          <w:spacing w:val="-9"/>
        </w:rPr>
        <w:t xml:space="preserve"> </w:t>
      </w:r>
      <w:r w:rsidR="00BB43B5">
        <w:t>emerging</w:t>
      </w:r>
      <w:r w:rsidR="00BB43B5">
        <w:rPr>
          <w:spacing w:val="-9"/>
        </w:rPr>
        <w:t xml:space="preserve"> </w:t>
      </w:r>
      <w:r w:rsidR="00BB43B5">
        <w:t>or</w:t>
      </w:r>
      <w:r w:rsidR="00BB43B5">
        <w:rPr>
          <w:spacing w:val="-5"/>
        </w:rPr>
        <w:t xml:space="preserve"> long-lasting need for protection from natural or manmade disasters a</w:t>
      </w:r>
      <w:r w:rsidR="00BB43B5">
        <w:t>nd aimed at alleviating its immediate</w:t>
      </w:r>
      <w:r w:rsidR="00BB43B5">
        <w:rPr>
          <w:spacing w:val="-28"/>
        </w:rPr>
        <w:t xml:space="preserve"> </w:t>
      </w:r>
      <w:r w:rsidR="00BB43B5">
        <w:t>effects</w:t>
      </w:r>
      <w:r w:rsidR="00BB43B5" w:rsidRPr="000F36D2">
        <w:t xml:space="preserve"> </w:t>
      </w:r>
      <w:r w:rsidR="00BB43B5">
        <w:t>and/or putting a stop to it.</w:t>
      </w:r>
    </w:p>
    <w:p w:rsidR="00AE2E7C" w:rsidRPr="00650EEA" w:rsidRDefault="00AE2E7C" w:rsidP="00AE2E7C">
      <w:pPr>
        <w:spacing w:before="20"/>
        <w:ind w:left="360"/>
        <w:rPr>
          <w:rFonts w:asciiTheme="majorBidi" w:hAnsiTheme="majorBidi" w:cstheme="majorBidi"/>
          <w:sz w:val="22"/>
          <w:szCs w:val="22"/>
        </w:rPr>
      </w:pPr>
    </w:p>
    <w:p w:rsidR="002C4398" w:rsidRPr="002C4398" w:rsidRDefault="002C4398" w:rsidP="002C439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2C4398">
        <w:rPr>
          <w:rFonts w:asciiTheme="majorBidi" w:hAnsiTheme="majorBidi" w:cstheme="majorBidi"/>
          <w:sz w:val="22"/>
          <w:szCs w:val="22"/>
        </w:rPr>
        <w:t>Activities that prevent displacement or provide immediate solutions for vulnerable displaced people (including NFIs, temporary shelter and Cash) for the people living in collective centers, host families/relatives or substandard  rented accommodation</w:t>
      </w:r>
    </w:p>
    <w:p w:rsidR="002C4398" w:rsidRPr="002C4398" w:rsidRDefault="002C4398" w:rsidP="002C439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2C4398">
        <w:rPr>
          <w:rFonts w:asciiTheme="majorBidi" w:hAnsiTheme="majorBidi" w:cstheme="majorBidi"/>
          <w:sz w:val="22"/>
          <w:szCs w:val="22"/>
        </w:rPr>
        <w:t>Activities that protect vulnerable people from emerging or long-lasting need for protection from natural (harsh weather conditions/summarization/winterization) or manmade (forcible transfer or settlers’ violence) disasters.</w:t>
      </w:r>
    </w:p>
    <w:p w:rsidR="007F5FDE" w:rsidRPr="00650EEA" w:rsidRDefault="007F5FDE" w:rsidP="007F5FDE">
      <w:pPr>
        <w:spacing w:before="20"/>
        <w:rPr>
          <w:rFonts w:asciiTheme="majorBidi" w:hAnsiTheme="majorBidi" w:cstheme="majorBidi"/>
          <w:sz w:val="22"/>
          <w:szCs w:val="22"/>
        </w:rPr>
      </w:pPr>
    </w:p>
    <w:p w:rsidR="00786B61" w:rsidRPr="00650EEA" w:rsidRDefault="00786B61" w:rsidP="00786B61">
      <w:pPr>
        <w:spacing w:before="20"/>
        <w:ind w:left="360"/>
        <w:rPr>
          <w:rFonts w:asciiTheme="majorBidi" w:hAnsiTheme="majorBidi" w:cstheme="majorBidi"/>
          <w:sz w:val="22"/>
          <w:szCs w:val="22"/>
        </w:rPr>
      </w:pPr>
    </w:p>
    <w:p w:rsidR="00B27822" w:rsidRDefault="00786B61" w:rsidP="00B27822">
      <w:pPr>
        <w:numPr>
          <w:ilvl w:val="0"/>
          <w:numId w:val="1"/>
        </w:numPr>
        <w:spacing w:before="20"/>
        <w:ind w:left="360"/>
        <w:rPr>
          <w:rFonts w:asciiTheme="majorBidi" w:hAnsiTheme="majorBidi" w:cstheme="majorBidi"/>
          <w:sz w:val="22"/>
          <w:szCs w:val="22"/>
        </w:rPr>
      </w:pPr>
      <w:r w:rsidRPr="00650EEA">
        <w:rPr>
          <w:rFonts w:asciiTheme="majorBidi" w:hAnsiTheme="majorBidi" w:cstheme="majorBidi"/>
          <w:b/>
          <w:bCs/>
          <w:sz w:val="22"/>
          <w:szCs w:val="22"/>
        </w:rPr>
        <w:t xml:space="preserve">Remedial: </w:t>
      </w:r>
      <w:r w:rsidRPr="00650EEA">
        <w:rPr>
          <w:rFonts w:asciiTheme="majorBidi" w:hAnsiTheme="majorBidi" w:cstheme="majorBidi"/>
          <w:bCs/>
          <w:sz w:val="22"/>
          <w:szCs w:val="22"/>
        </w:rPr>
        <w:t>priority</w:t>
      </w:r>
      <w:r w:rsidRPr="00650EEA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650EEA">
        <w:rPr>
          <w:rFonts w:asciiTheme="majorBidi" w:hAnsiTheme="majorBidi" w:cstheme="majorBidi"/>
          <w:bCs/>
          <w:sz w:val="22"/>
          <w:szCs w:val="22"/>
        </w:rPr>
        <w:t>activities that go beyond immediate response towards</w:t>
      </w:r>
      <w:r w:rsidRPr="00650EEA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650EEA">
        <w:rPr>
          <w:rFonts w:asciiTheme="majorBidi" w:hAnsiTheme="majorBidi" w:cstheme="majorBidi"/>
          <w:bCs/>
          <w:sz w:val="22"/>
          <w:szCs w:val="22"/>
        </w:rPr>
        <w:t xml:space="preserve">addressing time-sensitive or high impact underlying issues, advancing the top priority resilience needs, additional priority/time sensitive activities that </w:t>
      </w:r>
      <w:r w:rsidRPr="00650EEA">
        <w:rPr>
          <w:rFonts w:asciiTheme="majorBidi" w:hAnsiTheme="majorBidi" w:cstheme="majorBidi"/>
          <w:sz w:val="22"/>
          <w:szCs w:val="22"/>
        </w:rPr>
        <w:t>support affected people or pr</w:t>
      </w:r>
      <w:r w:rsidR="00B27822">
        <w:rPr>
          <w:rFonts w:asciiTheme="majorBidi" w:hAnsiTheme="majorBidi" w:cstheme="majorBidi"/>
          <w:sz w:val="22"/>
          <w:szCs w:val="22"/>
        </w:rPr>
        <w:t>event secondary risks.</w:t>
      </w:r>
    </w:p>
    <w:p w:rsidR="00B27822" w:rsidRDefault="00B27822" w:rsidP="00B27822">
      <w:pPr>
        <w:spacing w:before="20"/>
        <w:ind w:left="360"/>
        <w:rPr>
          <w:rFonts w:asciiTheme="majorBidi" w:hAnsiTheme="majorBidi" w:cstheme="majorBidi"/>
          <w:b/>
          <w:bCs/>
          <w:sz w:val="22"/>
          <w:szCs w:val="22"/>
        </w:rPr>
      </w:pPr>
    </w:p>
    <w:p w:rsidR="002C4398" w:rsidRPr="002C4398" w:rsidRDefault="002C4398" w:rsidP="002C439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2C4398">
        <w:rPr>
          <w:rFonts w:asciiTheme="majorBidi" w:hAnsiTheme="majorBidi" w:cstheme="majorBidi"/>
          <w:sz w:val="22"/>
          <w:szCs w:val="22"/>
        </w:rPr>
        <w:t>Activities that provide temporary/medium term shelter solutions to protect ,restore dignity and ensure adequate living conditions for  vulnerable people  including shelter repair and rehabilitation activities (in kind and cash).</w:t>
      </w:r>
    </w:p>
    <w:p w:rsidR="002C4398" w:rsidRPr="002C4398" w:rsidRDefault="002C4398" w:rsidP="002C439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Activities f</w:t>
      </w:r>
      <w:r w:rsidRPr="002C4398">
        <w:rPr>
          <w:rFonts w:asciiTheme="majorBidi" w:hAnsiTheme="majorBidi" w:cstheme="majorBidi"/>
          <w:sz w:val="22"/>
          <w:szCs w:val="22"/>
        </w:rPr>
        <w:t>ocus on adequate functionality of the main and essential shelter elements like roof and walls leakage treatment, windows and doors, suitable floor, enough space, insulation and privacy</w:t>
      </w:r>
    </w:p>
    <w:p w:rsidR="00650EEA" w:rsidRPr="00650EEA" w:rsidRDefault="00650EEA" w:rsidP="00650EEA">
      <w:pPr>
        <w:spacing w:before="20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:rsidR="00786B61" w:rsidRPr="00650EEA" w:rsidRDefault="00786B61" w:rsidP="00786B61">
      <w:pPr>
        <w:spacing w:before="20"/>
        <w:rPr>
          <w:rFonts w:asciiTheme="majorBidi" w:hAnsiTheme="majorBidi" w:cstheme="majorBidi"/>
          <w:sz w:val="22"/>
          <w:szCs w:val="22"/>
        </w:rPr>
      </w:pPr>
    </w:p>
    <w:p w:rsidR="007F5FDE" w:rsidRPr="002C4398" w:rsidRDefault="00786B61" w:rsidP="002C4398">
      <w:pPr>
        <w:numPr>
          <w:ilvl w:val="0"/>
          <w:numId w:val="1"/>
        </w:numPr>
        <w:spacing w:before="20"/>
        <w:ind w:left="360"/>
        <w:rPr>
          <w:rFonts w:asciiTheme="majorBidi" w:hAnsiTheme="majorBidi" w:cstheme="majorBidi"/>
          <w:sz w:val="22"/>
          <w:szCs w:val="22"/>
        </w:rPr>
      </w:pPr>
      <w:r w:rsidRPr="00650EEA">
        <w:rPr>
          <w:rFonts w:asciiTheme="majorBidi" w:hAnsiTheme="majorBidi" w:cstheme="majorBidi"/>
          <w:b/>
          <w:bCs/>
          <w:sz w:val="22"/>
          <w:szCs w:val="22"/>
        </w:rPr>
        <w:t xml:space="preserve">Protracted/Resilience/Environment Building: </w:t>
      </w:r>
      <w:r w:rsidR="002C4398">
        <w:rPr>
          <w:rFonts w:asciiTheme="majorBidi" w:hAnsiTheme="majorBidi" w:cstheme="majorBidi"/>
          <w:sz w:val="22"/>
          <w:szCs w:val="22"/>
        </w:rPr>
        <w:t xml:space="preserve"> </w:t>
      </w:r>
      <w:r w:rsidR="00C21C11" w:rsidRPr="002C4398">
        <w:rPr>
          <w:rFonts w:asciiTheme="majorBidi" w:hAnsiTheme="majorBidi" w:cstheme="majorBidi"/>
          <w:bCs/>
          <w:sz w:val="22"/>
          <w:szCs w:val="22"/>
        </w:rPr>
        <w:t>Activities that address critical gaps in the system or context, which result in widespread need.  These may be system-wide activities and/or are those linked to the protracted nature of the crisis, which if addressed, would decrease the need for responsive activities listed above</w:t>
      </w:r>
      <w:r w:rsidR="002C4398">
        <w:rPr>
          <w:rFonts w:asciiTheme="majorBidi" w:hAnsiTheme="majorBidi" w:cstheme="majorBidi"/>
          <w:bCs/>
          <w:sz w:val="22"/>
          <w:szCs w:val="22"/>
        </w:rPr>
        <w:t>.</w:t>
      </w:r>
    </w:p>
    <w:p w:rsidR="00C21C11" w:rsidRDefault="00C21C11" w:rsidP="00C21C11">
      <w:pPr>
        <w:pStyle w:val="ListParagraph"/>
        <w:numPr>
          <w:ilvl w:val="0"/>
          <w:numId w:val="9"/>
        </w:numPr>
        <w:spacing w:before="20"/>
        <w:rPr>
          <w:rFonts w:asciiTheme="majorBidi" w:hAnsiTheme="majorBidi" w:cstheme="majorBidi"/>
          <w:sz w:val="22"/>
          <w:szCs w:val="22"/>
        </w:rPr>
      </w:pPr>
      <w:r w:rsidRPr="00650EEA">
        <w:rPr>
          <w:rFonts w:asciiTheme="majorBidi" w:hAnsiTheme="majorBidi" w:cstheme="majorBidi"/>
          <w:bCs/>
          <w:sz w:val="22"/>
          <w:szCs w:val="22"/>
        </w:rPr>
        <w:t xml:space="preserve">activities that </w:t>
      </w:r>
      <w:r w:rsidRPr="00650EEA">
        <w:rPr>
          <w:rFonts w:asciiTheme="majorBidi" w:hAnsiTheme="majorBidi" w:cstheme="majorBidi"/>
          <w:sz w:val="22"/>
          <w:szCs w:val="22"/>
        </w:rPr>
        <w:t>contribute to environment that encourages authorities to respect their obligations and rights of individuals; change in attitudes, policies, values, beliefs; address underlying causes of humanitarian vulnerabilities</w:t>
      </w:r>
    </w:p>
    <w:p w:rsidR="006956C8" w:rsidRPr="00F011B1" w:rsidRDefault="00F011B1" w:rsidP="00F011B1">
      <w:pPr>
        <w:pStyle w:val="ListParagraph"/>
        <w:numPr>
          <w:ilvl w:val="0"/>
          <w:numId w:val="9"/>
        </w:numPr>
        <w:spacing w:before="20"/>
        <w:rPr>
          <w:rFonts w:asciiTheme="majorBidi" w:hAnsiTheme="majorBidi" w:cstheme="majorBidi"/>
          <w:sz w:val="22"/>
          <w:szCs w:val="22"/>
        </w:rPr>
      </w:pPr>
      <w:r w:rsidRPr="00F011B1">
        <w:rPr>
          <w:rFonts w:asciiTheme="majorBidi" w:hAnsiTheme="majorBidi" w:cstheme="majorBidi"/>
          <w:sz w:val="22"/>
          <w:szCs w:val="22"/>
        </w:rPr>
        <w:t>Activities</w:t>
      </w:r>
      <w:r w:rsidR="00AE1CB5" w:rsidRPr="00F011B1">
        <w:rPr>
          <w:rFonts w:asciiTheme="majorBidi" w:hAnsiTheme="majorBidi" w:cstheme="majorBidi"/>
          <w:sz w:val="22"/>
          <w:szCs w:val="22"/>
        </w:rPr>
        <w:t xml:space="preserve"> such as </w:t>
      </w:r>
      <w:r w:rsidR="00AE1CB5" w:rsidRPr="00F011B1">
        <w:rPr>
          <w:rFonts w:asciiTheme="majorBidi" w:hAnsiTheme="majorBidi" w:cstheme="majorBidi"/>
          <w:sz w:val="22"/>
          <w:szCs w:val="22"/>
          <w:lang w:val="en-GB"/>
        </w:rPr>
        <w:t>Agency stockpiling and pre-positioning, Prepar</w:t>
      </w:r>
      <w:r w:rsidR="00DF1B58">
        <w:rPr>
          <w:rFonts w:asciiTheme="majorBidi" w:hAnsiTheme="majorBidi" w:cstheme="majorBidi"/>
          <w:sz w:val="22"/>
          <w:szCs w:val="22"/>
          <w:lang w:val="en-GB"/>
        </w:rPr>
        <w:t>edness and upgrading of DES,</w:t>
      </w:r>
      <w:r w:rsidR="00AE1CB5" w:rsidRPr="00F011B1">
        <w:rPr>
          <w:rFonts w:asciiTheme="majorBidi" w:hAnsiTheme="majorBidi" w:cstheme="majorBidi"/>
          <w:sz w:val="22"/>
          <w:szCs w:val="22"/>
          <w:lang w:val="en-GB"/>
        </w:rPr>
        <w:t xml:space="preserve"> Community capacity building and a</w:t>
      </w:r>
      <w:r w:rsidR="00DF1B58">
        <w:rPr>
          <w:rFonts w:asciiTheme="majorBidi" w:hAnsiTheme="majorBidi" w:cstheme="majorBidi"/>
          <w:sz w:val="22"/>
          <w:szCs w:val="22"/>
          <w:lang w:val="en-GB"/>
        </w:rPr>
        <w:t>wareness raising</w:t>
      </w:r>
      <w:r w:rsidR="00AE1CB5" w:rsidRPr="00F011B1">
        <w:rPr>
          <w:rFonts w:asciiTheme="majorBidi" w:hAnsiTheme="majorBidi" w:cstheme="majorBidi"/>
          <w:sz w:val="22"/>
          <w:szCs w:val="22"/>
          <w:lang w:val="en-GB"/>
        </w:rPr>
        <w:t>.</w:t>
      </w:r>
    </w:p>
    <w:p w:rsidR="00F011B1" w:rsidRDefault="00F011B1" w:rsidP="00F011B1">
      <w:pPr>
        <w:spacing w:before="20"/>
        <w:ind w:left="720"/>
        <w:rPr>
          <w:rFonts w:asciiTheme="majorBidi" w:hAnsiTheme="majorBidi" w:cstheme="majorBidi"/>
          <w:sz w:val="22"/>
          <w:szCs w:val="22"/>
        </w:rPr>
      </w:pPr>
    </w:p>
    <w:p w:rsidR="003713C2" w:rsidRPr="003713C2" w:rsidRDefault="003713C2" w:rsidP="003713C2">
      <w:pPr>
        <w:spacing w:before="20"/>
        <w:rPr>
          <w:rFonts w:asciiTheme="majorBidi" w:hAnsiTheme="majorBidi" w:cstheme="majorBidi"/>
          <w:b/>
          <w:bCs/>
        </w:rPr>
      </w:pPr>
      <w:r w:rsidRPr="003713C2">
        <w:rPr>
          <w:rFonts w:asciiTheme="majorBidi" w:hAnsiTheme="majorBidi" w:cstheme="majorBidi"/>
          <w:b/>
          <w:bCs/>
        </w:rPr>
        <w:t>Cluster strategy and objectives:</w:t>
      </w:r>
    </w:p>
    <w:p w:rsidR="003713C2" w:rsidRDefault="003713C2" w:rsidP="00F011B1">
      <w:pPr>
        <w:spacing w:before="20"/>
        <w:ind w:left="720"/>
        <w:rPr>
          <w:rFonts w:asciiTheme="majorBidi" w:hAnsiTheme="majorBidi" w:cstheme="majorBidi"/>
          <w:sz w:val="22"/>
          <w:szCs w:val="22"/>
        </w:rPr>
      </w:pPr>
    </w:p>
    <w:p w:rsidR="00000000" w:rsidRPr="003713C2" w:rsidRDefault="003713C2" w:rsidP="003713C2">
      <w:pPr>
        <w:pStyle w:val="ListParagraph"/>
        <w:numPr>
          <w:ilvl w:val="0"/>
          <w:numId w:val="9"/>
        </w:numPr>
        <w:spacing w:before="20" w:line="276" w:lineRule="auto"/>
        <w:rPr>
          <w:rFonts w:asciiTheme="majorBidi" w:hAnsiTheme="majorBidi" w:cstheme="majorBidi"/>
          <w:sz w:val="22"/>
          <w:szCs w:val="22"/>
        </w:rPr>
      </w:pPr>
      <w:r w:rsidRPr="003713C2">
        <w:rPr>
          <w:rFonts w:asciiTheme="majorBidi" w:hAnsiTheme="majorBidi" w:cstheme="majorBidi"/>
          <w:sz w:val="22"/>
          <w:szCs w:val="22"/>
        </w:rPr>
        <w:t>Displaced populations are provided support that mitigates immediate harm and ensures adequate and s</w:t>
      </w:r>
      <w:r>
        <w:rPr>
          <w:rFonts w:asciiTheme="majorBidi" w:hAnsiTheme="majorBidi" w:cstheme="majorBidi"/>
          <w:sz w:val="22"/>
          <w:szCs w:val="22"/>
        </w:rPr>
        <w:t>afe temporary shelter solutions.</w:t>
      </w:r>
    </w:p>
    <w:p w:rsidR="00000000" w:rsidRPr="003713C2" w:rsidRDefault="003713C2" w:rsidP="003713C2">
      <w:pPr>
        <w:pStyle w:val="ListParagraph"/>
        <w:numPr>
          <w:ilvl w:val="0"/>
          <w:numId w:val="9"/>
        </w:numPr>
        <w:spacing w:before="20" w:line="276" w:lineRule="auto"/>
        <w:rPr>
          <w:rFonts w:asciiTheme="majorBidi" w:hAnsiTheme="majorBidi" w:cstheme="majorBidi"/>
          <w:sz w:val="22"/>
          <w:szCs w:val="22"/>
        </w:rPr>
      </w:pPr>
      <w:r w:rsidRPr="003713C2">
        <w:rPr>
          <w:rFonts w:asciiTheme="majorBidi" w:hAnsiTheme="majorBidi" w:cstheme="majorBidi"/>
          <w:sz w:val="22"/>
          <w:szCs w:val="22"/>
        </w:rPr>
        <w:t>Vulnerable households exposed to harsh weathe</w:t>
      </w:r>
      <w:r w:rsidRPr="003713C2">
        <w:rPr>
          <w:rFonts w:asciiTheme="majorBidi" w:hAnsiTheme="majorBidi" w:cstheme="majorBidi"/>
          <w:sz w:val="22"/>
          <w:szCs w:val="22"/>
        </w:rPr>
        <w:t xml:space="preserve">r and protection concerns are supported to meet basic needs and enhance </w:t>
      </w:r>
      <w:r w:rsidRPr="003713C2">
        <w:rPr>
          <w:rFonts w:asciiTheme="majorBidi" w:hAnsiTheme="majorBidi" w:cstheme="majorBidi"/>
          <w:bCs/>
          <w:sz w:val="22"/>
          <w:szCs w:val="22"/>
        </w:rPr>
        <w:t>their</w:t>
      </w:r>
      <w:r>
        <w:rPr>
          <w:rFonts w:asciiTheme="majorBidi" w:hAnsiTheme="majorBidi" w:cstheme="majorBidi"/>
          <w:sz w:val="22"/>
          <w:szCs w:val="22"/>
        </w:rPr>
        <w:t xml:space="preserve"> coping capacity.</w:t>
      </w:r>
    </w:p>
    <w:p w:rsidR="00000000" w:rsidRPr="003713C2" w:rsidRDefault="003713C2" w:rsidP="003713C2">
      <w:pPr>
        <w:pStyle w:val="ListParagraph"/>
        <w:numPr>
          <w:ilvl w:val="0"/>
          <w:numId w:val="9"/>
        </w:numPr>
        <w:spacing w:before="20" w:line="276" w:lineRule="auto"/>
        <w:rPr>
          <w:rFonts w:asciiTheme="majorBidi" w:hAnsiTheme="majorBidi" w:cstheme="majorBidi"/>
          <w:sz w:val="22"/>
          <w:szCs w:val="22"/>
        </w:rPr>
      </w:pPr>
      <w:r w:rsidRPr="003713C2">
        <w:rPr>
          <w:rFonts w:asciiTheme="majorBidi" w:hAnsiTheme="majorBidi" w:cstheme="majorBidi"/>
          <w:sz w:val="22"/>
          <w:szCs w:val="22"/>
        </w:rPr>
        <w:t>Capacity to respo</w:t>
      </w:r>
      <w:r w:rsidRPr="003713C2">
        <w:rPr>
          <w:rFonts w:asciiTheme="majorBidi" w:hAnsiTheme="majorBidi" w:cstheme="majorBidi"/>
          <w:sz w:val="22"/>
          <w:szCs w:val="22"/>
        </w:rPr>
        <w:t>nd to natural or manmade hazards in a timely, efficient an</w:t>
      </w:r>
      <w:r>
        <w:rPr>
          <w:rFonts w:asciiTheme="majorBidi" w:hAnsiTheme="majorBidi" w:cstheme="majorBidi"/>
          <w:sz w:val="22"/>
          <w:szCs w:val="22"/>
        </w:rPr>
        <w:t>d effective manner is increased.</w:t>
      </w:r>
    </w:p>
    <w:p w:rsidR="003713C2" w:rsidRPr="00F011B1" w:rsidRDefault="003713C2" w:rsidP="00F011B1">
      <w:pPr>
        <w:spacing w:before="20"/>
        <w:ind w:left="720"/>
        <w:rPr>
          <w:rFonts w:asciiTheme="majorBidi" w:hAnsiTheme="majorBidi" w:cstheme="majorBidi"/>
          <w:sz w:val="22"/>
          <w:szCs w:val="22"/>
        </w:rPr>
      </w:pPr>
    </w:p>
    <w:p w:rsidR="00AE2E7C" w:rsidRDefault="00AE2E7C" w:rsidP="00AE2E7C">
      <w:pPr>
        <w:spacing w:before="20"/>
        <w:ind w:left="720"/>
        <w:rPr>
          <w:rFonts w:asciiTheme="majorBidi" w:hAnsiTheme="majorBidi" w:cstheme="majorBidi"/>
          <w:sz w:val="22"/>
          <w:szCs w:val="22"/>
          <w:rtl/>
        </w:rPr>
      </w:pPr>
      <w:r w:rsidRPr="00650EEA">
        <w:rPr>
          <w:rFonts w:asciiTheme="majorBidi" w:hAnsiTheme="majorBidi" w:cstheme="majorBidi"/>
          <w:sz w:val="22"/>
          <w:szCs w:val="22"/>
        </w:rPr>
        <w:t xml:space="preserve"> </w:t>
      </w:r>
    </w:p>
    <w:p w:rsidR="006D354D" w:rsidRPr="006D354D" w:rsidRDefault="006D354D" w:rsidP="006D354D">
      <w:pPr>
        <w:spacing w:after="160" w:line="259" w:lineRule="auto"/>
        <w:contextualSpacing/>
        <w:rPr>
          <w:rFonts w:asciiTheme="majorBidi" w:eastAsiaTheme="minorHAnsi" w:hAnsiTheme="majorBidi" w:cstheme="majorBidi"/>
          <w:b/>
          <w:bCs/>
          <w:sz w:val="22"/>
          <w:szCs w:val="22"/>
        </w:rPr>
      </w:pPr>
      <w:r w:rsidRPr="006D354D">
        <w:rPr>
          <w:rFonts w:asciiTheme="majorBidi" w:eastAsiaTheme="minorHAnsi" w:hAnsiTheme="majorBidi" w:cstheme="majorBidi"/>
          <w:b/>
          <w:bCs/>
          <w:sz w:val="22"/>
          <w:szCs w:val="22"/>
        </w:rPr>
        <w:t>Criteria used to prioritize interventions</w:t>
      </w:r>
    </w:p>
    <w:p w:rsidR="006D354D" w:rsidRDefault="006D354D" w:rsidP="006D354D">
      <w:pPr>
        <w:pStyle w:val="ListParagraph"/>
        <w:spacing w:before="20"/>
        <w:rPr>
          <w:rFonts w:asciiTheme="majorBidi" w:hAnsiTheme="majorBidi" w:cstheme="majorBidi"/>
          <w:b/>
          <w:sz w:val="22"/>
          <w:szCs w:val="22"/>
        </w:rPr>
      </w:pPr>
    </w:p>
    <w:p w:rsidR="006D354D" w:rsidRPr="00A04884" w:rsidRDefault="006D354D" w:rsidP="006D354D">
      <w:pPr>
        <w:jc w:val="both"/>
      </w:pPr>
      <w:r>
        <w:t xml:space="preserve">For 2019 projects, the cluster partners to adopt multi-dimensional prioritization approach based on adequate assessment and analysis for protection, socio-economic conditions, shelter vulnerability and the targeted geographical areas for proposed interventions. </w:t>
      </w:r>
      <w:r w:rsidRPr="00A04884">
        <w:t>The Shelter Cluster gives priority to those projects targeting particularly vulnerable groups</w:t>
      </w:r>
      <w:r>
        <w:t>, displaced or under risk of displacement people, groups suffer from protection violence</w:t>
      </w:r>
      <w:r w:rsidRPr="00A04884">
        <w:t>, such as herding and marginalized communities located entirely in Area C</w:t>
      </w:r>
      <w:r>
        <w:rPr>
          <w:lang w:val="en-GB"/>
        </w:rPr>
        <w:t xml:space="preserve"> with poor shelters and in need </w:t>
      </w:r>
      <w:r>
        <w:rPr>
          <w:lang w:val="en-GB"/>
        </w:rPr>
        <w:lastRenderedPageBreak/>
        <w:t>for immediate protection</w:t>
      </w:r>
      <w:r>
        <w:t>. V</w:t>
      </w:r>
      <w:r w:rsidRPr="00A04884">
        <w:t>ulnerable households in areas prone to flooding</w:t>
      </w:r>
      <w:r>
        <w:t xml:space="preserve"> and have concerns from shelter inadequacy to withstand severe weather conditions. P</w:t>
      </w:r>
      <w:r w:rsidRPr="00A04884">
        <w:t>art</w:t>
      </w:r>
      <w:r>
        <w:rPr>
          <w:lang w:val="en-GB"/>
        </w:rPr>
        <w:t xml:space="preserve"> of </w:t>
      </w:r>
      <w:r w:rsidRPr="00A04884">
        <w:t>IDPs</w:t>
      </w:r>
      <w:r>
        <w:t xml:space="preserve"> that rely on the assistance to pay the rental costs and families evicted from their homes for the inability to pay the rental costs,</w:t>
      </w:r>
      <w:r w:rsidRPr="00A04884">
        <w:t xml:space="preserve"> </w:t>
      </w:r>
      <w:r>
        <w:t>People with Disabilities (</w:t>
      </w:r>
      <w:r w:rsidRPr="00A04884">
        <w:t>PWDs</w:t>
      </w:r>
      <w:r>
        <w:t>)</w:t>
      </w:r>
      <w:r w:rsidRPr="00A04884">
        <w:t xml:space="preserve"> and widowed, separated or abandoned female-headed households</w:t>
      </w:r>
      <w:r>
        <w:t xml:space="preserve"> living in poor substandard shelters</w:t>
      </w:r>
      <w:r w:rsidRPr="00A04884">
        <w:t xml:space="preserve">. In addition, the cluster prioritizes projects that aim to reduce the number of people in need and decrease recurrent assistance by providing more durable and sustainable materials.   </w:t>
      </w:r>
    </w:p>
    <w:p w:rsidR="00786B61" w:rsidRPr="00650EEA" w:rsidRDefault="00786B61" w:rsidP="00AE2E7C">
      <w:pPr>
        <w:spacing w:before="20"/>
        <w:rPr>
          <w:rFonts w:asciiTheme="majorBidi" w:hAnsiTheme="majorBidi" w:cstheme="majorBidi"/>
          <w:sz w:val="22"/>
          <w:szCs w:val="22"/>
        </w:rPr>
      </w:pPr>
    </w:p>
    <w:p w:rsidR="00297729" w:rsidRDefault="00297729" w:rsidP="00A45E97">
      <w:pPr>
        <w:pStyle w:val="ListParagraph"/>
        <w:spacing w:before="20"/>
        <w:rPr>
          <w:rFonts w:asciiTheme="majorBidi" w:hAnsiTheme="majorBidi" w:cstheme="majorBidi"/>
          <w:b/>
          <w:sz w:val="22"/>
          <w:szCs w:val="22"/>
        </w:rPr>
      </w:pPr>
    </w:p>
    <w:p w:rsidR="00297729" w:rsidRPr="00650EEA" w:rsidRDefault="00297729" w:rsidP="00A45E97">
      <w:pPr>
        <w:pStyle w:val="ListParagraph"/>
        <w:spacing w:before="20"/>
        <w:rPr>
          <w:rFonts w:asciiTheme="majorBidi" w:hAnsiTheme="majorBidi" w:cstheme="majorBidi"/>
          <w:b/>
          <w:sz w:val="22"/>
          <w:szCs w:val="22"/>
        </w:rPr>
      </w:pPr>
    </w:p>
    <w:p w:rsidR="00297729" w:rsidRPr="00650EEA" w:rsidRDefault="000317A7" w:rsidP="000317A7">
      <w:pPr>
        <w:pStyle w:val="ListParagraph"/>
        <w:spacing w:before="20"/>
        <w:ind w:hanging="578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Activities Related to Each Category:</w:t>
      </w:r>
    </w:p>
    <w:p w:rsidR="00297729" w:rsidRPr="00650EEA" w:rsidRDefault="00297729" w:rsidP="00A45E97">
      <w:pPr>
        <w:pStyle w:val="ListParagraph"/>
        <w:spacing w:before="20"/>
        <w:rPr>
          <w:rFonts w:asciiTheme="majorBidi" w:hAnsiTheme="majorBidi" w:cstheme="majorBidi"/>
          <w:b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52"/>
        <w:gridCol w:w="9201"/>
      </w:tblGrid>
      <w:tr w:rsidR="00650EEA" w:rsidRPr="00650EEA" w:rsidTr="000317A7">
        <w:tc>
          <w:tcPr>
            <w:tcW w:w="1298" w:type="dxa"/>
          </w:tcPr>
          <w:p w:rsidR="00650EEA" w:rsidRPr="000317A7" w:rsidRDefault="00650EEA" w:rsidP="00FF42F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17A7">
              <w:rPr>
                <w:rFonts w:asciiTheme="minorBidi" w:hAnsiTheme="minorBidi" w:cstheme="minorBidi"/>
                <w:sz w:val="22"/>
                <w:szCs w:val="22"/>
              </w:rPr>
              <w:t>Responsive</w:t>
            </w:r>
          </w:p>
        </w:tc>
        <w:tc>
          <w:tcPr>
            <w:tcW w:w="9355" w:type="dxa"/>
          </w:tcPr>
          <w:p w:rsidR="009773DD" w:rsidRPr="009773DD" w:rsidRDefault="009773DD" w:rsidP="009773DD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</w:rPr>
              <w:t>Provision of temporary shelter assistance to IDPs from previous conflicts and rely on the TSCA to pay the rental accommodation.</w:t>
            </w:r>
          </w:p>
          <w:p w:rsidR="009773DD" w:rsidRPr="009773DD" w:rsidRDefault="009773DD" w:rsidP="009773DD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Provision of shelter assistance to non-Palestine and Palestine refugees from the region</w:t>
            </w:r>
          </w:p>
          <w:p w:rsidR="009773DD" w:rsidRPr="009773DD" w:rsidRDefault="009773DD" w:rsidP="009773DD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Provision of shelter assistance to households internally displaced or at risk of displacements due to economic deterioration and salary cuts.</w:t>
            </w:r>
          </w:p>
          <w:p w:rsidR="00650EEA" w:rsidRDefault="009773DD" w:rsidP="006D354D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Provision of shelter assistance and protection to households affected by demolitions or settlers violence.</w:t>
            </w:r>
          </w:p>
          <w:p w:rsidR="006D354D" w:rsidRPr="006D354D" w:rsidRDefault="006D354D" w:rsidP="006D354D">
            <w:pPr>
              <w:spacing w:after="160" w:line="259" w:lineRule="auto"/>
              <w:ind w:left="720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650EEA" w:rsidRPr="00650EEA" w:rsidTr="000317A7">
        <w:tc>
          <w:tcPr>
            <w:tcW w:w="1298" w:type="dxa"/>
          </w:tcPr>
          <w:p w:rsidR="00650EEA" w:rsidRPr="000317A7" w:rsidRDefault="00650EEA" w:rsidP="00FF42F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17A7">
              <w:rPr>
                <w:rFonts w:asciiTheme="minorBidi" w:hAnsiTheme="minorBidi" w:cstheme="minorBidi"/>
                <w:sz w:val="22"/>
                <w:szCs w:val="22"/>
              </w:rPr>
              <w:t>Remedial</w:t>
            </w:r>
          </w:p>
        </w:tc>
        <w:tc>
          <w:tcPr>
            <w:tcW w:w="9355" w:type="dxa"/>
          </w:tcPr>
          <w:p w:rsidR="009773DD" w:rsidRPr="009773DD" w:rsidRDefault="009773DD" w:rsidP="009773DD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 xml:space="preserve">Shelter maintenance, rehabilitation or upgrading through providing cash or materials assistance for vulnerable people with protection concerns. </w:t>
            </w:r>
          </w:p>
          <w:p w:rsidR="009773DD" w:rsidRPr="009773DD" w:rsidRDefault="009773DD" w:rsidP="009773DD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 xml:space="preserve">Restoration and repair of conflict-affected shelters for the prioritized families. </w:t>
            </w:r>
          </w:p>
          <w:p w:rsidR="00650EEA" w:rsidRDefault="009773DD" w:rsidP="006D354D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Provision of winterization/summarization assistance and/or shelter/household NFIs to vulnerable households at risk of exposure or affected by natural or manmade hazards (e.g. winter storms, flooding, hot summer)</w:t>
            </w:r>
          </w:p>
          <w:p w:rsidR="006D354D" w:rsidRPr="006D354D" w:rsidRDefault="006D354D" w:rsidP="006D354D">
            <w:pPr>
              <w:spacing w:after="160" w:line="259" w:lineRule="auto"/>
              <w:ind w:left="720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650EEA" w:rsidRPr="00650EEA" w:rsidTr="000317A7">
        <w:tc>
          <w:tcPr>
            <w:tcW w:w="1298" w:type="dxa"/>
          </w:tcPr>
          <w:p w:rsidR="00650EEA" w:rsidRPr="000317A7" w:rsidRDefault="00650EEA" w:rsidP="00FF42F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17A7">
              <w:rPr>
                <w:rFonts w:asciiTheme="minorBidi" w:hAnsiTheme="minorBidi" w:cstheme="minorBidi"/>
                <w:sz w:val="22"/>
                <w:szCs w:val="22"/>
              </w:rPr>
              <w:t>Environment Building</w:t>
            </w:r>
          </w:p>
        </w:tc>
        <w:tc>
          <w:tcPr>
            <w:tcW w:w="9355" w:type="dxa"/>
          </w:tcPr>
          <w:p w:rsidR="00C21C11" w:rsidRPr="009773DD" w:rsidRDefault="00C21C11" w:rsidP="009773DD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Activities that increases the capacity of the government institutions, communities and individuals to address the sustainable and durable solutions.</w:t>
            </w:r>
          </w:p>
          <w:p w:rsidR="00C21C11" w:rsidRPr="009773DD" w:rsidRDefault="00C21C11" w:rsidP="009773DD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  <w:r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Improve the preparedness measures including rehabilitation and upgrading of DES, pre-</w:t>
            </w:r>
            <w:r w:rsidR="00133FD4" w:rsidRPr="009773DD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  <w:t>positioning of emergency items.</w:t>
            </w:r>
          </w:p>
          <w:p w:rsidR="00C21C11" w:rsidRPr="000317A7" w:rsidRDefault="00C21C11" w:rsidP="00C21C11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50EEA" w:rsidRDefault="00650EEA" w:rsidP="00A45E97">
      <w:pPr>
        <w:pStyle w:val="ListParagraph"/>
        <w:spacing w:before="20"/>
        <w:rPr>
          <w:rFonts w:asciiTheme="majorBidi" w:hAnsiTheme="majorBidi" w:cstheme="majorBidi"/>
          <w:b/>
          <w:sz w:val="22"/>
          <w:szCs w:val="22"/>
        </w:rPr>
      </w:pPr>
    </w:p>
    <w:p w:rsidR="006D354D" w:rsidRDefault="006D354D" w:rsidP="00A45E97">
      <w:pPr>
        <w:pStyle w:val="ListParagraph"/>
        <w:spacing w:before="20"/>
        <w:rPr>
          <w:rFonts w:asciiTheme="majorBidi" w:hAnsiTheme="majorBidi" w:cstheme="majorBidi"/>
          <w:b/>
          <w:sz w:val="22"/>
          <w:szCs w:val="22"/>
        </w:rPr>
      </w:pPr>
    </w:p>
    <w:p w:rsidR="00DF1B58" w:rsidRPr="002C4398" w:rsidRDefault="002C4398" w:rsidP="002C4398">
      <w:pPr>
        <w:spacing w:before="20"/>
        <w:rPr>
          <w:rFonts w:asciiTheme="majorBidi" w:hAnsiTheme="majorBidi" w:cstheme="majorBidi"/>
          <w:b/>
          <w:sz w:val="22"/>
          <w:szCs w:val="22"/>
          <w:u w:val="single"/>
        </w:rPr>
      </w:pPr>
      <w:r w:rsidRPr="002C4398">
        <w:rPr>
          <w:rFonts w:asciiTheme="majorBidi" w:hAnsiTheme="majorBidi" w:cstheme="majorBidi"/>
          <w:b/>
          <w:sz w:val="22"/>
          <w:szCs w:val="22"/>
          <w:u w:val="single"/>
        </w:rPr>
        <w:t>Priority for Geographical Areas:</w:t>
      </w:r>
    </w:p>
    <w:p w:rsidR="002C4398" w:rsidRPr="002C4398" w:rsidRDefault="002C4398" w:rsidP="002C4398">
      <w:pPr>
        <w:pStyle w:val="ListParagraph"/>
        <w:numPr>
          <w:ilvl w:val="0"/>
          <w:numId w:val="16"/>
        </w:numPr>
        <w:spacing w:before="20"/>
        <w:rPr>
          <w:rFonts w:asciiTheme="minorBidi" w:hAnsiTheme="minorBidi" w:cstheme="minorBidi"/>
          <w:sz w:val="22"/>
          <w:szCs w:val="22"/>
        </w:rPr>
      </w:pPr>
      <w:r w:rsidRPr="002C4398">
        <w:rPr>
          <w:rFonts w:asciiTheme="minorBidi" w:hAnsiTheme="minorBidi" w:cstheme="minorBidi"/>
          <w:sz w:val="22"/>
          <w:szCs w:val="22"/>
        </w:rPr>
        <w:t>All Gaza</w:t>
      </w:r>
    </w:p>
    <w:p w:rsidR="002C4398" w:rsidRPr="002C4398" w:rsidRDefault="002C4398" w:rsidP="002C4398">
      <w:pPr>
        <w:pStyle w:val="ListParagraph"/>
        <w:numPr>
          <w:ilvl w:val="0"/>
          <w:numId w:val="16"/>
        </w:numPr>
        <w:spacing w:before="20"/>
        <w:rPr>
          <w:rFonts w:asciiTheme="minorBidi" w:hAnsiTheme="minorBidi" w:cstheme="minorBidi"/>
          <w:sz w:val="22"/>
          <w:szCs w:val="22"/>
        </w:rPr>
      </w:pPr>
      <w:r w:rsidRPr="002C4398">
        <w:rPr>
          <w:rFonts w:asciiTheme="minorBidi" w:hAnsiTheme="minorBidi" w:cstheme="minorBidi"/>
          <w:sz w:val="22"/>
          <w:szCs w:val="22"/>
        </w:rPr>
        <w:t>WB (area C in general with special focus on poor Bedouin and herding communities, communities at risk of forcible transfer or settlers ‘violence</w:t>
      </w:r>
      <w:r>
        <w:rPr>
          <w:rFonts w:asciiTheme="minorBidi" w:hAnsiTheme="minorBidi" w:cstheme="minorBidi"/>
          <w:sz w:val="22"/>
          <w:szCs w:val="22"/>
        </w:rPr>
        <w:t>, EJ and H2</w:t>
      </w:r>
      <w:r w:rsidRPr="002C4398">
        <w:rPr>
          <w:rFonts w:asciiTheme="minorBidi" w:hAnsiTheme="minorBidi" w:cstheme="minorBidi"/>
          <w:sz w:val="22"/>
          <w:szCs w:val="22"/>
        </w:rPr>
        <w:t>)</w:t>
      </w:r>
    </w:p>
    <w:p w:rsidR="002C4398" w:rsidRPr="002C4398" w:rsidRDefault="002C4398" w:rsidP="002C4398">
      <w:pPr>
        <w:spacing w:before="20"/>
        <w:rPr>
          <w:rFonts w:asciiTheme="minorBidi" w:hAnsiTheme="minorBidi" w:cstheme="minorBidi"/>
          <w:sz w:val="22"/>
          <w:szCs w:val="22"/>
        </w:rPr>
      </w:pPr>
    </w:p>
    <w:p w:rsidR="002C4398" w:rsidRPr="002C4398" w:rsidRDefault="002C4398" w:rsidP="002C4398">
      <w:pPr>
        <w:pStyle w:val="ListParagraph"/>
        <w:numPr>
          <w:ilvl w:val="0"/>
          <w:numId w:val="16"/>
        </w:numPr>
        <w:spacing w:before="20"/>
        <w:jc w:val="both"/>
        <w:rPr>
          <w:rFonts w:asciiTheme="minorBidi" w:hAnsiTheme="minorBidi" w:cstheme="minorBidi"/>
          <w:sz w:val="22"/>
          <w:szCs w:val="22"/>
          <w:rtl/>
        </w:rPr>
      </w:pPr>
      <w:r w:rsidRPr="002C4398">
        <w:rPr>
          <w:rFonts w:asciiTheme="minorBidi" w:hAnsiTheme="minorBidi" w:cstheme="minorBidi"/>
          <w:sz w:val="22"/>
          <w:szCs w:val="22"/>
        </w:rPr>
        <w:t xml:space="preserve">Good projects to combine needs analysis based on poverty and scoci-econmic, protection, shelter vulnerability, GBV, and other factors to have a better targeting and maximizing the projects impact. </w:t>
      </w:r>
    </w:p>
    <w:p w:rsidR="002C4398" w:rsidRDefault="002C4398" w:rsidP="002C4398">
      <w:pPr>
        <w:spacing w:before="20"/>
        <w:jc w:val="both"/>
        <w:rPr>
          <w:rFonts w:asciiTheme="minorBidi" w:hAnsiTheme="minorBidi" w:cstheme="minorBidi"/>
          <w:sz w:val="22"/>
          <w:szCs w:val="22"/>
        </w:rPr>
      </w:pPr>
    </w:p>
    <w:p w:rsidR="002C4398" w:rsidRPr="002C4398" w:rsidRDefault="002C4398" w:rsidP="002C4398">
      <w:pPr>
        <w:pStyle w:val="ListParagraph"/>
        <w:numPr>
          <w:ilvl w:val="0"/>
          <w:numId w:val="16"/>
        </w:numPr>
        <w:spacing w:before="20"/>
        <w:jc w:val="both"/>
        <w:rPr>
          <w:rFonts w:asciiTheme="minorBidi" w:hAnsiTheme="minorBidi" w:cstheme="minorBidi"/>
          <w:sz w:val="22"/>
          <w:szCs w:val="22"/>
        </w:rPr>
      </w:pPr>
      <w:r w:rsidRPr="002C4398">
        <w:rPr>
          <w:rFonts w:asciiTheme="minorBidi" w:hAnsiTheme="minorBidi" w:cstheme="minorBidi"/>
          <w:sz w:val="22"/>
          <w:szCs w:val="22"/>
        </w:rPr>
        <w:t xml:space="preserve">Keep these two simple questions while you are preparing for the project: (1) if I have limited budget what will be my key priorities and who will receive my assistance (2) what will happen for this group of people if I am not supporting them this year.   </w:t>
      </w:r>
    </w:p>
    <w:p w:rsidR="002C4398" w:rsidRPr="002C4398" w:rsidRDefault="002C4398" w:rsidP="002C4398">
      <w:pPr>
        <w:spacing w:before="20"/>
        <w:rPr>
          <w:rFonts w:asciiTheme="majorBidi" w:hAnsiTheme="majorBidi" w:cstheme="majorBidi"/>
          <w:b/>
          <w:sz w:val="22"/>
          <w:szCs w:val="22"/>
        </w:rPr>
      </w:pPr>
    </w:p>
    <w:sectPr w:rsidR="002C4398" w:rsidRPr="002C4398" w:rsidSect="00C21C11">
      <w:headerReference w:type="default" r:id="rId7"/>
      <w:pgSz w:w="12240" w:h="15840"/>
      <w:pgMar w:top="184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B5" w:rsidRDefault="00AE1CB5">
      <w:r>
        <w:separator/>
      </w:r>
    </w:p>
  </w:endnote>
  <w:endnote w:type="continuationSeparator" w:id="0">
    <w:p w:rsidR="00AE1CB5" w:rsidRDefault="00AE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B5" w:rsidRDefault="00AE1CB5">
      <w:r>
        <w:separator/>
      </w:r>
    </w:p>
  </w:footnote>
  <w:footnote w:type="continuationSeparator" w:id="0">
    <w:p w:rsidR="00AE1CB5" w:rsidRDefault="00AE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11" w:rsidRDefault="00C21C11">
    <w:pPr>
      <w:pStyle w:val="Header"/>
    </w:pPr>
    <w:r>
      <w:rPr>
        <w:rFonts w:ascii="Arial" w:hAnsi="Arial" w:cs="Arial"/>
        <w:b/>
        <w:bCs/>
        <w:noProof/>
        <w:color w:val="760000"/>
        <w:sz w:val="20"/>
        <w:szCs w:val="20"/>
        <w:shd w:val="clear" w:color="auto" w:fill="FFFFFF"/>
      </w:rPr>
      <w:drawing>
        <wp:inline distT="0" distB="0" distL="0" distR="0" wp14:anchorId="3CBD428C" wp14:editId="43AEB9F2">
          <wp:extent cx="2743200" cy="485775"/>
          <wp:effectExtent l="0" t="0" r="0" b="9525"/>
          <wp:docPr id="6" name="Picture 6" descr="Logo - Shelter Cluster Palestin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Shelter Cluster Palestine 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6A15"/>
    <w:multiLevelType w:val="hybridMultilevel"/>
    <w:tmpl w:val="E356F1CC"/>
    <w:lvl w:ilvl="0" w:tplc="CBF4D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48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C4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8B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AC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0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49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8D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09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B83278"/>
    <w:multiLevelType w:val="hybridMultilevel"/>
    <w:tmpl w:val="61A8E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360F"/>
    <w:multiLevelType w:val="hybridMultilevel"/>
    <w:tmpl w:val="F870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5047"/>
    <w:multiLevelType w:val="hybridMultilevel"/>
    <w:tmpl w:val="92F6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A22"/>
    <w:multiLevelType w:val="hybridMultilevel"/>
    <w:tmpl w:val="98768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4F06"/>
    <w:multiLevelType w:val="hybridMultilevel"/>
    <w:tmpl w:val="0FBABC72"/>
    <w:lvl w:ilvl="0" w:tplc="E87CA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46CA9"/>
    <w:multiLevelType w:val="hybridMultilevel"/>
    <w:tmpl w:val="CEF4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974"/>
    <w:multiLevelType w:val="hybridMultilevel"/>
    <w:tmpl w:val="1BBA1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3662A8"/>
    <w:multiLevelType w:val="hybridMultilevel"/>
    <w:tmpl w:val="CFCEC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B3007"/>
    <w:multiLevelType w:val="hybridMultilevel"/>
    <w:tmpl w:val="59F805CA"/>
    <w:lvl w:ilvl="0" w:tplc="99280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89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EF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8C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4E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C5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AB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68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8F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2A0CF0"/>
    <w:multiLevelType w:val="hybridMultilevel"/>
    <w:tmpl w:val="2A64AE0E"/>
    <w:lvl w:ilvl="0" w:tplc="D8D27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4D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ED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E7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1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44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EB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E9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C3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21001E"/>
    <w:multiLevelType w:val="hybridMultilevel"/>
    <w:tmpl w:val="3E96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F6C2F"/>
    <w:multiLevelType w:val="hybridMultilevel"/>
    <w:tmpl w:val="26760950"/>
    <w:lvl w:ilvl="0" w:tplc="8160D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A2145"/>
    <w:multiLevelType w:val="hybridMultilevel"/>
    <w:tmpl w:val="01080412"/>
    <w:lvl w:ilvl="0" w:tplc="707A5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4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CD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65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6A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EE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67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41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A9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28E3611"/>
    <w:multiLevelType w:val="hybridMultilevel"/>
    <w:tmpl w:val="9DEC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25850"/>
    <w:multiLevelType w:val="hybridMultilevel"/>
    <w:tmpl w:val="8F42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96BEC"/>
    <w:multiLevelType w:val="hybridMultilevel"/>
    <w:tmpl w:val="F672F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8B37C0"/>
    <w:multiLevelType w:val="hybridMultilevel"/>
    <w:tmpl w:val="14706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0"/>
  </w:num>
  <w:num w:numId="16">
    <w:abstractNumId w:val="4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A4"/>
    <w:rsid w:val="000272D7"/>
    <w:rsid w:val="000317A7"/>
    <w:rsid w:val="0003363F"/>
    <w:rsid w:val="000642CA"/>
    <w:rsid w:val="000D043F"/>
    <w:rsid w:val="000E644D"/>
    <w:rsid w:val="0011544E"/>
    <w:rsid w:val="00133FD4"/>
    <w:rsid w:val="0013577F"/>
    <w:rsid w:val="00173F9E"/>
    <w:rsid w:val="00175966"/>
    <w:rsid w:val="00191522"/>
    <w:rsid w:val="001941B8"/>
    <w:rsid w:val="001B6140"/>
    <w:rsid w:val="00200205"/>
    <w:rsid w:val="00242F17"/>
    <w:rsid w:val="0029694D"/>
    <w:rsid w:val="00297729"/>
    <w:rsid w:val="002B7118"/>
    <w:rsid w:val="002C4398"/>
    <w:rsid w:val="002E23E1"/>
    <w:rsid w:val="003259FA"/>
    <w:rsid w:val="003713C2"/>
    <w:rsid w:val="003775FC"/>
    <w:rsid w:val="003A1404"/>
    <w:rsid w:val="00422239"/>
    <w:rsid w:val="00464ED2"/>
    <w:rsid w:val="00470D95"/>
    <w:rsid w:val="00492FFA"/>
    <w:rsid w:val="004958A7"/>
    <w:rsid w:val="00546B0E"/>
    <w:rsid w:val="00587299"/>
    <w:rsid w:val="005C08AF"/>
    <w:rsid w:val="005D4421"/>
    <w:rsid w:val="00611BDE"/>
    <w:rsid w:val="00617986"/>
    <w:rsid w:val="00650EEA"/>
    <w:rsid w:val="006846CB"/>
    <w:rsid w:val="006956C8"/>
    <w:rsid w:val="006A31DE"/>
    <w:rsid w:val="006D14BB"/>
    <w:rsid w:val="006D354D"/>
    <w:rsid w:val="00786B61"/>
    <w:rsid w:val="007924A4"/>
    <w:rsid w:val="007C637E"/>
    <w:rsid w:val="007E5CB1"/>
    <w:rsid w:val="007E7EC6"/>
    <w:rsid w:val="007F5FDE"/>
    <w:rsid w:val="008C6B44"/>
    <w:rsid w:val="008C7E96"/>
    <w:rsid w:val="008D1B67"/>
    <w:rsid w:val="00927DD4"/>
    <w:rsid w:val="009773DD"/>
    <w:rsid w:val="009E22D7"/>
    <w:rsid w:val="00A21B79"/>
    <w:rsid w:val="00A25383"/>
    <w:rsid w:val="00A45E97"/>
    <w:rsid w:val="00A65A18"/>
    <w:rsid w:val="00A85C8E"/>
    <w:rsid w:val="00AB7AC8"/>
    <w:rsid w:val="00AC1B03"/>
    <w:rsid w:val="00AD7A79"/>
    <w:rsid w:val="00AE1CB5"/>
    <w:rsid w:val="00AE2E7C"/>
    <w:rsid w:val="00AF0714"/>
    <w:rsid w:val="00AF3849"/>
    <w:rsid w:val="00B023AB"/>
    <w:rsid w:val="00B041BC"/>
    <w:rsid w:val="00B26A07"/>
    <w:rsid w:val="00B27822"/>
    <w:rsid w:val="00BB43B5"/>
    <w:rsid w:val="00C21C11"/>
    <w:rsid w:val="00C360B9"/>
    <w:rsid w:val="00C615A9"/>
    <w:rsid w:val="00C768DB"/>
    <w:rsid w:val="00CE562B"/>
    <w:rsid w:val="00DF17B3"/>
    <w:rsid w:val="00DF1B58"/>
    <w:rsid w:val="00E5390B"/>
    <w:rsid w:val="00ED7663"/>
    <w:rsid w:val="00EE4FF4"/>
    <w:rsid w:val="00F011B1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5519"/>
  <w15:chartTrackingRefBased/>
  <w15:docId w15:val="{5FDE0140-54F6-4E51-BE00-2F5AB23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2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24A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92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24A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924A4"/>
    <w:pPr>
      <w:ind w:left="720"/>
      <w:contextualSpacing/>
    </w:pPr>
  </w:style>
  <w:style w:type="table" w:styleId="TableGrid">
    <w:name w:val="Table Grid"/>
    <w:basedOn w:val="TableNormal"/>
    <w:uiPriority w:val="39"/>
    <w:rsid w:val="0079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67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7F5FD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556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848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387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91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74E0.EEFF95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Minhee</dc:creator>
  <cp:keywords/>
  <dc:description/>
  <cp:lastModifiedBy>Fadi Shamisti</cp:lastModifiedBy>
  <cp:revision>10</cp:revision>
  <cp:lastPrinted>2018-08-30T09:37:00Z</cp:lastPrinted>
  <dcterms:created xsi:type="dcterms:W3CDTF">2018-09-20T09:52:00Z</dcterms:created>
  <dcterms:modified xsi:type="dcterms:W3CDTF">2018-10-02T08:39:00Z</dcterms:modified>
</cp:coreProperties>
</file>