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before="0" w:after="80"/>
        <w:jc w:val="center"/>
        <w:rPr>
          <w:b/>
          <w:sz w:val="32"/>
        </w:rPr>
      </w:pPr>
      <w:r>
        <w:rPr>
          <w:b/>
          <w:sz w:val="32"/>
        </w:rPr>
        <w:drawing>
          <wp:anchor distT="0" distB="0" distL="114300" distR="114300" simplePos="0" relativeHeight="2" behindDoc="0" locked="0" layoutInCell="0" allowOverlap="1">
            <wp:simplePos x="0" y="0"/>
            <wp:positionH relativeFrom="margin">
              <wp:posOffset>1283970</wp:posOffset>
            </wp:positionH>
            <wp:positionV relativeFrom="margin">
              <wp:posOffset>-198120</wp:posOffset>
            </wp:positionV>
            <wp:extent cx="3921760" cy="1632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3921760" cy="1632585"/>
                    </a:xfrm>
                    <a:prstGeom prst="rect">
                      <a:avLst/>
                    </a:prstGeom>
                    <a:noFill/>
                  </pic:spPr>
                </pic:pic>
              </a:graphicData>
            </a:graphic>
          </wp:anchor>
        </w:drawing>
      </w:r>
    </w:p>
    <w:p>
      <w:pPr>
        <w:pStyle w:val="Normal"/>
        <w:spacing w:lineRule="auto" w:line="252" w:before="0" w:after="80"/>
        <w:jc w:val="center"/>
        <w:rPr>
          <w:b/>
          <w:sz w:val="32"/>
        </w:rPr>
      </w:pPr>
      <w:r>
        <w:rPr>
          <w:b/>
          <w:sz w:val="32"/>
        </w:rPr>
      </w:r>
    </w:p>
    <w:p>
      <w:pPr>
        <w:pStyle w:val="Normal"/>
        <w:spacing w:lineRule="auto" w:line="252" w:before="0" w:after="80"/>
        <w:jc w:val="center"/>
        <w:rPr>
          <w:b/>
          <w:sz w:val="32"/>
        </w:rPr>
      </w:pPr>
      <w:r>
        <w:rPr>
          <w:b/>
          <w:sz w:val="32"/>
        </w:rPr>
      </w:r>
    </w:p>
    <w:p>
      <w:pPr>
        <w:pStyle w:val="Normal"/>
        <w:spacing w:lineRule="auto" w:line="252" w:before="0" w:after="80"/>
        <w:jc w:val="center"/>
        <w:rPr>
          <w:b/>
          <w:sz w:val="32"/>
        </w:rPr>
      </w:pPr>
      <w:r>
        <w:rPr>
          <w:b/>
          <w:sz w:val="32"/>
        </w:rPr>
      </w:r>
    </w:p>
    <w:p>
      <w:pPr>
        <w:pStyle w:val="Normal"/>
        <w:spacing w:lineRule="auto" w:line="252" w:before="0" w:after="80"/>
        <w:jc w:val="center"/>
        <w:rPr>
          <w:b/>
          <w:sz w:val="32"/>
        </w:rPr>
      </w:pPr>
      <w:r>
        <w:rPr>
          <w:b/>
          <w:sz w:val="32"/>
        </w:rPr>
      </w:r>
    </w:p>
    <w:p>
      <w:pPr>
        <w:pStyle w:val="Normal"/>
        <w:spacing w:lineRule="auto" w:line="252" w:before="0" w:after="80"/>
        <w:jc w:val="center"/>
        <w:rPr>
          <w:b/>
          <w:sz w:val="32"/>
        </w:rPr>
      </w:pPr>
      <w:r>
        <w:rPr>
          <w:b/>
          <w:sz w:val="32"/>
        </w:rPr>
      </w:r>
    </w:p>
    <w:p>
      <w:pPr>
        <w:pStyle w:val="Normal"/>
        <w:spacing w:lineRule="auto" w:line="252" w:before="0" w:after="80"/>
        <w:jc w:val="center"/>
        <w:rPr>
          <w:b/>
          <w:sz w:val="32"/>
        </w:rPr>
      </w:pPr>
      <w:r>
        <w:rPr>
          <w:b/>
          <w:sz w:val="32"/>
        </w:rPr>
      </w:r>
    </w:p>
    <w:p>
      <w:pPr>
        <w:pStyle w:val="Normal"/>
        <w:spacing w:lineRule="auto" w:line="252" w:before="0" w:after="80"/>
        <w:jc w:val="center"/>
        <w:rPr/>
      </w:pPr>
      <w:r>
        <w:rPr>
          <w:b/>
          <w:sz w:val="32"/>
        </w:rPr>
        <w:t>CARIBBEAN DEVELOPMENT PARTNERS GROUP</w:t>
      </w:r>
    </w:p>
    <w:p>
      <w:pPr>
        <w:pStyle w:val="Normal"/>
        <w:spacing w:lineRule="auto" w:line="252" w:before="0" w:after="80"/>
        <w:jc w:val="center"/>
        <w:rPr/>
      </w:pPr>
      <w:r>
        <w:rPr>
          <w:b/>
          <w:sz w:val="32"/>
        </w:rPr>
        <w:t>Emergency Shelter Thematic Working Group (STWG)</w:t>
      </w:r>
    </w:p>
    <w:p>
      <w:pPr>
        <w:pStyle w:val="Normal"/>
        <w:spacing w:lineRule="auto" w:line="252" w:before="0" w:after="80"/>
        <w:jc w:val="center"/>
        <w:rPr/>
      </w:pPr>
      <w:r>
        <w:rPr>
          <w:b/>
          <w:sz w:val="40"/>
        </w:rPr>
        <w:t>Standard Operating Procedure</w:t>
      </w:r>
    </w:p>
    <w:p>
      <w:pPr>
        <w:pStyle w:val="Normal"/>
        <w:spacing w:lineRule="auto" w:line="252" w:before="0" w:after="80"/>
        <w:jc w:val="center"/>
        <w:rPr/>
      </w:pPr>
      <w:r>
        <w:rPr/>
        <w:t>Version: 1.0 — DRAFT</w:t>
      </w:r>
    </w:p>
    <w:p>
      <w:pPr>
        <w:pStyle w:val="Normal"/>
        <w:spacing w:lineRule="auto" w:line="252" w:before="0" w:after="80"/>
        <w:jc w:val="center"/>
        <w:rPr/>
      </w:pPr>
      <w:r>
        <w:rPr/>
        <w:t>Date: April 2026</w:t>
      </w:r>
    </w:p>
    <w:p>
      <w:pPr>
        <w:pStyle w:val="Normal"/>
        <w:spacing w:lineRule="auto" w:line="252" w:before="0" w:after="80"/>
        <w:rPr/>
      </w:pPr>
      <w:r>
        <w:rPr/>
      </w:r>
      <w:r>
        <w:br w:type="page"/>
      </w:r>
    </w:p>
    <w:p>
      <w:pPr>
        <w:pStyle w:val="Heading1"/>
        <w:spacing w:lineRule="auto" w:line="252" w:before="0" w:after="80"/>
        <w:rPr>
          <w:color w:val="auto"/>
        </w:rPr>
      </w:pPr>
      <w:r>
        <w:rPr>
          <w:rFonts w:eastAsia="Arial" w:ascii="Arial" w:hAnsi="Arial"/>
          <w:color w:val="auto"/>
        </w:rPr>
        <w:t>1. Introduction</w:t>
      </w:r>
    </w:p>
    <w:p>
      <w:pPr>
        <w:pStyle w:val="Heading2"/>
        <w:spacing w:lineRule="auto" w:line="252" w:before="200" w:after="80"/>
        <w:rPr>
          <w:color w:val="auto"/>
        </w:rPr>
      </w:pPr>
      <w:r>
        <w:rPr>
          <w:rFonts w:eastAsia="Arial" w:ascii="Arial" w:hAnsi="Arial"/>
          <w:color w:val="auto"/>
        </w:rPr>
        <w:t>1.1 Background</w:t>
      </w:r>
    </w:p>
    <w:p>
      <w:pPr>
        <w:pStyle w:val="Normal"/>
        <w:spacing w:lineRule="auto" w:line="252" w:before="0" w:after="80"/>
        <w:jc w:val="both"/>
        <w:rPr/>
      </w:pPr>
      <w:r>
        <w:rPr/>
        <w:t>The Caribbean Development Partners Group (CDPG) is the regional mechanism that brings together international, regional, and national organisations to coordinate humanitarian assistance across the CDEMA region. The CDPG is co-chaired by the CDEMA Executive Director and the UN Resident Coordinators, and operates through ten Thematic Working Groups (TWGs): Coordination; Health (including mental health); Logistics; Emergency Telecommunications; WASH; Protection; Shelter; Early Recovery; Civil-Military Coordination; and Private Sector. The co-lead model pairs each TWG with a regional and a UN/international lead, aligned with the UN Cluster system where feasible.</w:t>
      </w:r>
    </w:p>
    <w:p>
      <w:pPr>
        <w:pStyle w:val="Normal"/>
        <w:spacing w:lineRule="auto" w:line="252" w:before="0" w:after="80"/>
        <w:jc w:val="both"/>
        <w:rPr/>
      </w:pPr>
      <w:r>
        <w:rPr/>
        <w:t>The CDPG operates under the Regional Response Mechanism (RRM), which has supported CDEMA Participating States through an enhanced regional framework since 2017. The RRM is operationalized through the Regional Coordination Centre (RCC) — a hybrid physical/virtual centre at CDEMA Headquarters, Barbados — with core cells covering Logistics, Information Management and Analysis, Operations, Emergency Telecommunications/ICT, Communications and Public Information, Resource Mobilization and Finance, HR/Administration, and Multinational Caribbean Coordination. CDPG activation follows three levels: Level 1 (national self-management, regional monitoring); Level 2 (external support augments specific capacities); Level 3 (full regional and international support, RCC stand-up).</w:t>
      </w:r>
    </w:p>
    <w:p>
      <w:pPr>
        <w:pStyle w:val="Normal"/>
        <w:rPr/>
      </w:pPr>
      <w:r>
        <w:rPr/>
        <w:t>The Emergency Shelter Thematic Working Group (STWG) was established in July 2024 and is co-led by CDEMA and the International Organization for Migration (IOM) Caribbean Regional Office, Barbados. The STWG is responsible for coordinating emergency shelter, Non-Food Item (NFI) distribution, site management, and Housing, Land and Property (HLP) support across the CDEMA region. This SOP was developed during Exercise SYNERGY 2026 (April 2026), a CDPG simulation exercise focused on sudden-impact hazards in the Eastern Caribbean.</w:t>
      </w:r>
    </w:p>
    <w:p>
      <w:pPr>
        <w:pStyle w:val="Normal"/>
        <w:rPr/>
      </w:pPr>
      <w:r>
        <w:rPr/>
        <w:t>The Caribbean faces significant seismic and tsunami risk. The UWI Seismic Research Centre (SRC) records approximately 2,200 earthquakes ≥M2.0 annually. Earthquakes of M6.0–6.9 recur every 3–5 years; M7+ events every 20–30 years; M8+ approximately every 100 years. The largest historical event near the Eastern Caribbean occurred in 1943 between Guadeloupe and Antigua. Offshore events carry significant tsunami risk with wave arrival times as short as 38 minutes for proximal sources. Exercise SYNERGY 2026 is based on an M8.4–8.6 earthquake scenario between Antigua-Barbuda and Guadeloupe, triggering full CDPG/RCC activation and an immediate tsunami advisory for coastal areas.</w:t>
      </w:r>
    </w:p>
    <w:p>
      <w:pPr>
        <w:pStyle w:val="Heading2"/>
        <w:spacing w:lineRule="auto" w:line="252" w:before="200" w:after="80"/>
        <w:rPr>
          <w:color w:val="auto"/>
        </w:rPr>
      </w:pPr>
      <w:r>
        <w:rPr>
          <w:rFonts w:eastAsia="Arial" w:ascii="Arial" w:hAnsi="Arial"/>
          <w:color w:val="auto"/>
        </w:rPr>
        <w:t>1.2 Purpose of this SOP</w:t>
      </w:r>
    </w:p>
    <w:p>
      <w:pPr>
        <w:pStyle w:val="Normal"/>
        <w:spacing w:lineRule="auto" w:line="252" w:before="0" w:after="80"/>
        <w:jc w:val="both"/>
        <w:rPr/>
      </w:pPr>
      <w:r>
        <w:rPr/>
        <w:t>This SOP outlines the standard procedures for the activation, coordination, operation, reporting, and deactivation of the Emergency Shelter TWG (STWG) under the CDPG structure.</w:t>
      </w:r>
    </w:p>
    <w:p>
      <w:pPr>
        <w:pStyle w:val="Normal"/>
        <w:spacing w:lineRule="auto" w:line="252" w:before="0" w:after="80"/>
        <w:jc w:val="both"/>
        <w:rPr/>
      </w:pPr>
      <w:r>
        <w:rPr/>
        <w:t>It is intended to:</w:t>
      </w:r>
    </w:p>
    <w:p>
      <w:pPr>
        <w:pStyle w:val="ListBullet"/>
        <w:numPr>
          <w:ilvl w:val="0"/>
          <w:numId w:val="5"/>
        </w:numPr>
        <w:spacing w:lineRule="auto" w:line="252" w:before="0" w:after="80"/>
        <w:contextualSpacing/>
        <w:jc w:val="both"/>
        <w:rPr>
          <w:highlight w:val="yellow"/>
        </w:rPr>
      </w:pPr>
      <w:r>
        <w:rPr/>
        <w:t>clarify the TWG’s role and scope of work;</w:t>
      </w:r>
    </w:p>
    <w:p>
      <w:pPr>
        <w:pStyle w:val="ListBullet"/>
        <w:numPr>
          <w:ilvl w:val="0"/>
          <w:numId w:val="5"/>
        </w:numPr>
        <w:rPr/>
      </w:pPr>
      <w:r>
        <w:rPr/>
        <w:t>provide multi-hazard operational guidance for emergency shelter, NFI, site management, and HLP response in the Caribbean;</w:t>
      </w:r>
    </w:p>
    <w:p>
      <w:pPr>
        <w:pStyle w:val="ListBullet"/>
        <w:numPr>
          <w:ilvl w:val="0"/>
          <w:numId w:val="5"/>
        </w:numPr>
        <w:rPr/>
      </w:pPr>
      <w:r>
        <w:rPr/>
        <w:t>define coordination interfaces between the STWG and other CDPG Thematic Working Groups;</w:t>
      </w:r>
    </w:p>
    <w:p>
      <w:pPr>
        <w:pStyle w:val="ListBullet"/>
        <w:numPr>
          <w:ilvl w:val="0"/>
          <w:numId w:val="5"/>
        </w:numPr>
        <w:rPr/>
      </w:pPr>
      <w:r>
        <w:rPr/>
        <w:t>establish reporting, information management, and assessment standards;</w:t>
      </w:r>
    </w:p>
    <w:p>
      <w:pPr>
        <w:pStyle w:val="ListBullet"/>
        <w:numPr>
          <w:ilvl w:val="0"/>
          <w:numId w:val="5"/>
        </w:numPr>
        <w:rPr/>
      </w:pPr>
      <w:r>
        <w:rPr/>
        <w:t>align regional shelter coordination with the Global Shelter, Land and Site Coordination Cluster (co-led by IOM and IFRC);</w:t>
      </w:r>
    </w:p>
    <w:p>
      <w:pPr>
        <w:pStyle w:val="ListBullet"/>
        <w:numPr>
          <w:ilvl w:val="0"/>
          <w:numId w:val="5"/>
        </w:numPr>
        <w:rPr/>
      </w:pPr>
      <w:r>
        <w:rPr/>
        <w:t>set out earthquake and tsunami-specific operational protocols, drawing from Exercise SYNERGY 2026 and recent global responses.</w:t>
      </w:r>
    </w:p>
    <w:p>
      <w:pPr>
        <w:pStyle w:val="Heading2"/>
        <w:spacing w:lineRule="auto" w:line="252" w:before="200" w:after="80"/>
        <w:rPr>
          <w:color w:val="auto"/>
        </w:rPr>
      </w:pPr>
      <w:r>
        <w:rPr>
          <w:rFonts w:eastAsia="Arial" w:ascii="Arial" w:hAnsi="Arial"/>
          <w:color w:val="auto"/>
        </w:rPr>
        <w:t>1.3 Scope and Applicability</w:t>
      </w:r>
    </w:p>
    <w:p>
      <w:pPr>
        <w:pStyle w:val="Normal"/>
        <w:spacing w:lineRule="auto" w:line="252" w:before="0" w:after="80"/>
        <w:jc w:val="both"/>
        <w:rPr/>
      </w:pPr>
      <w:r>
        <w:rPr/>
        <w:t>This SOP applies to the Emergency Shelter TWG (STWG) and its members during:</w:t>
      </w:r>
    </w:p>
    <w:p>
      <w:pPr>
        <w:pStyle w:val="ListBullet"/>
        <w:numPr>
          <w:ilvl w:val="0"/>
          <w:numId w:val="5"/>
        </w:numPr>
        <w:spacing w:lineRule="auto" w:line="252" w:before="0" w:after="80"/>
        <w:contextualSpacing/>
        <w:jc w:val="both"/>
        <w:rPr/>
      </w:pPr>
      <w:r>
        <w:rPr/>
        <w:t>preparedness / non-emergency periods;</w:t>
      </w:r>
    </w:p>
    <w:p>
      <w:pPr>
        <w:pStyle w:val="ListBullet"/>
        <w:numPr>
          <w:ilvl w:val="0"/>
          <w:numId w:val="5"/>
        </w:numPr>
        <w:spacing w:lineRule="auto" w:line="252" w:before="0" w:after="80"/>
        <w:contextualSpacing/>
        <w:jc w:val="both"/>
        <w:rPr/>
      </w:pPr>
      <w:r>
        <w:rPr/>
        <w:t>monitoring and readiness phases;</w:t>
      </w:r>
    </w:p>
    <w:p>
      <w:pPr>
        <w:pStyle w:val="ListBullet"/>
        <w:numPr>
          <w:ilvl w:val="0"/>
          <w:numId w:val="5"/>
        </w:numPr>
        <w:spacing w:lineRule="auto" w:line="252" w:before="0" w:after="80"/>
        <w:contextualSpacing/>
        <w:jc w:val="both"/>
        <w:rPr/>
      </w:pPr>
      <w:r>
        <w:rPr/>
        <w:t>CDPG / RRM activation;</w:t>
      </w:r>
    </w:p>
    <w:p>
      <w:pPr>
        <w:pStyle w:val="ListBullet"/>
        <w:numPr>
          <w:ilvl w:val="0"/>
          <w:numId w:val="5"/>
        </w:numPr>
        <w:spacing w:lineRule="auto" w:line="252" w:before="0" w:after="80"/>
        <w:contextualSpacing/>
        <w:jc w:val="both"/>
        <w:rPr/>
      </w:pPr>
      <w:r>
        <w:rPr/>
        <w:t>emergency response;</w:t>
      </w:r>
    </w:p>
    <w:p>
      <w:pPr>
        <w:pStyle w:val="ListBullet"/>
        <w:numPr>
          <w:ilvl w:val="0"/>
          <w:numId w:val="5"/>
        </w:numPr>
        <w:spacing w:lineRule="auto" w:line="252" w:before="0" w:after="80"/>
        <w:contextualSpacing/>
        <w:jc w:val="both"/>
        <w:rPr/>
      </w:pPr>
      <w:r>
        <w:rPr/>
        <w:t>deactivation and post-response review.</w:t>
      </w:r>
    </w:p>
    <w:p>
      <w:pPr>
        <w:pStyle w:val="Normal"/>
        <w:spacing w:lineRule="auto" w:line="252" w:before="0" w:after="80"/>
        <w:jc w:val="both"/>
        <w:rPr/>
      </w:pPr>
      <w:r>
        <w:rPr/>
        <w:t>The SOP applies to hazards affecting one or more CDEMA Participating States, including sudden-onset, slow-onset, natural, technological, biological, or complex hazard events.</w:t>
      </w:r>
    </w:p>
    <w:p>
      <w:pPr>
        <w:pStyle w:val="Heading1"/>
        <w:spacing w:lineRule="auto" w:line="252" w:before="480" w:after="80"/>
        <w:rPr>
          <w:color w:val="auto"/>
        </w:rPr>
      </w:pPr>
      <w:r>
        <w:rPr>
          <w:rFonts w:eastAsia="Arial" w:ascii="Arial" w:hAnsi="Arial"/>
          <w:color w:val="auto"/>
        </w:rPr>
        <w:t>2. TWG Mandate, Objectives and Core Functions</w:t>
      </w:r>
    </w:p>
    <w:p>
      <w:pPr>
        <w:pStyle w:val="Heading2"/>
        <w:spacing w:lineRule="auto" w:line="252" w:before="200" w:after="80"/>
        <w:rPr>
          <w:color w:val="auto"/>
        </w:rPr>
      </w:pPr>
      <w:r>
        <w:rPr>
          <w:rFonts w:eastAsia="Arial" w:ascii="Arial" w:hAnsi="Arial"/>
          <w:color w:val="auto"/>
        </w:rPr>
        <w:t>2.1 Mandate of the TWG</w:t>
      </w:r>
    </w:p>
    <w:p>
      <w:pPr>
        <w:pStyle w:val="Normal"/>
        <w:spacing w:lineRule="auto" w:line="252" w:before="0" w:after="80"/>
        <w:jc w:val="both"/>
        <w:rPr/>
      </w:pPr>
      <w:r>
        <w:rPr/>
        <w:t>The Emergency Shelter TWG is mandated to ensure that persons displaced or made homeless by disaster events in CDEMA Participating States have access to safe, dignified, and appropriate shelter solutions through coordinated regional and international support. The mandate covers three integrated domains: (1) emergency shelter assistance — including NFI distribution, transitional shelter, and self-recovery support; (2) site planning and management — including collective centre activation, management, and closure; and (3) Housing, Land and Property (HLP) rights — including tenure documentation, eviction prevention, and planned relocation. The STWG mandate is aligned with the Sphere Handbook, IASC Emergency Shelter Guidelines, IOM Transitional Shelter Guidelines, ATC-20/45 Rapid Evaluation procedures, and the Global Shelter Cluster standards.</w:t>
      </w:r>
    </w:p>
    <w:p>
      <w:pPr>
        <w:pStyle w:val="Heading2"/>
        <w:spacing w:lineRule="auto" w:line="252" w:before="200" w:after="80"/>
        <w:rPr>
          <w:color w:val="auto"/>
        </w:rPr>
      </w:pPr>
      <w:r>
        <w:rPr>
          <w:rFonts w:eastAsia="Arial" w:ascii="Arial" w:hAnsi="Arial"/>
          <w:color w:val="auto"/>
        </w:rPr>
        <w:t>2.2 Objectives / Core Functions</w:t>
      </w:r>
    </w:p>
    <w:p>
      <w:pPr>
        <w:pStyle w:val="Normal"/>
        <w:spacing w:lineRule="auto" w:line="252" w:before="0" w:after="80"/>
        <w:jc w:val="both"/>
        <w:rPr/>
      </w:pPr>
      <w:r>
        <w:rPr/>
        <w:t>The objectives of the Emergency Shelter TWG are to:</w:t>
      </w:r>
    </w:p>
    <w:p>
      <w:pPr>
        <w:pStyle w:val="ListBullet"/>
        <w:numPr>
          <w:ilvl w:val="0"/>
          <w:numId w:val="5"/>
        </w:numPr>
        <w:rPr/>
      </w:pPr>
      <w:r>
        <w:rPr/>
        <w:t>Coordinate partner interventions in emergency shelter, NFI, site management, and HLP to avoid duplication and maximise impact.</w:t>
      </w:r>
    </w:p>
    <w:p>
      <w:pPr>
        <w:pStyle w:val="ListBullet"/>
        <w:numPr>
          <w:ilvl w:val="0"/>
          <w:numId w:val="5"/>
        </w:numPr>
        <w:rPr/>
      </w:pPr>
      <w:r>
        <w:rPr/>
        <w:t>Develop and maintain fit-for-purpose, multi-hazard response strategies informed by verified assessment data.</w:t>
      </w:r>
    </w:p>
    <w:p>
      <w:pPr>
        <w:pStyle w:val="ListBullet"/>
        <w:numPr>
          <w:ilvl w:val="0"/>
          <w:numId w:val="5"/>
        </w:numPr>
        <w:rPr/>
      </w:pPr>
      <w:r>
        <w:rPr/>
        <w:t>Support planning and execution of preparedness activities, including pre-positioning, capacity building, and simulation exercises.</w:t>
      </w:r>
    </w:p>
    <w:p>
      <w:pPr>
        <w:pStyle w:val="ListBullet"/>
        <w:numPr>
          <w:ilvl w:val="0"/>
          <w:numId w:val="5"/>
        </w:numPr>
        <w:rPr/>
      </w:pPr>
      <w:r>
        <w:rPr/>
        <w:t>Facilitate joint needs analyses, structural damage assessments (using ATC-20/45 and ARNet tools), and information products.</w:t>
      </w:r>
    </w:p>
    <w:p>
      <w:pPr>
        <w:pStyle w:val="ListBullet"/>
        <w:numPr>
          <w:ilvl w:val="0"/>
          <w:numId w:val="5"/>
        </w:numPr>
        <w:rPr/>
      </w:pPr>
      <w:r>
        <w:rPr/>
        <w:t>Mobilise regional and international shelter and NFI resources and match them to verified needs in CDEMA Participating States.</w:t>
      </w:r>
    </w:p>
    <w:p>
      <w:pPr>
        <w:pStyle w:val="ListBullet"/>
        <w:numPr>
          <w:ilvl w:val="0"/>
          <w:numId w:val="5"/>
        </w:numPr>
        <w:rPr/>
      </w:pPr>
      <w:r>
        <w:rPr/>
        <w:t>Promote Housing, Land and Property (HLP) rights in all phases of response and recovery.</w:t>
      </w:r>
    </w:p>
    <w:p>
      <w:pPr>
        <w:pStyle w:val="ListBullet"/>
        <w:numPr>
          <w:ilvl w:val="0"/>
          <w:numId w:val="5"/>
        </w:numPr>
        <w:rPr/>
      </w:pPr>
      <w:r>
        <w:rPr/>
        <w:t>Facilitate enhanced information exchange and timely reporting to the CDPG, RCC, and the global cluster system.</w:t>
      </w:r>
    </w:p>
    <w:p>
      <w:pPr>
        <w:pStyle w:val="ListBullet"/>
        <w:numPr>
          <w:ilvl w:val="0"/>
          <w:numId w:val="5"/>
        </w:numPr>
        <w:rPr/>
      </w:pPr>
      <w:r>
        <w:rPr/>
        <w:t>Identify cross-TWG coordination requirements and resolve mandate overlaps with other CDPG TWGs.</w:t>
      </w:r>
    </w:p>
    <w:p>
      <w:pPr>
        <w:pStyle w:val="Heading1"/>
        <w:spacing w:lineRule="auto" w:line="252" w:before="480" w:after="80"/>
        <w:rPr>
          <w:color w:val="auto"/>
        </w:rPr>
      </w:pPr>
      <w:r>
        <w:rPr>
          <w:rFonts w:eastAsia="Arial" w:ascii="Arial" w:hAnsi="Arial"/>
          <w:color w:val="auto"/>
        </w:rPr>
        <w:t>3. Governance and Structure</w:t>
      </w:r>
    </w:p>
    <w:p>
      <w:pPr>
        <w:pStyle w:val="Heading2"/>
        <w:spacing w:lineRule="auto" w:line="252" w:before="200" w:after="80"/>
        <w:rPr>
          <w:color w:val="auto"/>
        </w:rPr>
      </w:pPr>
      <w:r>
        <w:rPr>
          <w:rFonts w:eastAsia="Arial" w:ascii="Arial" w:hAnsi="Arial"/>
          <w:color w:val="auto"/>
        </w:rPr>
        <w:t>3.1 Position within the CDPG Architecture</w:t>
      </w:r>
    </w:p>
    <w:p>
      <w:pPr>
        <w:pStyle w:val="Normal"/>
        <w:spacing w:lineRule="auto" w:line="252" w:before="0" w:after="80"/>
        <w:jc w:val="both"/>
        <w:rPr/>
      </w:pPr>
      <w:r>
        <w:rPr/>
        <w:t>The Emergency Shelter TWG (STWG) operates under the authority of the CDPG and supports the coordination of regional and international humanitarian assistance through the RRM.</w:t>
      </w:r>
    </w:p>
    <w:p>
      <w:pPr>
        <w:pStyle w:val="Normal"/>
        <w:spacing w:lineRule="auto" w:line="252" w:before="0" w:after="80"/>
        <w:jc w:val="both"/>
        <w:rPr/>
      </w:pPr>
      <w:r>
        <w:rPr/>
        <w:t>The TWG reports to the CDPG through its Co-Leads and supports the RCC and UNETT / UN OCHA with relevant information and coordination inputs.</w:t>
      </w:r>
    </w:p>
    <w:p>
      <w:pPr>
        <w:pStyle w:val="Heading2"/>
        <w:spacing w:lineRule="auto" w:line="252" w:before="200" w:after="80"/>
        <w:rPr>
          <w:color w:val="auto"/>
        </w:rPr>
      </w:pPr>
      <w:r>
        <w:rPr>
          <w:rFonts w:eastAsia="Arial" w:ascii="Arial" w:hAnsi="Arial"/>
          <w:color w:val="auto"/>
        </w:rPr>
        <w:t>3.2 Co-Leads</w:t>
      </w:r>
    </w:p>
    <w:p>
      <w:pPr>
        <w:pStyle w:val="Normal"/>
        <w:spacing w:lineRule="auto" w:line="252" w:before="0" w:after="80"/>
        <w:jc w:val="both"/>
        <w:rPr/>
      </w:pPr>
      <w:r>
        <w:rPr/>
        <w:t>The TWG shall be led by:</w:t>
      </w:r>
    </w:p>
    <w:p>
      <w:pPr>
        <w:pStyle w:val="ListBullet"/>
        <w:numPr>
          <w:ilvl w:val="0"/>
          <w:numId w:val="5"/>
        </w:numPr>
        <w:spacing w:lineRule="auto" w:line="252" w:before="0" w:after="80"/>
        <w:contextualSpacing/>
        <w:jc w:val="both"/>
        <w:rPr/>
      </w:pPr>
      <w:r>
        <w:rPr/>
        <w:t>Regional Co-Lead: Caribbean Disaster Emergency Management Agency (CDEMA) — Focal Points: Tamara Lovell / Janneke Mechteldam</w:t>
      </w:r>
    </w:p>
    <w:p>
      <w:pPr>
        <w:pStyle w:val="ListBullet"/>
        <w:numPr>
          <w:ilvl w:val="0"/>
          <w:numId w:val="5"/>
        </w:numPr>
        <w:spacing w:lineRule="auto" w:line="252" w:before="0" w:after="80"/>
        <w:contextualSpacing/>
        <w:jc w:val="both"/>
        <w:rPr/>
      </w:pPr>
      <w:r>
        <w:rPr/>
        <w:t>International / UN Co-Lead: International Organization for Migration (IOM), Caribbean Office, Barbados — Focal Point: Jan Willem Wegdam</w:t>
      </w:r>
    </w:p>
    <w:p>
      <w:pPr>
        <w:pStyle w:val="Heading2"/>
        <w:spacing w:lineRule="auto" w:line="252" w:before="200" w:after="80"/>
        <w:rPr>
          <w:color w:val="auto"/>
        </w:rPr>
      </w:pPr>
      <w:r>
        <w:rPr>
          <w:rFonts w:eastAsia="Arial" w:ascii="Arial" w:hAnsi="Arial"/>
          <w:color w:val="auto"/>
        </w:rPr>
        <w:t>3.3 Role of TWG Co-Leads</w:t>
      </w:r>
    </w:p>
    <w:p>
      <w:pPr>
        <w:pStyle w:val="Normal"/>
        <w:spacing w:lineRule="auto" w:line="252" w:before="0" w:after="80"/>
        <w:jc w:val="both"/>
        <w:rPr/>
      </w:pPr>
      <w:r>
        <w:rPr/>
        <w:t>The TWG Co-Leads are responsible for:</w:t>
      </w:r>
    </w:p>
    <w:p>
      <w:pPr>
        <w:pStyle w:val="ListBullet"/>
        <w:numPr>
          <w:ilvl w:val="0"/>
          <w:numId w:val="5"/>
        </w:numPr>
        <w:rPr/>
      </w:pPr>
      <w:r>
        <w:rPr/>
        <w:t>Convening, facilitating, and documenting all STWG meetings during preparedness and response phases;</w:t>
      </w:r>
    </w:p>
    <w:p>
      <w:pPr>
        <w:pStyle w:val="ListBullet"/>
        <w:numPr>
          <w:ilvl w:val="0"/>
          <w:numId w:val="5"/>
        </w:numPr>
        <w:rPr/>
      </w:pPr>
      <w:r>
        <w:rPr/>
        <w:t>Representing the STWG in CDPG and RCC coordination meetings and providing shelter sector updates;</w:t>
      </w:r>
    </w:p>
    <w:p>
      <w:pPr>
        <w:pStyle w:val="ListBullet"/>
        <w:numPr>
          <w:ilvl w:val="0"/>
          <w:numId w:val="5"/>
        </w:numPr>
        <w:rPr/>
      </w:pPr>
      <w:r>
        <w:rPr/>
        <w:t>Issuing STWG activation notifications and ensuring all members are mobilised;</w:t>
      </w:r>
    </w:p>
    <w:p>
      <w:pPr>
        <w:pStyle w:val="ListBullet"/>
        <w:numPr>
          <w:ilvl w:val="0"/>
          <w:numId w:val="5"/>
        </w:numPr>
        <w:rPr/>
      </w:pPr>
      <w:r>
        <w:rPr/>
        <w:t>Coordinating the development and validation of information products, including situation reports, needs analyses, and resource tracking;</w:t>
      </w:r>
    </w:p>
    <w:p>
      <w:pPr>
        <w:pStyle w:val="ListBullet"/>
        <w:numPr>
          <w:ilvl w:val="0"/>
          <w:numId w:val="5"/>
        </w:numPr>
        <w:rPr/>
      </w:pPr>
      <w:r>
        <w:rPr/>
        <w:t>Maintaining the STWG membership roster and ensuring contact details are current;</w:t>
      </w:r>
    </w:p>
    <w:p>
      <w:pPr>
        <w:pStyle w:val="ListBullet"/>
        <w:numPr>
          <w:ilvl w:val="0"/>
          <w:numId w:val="5"/>
        </w:numPr>
        <w:rPr/>
      </w:pPr>
      <w:r>
        <w:rPr/>
        <w:t>Leading engagement with CDEMA Participating State NDMOs on shelter coordination;</w:t>
      </w:r>
    </w:p>
    <w:p>
      <w:pPr>
        <w:pStyle w:val="ListBullet"/>
        <w:numPr>
          <w:ilvl w:val="0"/>
          <w:numId w:val="5"/>
        </w:numPr>
        <w:rPr/>
      </w:pPr>
      <w:r>
        <w:rPr/>
        <w:t>Ensuring alignment of STWG activities with the Global Shelter, Land and Site Coordination Cluster and IOM/IFRC global guidance;</w:t>
      </w:r>
    </w:p>
    <w:p>
      <w:pPr>
        <w:pStyle w:val="ListBullet"/>
        <w:numPr>
          <w:ilvl w:val="0"/>
          <w:numId w:val="5"/>
        </w:numPr>
        <w:rPr/>
      </w:pPr>
      <w:r>
        <w:rPr/>
        <w:t>Supporting post-response reviews and incorporating lessons learned into SOP updates.</w:t>
      </w:r>
    </w:p>
    <w:p>
      <w:pPr>
        <w:pStyle w:val="Heading2"/>
        <w:spacing w:lineRule="auto" w:line="252" w:before="200" w:after="80"/>
        <w:rPr>
          <w:color w:val="auto"/>
        </w:rPr>
      </w:pPr>
      <w:r>
        <w:rPr>
          <w:rFonts w:eastAsia="Arial" w:ascii="Arial" w:hAnsi="Arial"/>
          <w:color w:val="auto"/>
        </w:rPr>
        <w:t>3.4 TWG Secretariat / Rapporteur</w:t>
      </w:r>
    </w:p>
    <w:p>
      <w:pPr>
        <w:pStyle w:val="Normal"/>
        <w:spacing w:lineRule="auto" w:line="252" w:before="0" w:after="80"/>
        <w:jc w:val="both"/>
        <w:rPr/>
      </w:pPr>
      <w:r>
        <w:rPr/>
        <w:t>The TWG Co-Leads shall designate a Rapporteur from among STWG members on a rotating basis during each response activation. The Rapporteur is responsible for:</w:t>
      </w:r>
    </w:p>
    <w:p>
      <w:pPr>
        <w:pStyle w:val="ListBullet"/>
        <w:numPr>
          <w:ilvl w:val="0"/>
          <w:numId w:val="5"/>
        </w:numPr>
        <w:rPr/>
      </w:pPr>
      <w:r>
        <w:rPr/>
        <w:t>Circulating meeting agendas at least 48 hours in advance (24 hours for sudden-onset events);</w:t>
      </w:r>
    </w:p>
    <w:p>
      <w:pPr>
        <w:pStyle w:val="ListBullet"/>
        <w:numPr>
          <w:ilvl w:val="0"/>
          <w:numId w:val="5"/>
        </w:numPr>
        <w:rPr/>
      </w:pPr>
      <w:r>
        <w:rPr/>
        <w:t>Taking and distributing meeting minutes within 24 hours;</w:t>
      </w:r>
    </w:p>
    <w:p>
      <w:pPr>
        <w:pStyle w:val="ListBullet"/>
        <w:numPr>
          <w:ilvl w:val="0"/>
          <w:numId w:val="5"/>
        </w:numPr>
        <w:rPr/>
      </w:pPr>
      <w:r>
        <w:rPr/>
        <w:t>Maintaining the STWG membership roster (name, organisation, email, WhatsApp, backup contact);</w:t>
      </w:r>
    </w:p>
    <w:p>
      <w:pPr>
        <w:pStyle w:val="ListBullet"/>
        <w:numPr>
          <w:ilvl w:val="0"/>
          <w:numId w:val="5"/>
        </w:numPr>
        <w:rPr/>
      </w:pPr>
      <w:r>
        <w:rPr/>
        <w:t>Managing shared document storage and version control on the CDPG shared drive;</w:t>
      </w:r>
    </w:p>
    <w:p>
      <w:pPr>
        <w:pStyle w:val="ListBullet"/>
        <w:numPr>
          <w:ilvl w:val="0"/>
          <w:numId w:val="5"/>
        </w:numPr>
        <w:rPr/>
      </w:pPr>
      <w:r>
        <w:rPr/>
        <w:t>Updating the resource tracking matrix and collective centre registry during activations;</w:t>
      </w:r>
    </w:p>
    <w:p>
      <w:pPr>
        <w:pStyle w:val="ListBullet"/>
        <w:numPr>
          <w:ilvl w:val="0"/>
          <w:numId w:val="5"/>
        </w:numPr>
        <w:rPr/>
      </w:pPr>
      <w:r>
        <w:rPr/>
        <w:t>Coordinating the production of STWG Situation Reports (see Annex C template).</w:t>
      </w:r>
    </w:p>
    <w:p>
      <w:pPr>
        <w:pStyle w:val="Heading2"/>
        <w:spacing w:lineRule="auto" w:line="252" w:before="200" w:after="80"/>
        <w:rPr>
          <w:rFonts w:ascii="Arial" w:hAnsi="Arial" w:eastAsia="Arial"/>
          <w:color w:val="auto"/>
        </w:rPr>
      </w:pPr>
      <w:r>
        <w:rPr>
          <w:rFonts w:eastAsia="Arial" w:ascii="Arial" w:hAnsi="Arial"/>
          <w:color w:val="auto"/>
        </w:rPr>
        <w:t>3.5 TWG Members</w:t>
      </w:r>
    </w:p>
    <w:p>
      <w:pPr>
        <w:pStyle w:val="Normal"/>
        <w:jc w:val="both"/>
        <w:rPr/>
      </w:pPr>
      <w:r>
        <w:rPr/>
        <w:t>Core Members — Regular participating organisations with defined roles within the STWG:</w:t>
      </w:r>
    </w:p>
    <w:p>
      <w:pPr>
        <w:pStyle w:val="ListBullet"/>
        <w:numPr>
          <w:ilvl w:val="0"/>
          <w:numId w:val="5"/>
        </w:numPr>
        <w:rPr/>
      </w:pPr>
      <w:r>
        <w:rPr/>
        <w:t>CDEMA (Regional Co-Lead) — Regional coordination, logistics, RRM activation, stockpile coordination</w:t>
      </w:r>
    </w:p>
    <w:p>
      <w:pPr>
        <w:pStyle w:val="ListBullet"/>
        <w:numPr>
          <w:ilvl w:val="0"/>
          <w:numId w:val="5"/>
        </w:numPr>
        <w:rPr/>
      </w:pPr>
      <w:r>
        <w:rPr/>
        <w:t>IOM Caribbean Regional Office, Barbados (International Co-Lead) — Shelter, NFI, CCCM, HLP, DTM/Kobo</w:t>
      </w:r>
    </w:p>
    <w:p>
      <w:pPr>
        <w:pStyle w:val="ListBullet"/>
        <w:numPr>
          <w:ilvl w:val="0"/>
          <w:numId w:val="5"/>
        </w:numPr>
        <w:rPr/>
      </w:pPr>
      <w:r>
        <w:rPr/>
        <w:t>IFRC / Caribbean Red Cross Network — Shelter, NFI, cash, MHPSS, community volunteers, DREF access</w:t>
      </w:r>
    </w:p>
    <w:p>
      <w:pPr>
        <w:pStyle w:val="ListBullet"/>
        <w:numPr>
          <w:ilvl w:val="0"/>
          <w:numId w:val="5"/>
        </w:numPr>
        <w:rPr/>
      </w:pPr>
      <w:r>
        <w:rPr/>
        <w:t>REACT UK — Rapid earthquake response, forward reconnaissance, structural assessment (Morocco 2024, Turkey 2023 experience)</w:t>
      </w:r>
    </w:p>
    <w:p>
      <w:pPr>
        <w:pStyle w:val="ListBullet"/>
        <w:numPr>
          <w:ilvl w:val="0"/>
          <w:numId w:val="5"/>
        </w:numPr>
        <w:rPr/>
      </w:pPr>
      <w:r>
        <w:rPr/>
        <w:t>UNICEF ECA — Hygiene kits, MHPSS, child-friendly spaces, CVA</w:t>
      </w:r>
    </w:p>
    <w:p>
      <w:pPr>
        <w:pStyle w:val="ListBullet"/>
        <w:numPr>
          <w:ilvl w:val="0"/>
          <w:numId w:val="5"/>
        </w:numPr>
        <w:rPr/>
      </w:pPr>
      <w:r>
        <w:rPr/>
        <w:t>ShelterBox — Emergency tent and shelter kits</w:t>
      </w:r>
    </w:p>
    <w:p>
      <w:pPr>
        <w:pStyle w:val="ListBullet"/>
        <w:numPr>
          <w:ilvl w:val="0"/>
          <w:numId w:val="5"/>
        </w:numPr>
        <w:rPr/>
      </w:pPr>
      <w:r>
        <w:rPr/>
        <w:t>GEM (Good360 partnership) — NFI collection and distribution, Miami hub</w:t>
      </w:r>
    </w:p>
    <w:p>
      <w:pPr>
        <w:pStyle w:val="ListBullet"/>
        <w:numPr>
          <w:ilvl w:val="0"/>
          <w:numId w:val="5"/>
        </w:numPr>
        <w:rPr/>
      </w:pPr>
      <w:r>
        <w:rPr/>
        <w:t>NADMA Grenada (Tamara Savory) — National DM authority, field EOC experience</w:t>
      </w:r>
    </w:p>
    <w:p>
      <w:pPr>
        <w:pStyle w:val="Normal"/>
        <w:jc w:val="both"/>
        <w:rPr/>
      </w:pPr>
      <w:r>
        <w:rPr/>
        <w:t>Ad Hoc Members — Engaged on a hazard or country-specific basis:</w:t>
      </w:r>
    </w:p>
    <w:p>
      <w:pPr>
        <w:pStyle w:val="ListBullet"/>
        <w:numPr>
          <w:ilvl w:val="0"/>
          <w:numId w:val="5"/>
        </w:numPr>
        <w:rPr/>
      </w:pPr>
      <w:r>
        <w:rPr/>
        <w:t>ADRA, All Hands and Hearts, Caritas Antilles/Caritas Network, CORE, CRS, GSD, Habitat for Humanity — Shelter construction, NFI, reconstruction, skilled volunteers</w:t>
      </w:r>
    </w:p>
    <w:p>
      <w:pPr>
        <w:pStyle w:val="ListBullet"/>
        <w:numPr>
          <w:ilvl w:val="0"/>
          <w:numId w:val="5"/>
        </w:numPr>
        <w:rPr/>
      </w:pPr>
      <w:r>
        <w:rPr/>
        <w:t>National Red Cross Societies (island-level) — Community assessment, distribution, first response</w:t>
      </w:r>
    </w:p>
    <w:p>
      <w:pPr>
        <w:pStyle w:val="ListBullet"/>
        <w:numPr>
          <w:ilvl w:val="0"/>
          <w:numId w:val="5"/>
        </w:numPr>
        <w:rPr/>
      </w:pPr>
      <w:r>
        <w:rPr/>
        <w:t>UWI Seismic Research Centre (SRC) — Technical briefings and seismic/tsunami hazard monitoring</w:t>
      </w:r>
    </w:p>
    <w:p>
      <w:pPr>
        <w:pStyle w:val="ListBullet"/>
        <w:numPr>
          <w:ilvl w:val="0"/>
          <w:numId w:val="5"/>
        </w:numPr>
        <w:rPr/>
      </w:pPr>
      <w:r>
        <w:rPr/>
        <w:t>Country-specific NDMOs (e.g., NODS Antigua &amp; Barbuda, NADMA Grenada) — National coordination and field access</w:t>
      </w:r>
    </w:p>
    <w:p>
      <w:pPr>
        <w:pStyle w:val="Heading2"/>
        <w:spacing w:lineRule="auto" w:line="252" w:before="200" w:after="80"/>
        <w:rPr>
          <w:color w:val="auto"/>
        </w:rPr>
      </w:pPr>
      <w:r>
        <w:rPr>
          <w:rFonts w:eastAsia="Arial" w:ascii="Arial" w:hAnsi="Arial"/>
          <w:color w:val="auto"/>
        </w:rPr>
        <w:t>3.6 Membership Responsibilities</w:t>
      </w:r>
    </w:p>
    <w:p>
      <w:pPr>
        <w:pStyle w:val="Normal"/>
        <w:spacing w:lineRule="auto" w:line="252" w:before="0" w:after="80"/>
        <w:jc w:val="both"/>
        <w:rPr/>
      </w:pPr>
      <w:r>
        <w:rPr/>
        <w:t>TWG members are expected to:</w:t>
      </w:r>
    </w:p>
    <w:p>
      <w:pPr>
        <w:pStyle w:val="ListBullet"/>
        <w:numPr>
          <w:ilvl w:val="0"/>
          <w:numId w:val="5"/>
        </w:numPr>
        <w:rPr/>
      </w:pPr>
      <w:r>
        <w:rPr/>
        <w:t>Attend STWG meetings and provide timely updates on organisational activities and available resources;</w:t>
      </w:r>
    </w:p>
    <w:p>
      <w:pPr>
        <w:pStyle w:val="ListBullet"/>
        <w:numPr>
          <w:ilvl w:val="0"/>
          <w:numId w:val="5"/>
        </w:numPr>
        <w:rPr/>
      </w:pPr>
      <w:r>
        <w:rPr/>
        <w:t>Maintain up-to-date contact details in the STWG roster (Annex A) and respond to activation messages within 2 hours;</w:t>
      </w:r>
    </w:p>
    <w:p>
      <w:pPr>
        <w:pStyle w:val="ListBullet"/>
        <w:numPr>
          <w:ilvl w:val="0"/>
          <w:numId w:val="5"/>
        </w:numPr>
        <w:rPr/>
      </w:pPr>
      <w:r>
        <w:rPr/>
        <w:t>Share situational and operational data with the STWG in a timely manner, using agreed templates;</w:t>
      </w:r>
    </w:p>
    <w:p>
      <w:pPr>
        <w:pStyle w:val="ListBullet"/>
        <w:numPr>
          <w:ilvl w:val="0"/>
          <w:numId w:val="5"/>
        </w:numPr>
        <w:rPr/>
      </w:pPr>
      <w:r>
        <w:rPr/>
        <w:t>Identify and make available technical staff, NFI stocks, and other resources in line with organisational commitments;</w:t>
      </w:r>
    </w:p>
    <w:p>
      <w:pPr>
        <w:pStyle w:val="ListBullet"/>
        <w:numPr>
          <w:ilvl w:val="0"/>
          <w:numId w:val="5"/>
        </w:numPr>
        <w:rPr/>
      </w:pPr>
      <w:r>
        <w:rPr/>
        <w:t>Avoid parallel coordination structures that duplicate or undermine STWG functions;</w:t>
      </w:r>
    </w:p>
    <w:p>
      <w:pPr>
        <w:pStyle w:val="ListBullet"/>
        <w:numPr>
          <w:ilvl w:val="0"/>
          <w:numId w:val="5"/>
        </w:numPr>
        <w:rPr/>
      </w:pPr>
      <w:r>
        <w:rPr/>
        <w:t>Respect agreed information management protocols and public communication channels;</w:t>
      </w:r>
    </w:p>
    <w:p>
      <w:pPr>
        <w:pStyle w:val="ListBullet"/>
        <w:numPr>
          <w:ilvl w:val="0"/>
          <w:numId w:val="5"/>
        </w:numPr>
        <w:rPr/>
      </w:pPr>
      <w:r>
        <w:rPr/>
        <w:t>Participate in post-response reviews and contribute to lessons learned and SOP updates.</w:t>
      </w:r>
    </w:p>
    <w:p>
      <w:pPr>
        <w:pStyle w:val="Heading1"/>
        <w:spacing w:lineRule="auto" w:line="252" w:before="480" w:after="80"/>
        <w:rPr>
          <w:color w:val="auto"/>
        </w:rPr>
      </w:pPr>
      <w:r>
        <w:rPr>
          <w:rFonts w:eastAsia="Arial" w:ascii="Arial" w:hAnsi="Arial"/>
          <w:color w:val="auto"/>
        </w:rPr>
        <w:t>4. Preparedness / Non-Emergency Procedures</w:t>
      </w:r>
    </w:p>
    <w:p>
      <w:pPr>
        <w:pStyle w:val="Heading2"/>
        <w:spacing w:lineRule="auto" w:line="252" w:before="200" w:after="80"/>
        <w:rPr>
          <w:color w:val="auto"/>
        </w:rPr>
      </w:pPr>
      <w:r>
        <w:rPr>
          <w:rFonts w:eastAsia="Arial" w:ascii="Arial" w:hAnsi="Arial"/>
          <w:color w:val="auto"/>
        </w:rPr>
        <w:t>4.1 Regular Meetings</w:t>
      </w:r>
    </w:p>
    <w:p>
      <w:pPr>
        <w:pStyle w:val="Normal"/>
        <w:spacing w:lineRule="auto" w:line="252" w:before="0" w:after="80"/>
        <w:jc w:val="both"/>
        <w:rPr/>
      </w:pPr>
      <w:r>
        <w:rPr/>
        <w:t>During non-emergency periods, the TWG shall meet at an agreed frequency.</w:t>
      </w:r>
    </w:p>
    <w:p>
      <w:pPr>
        <w:pStyle w:val="Normal"/>
        <w:spacing w:lineRule="auto" w:line="252" w:before="0" w:after="80"/>
        <w:jc w:val="both"/>
        <w:rPr/>
      </w:pPr>
      <w:r>
        <w:rPr/>
        <w:t>The STWG meets biweekly (every two weeks) during non-emergency periods. The next scheduled series begins 10 May 2026. Meeting cadence is:</w:t>
      </w:r>
    </w:p>
    <w:p>
      <w:pPr>
        <w:pStyle w:val="ListBullet"/>
        <w:numPr>
          <w:ilvl w:val="0"/>
          <w:numId w:val="5"/>
        </w:numPr>
        <w:rPr/>
      </w:pPr>
      <w:r>
        <w:rPr/>
        <w:t>Biweekly: Full STWG coordination call (60 minutes) — review preparedness, resource mapping, capacity building, and TWG objectives;</w:t>
      </w:r>
    </w:p>
    <w:p>
      <w:pPr>
        <w:pStyle w:val="ListBullet"/>
        <w:numPr>
          <w:ilvl w:val="0"/>
          <w:numId w:val="5"/>
        </w:numPr>
        <w:rPr/>
      </w:pPr>
      <w:r>
        <w:rPr/>
        <w:t>Monthly: Technical deep-dive session on a specific topic (e.g., ARNet assessment tool, HLP, collective centre management, earthquake pre-positioning);</w:t>
      </w:r>
    </w:p>
    <w:p>
      <w:pPr>
        <w:pStyle w:val="ListBullet"/>
        <w:numPr>
          <w:ilvl w:val="0"/>
          <w:numId w:val="5"/>
        </w:numPr>
        <w:rPr/>
      </w:pPr>
      <w:r>
        <w:rPr/>
        <w:t>Annually: In-person workshop or simulation exercise (e.g., Exercise SYNERGY) to test procedures and update the SOP;</w:t>
      </w:r>
    </w:p>
    <w:p>
      <w:pPr>
        <w:pStyle w:val="ListBullet"/>
        <w:numPr>
          <w:ilvl w:val="0"/>
          <w:numId w:val="5"/>
        </w:numPr>
        <w:rPr/>
      </w:pPr>
      <w:r>
        <w:rPr/>
        <w:t>On demand: Immediate call within 4 hours of a significant seismic/hurricane event affecting the Caribbean.</w:t>
      </w:r>
    </w:p>
    <w:p>
      <w:pPr>
        <w:pStyle w:val="Heading2"/>
        <w:spacing w:lineRule="auto" w:line="252" w:before="200" w:after="80"/>
        <w:rPr>
          <w:color w:val="auto"/>
        </w:rPr>
      </w:pPr>
      <w:r>
        <w:rPr>
          <w:rFonts w:eastAsia="Arial" w:ascii="Arial" w:hAnsi="Arial"/>
          <w:color w:val="auto"/>
        </w:rPr>
        <w:t>4.2 Preparedness Planning</w:t>
      </w:r>
    </w:p>
    <w:p>
      <w:pPr>
        <w:pStyle w:val="Normal"/>
        <w:spacing w:lineRule="auto" w:line="252" w:before="0" w:after="80"/>
        <w:jc w:val="both"/>
        <w:rPr/>
      </w:pPr>
      <w:r>
        <w:rPr/>
        <w:t>The TWG shall:</w:t>
      </w:r>
    </w:p>
    <w:p>
      <w:pPr>
        <w:pStyle w:val="ListBullet"/>
        <w:numPr>
          <w:ilvl w:val="0"/>
          <w:numId w:val="5"/>
        </w:numPr>
        <w:rPr/>
      </w:pPr>
      <w:r>
        <w:rPr/>
        <w:t>Maintain and annually update this SOP, incorporating lessons from exercises and real activations;</w:t>
      </w:r>
    </w:p>
    <w:p>
      <w:pPr>
        <w:pStyle w:val="ListBullet"/>
        <w:numPr>
          <w:ilvl w:val="0"/>
          <w:numId w:val="5"/>
        </w:numPr>
        <w:rPr/>
      </w:pPr>
      <w:r>
        <w:rPr/>
        <w:t>Conduct at least one multi-hazard tabletop exercise per year (or participate in CDEMA/RRM exercises such as Exercise SYNERGY);</w:t>
      </w:r>
    </w:p>
    <w:p>
      <w:pPr>
        <w:pStyle w:val="ListBullet"/>
        <w:numPr>
          <w:ilvl w:val="0"/>
          <w:numId w:val="5"/>
        </w:numPr>
        <w:rPr/>
      </w:pPr>
      <w:r>
        <w:rPr/>
        <w:t>Maintain a live resource and capacity matrix (Section 4.4), updated quarterly by Co-Leads;</w:t>
      </w:r>
    </w:p>
    <w:p>
      <w:pPr>
        <w:pStyle w:val="ListBullet"/>
        <w:numPr>
          <w:ilvl w:val="0"/>
          <w:numId w:val="5"/>
        </w:numPr>
        <w:rPr/>
      </w:pPr>
      <w:r>
        <w:rPr/>
        <w:t>Support CDEMA Participating States in reviewing and pre-identifying collective centre sites, especially for earthquake scenarios (noting that pre-existing buildings may be unsafe);</w:t>
      </w:r>
    </w:p>
    <w:p>
      <w:pPr>
        <w:pStyle w:val="ListBullet"/>
        <w:numPr>
          <w:ilvl w:val="0"/>
          <w:numId w:val="5"/>
        </w:numPr>
        <w:rPr/>
      </w:pPr>
      <w:r>
        <w:rPr/>
        <w:t>Develop and maintain ARNet assessment capacity among STWG members for rapid post-earthquake structural assessment;</w:t>
      </w:r>
    </w:p>
    <w:p>
      <w:pPr>
        <w:pStyle w:val="ListBullet"/>
        <w:numPr>
          <w:ilvl w:val="0"/>
          <w:numId w:val="5"/>
        </w:numPr>
        <w:rPr/>
      </w:pPr>
      <w:r>
        <w:rPr/>
        <w:t>Develop earthquake pre-positioning strategy for Eastern Caribbean (priority: Barbados, Antigua, St Lucia hubs) — NOTE: no current pre-positioning in country as of April 2026;</w:t>
      </w:r>
    </w:p>
    <w:p>
      <w:pPr>
        <w:pStyle w:val="ListBullet"/>
        <w:numPr>
          <w:ilvl w:val="0"/>
          <w:numId w:val="5"/>
        </w:numPr>
        <w:rPr/>
      </w:pPr>
      <w:r>
        <w:rPr/>
        <w:t>Engage diaspora organisations and private sector (Good360, corporate partners) to maintain in-kind donation pathways in line with the Responsible Donations framework;</w:t>
      </w:r>
    </w:p>
    <w:p>
      <w:pPr>
        <w:pStyle w:val="ListBullet"/>
        <w:numPr>
          <w:ilvl w:val="0"/>
          <w:numId w:val="5"/>
        </w:numPr>
        <w:rPr/>
      </w:pPr>
      <w:r>
        <w:rPr/>
        <w:t>Maintain training roster of PASSA facilitators, HLP specialists, RNAT trained engineers, and collective centre managers;</w:t>
      </w:r>
    </w:p>
    <w:p>
      <w:pPr>
        <w:pStyle w:val="ListBullet"/>
        <w:numPr>
          <w:ilvl w:val="0"/>
          <w:numId w:val="5"/>
        </w:numPr>
        <w:rPr/>
      </w:pPr>
      <w:r>
        <w:rPr/>
        <w:t>Develop and publish shelter preparedness messaging for CDEMA Participating States ahead of hurricane season (June–November).</w:t>
      </w:r>
    </w:p>
    <w:p>
      <w:pPr>
        <w:pStyle w:val="Heading2"/>
        <w:spacing w:lineRule="auto" w:line="252" w:before="200" w:after="80"/>
        <w:rPr>
          <w:color w:val="auto"/>
        </w:rPr>
      </w:pPr>
      <w:r>
        <w:rPr>
          <w:rFonts w:eastAsia="Arial" w:ascii="Arial" w:hAnsi="Arial"/>
          <w:color w:val="auto"/>
        </w:rPr>
        <w:t>4.3 Contact and Membership Management</w:t>
      </w:r>
    </w:p>
    <w:p>
      <w:pPr>
        <w:pStyle w:val="Normal"/>
        <w:spacing w:lineRule="auto" w:line="252" w:before="0" w:after="80"/>
        <w:jc w:val="both"/>
        <w:rPr/>
      </w:pPr>
      <w:r>
        <w:rPr/>
        <w:t>The TWG shall maintain:</w:t>
      </w:r>
    </w:p>
    <w:p>
      <w:pPr>
        <w:pStyle w:val="ListBullet"/>
        <w:numPr>
          <w:ilvl w:val="0"/>
          <w:numId w:val="5"/>
        </w:numPr>
        <w:spacing w:lineRule="auto" w:line="252" w:before="0" w:after="80"/>
        <w:contextualSpacing/>
        <w:jc w:val="both"/>
        <w:rPr/>
      </w:pPr>
      <w:r>
        <w:rPr/>
        <w:t>updated member contact list;</w:t>
      </w:r>
    </w:p>
    <w:p>
      <w:pPr>
        <w:pStyle w:val="ListBullet"/>
        <w:numPr>
          <w:ilvl w:val="0"/>
          <w:numId w:val="5"/>
        </w:numPr>
        <w:spacing w:lineRule="auto" w:line="252" w:before="0" w:after="80"/>
        <w:contextualSpacing/>
        <w:jc w:val="both"/>
        <w:rPr/>
      </w:pPr>
      <w:r>
        <w:rPr/>
        <w:t>emergency focal points;</w:t>
      </w:r>
    </w:p>
    <w:p>
      <w:pPr>
        <w:pStyle w:val="ListBullet"/>
        <w:numPr>
          <w:ilvl w:val="0"/>
          <w:numId w:val="5"/>
        </w:numPr>
        <w:spacing w:lineRule="auto" w:line="252" w:before="0" w:after="80"/>
        <w:contextualSpacing/>
        <w:jc w:val="both"/>
        <w:rPr/>
      </w:pPr>
      <w:r>
        <w:rPr/>
        <w:t>alternate focal points;</w:t>
      </w:r>
    </w:p>
    <w:p>
      <w:pPr>
        <w:pStyle w:val="ListBullet"/>
        <w:numPr>
          <w:ilvl w:val="0"/>
          <w:numId w:val="5"/>
        </w:numPr>
        <w:spacing w:lineRule="auto" w:line="252" w:before="0" w:after="80"/>
        <w:contextualSpacing/>
        <w:jc w:val="both"/>
        <w:rPr/>
      </w:pPr>
      <w:r>
        <w:rPr/>
        <w:t>partner organization profiles;</w:t>
      </w:r>
    </w:p>
    <w:p>
      <w:pPr>
        <w:pStyle w:val="ListBullet"/>
        <w:numPr>
          <w:ilvl w:val="0"/>
          <w:numId w:val="5"/>
        </w:numPr>
        <w:spacing w:lineRule="auto" w:line="252" w:before="0" w:after="80"/>
        <w:contextualSpacing/>
        <w:jc w:val="both"/>
        <w:rPr/>
      </w:pPr>
      <w:r>
        <w:rPr/>
        <w:t>technical rosters, where applicable.</w:t>
      </w:r>
    </w:p>
    <w:p>
      <w:pPr>
        <w:pStyle w:val="Heading2"/>
        <w:spacing w:lineRule="auto" w:line="252" w:before="200" w:after="80"/>
        <w:rPr>
          <w:color w:val="auto"/>
        </w:rPr>
      </w:pPr>
      <w:r>
        <w:rPr>
          <w:rFonts w:eastAsia="Arial" w:ascii="Arial" w:hAnsi="Arial"/>
          <w:color w:val="auto"/>
        </w:rPr>
        <w:t>4.4 Resource and Capacity Mapping</w:t>
      </w:r>
    </w:p>
    <w:p>
      <w:pPr>
        <w:pStyle w:val="Normal"/>
        <w:spacing w:lineRule="auto" w:line="252" w:before="0" w:after="80"/>
        <w:rPr/>
      </w:pPr>
      <w:r>
        <w:rPr/>
        <w:t>The TWG shall maintain a regularly updated resource matrix, including:</w:t>
      </w:r>
    </w:p>
    <w:tbl>
      <w:tblPr>
        <w:tblStyle w:val="TableGrid"/>
        <w:tblW w:w="1022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461"/>
        <w:gridCol w:w="1460"/>
        <w:gridCol w:w="1462"/>
        <w:gridCol w:w="1460"/>
        <w:gridCol w:w="1462"/>
        <w:gridCol w:w="1460"/>
        <w:gridCol w:w="1462"/>
      </w:tblGrid>
      <w:tr>
        <w:trPr/>
        <w:tc>
          <w:tcPr>
            <w:tcW w:w="1461"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Resource / Capacity</w:t>
            </w:r>
          </w:p>
        </w:tc>
        <w:tc>
          <w:tcPr>
            <w:tcW w:w="1460"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Partner</w:t>
            </w:r>
          </w:p>
        </w:tc>
        <w:tc>
          <w:tcPr>
            <w:tcW w:w="1462"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Quantity / Scale</w:t>
            </w:r>
          </w:p>
        </w:tc>
        <w:tc>
          <w:tcPr>
            <w:tcW w:w="1460"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Location</w:t>
            </w:r>
          </w:p>
        </w:tc>
        <w:tc>
          <w:tcPr>
            <w:tcW w:w="1462"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Availability</w:t>
            </w:r>
          </w:p>
        </w:tc>
        <w:tc>
          <w:tcPr>
            <w:tcW w:w="1460"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Mobilization Time</w:t>
            </w:r>
          </w:p>
        </w:tc>
        <w:tc>
          <w:tcPr>
            <w:tcW w:w="1462" w:type="dxa"/>
            <w:tcBorders/>
            <w:shd w:color="auto" w:fill="D9EAF7" w:val="clear"/>
            <w:vAlign w:val="center"/>
          </w:tcPr>
          <w:p>
            <w:pPr>
              <w:pStyle w:val="Normal"/>
              <w:widowControl/>
              <w:suppressAutoHyphens w:val="true"/>
              <w:spacing w:lineRule="auto" w:line="240" w:before="0" w:after="0"/>
              <w:jc w:val="start"/>
              <w:rPr>
                <w:rFonts w:cs="Arial"/>
              </w:rPr>
            </w:pPr>
            <w:r>
              <w:rPr>
                <w:rFonts w:cs="Arial"/>
                <w:b/>
                <w:kern w:val="0"/>
                <w:sz w:val="18"/>
                <w:szCs w:val="22"/>
                <w:lang w:val="en-US" w:eastAsia="en-US" w:bidi="ar-SA"/>
              </w:rPr>
              <w:t>Constraints</w:t>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Emergency shelter tarpaulins (heavy duty)</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Caribbean RO / CDEMA stockpile</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5,000 units (Barbados hub)</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Bridgetown, Barbados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Within 24–48 hrs by air/sea</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2–3 days to field</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NFI Family Kit (blankets, mats, cookware, hygiene)</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 CDEMA / Red Cross NSs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2,000 kits (partial pre-pos)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Barbados + Trinidad</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Within 24–48 hrs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2–3 days to field</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Structural assessment teams (RNAT)</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 REACT UK</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6–12 engineers on roster</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Deployable regionally</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Within 24 hrs (virtual) / 48 hrs (field)</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Visa/travel logistics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Emergency tent kits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ShelterBox</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Under negotiation (Barbados)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Barbados (proposed)</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48–72 hrs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Final pre-pos agreement TBC</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NFI (Good360 / GEM partnership)</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GEM / Good360</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Variable — in-kind pipeline</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Miami, USA</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3–5 days by air freight</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Customs clearance in receiving country</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DREF / emergency funds for Red Cross response</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IFRC / NatSoc</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Up to CHF 500,000 (DREF)</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Port of Spain + islands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48–72 hrs (DREF approval)</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DREF application process (~48 hrs)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Collective centre management support</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 UNHCR (on request)</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Technical team deployable</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Barbados RO</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Within 48 hrs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Depends on access and scale</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PASSA community shelter assessment training</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(trained facilitators on roster)</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On demand — training + deployment</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Regional</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3–5 days (mobilisation)</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Facilitator availability</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HLP rapid assessment and documentation</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IOM / NRC (TBC)</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Small specialist team</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Barbados / remote</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Within 3–5 days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HLP lead TBC</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Hygiene kits, MHPSS, CFS materials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UNICEF ECA</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Pre-positioned (Panama / Barbados)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Panama + Barbados</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24–48 hrs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Procurement lead times for scale-up</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Cash and voucher assistance (CVA) capability</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IFRC / Red Cross NSs / UNICEF</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System and training in place</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Regional</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Operational within 72 hrs</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Recipient identification and verification</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r>
        <w:trPr/>
        <w:tc>
          <w:tcPr>
            <w:tcW w:w="1461"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Humanitarian cargo air freight (emergency)</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WFP (logistics cluster support)</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On request via Logistics TWG</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Regional / Miami</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48–72 hrs (LOU required)</w:t>
            </w:r>
          </w:p>
        </w:tc>
        <w:tc>
          <w:tcPr>
            <w:tcW w:w="1460"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t>Subject to Logistics TWG activation</w:t>
            </w:r>
          </w:p>
        </w:tc>
        <w:tc>
          <w:tcPr>
            <w:tcW w:w="1462" w:type="dxa"/>
            <w:tcBorders/>
            <w:vAlign w:val="center"/>
          </w:tcPr>
          <w:p>
            <w:pPr>
              <w:pStyle w:val="Normal"/>
              <w:widowControl/>
              <w:suppressAutoHyphens w:val="true"/>
              <w:spacing w:lineRule="auto" w:line="240" w:before="0" w:after="0"/>
              <w:jc w:val="start"/>
              <w:rPr>
                <w:rFonts w:cs="Arial"/>
              </w:rPr>
            </w:pPr>
            <w:r>
              <w:rPr>
                <w:rFonts w:cs="Arial"/>
                <w:kern w:val="0"/>
                <w:szCs w:val="22"/>
                <w:lang w:val="en-US" w:eastAsia="en-US" w:bidi="ar-SA"/>
              </w:rPr>
            </w:r>
          </w:p>
        </w:tc>
      </w:tr>
    </w:tbl>
    <w:p>
      <w:pPr>
        <w:pStyle w:val="Normal"/>
        <w:spacing w:lineRule="auto" w:line="252" w:before="0" w:after="80"/>
        <w:rPr/>
      </w:pPr>
      <w:r>
        <w:rPr/>
      </w:r>
    </w:p>
    <w:p>
      <w:pPr>
        <w:pStyle w:val="Heading2"/>
        <w:spacing w:lineRule="auto" w:line="252" w:before="200" w:after="80"/>
        <w:rPr>
          <w:color w:val="auto"/>
        </w:rPr>
      </w:pPr>
      <w:r>
        <w:rPr>
          <w:rFonts w:eastAsia="Arial" w:ascii="Arial" w:hAnsi="Arial"/>
          <w:color w:val="auto"/>
        </w:rPr>
        <w:t>4.5 Tools, Templates and Information Products</w:t>
      </w:r>
    </w:p>
    <w:p>
      <w:pPr>
        <w:pStyle w:val="Normal"/>
        <w:spacing w:lineRule="auto" w:line="252" w:before="0" w:after="80"/>
        <w:jc w:val="both"/>
        <w:rPr/>
      </w:pPr>
      <w:r>
        <w:rPr/>
        <w:t>The TWG shall maintain relevant tools such as:</w:t>
      </w:r>
    </w:p>
    <w:p>
      <w:pPr>
        <w:pStyle w:val="ListBullet"/>
        <w:numPr>
          <w:ilvl w:val="0"/>
          <w:numId w:val="5"/>
        </w:numPr>
        <w:rPr/>
      </w:pPr>
      <w:r>
        <w:rPr/>
        <w:t>STWG Member Roster (Annex A) — updated quarterly; all members confirm contact details at each activation;</w:t>
      </w:r>
    </w:p>
    <w:p>
      <w:pPr>
        <w:pStyle w:val="ListBullet"/>
        <w:numPr>
          <w:ilvl w:val="0"/>
          <w:numId w:val="5"/>
        </w:numPr>
        <w:rPr/>
      </w:pPr>
      <w:r>
        <w:rPr/>
        <w:t>Multi-Hazard Activation Checklist (Annex B) — first 6 hours, covering all hazard types;</w:t>
      </w:r>
    </w:p>
    <w:p>
      <w:pPr>
        <w:pStyle w:val="ListBullet"/>
        <w:numPr>
          <w:ilvl w:val="0"/>
          <w:numId w:val="5"/>
        </w:numPr>
        <w:rPr/>
      </w:pPr>
      <w:r>
        <w:rPr/>
        <w:t>STWG Situation Report (SitRep) Template (Annex C) — standardised format, AI-compatible, aligned with CDPG reporting cycle;</w:t>
      </w:r>
    </w:p>
    <w:p>
      <w:pPr>
        <w:pStyle w:val="ListBullet"/>
        <w:numPr>
          <w:ilvl w:val="0"/>
          <w:numId w:val="5"/>
        </w:numPr>
        <w:rPr/>
      </w:pPr>
      <w:r>
        <w:rPr/>
        <w:t>STWG Scenario Response and Reporting Tool — pre-loaded with Caribbean shelter data, scenario parameters, partner contacts;</w:t>
      </w:r>
    </w:p>
    <w:p>
      <w:pPr>
        <w:pStyle w:val="ListBullet"/>
        <w:numPr>
          <w:ilvl w:val="0"/>
          <w:numId w:val="5"/>
        </w:numPr>
        <w:rPr/>
      </w:pPr>
      <w:r>
        <w:rPr/>
        <w:t>RNAT Assessment Template — post-earthquake structural screening tool (Caribbean-adapted, English and Spanish);</w:t>
      </w:r>
    </w:p>
    <w:p>
      <w:pPr>
        <w:pStyle w:val="ListBullet"/>
        <w:numPr>
          <w:ilvl w:val="0"/>
          <w:numId w:val="5"/>
        </w:numPr>
        <w:rPr/>
      </w:pPr>
      <w:r>
        <w:rPr/>
        <w:t>Collective Centre Registry — site details, capacity, management status, services provided;</w:t>
      </w:r>
    </w:p>
    <w:p>
      <w:pPr>
        <w:pStyle w:val="ListBullet"/>
        <w:numPr>
          <w:ilvl w:val="0"/>
          <w:numId w:val="5"/>
        </w:numPr>
        <w:rPr/>
      </w:pPr>
      <w:r>
        <w:rPr/>
        <w:t>NFI Tracking Sheet — distribution pipeline, quantities, locations, beneficiary numbers;</w:t>
      </w:r>
    </w:p>
    <w:p>
      <w:pPr>
        <w:pStyle w:val="ListBullet"/>
        <w:numPr>
          <w:ilvl w:val="0"/>
          <w:numId w:val="5"/>
        </w:numPr>
        <w:rPr/>
      </w:pPr>
      <w:r>
        <w:rPr/>
        <w:t>HLP Rapid Assessment Form — tenure, documentation, eviction risk indicators;</w:t>
      </w:r>
    </w:p>
    <w:p>
      <w:pPr>
        <w:pStyle w:val="ListBullet"/>
        <w:numPr>
          <w:ilvl w:val="0"/>
          <w:numId w:val="5"/>
        </w:numPr>
        <w:rPr/>
      </w:pPr>
      <w:r>
        <w:rPr/>
        <w:t>Community Information Form (KoboToolbox) — rapid shelter data collection by community volunteers.</w:t>
      </w:r>
    </w:p>
    <w:p>
      <w:pPr>
        <w:pStyle w:val="Heading1"/>
        <w:spacing w:lineRule="auto" w:line="252" w:before="480" w:after="80"/>
        <w:rPr>
          <w:color w:val="auto"/>
        </w:rPr>
      </w:pPr>
      <w:r>
        <w:rPr>
          <w:rFonts w:eastAsia="Arial" w:ascii="Arial" w:hAnsi="Arial"/>
          <w:color w:val="auto"/>
        </w:rPr>
        <w:t>5. Activation Procedures</w:t>
      </w:r>
    </w:p>
    <w:p>
      <w:pPr>
        <w:pStyle w:val="Heading2"/>
        <w:spacing w:lineRule="auto" w:line="252" w:before="200" w:after="80"/>
        <w:rPr>
          <w:color w:val="auto"/>
        </w:rPr>
      </w:pPr>
      <w:r>
        <w:rPr>
          <w:rFonts w:eastAsia="Arial" w:ascii="Arial" w:hAnsi="Arial"/>
          <w:color w:val="auto"/>
        </w:rPr>
        <w:t>5.2 Activation Authority</w:t>
      </w:r>
    </w:p>
    <w:p>
      <w:pPr>
        <w:pStyle w:val="Normal"/>
        <w:spacing w:lineRule="auto" w:line="252" w:before="0" w:after="80"/>
        <w:jc w:val="both"/>
        <w:rPr/>
      </w:pPr>
      <w:r>
        <w:rPr/>
        <w:t>Activation of the TWG shall be authorized by the CDPG Co-Chairs or in alignment with CDPG activation protocols.</w:t>
      </w:r>
    </w:p>
    <w:p>
      <w:pPr>
        <w:pStyle w:val="Heading2"/>
        <w:spacing w:lineRule="auto" w:line="252" w:before="200" w:after="80"/>
        <w:rPr>
          <w:color w:val="auto"/>
        </w:rPr>
      </w:pPr>
      <w:r>
        <w:rPr>
          <w:rFonts w:eastAsia="Arial" w:ascii="Arial" w:hAnsi="Arial"/>
          <w:color w:val="auto"/>
        </w:rPr>
        <w:t>5.3 Activation Notification</w:t>
      </w:r>
    </w:p>
    <w:p>
      <w:pPr>
        <w:pStyle w:val="Normal"/>
        <w:spacing w:lineRule="auto" w:line="252" w:before="0" w:after="80"/>
        <w:jc w:val="both"/>
        <w:rPr/>
      </w:pPr>
      <w:r>
        <w:rPr/>
        <w:t>Upon activation, the TWG Co-Leads shall issue an activation message to all members.</w:t>
      </w:r>
    </w:p>
    <w:p>
      <w:pPr>
        <w:pStyle w:val="Normal"/>
        <w:spacing w:lineRule="auto" w:line="252" w:before="0" w:after="80"/>
        <w:jc w:val="both"/>
        <w:rPr/>
      </w:pPr>
      <w:r>
        <w:rPr/>
        <w:t>The activation message should include:</w:t>
      </w:r>
    </w:p>
    <w:p>
      <w:pPr>
        <w:pStyle w:val="ListBullet"/>
        <w:numPr>
          <w:ilvl w:val="0"/>
          <w:numId w:val="5"/>
        </w:numPr>
        <w:rPr/>
      </w:pPr>
      <w:r>
        <w:rPr/>
        <w:t>Nature, location, and preliminary magnitude/scale of the hazard event;</w:t>
      </w:r>
    </w:p>
    <w:p>
      <w:pPr>
        <w:pStyle w:val="ListBullet"/>
        <w:numPr>
          <w:ilvl w:val="0"/>
          <w:numId w:val="5"/>
        </w:numPr>
        <w:rPr/>
      </w:pPr>
      <w:r>
        <w:rPr/>
        <w:t>Confirmed CDPG activation level (L1 / L2 / L3) and status;</w:t>
      </w:r>
    </w:p>
    <w:p>
      <w:pPr>
        <w:pStyle w:val="ListBullet"/>
        <w:numPr>
          <w:ilvl w:val="0"/>
          <w:numId w:val="5"/>
        </w:numPr>
        <w:rPr/>
      </w:pPr>
      <w:r>
        <w:rPr/>
        <w:t>Preliminary indication of shelter and displacement impact (if available);</w:t>
      </w:r>
    </w:p>
    <w:p>
      <w:pPr>
        <w:pStyle w:val="ListBullet"/>
        <w:numPr>
          <w:ilvl w:val="0"/>
          <w:numId w:val="5"/>
        </w:numPr>
        <w:rPr/>
      </w:pPr>
      <w:r>
        <w:rPr/>
        <w:t>Opening of STWG communication channels: email listserv and WhatsApp group;</w:t>
      </w:r>
    </w:p>
    <w:p>
      <w:pPr>
        <w:pStyle w:val="ListBullet"/>
        <w:numPr>
          <w:ilvl w:val="0"/>
          <w:numId w:val="5"/>
        </w:numPr>
        <w:rPr/>
      </w:pPr>
      <w:r>
        <w:rPr/>
        <w:t>Date, time, and link for the first STWG coordination call (within 4 hours for sudden-onset events);</w:t>
      </w:r>
    </w:p>
    <w:p>
      <w:pPr>
        <w:pStyle w:val="ListBullet"/>
        <w:numPr>
          <w:ilvl w:val="0"/>
          <w:numId w:val="5"/>
        </w:numPr>
        <w:rPr/>
      </w:pPr>
      <w:r>
        <w:rPr/>
        <w:t>Instructions on immediate preparatory actions (e.g., check resource availability, alert deployment teams).</w:t>
      </w:r>
    </w:p>
    <w:p>
      <w:pPr>
        <w:pStyle w:val="Heading2"/>
        <w:spacing w:lineRule="auto" w:line="252" w:before="200" w:after="80"/>
        <w:rPr>
          <w:color w:val="auto"/>
        </w:rPr>
      </w:pPr>
      <w:r>
        <w:rPr>
          <w:rFonts w:eastAsia="Arial" w:ascii="Arial" w:hAnsi="Arial"/>
          <w:color w:val="auto"/>
        </w:rPr>
        <w:t>5.4 Initial TWG Meeting</w:t>
      </w:r>
    </w:p>
    <w:p>
      <w:pPr>
        <w:pStyle w:val="Normal"/>
        <w:spacing w:lineRule="auto" w:line="252" w:before="0" w:after="80"/>
        <w:jc w:val="both"/>
        <w:rPr/>
      </w:pPr>
      <w:r>
        <w:rPr/>
        <w:t>The first STWG meeting should be convened within 4 hours of activation for sudden-onset events (earthquake, tsunami) and within 12–24 hours for gradual-onset events (hurricane, flood). The initial meeting shall address:</w:t>
      </w:r>
    </w:p>
    <w:p>
      <w:pPr>
        <w:pStyle w:val="ListBullet"/>
        <w:numPr>
          <w:ilvl w:val="0"/>
          <w:numId w:val="5"/>
        </w:numPr>
        <w:rPr/>
      </w:pPr>
      <w:r>
        <w:rPr/>
        <w:t>Confirmation of activated partners and their availability;</w:t>
      </w:r>
    </w:p>
    <w:p>
      <w:pPr>
        <w:pStyle w:val="ListBullet"/>
        <w:numPr>
          <w:ilvl w:val="0"/>
          <w:numId w:val="5"/>
        </w:numPr>
        <w:rPr/>
      </w:pPr>
      <w:r>
        <w:rPr/>
        <w:t>Preliminary shelter impact briefing (government, CDEMA, UWI SRC for seismic events);</w:t>
      </w:r>
    </w:p>
    <w:p>
      <w:pPr>
        <w:pStyle w:val="ListBullet"/>
        <w:numPr>
          <w:ilvl w:val="0"/>
          <w:numId w:val="5"/>
        </w:numPr>
        <w:rPr/>
      </w:pPr>
      <w:r>
        <w:rPr/>
        <w:t>Agreement on STWG operating rhythm and meeting frequency for the response;</w:t>
      </w:r>
    </w:p>
    <w:p>
      <w:pPr>
        <w:pStyle w:val="ListBullet"/>
        <w:numPr>
          <w:ilvl w:val="0"/>
          <w:numId w:val="5"/>
        </w:numPr>
        <w:rPr/>
      </w:pPr>
      <w:r>
        <w:rPr/>
        <w:t>Assignment of the Rapporteur and information management responsibilities;</w:t>
      </w:r>
    </w:p>
    <w:p>
      <w:pPr>
        <w:pStyle w:val="ListBullet"/>
        <w:numPr>
          <w:ilvl w:val="0"/>
          <w:numId w:val="5"/>
        </w:numPr>
        <w:rPr/>
      </w:pPr>
      <w:r>
        <w:rPr/>
        <w:t>Review of pre-positioned resources and deployment pipeline;</w:t>
      </w:r>
    </w:p>
    <w:p>
      <w:pPr>
        <w:pStyle w:val="ListBullet"/>
        <w:numPr>
          <w:ilvl w:val="0"/>
          <w:numId w:val="5"/>
        </w:numPr>
        <w:rPr/>
      </w:pPr>
      <w:r>
        <w:rPr/>
        <w:t>Initial geographic prioritization for assessment and response;</w:t>
      </w:r>
    </w:p>
    <w:p>
      <w:pPr>
        <w:pStyle w:val="ListBullet"/>
        <w:numPr>
          <w:ilvl w:val="0"/>
          <w:numId w:val="5"/>
        </w:numPr>
        <w:rPr/>
      </w:pPr>
      <w:r>
        <w:rPr/>
        <w:t>Key gaps, constraints, and immediate cross-TWG coordination needs (especially Relief &amp; Logistics, Protection);</w:t>
      </w:r>
    </w:p>
    <w:p>
      <w:pPr>
        <w:pStyle w:val="ListBullet"/>
        <w:numPr>
          <w:ilvl w:val="0"/>
          <w:numId w:val="5"/>
        </w:numPr>
        <w:rPr/>
      </w:pPr>
      <w:r>
        <w:rPr/>
        <w:t>Timeline for first STWG Situation Report to CDPG/RCC.</w:t>
      </w:r>
    </w:p>
    <w:p>
      <w:pPr>
        <w:pStyle w:val="Normal"/>
        <w:spacing w:lineRule="auto" w:line="252" w:before="0" w:after="80"/>
        <w:jc w:val="both"/>
        <w:rPr/>
      </w:pPr>
      <w:r>
        <w:rPr/>
        <w:t>The initial meeting should address:</w:t>
      </w:r>
    </w:p>
    <w:p>
      <w:pPr>
        <w:pStyle w:val="Heading1"/>
        <w:spacing w:lineRule="auto" w:line="252" w:before="480" w:after="80"/>
        <w:rPr>
          <w:color w:val="auto"/>
        </w:rPr>
      </w:pPr>
      <w:r>
        <w:rPr>
          <w:rFonts w:eastAsia="Arial" w:ascii="Arial" w:hAnsi="Arial"/>
          <w:color w:val="auto"/>
        </w:rPr>
        <w:t>6. Emergency Response Procedures</w:t>
      </w:r>
    </w:p>
    <w:p>
      <w:pPr>
        <w:pStyle w:val="Heading2"/>
        <w:spacing w:lineRule="auto" w:line="252" w:before="200" w:after="80"/>
        <w:rPr>
          <w:color w:val="auto"/>
        </w:rPr>
      </w:pPr>
      <w:r>
        <w:rPr>
          <w:rFonts w:eastAsia="Arial" w:ascii="Arial" w:hAnsi="Arial"/>
          <w:color w:val="auto"/>
        </w:rPr>
        <w:t>6.1 Operating Rhythm</w:t>
      </w:r>
    </w:p>
    <w:p>
      <w:pPr>
        <w:pStyle w:val="Normal"/>
        <w:spacing w:lineRule="auto" w:line="252" w:before="0" w:after="80"/>
        <w:jc w:val="both"/>
        <w:rPr/>
      </w:pPr>
      <w:r>
        <w:rPr/>
        <w:t>During activation, the TWG shall establish an operating rhythm based on the scale and urgency of the event.</w:t>
      </w:r>
    </w:p>
    <w:p>
      <w:pPr>
        <w:pStyle w:val="Normal"/>
        <w:spacing w:lineRule="auto" w:line="252" w:before="0" w:after="80"/>
        <w:jc w:val="both"/>
        <w:rPr/>
      </w:pPr>
      <w:r>
        <w:rPr/>
        <w:t>This may include:</w:t>
      </w:r>
    </w:p>
    <w:p>
      <w:pPr>
        <w:pStyle w:val="ListBullet"/>
        <w:numPr>
          <w:ilvl w:val="0"/>
          <w:numId w:val="5"/>
        </w:numPr>
        <w:rPr/>
      </w:pPr>
      <w:r>
        <w:rPr/>
        <w:t>H+0–72 (acute phase): Daily STWG calls (60 min), daily SitRep to CDPG, continuous WhatsApp monitoring;</w:t>
      </w:r>
    </w:p>
    <w:p>
      <w:pPr>
        <w:pStyle w:val="ListBullet"/>
        <w:numPr>
          <w:ilvl w:val="0"/>
          <w:numId w:val="5"/>
        </w:numPr>
        <w:rPr/>
      </w:pPr>
      <w:r>
        <w:rPr/>
        <w:t>Day 4–14 (sub-acute): Every-other-day calls, SitRep every 48 hours, joint field assessment coordination;</w:t>
      </w:r>
    </w:p>
    <w:p>
      <w:pPr>
        <w:pStyle w:val="ListBullet"/>
        <w:numPr>
          <w:ilvl w:val="0"/>
          <w:numId w:val="5"/>
        </w:numPr>
        <w:rPr/>
      </w:pPr>
      <w:r>
        <w:rPr/>
        <w:t>Day 15+ (operational phase): Twice-weekly calls, weekly SitRep, transition planning discussions;</w:t>
      </w:r>
    </w:p>
    <w:p>
      <w:pPr>
        <w:pStyle w:val="ListBullet"/>
        <w:numPr>
          <w:ilvl w:val="0"/>
          <w:numId w:val="5"/>
        </w:numPr>
        <w:rPr/>
      </w:pPr>
      <w:r>
        <w:rPr/>
        <w:t>All phases: Real-time updates via STWG WhatsApp group; shared dashboard on CDPG shared drive; CLS updates via Logistics TWG.</w:t>
      </w:r>
    </w:p>
    <w:p>
      <w:pPr>
        <w:pStyle w:val="Heading2"/>
        <w:spacing w:lineRule="auto" w:line="252" w:before="200" w:after="80"/>
        <w:rPr>
          <w:rFonts w:ascii="Arial" w:hAnsi="Arial" w:eastAsia="Arial"/>
          <w:color w:val="auto"/>
        </w:rPr>
      </w:pPr>
      <w:r>
        <w:rPr>
          <w:rFonts w:eastAsia="Arial" w:ascii="Arial" w:hAnsi="Arial"/>
          <w:color w:val="auto"/>
        </w:rPr>
        <w:t>6.3 Coordination with CDPG</w:t>
      </w:r>
    </w:p>
    <w:p>
      <w:pPr>
        <w:pStyle w:val="Normal"/>
        <w:rPr>
          <w:b/>
          <w:bCs/>
        </w:rPr>
      </w:pPr>
      <w:r>
        <w:rPr>
          <w:b/>
          <w:bCs/>
        </w:rPr>
        <w:t>Reporting to the CDPG</w:t>
      </w:r>
    </w:p>
    <w:p>
      <w:pPr>
        <w:pStyle w:val="Normal"/>
        <w:spacing w:lineRule="auto" w:line="252" w:before="0" w:after="80"/>
        <w:jc w:val="both"/>
        <w:rPr/>
      </w:pPr>
      <w:r>
        <w:rPr/>
        <w:t>The TWG shall provide regular updates to the CDPG to include:</w:t>
      </w:r>
    </w:p>
    <w:p>
      <w:pPr>
        <w:pStyle w:val="ListBullet"/>
        <w:numPr>
          <w:ilvl w:val="0"/>
          <w:numId w:val="5"/>
        </w:numPr>
        <w:spacing w:lineRule="auto" w:line="252" w:before="0" w:after="80"/>
        <w:contextualSpacing/>
        <w:jc w:val="both"/>
        <w:rPr/>
      </w:pPr>
      <w:r>
        <w:rPr/>
        <w:t>partner activities;</w:t>
      </w:r>
    </w:p>
    <w:p>
      <w:pPr>
        <w:pStyle w:val="ListBullet"/>
        <w:numPr>
          <w:ilvl w:val="0"/>
          <w:numId w:val="5"/>
        </w:numPr>
        <w:spacing w:lineRule="auto" w:line="252" w:before="0" w:after="80"/>
        <w:contextualSpacing/>
        <w:jc w:val="both"/>
        <w:rPr/>
      </w:pPr>
      <w:r>
        <w:rPr/>
        <w:t>resources available;</w:t>
      </w:r>
    </w:p>
    <w:p>
      <w:pPr>
        <w:pStyle w:val="ListBullet"/>
        <w:numPr>
          <w:ilvl w:val="0"/>
          <w:numId w:val="5"/>
        </w:numPr>
        <w:spacing w:lineRule="auto" w:line="252" w:before="0" w:after="80"/>
        <w:contextualSpacing/>
        <w:jc w:val="both"/>
        <w:rPr/>
      </w:pPr>
      <w:r>
        <w:rPr/>
        <w:t>gaps and constraints;</w:t>
      </w:r>
    </w:p>
    <w:p>
      <w:pPr>
        <w:pStyle w:val="ListBullet"/>
        <w:numPr>
          <w:ilvl w:val="0"/>
          <w:numId w:val="5"/>
        </w:numPr>
        <w:spacing w:lineRule="auto" w:line="252" w:before="0" w:after="80"/>
        <w:contextualSpacing/>
        <w:jc w:val="both"/>
        <w:rPr/>
      </w:pPr>
      <w:r>
        <w:rPr/>
        <w:t>support required from other TWGs;</w:t>
      </w:r>
    </w:p>
    <w:p>
      <w:pPr>
        <w:pStyle w:val="ListBullet"/>
        <w:numPr>
          <w:ilvl w:val="0"/>
          <w:numId w:val="5"/>
        </w:numPr>
        <w:spacing w:lineRule="auto" w:line="252" w:before="0" w:after="80"/>
        <w:contextualSpacing/>
        <w:jc w:val="both"/>
        <w:rPr/>
      </w:pPr>
      <w:r>
        <w:rPr/>
        <w:t>decisions required from CDPG.</w:t>
      </w:r>
    </w:p>
    <w:p>
      <w:pPr>
        <w:pStyle w:val="ListBullet"/>
        <w:numPr>
          <w:ilvl w:val="0"/>
          <w:numId w:val="0"/>
        </w:numPr>
        <w:spacing w:lineRule="auto" w:line="252" w:before="0" w:after="80"/>
        <w:ind w:hanging="360" w:start="360"/>
        <w:contextualSpacing/>
        <w:jc w:val="both"/>
        <w:rPr/>
      </w:pPr>
      <w:r>
        <w:rPr/>
      </w:r>
    </w:p>
    <w:p>
      <w:pPr>
        <w:pStyle w:val="ListBullet"/>
        <w:numPr>
          <w:ilvl w:val="0"/>
          <w:numId w:val="0"/>
        </w:numPr>
        <w:spacing w:lineRule="auto" w:line="252" w:before="0" w:after="80"/>
        <w:ind w:hanging="360" w:start="360"/>
        <w:contextualSpacing/>
        <w:jc w:val="both"/>
        <w:rPr/>
      </w:pPr>
      <w:r>
        <w:rPr/>
      </w:r>
    </w:p>
    <w:p>
      <w:pPr>
        <w:pStyle w:val="ListBullet"/>
        <w:numPr>
          <w:ilvl w:val="0"/>
          <w:numId w:val="0"/>
        </w:numPr>
        <w:spacing w:lineRule="auto" w:line="252" w:before="0" w:after="80"/>
        <w:ind w:hanging="360" w:start="360"/>
        <w:contextualSpacing/>
        <w:jc w:val="both"/>
        <w:rPr>
          <w:b/>
          <w:bCs/>
          <w:lang w:val="en-GB"/>
        </w:rPr>
      </w:pPr>
      <w:r>
        <w:rPr>
          <w:b/>
          <w:bCs/>
          <w:lang w:val="en-GB"/>
        </w:rPr>
        <w:t>Support for the Development of Information Products</w:t>
      </w:r>
    </w:p>
    <w:p>
      <w:pPr>
        <w:pStyle w:val="ListBullet"/>
        <w:numPr>
          <w:ilvl w:val="0"/>
          <w:numId w:val="0"/>
        </w:numPr>
        <w:spacing w:lineRule="auto" w:line="252" w:before="0" w:after="80"/>
        <w:ind w:hanging="360" w:start="360"/>
        <w:contextualSpacing/>
        <w:jc w:val="both"/>
        <w:rPr>
          <w:lang w:val="en-GB"/>
        </w:rPr>
      </w:pPr>
      <w:r>
        <w:rPr>
          <w:lang w:val="en-GB"/>
        </w:rPr>
        <w:t>The TWG shall provide timely and accurate information to support the development of information products,</w:t>
      </w:r>
    </w:p>
    <w:p>
      <w:pPr>
        <w:pStyle w:val="ListBullet"/>
        <w:numPr>
          <w:ilvl w:val="0"/>
          <w:numId w:val="0"/>
        </w:numPr>
        <w:spacing w:lineRule="auto" w:line="252" w:before="0" w:after="80"/>
        <w:ind w:hanging="360" w:start="360"/>
        <w:contextualSpacing/>
        <w:jc w:val="both"/>
        <w:rPr>
          <w:lang w:val="en-GB"/>
        </w:rPr>
      </w:pPr>
      <w:r>
        <w:rPr>
          <w:lang w:val="en-GB"/>
        </w:rPr>
        <w:t>including Information Notes, Situation Reports, and Infographics.</w:t>
      </w:r>
    </w:p>
    <w:p>
      <w:pPr>
        <w:pStyle w:val="ListBullet"/>
        <w:numPr>
          <w:ilvl w:val="0"/>
          <w:numId w:val="0"/>
        </w:numPr>
        <w:spacing w:lineRule="auto" w:line="252" w:before="0" w:after="80"/>
        <w:ind w:hanging="360" w:start="360"/>
        <w:contextualSpacing/>
        <w:jc w:val="both"/>
        <w:rPr>
          <w:lang w:val="en-GB"/>
        </w:rPr>
      </w:pPr>
      <w:r>
        <w:rPr>
          <w:lang w:val="en-GB"/>
        </w:rPr>
      </w:r>
    </w:p>
    <w:p>
      <w:pPr>
        <w:pStyle w:val="ListBullet"/>
        <w:numPr>
          <w:ilvl w:val="0"/>
          <w:numId w:val="0"/>
        </w:numPr>
        <w:spacing w:lineRule="auto" w:line="252" w:before="0" w:after="80"/>
        <w:ind w:hanging="360" w:start="360"/>
        <w:contextualSpacing/>
        <w:jc w:val="both"/>
        <w:rPr>
          <w:lang w:val="en-GB"/>
        </w:rPr>
      </w:pPr>
      <w:r>
        <w:rPr>
          <w:lang w:val="en-GB"/>
        </w:rPr>
        <w:t>Information provided should include:</w:t>
      </w:r>
    </w:p>
    <w:p>
      <w:pPr>
        <w:pStyle w:val="ListBullet"/>
        <w:numPr>
          <w:ilvl w:val="0"/>
          <w:numId w:val="7"/>
        </w:numPr>
        <w:tabs>
          <w:tab w:val="clear" w:pos="720"/>
          <w:tab w:val="left" w:pos="360" w:leader="none"/>
        </w:tabs>
        <w:spacing w:lineRule="auto" w:line="252" w:before="0" w:after="80"/>
        <w:ind w:hanging="720" w:start="720"/>
        <w:contextualSpacing/>
        <w:jc w:val="both"/>
        <w:rPr>
          <w:lang w:val="en-GB"/>
        </w:rPr>
      </w:pPr>
      <w:r>
        <w:rPr>
          <w:b/>
          <w:bCs/>
          <w:lang w:val="en-GB"/>
        </w:rPr>
        <w:t>What:</w:t>
      </w:r>
      <w:r>
        <w:rPr>
          <w:lang w:val="en-GB"/>
        </w:rPr>
        <w:t xml:space="preserve"> operations being undertaken by the TWG; </w:t>
      </w:r>
    </w:p>
    <w:p>
      <w:pPr>
        <w:pStyle w:val="ListBullet"/>
        <w:numPr>
          <w:ilvl w:val="0"/>
          <w:numId w:val="7"/>
        </w:numPr>
        <w:tabs>
          <w:tab w:val="clear" w:pos="720"/>
          <w:tab w:val="left" w:pos="360" w:leader="none"/>
        </w:tabs>
        <w:spacing w:lineRule="auto" w:line="252" w:before="0" w:after="80"/>
        <w:ind w:hanging="720" w:start="720"/>
        <w:contextualSpacing/>
        <w:jc w:val="both"/>
        <w:rPr>
          <w:lang w:val="en-GB"/>
        </w:rPr>
      </w:pPr>
      <w:r>
        <w:rPr>
          <w:b/>
          <w:bCs/>
          <w:lang w:val="en-GB"/>
        </w:rPr>
        <w:t>Who:</w:t>
      </w:r>
      <w:r>
        <w:rPr>
          <w:lang w:val="en-GB"/>
        </w:rPr>
        <w:t xml:space="preserve"> agencies/partners supporting the operations; </w:t>
      </w:r>
    </w:p>
    <w:p>
      <w:pPr>
        <w:pStyle w:val="ListBullet"/>
        <w:numPr>
          <w:ilvl w:val="0"/>
          <w:numId w:val="7"/>
        </w:numPr>
        <w:tabs>
          <w:tab w:val="clear" w:pos="720"/>
          <w:tab w:val="left" w:pos="360" w:leader="none"/>
        </w:tabs>
        <w:spacing w:lineRule="auto" w:line="252" w:before="0" w:after="80"/>
        <w:ind w:hanging="720" w:start="720"/>
        <w:contextualSpacing/>
        <w:jc w:val="both"/>
        <w:rPr>
          <w:lang w:val="en-GB"/>
        </w:rPr>
      </w:pPr>
      <w:r>
        <w:rPr>
          <w:b/>
          <w:bCs/>
          <w:lang w:val="en-GB"/>
        </w:rPr>
        <w:t>Where:</w:t>
      </w:r>
      <w:r>
        <w:rPr>
          <w:lang w:val="en-GB"/>
        </w:rPr>
        <w:t xml:space="preserve"> locations of operations (countries, parishes, communities); </w:t>
      </w:r>
    </w:p>
    <w:p>
      <w:pPr>
        <w:pStyle w:val="ListBullet"/>
        <w:numPr>
          <w:ilvl w:val="0"/>
          <w:numId w:val="7"/>
        </w:numPr>
        <w:tabs>
          <w:tab w:val="clear" w:pos="720"/>
          <w:tab w:val="left" w:pos="360" w:leader="none"/>
        </w:tabs>
        <w:spacing w:lineRule="auto" w:line="252" w:before="0" w:after="80"/>
        <w:ind w:hanging="720" w:start="720"/>
        <w:contextualSpacing/>
        <w:jc w:val="both"/>
        <w:rPr>
          <w:lang w:val="en-GB"/>
        </w:rPr>
      </w:pPr>
      <w:r>
        <w:rPr>
          <w:b/>
          <w:bCs/>
          <w:lang w:val="en-GB"/>
        </w:rPr>
        <w:t>Whom:</w:t>
      </w:r>
      <w:r>
        <w:rPr>
          <w:lang w:val="en-GB"/>
        </w:rPr>
        <w:t xml:space="preserve"> beneficiaries of the operations (disaggregated by sex and age, where possible); and </w:t>
      </w:r>
    </w:p>
    <w:p>
      <w:pPr>
        <w:pStyle w:val="ListBullet"/>
        <w:numPr>
          <w:ilvl w:val="0"/>
          <w:numId w:val="7"/>
        </w:numPr>
        <w:tabs>
          <w:tab w:val="clear" w:pos="720"/>
          <w:tab w:val="left" w:pos="360" w:leader="none"/>
        </w:tabs>
        <w:spacing w:lineRule="auto" w:line="252" w:before="0" w:after="80"/>
        <w:ind w:hanging="720" w:start="720"/>
        <w:contextualSpacing/>
        <w:jc w:val="both"/>
        <w:rPr>
          <w:lang w:val="en-GB"/>
        </w:rPr>
      </w:pPr>
      <w:r>
        <w:rPr>
          <w:b/>
          <w:bCs/>
          <w:lang w:val="en-GB"/>
        </w:rPr>
        <w:t>When:</w:t>
      </w:r>
      <w:r>
        <w:rPr>
          <w:lang w:val="en-GB"/>
        </w:rPr>
        <w:t xml:space="preserve"> timelines of operations, including start dates and expected duration.</w:t>
      </w:r>
    </w:p>
    <w:p>
      <w:pPr>
        <w:pStyle w:val="ListBullet"/>
        <w:numPr>
          <w:ilvl w:val="0"/>
          <w:numId w:val="0"/>
        </w:numPr>
        <w:spacing w:lineRule="auto" w:line="252" w:before="0" w:after="80"/>
        <w:ind w:hanging="360" w:start="360"/>
        <w:contextualSpacing/>
        <w:jc w:val="both"/>
        <w:rPr/>
      </w:pPr>
      <w:r>
        <w:rPr/>
      </w:r>
    </w:p>
    <w:p>
      <w:pPr>
        <w:pStyle w:val="Heading2"/>
        <w:spacing w:lineRule="auto" w:line="252" w:before="200" w:after="80"/>
        <w:rPr>
          <w:color w:val="auto"/>
        </w:rPr>
      </w:pPr>
      <w:r>
        <w:rPr>
          <w:rFonts w:eastAsia="Arial" w:ascii="Arial" w:hAnsi="Arial"/>
          <w:color w:val="auto"/>
        </w:rPr>
        <w:t>6.4 Cross-TWG Coordination</w:t>
      </w:r>
    </w:p>
    <w:p>
      <w:pPr>
        <w:pStyle w:val="Normal"/>
        <w:rPr/>
      </w:pPr>
      <w:r>
        <w:rPr/>
        <w:t>The STWG maintains the following primary coordination interfaces with other CDPG TWGs:</w:t>
      </w:r>
    </w:p>
    <w:p>
      <w:pPr>
        <w:pStyle w:val="ListBullet"/>
        <w:numPr>
          <w:ilvl w:val="0"/>
          <w:numId w:val="5"/>
        </w:numPr>
        <w:rPr/>
      </w:pPr>
      <w:r>
        <w:rPr/>
        <w:t>Relief &amp; Logistics TWG — NFI pipeline management, cargo tracking (CLS), last-mile delivery, pre-positioning strategy; STWG provides demand signal, Logistics TWG confirms supply pipeline;</w:t>
      </w:r>
    </w:p>
    <w:p>
      <w:pPr>
        <w:pStyle w:val="ListBullet"/>
        <w:numPr>
          <w:ilvl w:val="0"/>
          <w:numId w:val="5"/>
        </w:numPr>
        <w:rPr/>
      </w:pPr>
      <w:r>
        <w:rPr/>
        <w:t>WASH TWG — Joint needs analysis at collective centres; WASH services integrated into shelter site plans; coordination on contamination assessment for water supply;</w:t>
      </w:r>
    </w:p>
    <w:p>
      <w:pPr>
        <w:pStyle w:val="ListBullet"/>
        <w:numPr>
          <w:ilvl w:val="0"/>
          <w:numId w:val="5"/>
        </w:numPr>
        <w:rPr/>
      </w:pPr>
      <w:r>
        <w:rPr/>
        <w:t>Protection TWG — HLP rapid assessment, gender-based violence (GBV) risk mitigation in collective centres; child protection in displacement settings; HLP rights referrals;</w:t>
      </w:r>
    </w:p>
    <w:p>
      <w:pPr>
        <w:pStyle w:val="ListBullet"/>
        <w:numPr>
          <w:ilvl w:val="0"/>
          <w:numId w:val="5"/>
        </w:numPr>
        <w:rPr/>
      </w:pPr>
      <w:r>
        <w:rPr/>
        <w:t>Early Recovery TWG — Transition from emergency shelter to transitional and permanent housing; Build Back Better integration; repair and reconstruction coordination;</w:t>
      </w:r>
    </w:p>
    <w:p>
      <w:pPr>
        <w:pStyle w:val="ListBullet"/>
        <w:numPr>
          <w:ilvl w:val="0"/>
          <w:numId w:val="5"/>
        </w:numPr>
        <w:rPr/>
      </w:pPr>
      <w:r>
        <w:rPr/>
        <w:t>Civil-Military Coordination TWG — Coordination of military engineering assets for structural assessment and rubble management; use of military transport for NFI delivery to inaccessible areas;</w:t>
      </w:r>
    </w:p>
    <w:p>
      <w:pPr>
        <w:pStyle w:val="ListBullet"/>
        <w:numPr>
          <w:ilvl w:val="0"/>
          <w:numId w:val="5"/>
        </w:numPr>
        <w:rPr/>
      </w:pPr>
      <w:r>
        <w:rPr/>
        <w:t>Health TWG — Identification of medical facilities requiring shelter or structural safety assessment; health facility site planning in collective centres;</w:t>
      </w:r>
    </w:p>
    <w:p>
      <w:pPr>
        <w:pStyle w:val="ListBullet"/>
        <w:numPr>
          <w:ilvl w:val="0"/>
          <w:numId w:val="5"/>
        </w:numPr>
        <w:rPr/>
      </w:pPr>
      <w:r>
        <w:rPr/>
        <w:t>Private Sector TWG — Responsible donation framework; corporate NFI partnerships (Good360, Amazon, Airbnb); diaspora engagement for shelter support.</w:t>
      </w:r>
    </w:p>
    <w:p>
      <w:pPr>
        <w:pStyle w:val="Heading2"/>
        <w:spacing w:lineRule="auto" w:line="252" w:before="200" w:after="80"/>
        <w:rPr>
          <w:rFonts w:ascii="Arial" w:hAnsi="Arial" w:eastAsia="Arial"/>
          <w:color w:val="auto"/>
        </w:rPr>
      </w:pPr>
      <w:r>
        <w:rPr>
          <w:rFonts w:eastAsia="Arial" w:ascii="Arial" w:hAnsi="Arial"/>
          <w:color w:val="auto"/>
        </w:rPr>
        <w:t>6.6 Resource Tracking</w:t>
      </w:r>
    </w:p>
    <w:p>
      <w:pPr>
        <w:pStyle w:val="Normal"/>
        <w:rPr>
          <w:lang w:val="en-GB"/>
        </w:rPr>
      </w:pPr>
      <w:r>
        <w:rPr>
          <w:lang w:val="en-GB"/>
        </w:rPr>
        <w:t xml:space="preserve">The TWG shall coordinate with the Relief and Logistics TWG to support the updating of the </w:t>
      </w:r>
      <w:r>
        <w:rPr>
          <w:b/>
          <w:bCs/>
          <w:lang w:val="en-GB"/>
        </w:rPr>
        <w:t>CDEMA Logistics System (CLS)</w:t>
      </w:r>
      <w:r>
        <w:rPr>
          <w:lang w:val="en-GB"/>
        </w:rPr>
        <w:t xml:space="preserve"> and maintain an accurate and up-to-date inventory of humanitarian relief items relevant to the TWG’s mandate.</w:t>
      </w:r>
    </w:p>
    <w:p>
      <w:pPr>
        <w:pStyle w:val="Normal"/>
        <w:rPr>
          <w:lang w:val="en-GB"/>
        </w:rPr>
      </w:pPr>
      <w:r>
        <w:rPr>
          <w:lang w:val="en-GB"/>
        </w:rPr>
        <w:t>The TWG shall also maintain and regularly update a database of emergency response personnel, aligned with its area of responsibility, who are available for deployment to Regional Response Teams and to support operations within the Regional Coordination Centre (RCC).</w:t>
      </w:r>
    </w:p>
    <w:p>
      <w:pPr>
        <w:pStyle w:val="Heading2"/>
        <w:spacing w:lineRule="auto" w:line="252" w:before="200" w:after="80"/>
        <w:rPr>
          <w:color w:val="auto"/>
        </w:rPr>
      </w:pPr>
      <w:r>
        <w:rPr>
          <w:rFonts w:eastAsia="Arial" w:ascii="Arial" w:hAnsi="Arial"/>
          <w:color w:val="auto"/>
        </w:rPr>
        <w:t>6.7 Information Management Products</w:t>
      </w:r>
    </w:p>
    <w:p>
      <w:pPr>
        <w:pStyle w:val="Normal"/>
        <w:rPr/>
      </w:pPr>
      <w:r>
        <w:rPr/>
        <w:t>The STWG shall produce and maintain the following information products during response:</w:t>
      </w:r>
    </w:p>
    <w:p>
      <w:pPr>
        <w:pStyle w:val="ListBullet"/>
        <w:numPr>
          <w:ilvl w:val="0"/>
          <w:numId w:val="5"/>
        </w:numPr>
        <w:rPr/>
      </w:pPr>
      <w:r>
        <w:rPr/>
        <w:t>STWG Situation Report (SitRep) — standardised format (Annex C); produced every 24–48 hours; submitted to CDPG/RCC; includes shelter needs, assessment data, partner activities, gaps, and resource pipeline;</w:t>
      </w:r>
    </w:p>
    <w:p>
      <w:pPr>
        <w:pStyle w:val="ListBullet"/>
        <w:numPr>
          <w:ilvl w:val="0"/>
          <w:numId w:val="5"/>
        </w:numPr>
        <w:rPr/>
      </w:pPr>
      <w:r>
        <w:rPr/>
        <w:t>Displacement and Collective Centre Tracker — updated daily during acute phase; tracks site name, location, population, management status, services available;</w:t>
      </w:r>
    </w:p>
    <w:p>
      <w:pPr>
        <w:pStyle w:val="ListBullet"/>
        <w:numPr>
          <w:ilvl w:val="0"/>
          <w:numId w:val="5"/>
        </w:numPr>
        <w:rPr/>
      </w:pPr>
      <w:r>
        <w:rPr/>
        <w:t>NFI Distribution Pipeline — tracks quantities ordered, in transit, delivered, and pending; updated per distribution event;</w:t>
      </w:r>
    </w:p>
    <w:p>
      <w:pPr>
        <w:pStyle w:val="ListBullet"/>
        <w:numPr>
          <w:ilvl w:val="0"/>
          <w:numId w:val="5"/>
        </w:numPr>
        <w:rPr/>
      </w:pPr>
      <w:r>
        <w:rPr/>
        <w:t>Damage Assessment Summary — aggregates RNAT structural assessment results; categorised by Inspected / Restricted Use / Unsafe placards;</w:t>
      </w:r>
    </w:p>
    <w:p>
      <w:pPr>
        <w:pStyle w:val="ListBullet"/>
        <w:numPr>
          <w:ilvl w:val="0"/>
          <w:numId w:val="5"/>
        </w:numPr>
        <w:rPr/>
      </w:pPr>
      <w:r>
        <w:rPr/>
        <w:t>STWG Partner Activity Matrix — 4Ws (Who, What, Where, Whom) for shelter and NFI activities;</w:t>
      </w:r>
    </w:p>
    <w:p>
      <w:pPr>
        <w:pStyle w:val="ListBullet"/>
        <w:numPr>
          <w:ilvl w:val="0"/>
          <w:numId w:val="5"/>
        </w:numPr>
        <w:rPr/>
      </w:pPr>
      <w:r>
        <w:rPr/>
        <w:t>HLP Status Brief — identifies tenure, legal, and documentation issues; feeds into Protection TWG and Early Recovery planning;</w:t>
      </w:r>
    </w:p>
    <w:p>
      <w:pPr>
        <w:pStyle w:val="ListBullet"/>
        <w:numPr>
          <w:ilvl w:val="0"/>
          <w:numId w:val="5"/>
        </w:numPr>
        <w:rPr/>
      </w:pPr>
      <w:r>
        <w:rPr/>
        <w:t>External Shelter Bulletin — simplified public-facing summary for media and government; cleared through CDPG communications cell before release.</w:t>
      </w:r>
    </w:p>
    <w:p>
      <w:pPr>
        <w:pStyle w:val="Heading2"/>
        <w:spacing w:lineRule="auto" w:line="252" w:before="200" w:after="80"/>
        <w:rPr>
          <w:color w:val="auto"/>
        </w:rPr>
      </w:pPr>
      <w:r>
        <w:rPr>
          <w:rFonts w:eastAsia="Arial" w:ascii="Arial" w:hAnsi="Arial"/>
          <w:color w:val="auto"/>
        </w:rPr>
        <w:t>6.8 External Communications and Public Information</w:t>
      </w:r>
    </w:p>
    <w:p>
      <w:pPr>
        <w:pStyle w:val="Normal"/>
        <w:spacing w:lineRule="auto" w:line="252" w:before="0" w:after="80"/>
        <w:jc w:val="both"/>
        <w:rPr/>
      </w:pPr>
      <w:r>
        <w:rPr/>
        <w:t>External communications shall be coordinated through agreed CDPG, CDEMA, UNETT / UN OCHA, and national public information channels.</w:t>
      </w:r>
    </w:p>
    <w:p>
      <w:pPr>
        <w:pStyle w:val="Normal"/>
        <w:spacing w:lineRule="auto" w:line="252" w:before="0" w:after="80"/>
        <w:jc w:val="both"/>
        <w:rPr/>
      </w:pPr>
      <w:r>
        <w:rPr/>
        <w:t>TWG members should avoid releasing unverified operational information that could compromise national messaging, affected populations, or partner coordination.</w:t>
      </w:r>
    </w:p>
    <w:p>
      <w:pPr>
        <w:pStyle w:val="Heading1"/>
        <w:spacing w:lineRule="auto" w:line="252" w:before="480" w:after="80"/>
        <w:rPr>
          <w:color w:val="auto"/>
        </w:rPr>
      </w:pPr>
      <w:r>
        <w:rPr>
          <w:rFonts w:eastAsia="Arial" w:ascii="Arial" w:hAnsi="Arial"/>
          <w:color w:val="auto"/>
        </w:rPr>
        <w:t>7. Early Recovery Procedures</w:t>
      </w:r>
    </w:p>
    <w:p>
      <w:pPr>
        <w:pStyle w:val="Heading2"/>
        <w:spacing w:lineRule="auto" w:line="252" w:before="200" w:after="80"/>
        <w:rPr>
          <w:color w:val="auto"/>
        </w:rPr>
      </w:pPr>
      <w:r>
        <w:rPr>
          <w:rFonts w:eastAsia="Arial" w:ascii="Arial" w:hAnsi="Arial"/>
          <w:color w:val="auto"/>
        </w:rPr>
        <w:t>7.1 Transition from Response to Early Recovery</w:t>
      </w:r>
    </w:p>
    <w:p>
      <w:pPr>
        <w:pStyle w:val="Normal"/>
        <w:spacing w:lineRule="auto" w:line="252" w:before="0" w:after="80"/>
        <w:jc w:val="both"/>
        <w:rPr/>
      </w:pPr>
      <w:r>
        <w:rPr/>
        <w:t>The TWG shall support the transition from immediate response to early recovery by identifying:</w:t>
      </w:r>
    </w:p>
    <w:p>
      <w:pPr>
        <w:pStyle w:val="ListBullet"/>
        <w:numPr>
          <w:ilvl w:val="0"/>
          <w:numId w:val="5"/>
        </w:numPr>
        <w:rPr/>
      </w:pPr>
      <w:r>
        <w:rPr/>
        <w:t>Areas with sufficient structural stock for limited repair support (vs. areas requiring full reconstruction);</w:t>
      </w:r>
    </w:p>
    <w:p>
      <w:pPr>
        <w:pStyle w:val="ListBullet"/>
        <w:numPr>
          <w:ilvl w:val="0"/>
          <w:numId w:val="5"/>
        </w:numPr>
        <w:rPr/>
      </w:pPr>
      <w:r>
        <w:rPr/>
        <w:t>HLP issues — unresolved tenure, contested land, evictions — that could block self-recovery;</w:t>
      </w:r>
    </w:p>
    <w:p>
      <w:pPr>
        <w:pStyle w:val="ListBullet"/>
        <w:numPr>
          <w:ilvl w:val="0"/>
          <w:numId w:val="5"/>
        </w:numPr>
        <w:rPr/>
      </w:pPr>
      <w:r>
        <w:rPr/>
        <w:t>Collective centre populations with no viable return or durable solution pathway;</w:t>
      </w:r>
    </w:p>
    <w:p>
      <w:pPr>
        <w:pStyle w:val="ListBullet"/>
        <w:numPr>
          <w:ilvl w:val="0"/>
          <w:numId w:val="5"/>
        </w:numPr>
        <w:rPr/>
      </w:pPr>
      <w:r>
        <w:rPr/>
        <w:t>Coordination entry points for Habitat for Humanity, All Hands and Hearts, and other reconstruction-phase partners;</w:t>
      </w:r>
    </w:p>
    <w:p>
      <w:pPr>
        <w:pStyle w:val="ListBullet"/>
        <w:numPr>
          <w:ilvl w:val="0"/>
          <w:numId w:val="5"/>
        </w:numPr>
        <w:rPr/>
      </w:pPr>
      <w:r>
        <w:rPr/>
        <w:t>Build Back Better (BBB) technical standards for government-led reconstruction;</w:t>
      </w:r>
    </w:p>
    <w:p>
      <w:pPr>
        <w:pStyle w:val="ListBullet"/>
        <w:numPr>
          <w:ilvl w:val="0"/>
          <w:numId w:val="5"/>
        </w:numPr>
        <w:rPr/>
      </w:pPr>
      <w:r>
        <w:rPr/>
        <w:t>Transition of STWG from daily operational coordination to strategic oversight and advocacy.</w:t>
      </w:r>
    </w:p>
    <w:p>
      <w:pPr>
        <w:pStyle w:val="Heading1"/>
        <w:spacing w:lineRule="auto" w:line="252" w:before="480" w:after="80"/>
        <w:rPr>
          <w:color w:val="auto"/>
        </w:rPr>
      </w:pPr>
      <w:r>
        <w:rPr>
          <w:rFonts w:eastAsia="Arial" w:ascii="Arial" w:hAnsi="Arial"/>
          <w:color w:val="auto"/>
        </w:rPr>
        <w:t>8. Deactivation Procedures</w:t>
      </w:r>
    </w:p>
    <w:p>
      <w:pPr>
        <w:pStyle w:val="Heading2"/>
        <w:spacing w:lineRule="auto" w:line="252" w:before="200" w:after="80"/>
        <w:rPr>
          <w:color w:val="auto"/>
        </w:rPr>
      </w:pPr>
      <w:r>
        <w:rPr>
          <w:rFonts w:eastAsia="Arial" w:ascii="Arial" w:hAnsi="Arial"/>
          <w:color w:val="auto"/>
        </w:rPr>
        <w:t>8.2 Deactivation Authority</w:t>
      </w:r>
    </w:p>
    <w:p>
      <w:pPr>
        <w:pStyle w:val="Normal"/>
        <w:spacing w:lineRule="auto" w:line="252" w:before="0" w:after="80"/>
        <w:jc w:val="both"/>
        <w:rPr/>
      </w:pPr>
      <w:r>
        <w:rPr/>
        <w:t>Deactivation shall be authorized by the CDPG Co-Chairs in alignment with CDPG procedures.</w:t>
      </w:r>
    </w:p>
    <w:p>
      <w:pPr>
        <w:pStyle w:val="Heading2"/>
        <w:spacing w:lineRule="auto" w:line="252" w:before="200" w:after="80"/>
        <w:rPr>
          <w:color w:val="auto"/>
        </w:rPr>
      </w:pPr>
      <w:r>
        <w:rPr>
          <w:rFonts w:eastAsia="Arial" w:ascii="Arial" w:hAnsi="Arial"/>
          <w:color w:val="auto"/>
        </w:rPr>
        <w:t>8.3 Deactivation Actions</w:t>
      </w:r>
    </w:p>
    <w:p>
      <w:pPr>
        <w:pStyle w:val="ListBullet"/>
        <w:numPr>
          <w:ilvl w:val="0"/>
          <w:numId w:val="5"/>
        </w:numPr>
        <w:rPr/>
      </w:pPr>
      <w:r>
        <w:rPr/>
        <w:t>Circulate deactivation notice to all STWG members at least 5 days in advance;</w:t>
      </w:r>
    </w:p>
    <w:p>
      <w:pPr>
        <w:pStyle w:val="ListBullet"/>
        <w:numPr>
          <w:ilvl w:val="0"/>
          <w:numId w:val="5"/>
        </w:numPr>
        <w:rPr/>
      </w:pPr>
      <w:r>
        <w:rPr/>
        <w:t>Produce final STWG Situation Report summarising total response scope, partners, beneficiaries, and remaining gaps;</w:t>
      </w:r>
    </w:p>
    <w:p>
      <w:pPr>
        <w:pStyle w:val="ListBullet"/>
        <w:numPr>
          <w:ilvl w:val="0"/>
          <w:numId w:val="5"/>
        </w:numPr>
        <w:rPr/>
      </w:pPr>
      <w:r>
        <w:rPr/>
        <w:t>Close STWG-specific operational communication channels (WhatsApp response group); revert to standing preparedness channels;</w:t>
      </w:r>
    </w:p>
    <w:p>
      <w:pPr>
        <w:pStyle w:val="ListBullet"/>
        <w:numPr>
          <w:ilvl w:val="0"/>
          <w:numId w:val="5"/>
        </w:numPr>
        <w:rPr/>
      </w:pPr>
      <w:r>
        <w:rPr/>
        <w:t>Compile and share STWG lessons learned document with CDPG / CDEMA;</w:t>
      </w:r>
    </w:p>
    <w:p>
      <w:pPr>
        <w:pStyle w:val="ListBullet"/>
        <w:numPr>
          <w:ilvl w:val="0"/>
          <w:numId w:val="5"/>
        </w:numPr>
        <w:rPr/>
      </w:pPr>
      <w:r>
        <w:rPr/>
        <w:t>Update resource and capacity matrix to reflect stocks used, replenishment status, and resource gaps identified;</w:t>
      </w:r>
    </w:p>
    <w:p>
      <w:pPr>
        <w:pStyle w:val="ListBullet"/>
        <w:numPr>
          <w:ilvl w:val="0"/>
          <w:numId w:val="5"/>
        </w:numPr>
        <w:rPr/>
      </w:pPr>
      <w:r>
        <w:rPr/>
        <w:t>Handover any ongoing collective centre populations, HLP cases, or NFI pipeline issues to the relevant national authority or recovery-phase coordinator;</w:t>
      </w:r>
    </w:p>
    <w:p>
      <w:pPr>
        <w:pStyle w:val="ListBullet"/>
        <w:numPr>
          <w:ilvl w:val="0"/>
          <w:numId w:val="5"/>
        </w:numPr>
        <w:rPr/>
      </w:pPr>
      <w:r>
        <w:rPr/>
        <w:t>Schedule post-response SOP review meeting within 30 days of deactivation to incorporate lessons learned.</w:t>
      </w:r>
    </w:p>
    <w:p>
      <w:pPr>
        <w:pStyle w:val="Heading1"/>
        <w:spacing w:lineRule="auto" w:line="252" w:before="480" w:after="80"/>
        <w:rPr>
          <w:color w:val="auto"/>
        </w:rPr>
      </w:pPr>
      <w:r>
        <w:rPr>
          <w:rFonts w:eastAsia="Arial" w:ascii="Arial" w:hAnsi="Arial"/>
          <w:color w:val="auto"/>
        </w:rPr>
        <w:t>9. Reporting and Documentation</w:t>
      </w:r>
    </w:p>
    <w:p>
      <w:pPr>
        <w:pStyle w:val="ListBullet"/>
        <w:numPr>
          <w:ilvl w:val="0"/>
          <w:numId w:val="0"/>
        </w:numPr>
        <w:spacing w:lineRule="auto" w:line="252" w:before="0" w:after="80"/>
        <w:ind w:hanging="0" w:start="0"/>
        <w:contextualSpacing/>
        <w:rPr/>
      </w:pPr>
      <w:r>
        <w:rPr/>
      </w:r>
    </w:p>
    <w:sectPr>
      <w:footerReference w:type="even" r:id="rId3"/>
      <w:footerReference w:type="default" r:id="rId4"/>
      <w:footerReference w:type="first" r:id="rId5"/>
      <w:type w:val="nextPage"/>
      <w:pgSz w:w="12240" w:h="15840"/>
      <w:pgMar w:left="1008" w:right="1008" w:gutter="0" w:header="0" w:top="936" w:footer="72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CDPG (Name of TWG) SOP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CDPG (Name of TWG) SOP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start"/>
    </w:pPr>
    <w:rPr>
      <w:rFonts w:ascii="Arial" w:hAnsi="Arial" w:eastAsia="Arial" w:cs="" w:cstheme="minorBidi"/>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1F4E79"/>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1F4E79"/>
      <w:sz w:val="24"/>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val="1F4E79"/>
      <w:sz w:val="2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customStyle="1">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customStyle="1">
    <w:name w:val="Index"/>
    <w:basedOn w:val="Normal"/>
    <w:qFormat/>
    <w:pPr>
      <w:suppressLineNumbers/>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val="1F4E79"/>
      <w:spacing w:val="5"/>
      <w:kern w:val="2"/>
      <w:sz w:val="40"/>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5"/>
      </w:numPr>
      <w:spacing w:before="0" w:after="200"/>
      <w:contextualSpacing/>
    </w:pPr>
    <w:rPr/>
  </w:style>
  <w:style w:type="paragraph" w:styleId="ListBullet2">
    <w:name w:val="List Bullet 2"/>
    <w:basedOn w:val="Normal"/>
    <w:uiPriority w:val="99"/>
    <w:unhideWhenUsed/>
    <w:rsid w:val="00326f90"/>
    <w:pPr>
      <w:numPr>
        <w:ilvl w:val="0"/>
        <w:numId w:val="3"/>
      </w:numPr>
      <w:spacing w:before="0" w:after="200"/>
      <w:contextualSpacing/>
    </w:pPr>
    <w:rPr/>
  </w:style>
  <w:style w:type="paragraph" w:styleId="ListBullet3">
    <w:name w:val="List Bullet 3"/>
    <w:basedOn w:val="Normal"/>
    <w:uiPriority w:val="99"/>
    <w:unhideWhenUsed/>
    <w:rsid w:val="00326f90"/>
    <w:pPr>
      <w:numPr>
        <w:ilvl w:val="0"/>
        <w:numId w:val="4"/>
      </w:numPr>
      <w:spacing w:before="0" w:after="200"/>
      <w:contextualSpacing/>
    </w:pPr>
    <w:rPr/>
  </w:style>
  <w:style w:type="paragraph" w:styleId="ListNumber">
    <w:name w:val="List Number"/>
    <w:basedOn w:val="Normal"/>
    <w:uiPriority w:val="99"/>
    <w:unhideWhenUsed/>
    <w:rsid w:val="00326f90"/>
    <w:pPr>
      <w:numPr>
        <w:ilvl w:val="0"/>
        <w:numId w:val="1"/>
      </w:numPr>
      <w:spacing w:before="0" w:after="200"/>
      <w:contextualSpacing/>
    </w:pPr>
    <w:rPr/>
  </w:style>
  <w:style w:type="paragraph" w:styleId="ListNumber2">
    <w:name w:val="List Number 2"/>
    <w:basedOn w:val="Normal"/>
    <w:uiPriority w:val="99"/>
    <w:unhideWhenUsed/>
    <w:rsid w:val="0029639d"/>
    <w:pPr>
      <w:numPr>
        <w:ilvl w:val="0"/>
        <w:numId w:val="6"/>
      </w:numPr>
      <w:spacing w:before="0" w:after="200"/>
      <w:contextualSpacing/>
    </w:pPr>
    <w:rPr/>
  </w:style>
  <w:style w:type="paragraph" w:styleId="ListNumber3">
    <w:name w:val="List Number 3"/>
    <w:basedOn w:val="Normal"/>
    <w:uiPriority w:val="99"/>
    <w:unhideWhenUsed/>
    <w:rsid w:val="0029639d"/>
    <w:pPr>
      <w:numPr>
        <w:ilvl w:val="0"/>
        <w:numId w:val="2"/>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00000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4F81B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0504D"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9BBB59"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8064A2"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4BACC6"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79646"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rsid w:val="00cb0664"/>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4F81BD"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rsid w:val="00cb0664"/>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C0504D"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rsid w:val="00cb0664"/>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9BBB59"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8064A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rsid w:val="00cb0664"/>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4BACC6"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rsid w:val="00cb0664"/>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F79646"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u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Application>LibreOffice/26.2.2.2$Linux_AARCH64 LibreOffice_project/620$Build-2</Application>
  <AppVersion>15.0000</AppVersion>
  <Pages>10</Pages>
  <Words>3161</Words>
  <Characters>20485</Characters>
  <CharactersWithSpaces>23304</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2013-12-23T19:15:00Z</dcterms:created>
  <dc:creator>python-docx</dc:creator>
  <dc:description>generated by python-docx</dc:description>
  <dc:language>en-US</dc:language>
  <cp:lastModifiedBy>J.W. Wegdam</cp:lastModifiedBy>
  <dcterms:modified xsi:type="dcterms:W3CDTF">2026-04-29T18:57:00Z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file>