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E3A5" w14:textId="26E3645C" w:rsidR="00C076C2" w:rsidRDefault="00C076C2" w:rsidP="00C9481D">
      <w:pPr>
        <w:jc w:val="center"/>
        <w:rPr>
          <w:b/>
        </w:rPr>
      </w:pPr>
      <w:r>
        <w:rPr>
          <w:b/>
        </w:rPr>
        <w:t>DRAFT</w:t>
      </w:r>
    </w:p>
    <w:p w14:paraId="3B0F0C28" w14:textId="3153AD8E" w:rsidR="00C9481D" w:rsidRPr="00712CF6" w:rsidRDefault="00C9481D" w:rsidP="00C9481D">
      <w:pPr>
        <w:jc w:val="center"/>
        <w:rPr>
          <w:b/>
        </w:rPr>
      </w:pPr>
      <w:r w:rsidRPr="00712CF6">
        <w:rPr>
          <w:b/>
        </w:rPr>
        <w:t xml:space="preserve">CDPG-DM </w:t>
      </w:r>
      <w:r w:rsidR="008260D9">
        <w:rPr>
          <w:b/>
        </w:rPr>
        <w:t xml:space="preserve">SHELTER </w:t>
      </w:r>
      <w:r w:rsidRPr="00712CF6">
        <w:rPr>
          <w:b/>
        </w:rPr>
        <w:t>Thematic Working Groups (</w:t>
      </w:r>
      <w:r w:rsidR="008260D9">
        <w:rPr>
          <w:b/>
        </w:rPr>
        <w:t>S</w:t>
      </w:r>
      <w:r w:rsidRPr="00712CF6">
        <w:rPr>
          <w:b/>
        </w:rPr>
        <w:t>TWG) SO</w:t>
      </w:r>
      <w:r w:rsidR="008260D9">
        <w:rPr>
          <w:b/>
        </w:rPr>
        <w:t>P</w:t>
      </w:r>
    </w:p>
    <w:p w14:paraId="4B522097" w14:textId="77777777" w:rsidR="00C9481D" w:rsidRPr="00712CF6" w:rsidRDefault="00C9481D" w:rsidP="00C9481D">
      <w:pPr>
        <w:rPr>
          <w:b/>
        </w:rPr>
      </w:pPr>
    </w:p>
    <w:p w14:paraId="28B91454" w14:textId="77777777" w:rsidR="00C9481D" w:rsidRPr="00712CF6" w:rsidRDefault="00C9481D" w:rsidP="00C9481D">
      <w:pPr>
        <w:rPr>
          <w:b/>
        </w:rPr>
      </w:pPr>
      <w:r w:rsidRPr="00712CF6">
        <w:rPr>
          <w:b/>
          <w:bCs/>
        </w:rPr>
        <w:t>Overview</w:t>
      </w:r>
    </w:p>
    <w:p w14:paraId="5F4D9B54" w14:textId="77777777" w:rsidR="00C9481D" w:rsidRPr="00712CF6" w:rsidRDefault="00C9481D" w:rsidP="00C9481D"/>
    <w:p w14:paraId="3F4CC3ED" w14:textId="77777777" w:rsidR="00C9481D" w:rsidRPr="00712CF6" w:rsidRDefault="00C9481D" w:rsidP="00C9481D">
      <w:pPr>
        <w:spacing w:after="160" w:line="259" w:lineRule="auto"/>
        <w:jc w:val="both"/>
      </w:pPr>
      <w:r w:rsidRPr="00712CF6">
        <w:t>The Caribbean Development Partners Group for Disaster Management (CDPG-DM) Thematic Working Group (TWG) was established in July 2024 to provide a structured and inclusive platform for enhanced coordination, collaboration, and joint action among national, regional, and international partners engaged in disaster preparedness, response, and recovery. Its creation reflects the commitment to strengthening the Regional Response Mechanism (RRM) by ensuring that technical expertise, resources, and decision-making processes are aligned to support the needs of impacted Participating States in a timely, efficient, and principled manner.</w:t>
      </w:r>
    </w:p>
    <w:p w14:paraId="6CCDE93B" w14:textId="4B04DA8A" w:rsidR="008260D9" w:rsidRDefault="00C9481D" w:rsidP="00C9481D">
      <w:pPr>
        <w:spacing w:after="160" w:line="259" w:lineRule="auto"/>
        <w:jc w:val="both"/>
      </w:pPr>
      <w:r w:rsidRPr="00712CF6">
        <w:t xml:space="preserve">The </w:t>
      </w:r>
      <w:r w:rsidR="008260D9">
        <w:t>S</w:t>
      </w:r>
      <w:r w:rsidRPr="00712CF6">
        <w:t>TWG serves as a mechanism to promote information sharing, joint planning, and technical guidance</w:t>
      </w:r>
      <w:r w:rsidR="008260D9">
        <w:t xml:space="preserve"> in the field of “Shelter”,</w:t>
      </w:r>
      <w:r w:rsidR="008260D9">
        <w:rPr>
          <w:rStyle w:val="FootnoteReference"/>
        </w:rPr>
        <w:footnoteReference w:id="1"/>
      </w:r>
      <w:r w:rsidR="008260D9">
        <w:t xml:space="preserve"> </w:t>
      </w:r>
      <w:r w:rsidRPr="00712CF6">
        <w:t xml:space="preserve">in line with international humanitarian standards and the Comprehensive Disaster Management (CDM) Strategy. </w:t>
      </w:r>
    </w:p>
    <w:p w14:paraId="7F052FD7" w14:textId="50E7EF23" w:rsidR="00C9481D" w:rsidRPr="00712CF6" w:rsidRDefault="00C9481D" w:rsidP="00C9481D">
      <w:pPr>
        <w:spacing w:after="160" w:line="259" w:lineRule="auto"/>
        <w:jc w:val="both"/>
      </w:pPr>
      <w:r w:rsidRPr="00712CF6">
        <w:t>It provides a forum for partners to collectively identify gaps, mobilize resources, and coordinate operational support, ensuring that interventions are coherent, inclusive, and responsive to the complex hazard environment of the region.</w:t>
      </w:r>
    </w:p>
    <w:p w14:paraId="050935A8" w14:textId="77777777" w:rsidR="00C9481D" w:rsidRPr="00712CF6" w:rsidRDefault="00C9481D" w:rsidP="00C9481D">
      <w:pPr>
        <w:ind w:left="360"/>
      </w:pPr>
    </w:p>
    <w:p w14:paraId="4D5C2CE5" w14:textId="6C9F98D5" w:rsidR="00C9481D" w:rsidRPr="00712CF6" w:rsidRDefault="00C9481D" w:rsidP="00C9481D">
      <w:bookmarkStart w:id="0" w:name="_Toc176550988"/>
      <w:r w:rsidRPr="00712CF6">
        <w:rPr>
          <w:b/>
          <w:bCs/>
        </w:rPr>
        <w:t xml:space="preserve">Objectives of the </w:t>
      </w:r>
      <w:r w:rsidR="00C82569">
        <w:rPr>
          <w:b/>
          <w:bCs/>
        </w:rPr>
        <w:t>Shelter</w:t>
      </w:r>
      <w:r w:rsidRPr="00712CF6">
        <w:rPr>
          <w:b/>
          <w:bCs/>
        </w:rPr>
        <w:t xml:space="preserve"> Thematic Working Group</w:t>
      </w:r>
      <w:bookmarkEnd w:id="0"/>
      <w:r w:rsidR="00C82569">
        <w:rPr>
          <w:b/>
          <w:bCs/>
        </w:rPr>
        <w:t xml:space="preserve"> (STWG)</w:t>
      </w:r>
    </w:p>
    <w:p w14:paraId="6433363D" w14:textId="77777777" w:rsidR="00C9481D" w:rsidRPr="00712CF6" w:rsidRDefault="00C9481D" w:rsidP="00C9481D">
      <w:pPr>
        <w:jc w:val="both"/>
        <w:rPr>
          <w:b/>
          <w:bCs/>
        </w:rPr>
      </w:pPr>
    </w:p>
    <w:p w14:paraId="1BB4B554" w14:textId="56CB1AFE" w:rsidR="00C9481D" w:rsidRPr="00712CF6" w:rsidRDefault="00C9481D" w:rsidP="00C9481D">
      <w:pPr>
        <w:jc w:val="both"/>
      </w:pPr>
      <w:r w:rsidRPr="00712CF6">
        <w:t xml:space="preserve">The objective of the </w:t>
      </w:r>
      <w:r w:rsidR="00C82569">
        <w:t>S</w:t>
      </w:r>
      <w:r w:rsidRPr="00712CF6">
        <w:t xml:space="preserve">TWG </w:t>
      </w:r>
      <w:r w:rsidR="00C82569">
        <w:t>is as follows</w:t>
      </w:r>
      <w:r w:rsidRPr="00712CF6">
        <w:t>:</w:t>
      </w:r>
    </w:p>
    <w:p w14:paraId="7E9D11F5" w14:textId="77777777" w:rsidR="00C9481D" w:rsidRPr="00712CF6" w:rsidRDefault="00C9481D" w:rsidP="00C9481D">
      <w:pPr>
        <w:pStyle w:val="ListParagraph"/>
        <w:numPr>
          <w:ilvl w:val="0"/>
          <w:numId w:val="7"/>
        </w:numPr>
        <w:spacing w:after="160" w:line="259" w:lineRule="auto"/>
        <w:jc w:val="both"/>
      </w:pPr>
      <w:r w:rsidRPr="00712CF6">
        <w:t xml:space="preserve">Develop appropriate response strategies based on verified data that effectively address identified gaps in the humanitarian response. </w:t>
      </w:r>
    </w:p>
    <w:p w14:paraId="6AC6D7EA" w14:textId="34E1B14F" w:rsidR="00C9481D" w:rsidRPr="00712CF6" w:rsidRDefault="00C9481D" w:rsidP="00C9481D">
      <w:pPr>
        <w:pStyle w:val="ListParagraph"/>
        <w:numPr>
          <w:ilvl w:val="0"/>
          <w:numId w:val="7"/>
        </w:numPr>
        <w:spacing w:after="160" w:line="259" w:lineRule="auto"/>
        <w:jc w:val="both"/>
      </w:pPr>
      <w:r w:rsidRPr="00712CF6">
        <w:t xml:space="preserve">Support the planning, and execution of preparedness and orientation activities for the </w:t>
      </w:r>
      <w:r w:rsidR="00C82569">
        <w:t>S</w:t>
      </w:r>
      <w:r w:rsidRPr="00712CF6">
        <w:t>TWG.</w:t>
      </w:r>
    </w:p>
    <w:p w14:paraId="69562C35" w14:textId="25D51ABD" w:rsidR="00C9481D" w:rsidRPr="00712CF6" w:rsidRDefault="00C9481D" w:rsidP="00C9481D">
      <w:pPr>
        <w:pStyle w:val="ListParagraph"/>
        <w:numPr>
          <w:ilvl w:val="0"/>
          <w:numId w:val="7"/>
        </w:numPr>
        <w:spacing w:after="160" w:line="259" w:lineRule="auto"/>
        <w:jc w:val="both"/>
      </w:pPr>
      <w:r w:rsidRPr="00712CF6">
        <w:t xml:space="preserve">Support initiatives to mobilize resources for the </w:t>
      </w:r>
      <w:r w:rsidR="00C82569">
        <w:t>STWG</w:t>
      </w:r>
      <w:r w:rsidRPr="00712CF6">
        <w:t xml:space="preserve"> and its members. </w:t>
      </w:r>
    </w:p>
    <w:p w14:paraId="29EAE55E" w14:textId="77777777" w:rsidR="00C9481D" w:rsidRPr="00712CF6" w:rsidRDefault="00C9481D" w:rsidP="00C9481D">
      <w:pPr>
        <w:pStyle w:val="ListParagraph"/>
        <w:numPr>
          <w:ilvl w:val="0"/>
          <w:numId w:val="7"/>
        </w:numPr>
        <w:spacing w:after="160" w:line="259" w:lineRule="auto"/>
        <w:jc w:val="both"/>
      </w:pPr>
      <w:r w:rsidRPr="00712CF6">
        <w:t>Facilitate the joint analyses and assessments on needs and risks, providing updated and contextualized information to guide the design, monitoring, reporting and evaluation of relevant, quality interventions within the area of focus of the thematic working group.</w:t>
      </w:r>
    </w:p>
    <w:p w14:paraId="336E0125" w14:textId="7B6F83F9" w:rsidR="00C9481D" w:rsidRPr="00712CF6" w:rsidRDefault="00C9481D" w:rsidP="00C9481D">
      <w:pPr>
        <w:pStyle w:val="ListParagraph"/>
        <w:numPr>
          <w:ilvl w:val="0"/>
          <w:numId w:val="7"/>
        </w:numPr>
        <w:spacing w:after="160" w:line="259" w:lineRule="auto"/>
        <w:jc w:val="both"/>
      </w:pPr>
      <w:r w:rsidRPr="00712CF6">
        <w:t xml:space="preserve">Coordinate partner interventions within the </w:t>
      </w:r>
      <w:r w:rsidR="00C82569">
        <w:t>S</w:t>
      </w:r>
      <w:r w:rsidRPr="00712CF6">
        <w:t>TWG to avoid duplication of efforts and optimize the use of available resources for maximum impact.</w:t>
      </w:r>
    </w:p>
    <w:p w14:paraId="1E2EB28C" w14:textId="77777777" w:rsidR="00C9481D" w:rsidRPr="00712CF6" w:rsidRDefault="00C9481D" w:rsidP="00C9481D">
      <w:pPr>
        <w:pStyle w:val="ListParagraph"/>
        <w:numPr>
          <w:ilvl w:val="0"/>
          <w:numId w:val="7"/>
        </w:numPr>
        <w:spacing w:after="160" w:line="259" w:lineRule="auto"/>
        <w:jc w:val="both"/>
      </w:pPr>
      <w:r w:rsidRPr="00712CF6">
        <w:t>Facilitate enhanced information exchange to ensure timely and informed decision-making in key operational areas.</w:t>
      </w:r>
    </w:p>
    <w:p w14:paraId="008470FE" w14:textId="77777777" w:rsidR="00C9481D" w:rsidRPr="00712CF6" w:rsidRDefault="00C9481D" w:rsidP="00C9481D"/>
    <w:p w14:paraId="73EF625D" w14:textId="77777777" w:rsidR="00C9481D" w:rsidRPr="00712CF6" w:rsidRDefault="00C9481D" w:rsidP="00C9481D">
      <w:pPr>
        <w:jc w:val="both"/>
        <w:rPr>
          <w:b/>
        </w:rPr>
      </w:pPr>
      <w:bookmarkStart w:id="1" w:name="_Toc176550991"/>
      <w:r w:rsidRPr="00712CF6">
        <w:rPr>
          <w:b/>
        </w:rPr>
        <w:t>Functions of the CDPG-DM Thematic Working Groups</w:t>
      </w:r>
      <w:bookmarkEnd w:id="1"/>
    </w:p>
    <w:p w14:paraId="419D7C6D" w14:textId="77777777" w:rsidR="00C9481D" w:rsidRPr="00712CF6" w:rsidRDefault="00C9481D" w:rsidP="00C9481D">
      <w:pPr>
        <w:jc w:val="both"/>
      </w:pPr>
    </w:p>
    <w:p w14:paraId="51BB4387" w14:textId="276DD6D2" w:rsidR="00C9481D" w:rsidRPr="00712CF6" w:rsidRDefault="00C9481D" w:rsidP="00C9481D">
      <w:pPr>
        <w:jc w:val="both"/>
      </w:pPr>
      <w:r w:rsidRPr="00712CF6">
        <w:t xml:space="preserve">The key functions of the </w:t>
      </w:r>
      <w:r w:rsidR="00C82569">
        <w:t>S</w:t>
      </w:r>
      <w:r w:rsidRPr="00712CF6">
        <w:t xml:space="preserve">TWG </w:t>
      </w:r>
      <w:proofErr w:type="gramStart"/>
      <w:r w:rsidR="00C82569">
        <w:t>is</w:t>
      </w:r>
      <w:proofErr w:type="gramEnd"/>
      <w:r w:rsidR="00C82569">
        <w:t xml:space="preserve"> </w:t>
      </w:r>
      <w:r w:rsidRPr="00712CF6">
        <w:t>as follows:</w:t>
      </w:r>
    </w:p>
    <w:p w14:paraId="181A7B65" w14:textId="0D8090A2" w:rsidR="00C9481D" w:rsidRPr="00712CF6" w:rsidRDefault="00C9481D" w:rsidP="00C9481D">
      <w:pPr>
        <w:numPr>
          <w:ilvl w:val="0"/>
          <w:numId w:val="1"/>
        </w:numPr>
        <w:jc w:val="both"/>
      </w:pPr>
      <w:r w:rsidRPr="00712CF6">
        <w:t xml:space="preserve">Provide technical assistance for the development of response standards and rapid response mechanisms within the </w:t>
      </w:r>
      <w:r w:rsidR="00C82569">
        <w:t>S</w:t>
      </w:r>
      <w:r w:rsidRPr="00712CF6">
        <w:t>TWG area of focus.</w:t>
      </w:r>
    </w:p>
    <w:p w14:paraId="4AFC9401" w14:textId="18395425" w:rsidR="00C9481D" w:rsidRPr="00712CF6" w:rsidRDefault="00C9481D" w:rsidP="00C9481D">
      <w:pPr>
        <w:numPr>
          <w:ilvl w:val="0"/>
          <w:numId w:val="1"/>
        </w:numPr>
        <w:jc w:val="both"/>
      </w:pPr>
      <w:r w:rsidRPr="00712CF6">
        <w:t xml:space="preserve">Strengthen cooperative ties among members, to discuss key issues related to emergencies with the </w:t>
      </w:r>
      <w:r w:rsidR="00C82569">
        <w:t>S</w:t>
      </w:r>
      <w:r w:rsidRPr="00712CF6">
        <w:t>TWG area of focus.</w:t>
      </w:r>
    </w:p>
    <w:p w14:paraId="56C6BAAF" w14:textId="77777777" w:rsidR="00C9481D" w:rsidRPr="00712CF6" w:rsidRDefault="00C9481D" w:rsidP="00C9481D">
      <w:pPr>
        <w:numPr>
          <w:ilvl w:val="0"/>
          <w:numId w:val="1"/>
        </w:numPr>
        <w:jc w:val="both"/>
      </w:pPr>
      <w:r w:rsidRPr="00712CF6">
        <w:t>Support compliance with national, regional and international standards.</w:t>
      </w:r>
    </w:p>
    <w:p w14:paraId="20F4C0FD" w14:textId="6A5DD93E" w:rsidR="00C9481D" w:rsidRPr="00712CF6" w:rsidRDefault="00C9481D" w:rsidP="00C9481D">
      <w:pPr>
        <w:numPr>
          <w:ilvl w:val="0"/>
          <w:numId w:val="1"/>
        </w:numPr>
        <w:jc w:val="both"/>
      </w:pPr>
      <w:r w:rsidRPr="00712CF6">
        <w:t xml:space="preserve">Facilitate information sharing among partners within the </w:t>
      </w:r>
      <w:r w:rsidR="00C82569">
        <w:t>S</w:t>
      </w:r>
      <w:r w:rsidRPr="00712CF6">
        <w:t>TWG.</w:t>
      </w:r>
    </w:p>
    <w:p w14:paraId="689C7596" w14:textId="2D641C81" w:rsidR="00C9481D" w:rsidRPr="00712CF6" w:rsidRDefault="00C9481D" w:rsidP="00C9481D">
      <w:pPr>
        <w:numPr>
          <w:ilvl w:val="0"/>
          <w:numId w:val="1"/>
        </w:numPr>
        <w:jc w:val="both"/>
      </w:pPr>
      <w:r w:rsidRPr="00712CF6">
        <w:t xml:space="preserve">Map available resources to verified needs and support the reconciliation of the needs list within the </w:t>
      </w:r>
      <w:r w:rsidR="00C82569">
        <w:t>S</w:t>
      </w:r>
      <w:r w:rsidRPr="00712CF6">
        <w:t>TWG area of focus.</w:t>
      </w:r>
    </w:p>
    <w:p w14:paraId="5557E6DD" w14:textId="576DC9EC" w:rsidR="00C9481D" w:rsidRPr="00712CF6" w:rsidRDefault="00C9481D" w:rsidP="00C9481D">
      <w:pPr>
        <w:numPr>
          <w:ilvl w:val="0"/>
          <w:numId w:val="1"/>
        </w:numPr>
        <w:jc w:val="both"/>
      </w:pPr>
      <w:r w:rsidRPr="00712CF6">
        <w:t xml:space="preserve">Maintain a list of members and their key contact information within the </w:t>
      </w:r>
      <w:r w:rsidR="00C82569">
        <w:t>S</w:t>
      </w:r>
      <w:r w:rsidRPr="00712CF6">
        <w:t>TWG.</w:t>
      </w:r>
    </w:p>
    <w:p w14:paraId="2840914A" w14:textId="29E852C1" w:rsidR="00C9481D" w:rsidRPr="00712CF6" w:rsidRDefault="00C9481D" w:rsidP="00C9481D">
      <w:pPr>
        <w:numPr>
          <w:ilvl w:val="0"/>
          <w:numId w:val="1"/>
        </w:numPr>
        <w:jc w:val="both"/>
      </w:pPr>
      <w:r w:rsidRPr="00712CF6">
        <w:t xml:space="preserve">Coordinate partner interventions and foster complementarity of efforts within the </w:t>
      </w:r>
      <w:r w:rsidR="00C82569">
        <w:t>S</w:t>
      </w:r>
      <w:r w:rsidRPr="00712CF6">
        <w:t>TWG area of focus.</w:t>
      </w:r>
    </w:p>
    <w:p w14:paraId="50129807" w14:textId="3203A17A" w:rsidR="00C9481D" w:rsidRPr="00712CF6" w:rsidRDefault="00C9481D" w:rsidP="00C9481D">
      <w:pPr>
        <w:numPr>
          <w:ilvl w:val="0"/>
          <w:numId w:val="1"/>
        </w:numPr>
        <w:jc w:val="both"/>
      </w:pPr>
      <w:r w:rsidRPr="00712CF6">
        <w:t xml:space="preserve">Engage the national authorities </w:t>
      </w:r>
      <w:r w:rsidR="00C82569">
        <w:t>relevant for the S</w:t>
      </w:r>
      <w:r w:rsidRPr="00712CF6">
        <w:t>TWG to coordinate emergency response and relief operations. These engagements must be endorsed by the National Disaster Management Office (NDMO) / National Emergency Operations Center (NEOC) of the impacted PS.</w:t>
      </w:r>
    </w:p>
    <w:p w14:paraId="745F1DB4" w14:textId="505681F0" w:rsidR="00C9481D" w:rsidRPr="00712CF6" w:rsidRDefault="00C9481D" w:rsidP="00C9481D">
      <w:pPr>
        <w:numPr>
          <w:ilvl w:val="0"/>
          <w:numId w:val="1"/>
        </w:numPr>
        <w:jc w:val="both"/>
      </w:pPr>
      <w:r w:rsidRPr="00712CF6">
        <w:t xml:space="preserve">Monitor and evaluate the interventions of the </w:t>
      </w:r>
      <w:r w:rsidR="00C82569">
        <w:t>S</w:t>
      </w:r>
      <w:r w:rsidRPr="00712CF6">
        <w:t>TWG and report findings to the CDPG-DM and for inclusion in the RRM information products.</w:t>
      </w:r>
    </w:p>
    <w:p w14:paraId="00038871" w14:textId="21E1E459" w:rsidR="00C9481D" w:rsidRPr="00712CF6" w:rsidRDefault="00C9481D" w:rsidP="00C9481D">
      <w:pPr>
        <w:numPr>
          <w:ilvl w:val="0"/>
          <w:numId w:val="1"/>
        </w:numPr>
        <w:jc w:val="both"/>
      </w:pPr>
      <w:r w:rsidRPr="00712CF6">
        <w:t xml:space="preserve">Undertake an after-action review (AAR) of the </w:t>
      </w:r>
      <w:r w:rsidR="00BB4833">
        <w:t>S</w:t>
      </w:r>
      <w:r w:rsidRPr="00712CF6">
        <w:t>TWG post CDPG deactivation and prepare a report outlining the findings.</w:t>
      </w:r>
    </w:p>
    <w:p w14:paraId="229608E1" w14:textId="77777777" w:rsidR="00C9481D" w:rsidRPr="00712CF6" w:rsidRDefault="00C9481D" w:rsidP="00C9481D"/>
    <w:p w14:paraId="47147019" w14:textId="0A66315E" w:rsidR="00C9481D" w:rsidRPr="00712CF6" w:rsidRDefault="00C9481D" w:rsidP="00C82569">
      <w:r w:rsidRPr="00712CF6">
        <w:rPr>
          <w:b/>
          <w:bCs/>
        </w:rPr>
        <w:t xml:space="preserve">Structure of the </w:t>
      </w:r>
      <w:r w:rsidR="00C82569">
        <w:rPr>
          <w:b/>
          <w:bCs/>
        </w:rPr>
        <w:t>STWG</w:t>
      </w:r>
    </w:p>
    <w:p w14:paraId="28AA89C6" w14:textId="551D5C78" w:rsidR="00BB4833" w:rsidRDefault="00C9481D" w:rsidP="00C9481D">
      <w:pPr>
        <w:autoSpaceDE w:val="0"/>
        <w:autoSpaceDN w:val="0"/>
        <w:adjustRightInd w:val="0"/>
        <w:jc w:val="both"/>
      </w:pPr>
      <w:r w:rsidRPr="00712CF6">
        <w:t xml:space="preserve">The </w:t>
      </w:r>
      <w:r w:rsidR="00BB4833">
        <w:t>S</w:t>
      </w:r>
      <w:r w:rsidRPr="00712CF6">
        <w:t xml:space="preserve">TWG will operate under the authority of the Caribbean Development Partners Group for Disaster Management (CDPG-DM) </w:t>
      </w:r>
    </w:p>
    <w:p w14:paraId="5F5D768E" w14:textId="77777777" w:rsidR="00C9481D" w:rsidRPr="00712CF6" w:rsidRDefault="00C9481D" w:rsidP="00C9481D">
      <w:pPr>
        <w:autoSpaceDE w:val="0"/>
        <w:autoSpaceDN w:val="0"/>
        <w:adjustRightInd w:val="0"/>
        <w:jc w:val="both"/>
      </w:pPr>
    </w:p>
    <w:p w14:paraId="1F9A1A67" w14:textId="62F2B286" w:rsidR="00C9481D" w:rsidRPr="00712CF6" w:rsidRDefault="00C9481D" w:rsidP="00C9481D">
      <w:pPr>
        <w:autoSpaceDE w:val="0"/>
        <w:autoSpaceDN w:val="0"/>
        <w:adjustRightInd w:val="0"/>
        <w:jc w:val="both"/>
      </w:pPr>
      <w:r w:rsidRPr="00712CF6">
        <w:t xml:space="preserve">The structure of the </w:t>
      </w:r>
      <w:r w:rsidR="00BB4833">
        <w:t xml:space="preserve">STWG is </w:t>
      </w:r>
      <w:r w:rsidRPr="00712CF6">
        <w:t>as follows:</w:t>
      </w:r>
    </w:p>
    <w:p w14:paraId="15454D67" w14:textId="2468269F" w:rsidR="00BB4833" w:rsidRDefault="00BB4833" w:rsidP="00BB4833">
      <w:pPr>
        <w:pStyle w:val="ListParagraph"/>
        <w:numPr>
          <w:ilvl w:val="0"/>
          <w:numId w:val="2"/>
        </w:numPr>
        <w:autoSpaceDE w:val="0"/>
        <w:autoSpaceDN w:val="0"/>
        <w:adjustRightInd w:val="0"/>
        <w:jc w:val="both"/>
      </w:pPr>
      <w:r>
        <w:t xml:space="preserve">The </w:t>
      </w:r>
      <w:r>
        <w:t xml:space="preserve">STWG will be co-led by </w:t>
      </w:r>
      <w:r>
        <w:t xml:space="preserve">a regional co-lead appointed by </w:t>
      </w:r>
      <w:r w:rsidRPr="00712CF6">
        <w:t>CDEMA and</w:t>
      </w:r>
      <w:r>
        <w:t xml:space="preserve"> an international co-lead appointed by the UN Resident Coordinator. </w:t>
      </w:r>
    </w:p>
    <w:p w14:paraId="457C9AEC" w14:textId="3EF6766B" w:rsidR="00BB4833" w:rsidRDefault="00BB4833" w:rsidP="00BB4833">
      <w:pPr>
        <w:pStyle w:val="ListParagraph"/>
        <w:numPr>
          <w:ilvl w:val="1"/>
          <w:numId w:val="2"/>
        </w:numPr>
        <w:autoSpaceDE w:val="0"/>
        <w:autoSpaceDN w:val="0"/>
        <w:adjustRightInd w:val="0"/>
        <w:jc w:val="both"/>
      </w:pPr>
      <w:r>
        <w:t xml:space="preserve">Currently the STWG is co-led by CDEMA and </w:t>
      </w:r>
      <w:r w:rsidR="00C076C2">
        <w:t>the International Organization for Migration (IO</w:t>
      </w:r>
      <w:r>
        <w:t>M</w:t>
      </w:r>
      <w:r w:rsidR="00C076C2">
        <w:t>)</w:t>
      </w:r>
      <w:r>
        <w:t xml:space="preserve"> in Barbados</w:t>
      </w:r>
    </w:p>
    <w:p w14:paraId="2E0ECBDB" w14:textId="5715777F" w:rsidR="00BB4833" w:rsidRDefault="00BB4833" w:rsidP="00BB4833">
      <w:pPr>
        <w:pStyle w:val="ListParagraph"/>
        <w:numPr>
          <w:ilvl w:val="0"/>
          <w:numId w:val="2"/>
        </w:numPr>
        <w:autoSpaceDE w:val="0"/>
        <w:autoSpaceDN w:val="0"/>
        <w:adjustRightInd w:val="0"/>
        <w:jc w:val="both"/>
      </w:pPr>
      <w:r>
        <w:t>A S</w:t>
      </w:r>
      <w:r w:rsidRPr="00712CF6">
        <w:t xml:space="preserve">TWG Rapporteur </w:t>
      </w:r>
      <w:r w:rsidR="00C076C2">
        <w:t xml:space="preserve">to the CDPG-DM will be </w:t>
      </w:r>
      <w:r w:rsidRPr="00712CF6">
        <w:t>appoint</w:t>
      </w:r>
      <w:r>
        <w:t>ed by the co-leads after</w:t>
      </w:r>
      <w:r w:rsidRPr="00712CF6">
        <w:t xml:space="preserve"> consultations with the TWG members.</w:t>
      </w:r>
    </w:p>
    <w:p w14:paraId="3332F0DF" w14:textId="2922745E" w:rsidR="00C076C2" w:rsidRPr="00CB5DB7" w:rsidRDefault="00C076C2" w:rsidP="00C076C2">
      <w:pPr>
        <w:pStyle w:val="ListParagraph"/>
        <w:numPr>
          <w:ilvl w:val="1"/>
          <w:numId w:val="2"/>
        </w:numPr>
        <w:autoSpaceDE w:val="0"/>
        <w:autoSpaceDN w:val="0"/>
        <w:adjustRightInd w:val="0"/>
        <w:jc w:val="both"/>
        <w:rPr>
          <w:i/>
          <w:iCs/>
        </w:rPr>
      </w:pPr>
      <w:r w:rsidRPr="00CB5DB7">
        <w:rPr>
          <w:i/>
          <w:iCs/>
        </w:rPr>
        <w:t>This position is currently vacant</w:t>
      </w:r>
    </w:p>
    <w:p w14:paraId="09E429CE" w14:textId="277B3781" w:rsidR="00C9481D" w:rsidRPr="00712CF6" w:rsidRDefault="00BB4833" w:rsidP="00C9481D">
      <w:pPr>
        <w:pStyle w:val="ListParagraph"/>
        <w:numPr>
          <w:ilvl w:val="0"/>
          <w:numId w:val="2"/>
        </w:numPr>
        <w:autoSpaceDE w:val="0"/>
        <w:autoSpaceDN w:val="0"/>
        <w:adjustRightInd w:val="0"/>
        <w:spacing w:line="276" w:lineRule="auto"/>
        <w:jc w:val="both"/>
      </w:pPr>
      <w:r>
        <w:t>STWG M</w:t>
      </w:r>
      <w:r w:rsidR="00C9481D" w:rsidRPr="00712CF6">
        <w:t xml:space="preserve">embership: Key regional and international stakeholders with relevant expertise and experience in </w:t>
      </w:r>
      <w:r>
        <w:t xml:space="preserve">Shelter </w:t>
      </w:r>
      <w:r w:rsidR="00C9481D" w:rsidRPr="00712CF6">
        <w:t>disaster management</w:t>
      </w:r>
      <w:r>
        <w:t>.</w:t>
      </w:r>
    </w:p>
    <w:p w14:paraId="11246E66" w14:textId="77777777" w:rsidR="00C9481D" w:rsidRPr="00712CF6" w:rsidRDefault="00C9481D" w:rsidP="00C9481D">
      <w:pPr>
        <w:autoSpaceDE w:val="0"/>
        <w:autoSpaceDN w:val="0"/>
        <w:adjustRightInd w:val="0"/>
        <w:jc w:val="both"/>
      </w:pPr>
    </w:p>
    <w:p w14:paraId="1513C570" w14:textId="6A993180" w:rsidR="00C9481D" w:rsidRPr="00712CF6" w:rsidRDefault="00C9481D" w:rsidP="00C9481D">
      <w:pPr>
        <w:autoSpaceDE w:val="0"/>
        <w:autoSpaceDN w:val="0"/>
        <w:adjustRightInd w:val="0"/>
        <w:jc w:val="both"/>
      </w:pPr>
      <w:r w:rsidRPr="00712CF6">
        <w:t xml:space="preserve">The </w:t>
      </w:r>
      <w:r w:rsidR="00C076C2">
        <w:t>S</w:t>
      </w:r>
      <w:r w:rsidRPr="00712CF6">
        <w:t>TWG Membership shall be appointed as follows:</w:t>
      </w:r>
    </w:p>
    <w:p w14:paraId="328A242B" w14:textId="120CF9AF" w:rsidR="00C9481D" w:rsidRPr="00712CF6" w:rsidRDefault="00C9481D" w:rsidP="00C9481D">
      <w:pPr>
        <w:pStyle w:val="ListParagraph"/>
        <w:numPr>
          <w:ilvl w:val="0"/>
          <w:numId w:val="3"/>
        </w:numPr>
        <w:autoSpaceDE w:val="0"/>
        <w:autoSpaceDN w:val="0"/>
        <w:adjustRightInd w:val="0"/>
        <w:spacing w:line="276" w:lineRule="auto"/>
        <w:jc w:val="both"/>
      </w:pPr>
      <w:r w:rsidRPr="00712CF6">
        <w:t xml:space="preserve">The co-leads shall approve the membership of the </w:t>
      </w:r>
      <w:r w:rsidR="00C076C2">
        <w:t>S</w:t>
      </w:r>
      <w:r w:rsidRPr="00712CF6">
        <w:t>TWG further to –</w:t>
      </w:r>
    </w:p>
    <w:p w14:paraId="789A4E39" w14:textId="41C81C2C" w:rsidR="00C9481D" w:rsidRPr="00712CF6" w:rsidRDefault="00C9481D" w:rsidP="00C9481D">
      <w:pPr>
        <w:pStyle w:val="ListParagraph"/>
        <w:numPr>
          <w:ilvl w:val="0"/>
          <w:numId w:val="4"/>
        </w:numPr>
        <w:autoSpaceDE w:val="0"/>
        <w:autoSpaceDN w:val="0"/>
        <w:adjustRightInd w:val="0"/>
        <w:spacing w:line="276" w:lineRule="auto"/>
        <w:jc w:val="both"/>
      </w:pPr>
      <w:r w:rsidRPr="00712CF6">
        <w:t xml:space="preserve">A recommendation from the </w:t>
      </w:r>
      <w:r w:rsidR="00C076C2">
        <w:t>STWG</w:t>
      </w:r>
      <w:r w:rsidRPr="00712CF6">
        <w:t xml:space="preserve"> Co-Chairs</w:t>
      </w:r>
    </w:p>
    <w:p w14:paraId="52B7E148" w14:textId="136E291E" w:rsidR="00C9481D" w:rsidRPr="00712CF6" w:rsidRDefault="00C9481D" w:rsidP="00C9481D">
      <w:pPr>
        <w:pStyle w:val="ListParagraph"/>
        <w:numPr>
          <w:ilvl w:val="0"/>
          <w:numId w:val="4"/>
        </w:numPr>
        <w:autoSpaceDE w:val="0"/>
        <w:autoSpaceDN w:val="0"/>
        <w:adjustRightInd w:val="0"/>
        <w:spacing w:line="276" w:lineRule="auto"/>
        <w:jc w:val="both"/>
      </w:pPr>
      <w:r w:rsidRPr="00712CF6">
        <w:t xml:space="preserve">An expression of interest to join the </w:t>
      </w:r>
      <w:r w:rsidR="00C076C2">
        <w:t>S</w:t>
      </w:r>
      <w:r w:rsidRPr="00712CF6">
        <w:t xml:space="preserve">TWG from a regional or international organization that has been endorsed as a valid </w:t>
      </w:r>
      <w:r w:rsidR="00C076C2">
        <w:t>STWG</w:t>
      </w:r>
      <w:r w:rsidRPr="00712CF6">
        <w:t xml:space="preserve"> member by the </w:t>
      </w:r>
      <w:r w:rsidR="00C076C2">
        <w:t>STWG</w:t>
      </w:r>
      <w:r w:rsidRPr="00712CF6">
        <w:t xml:space="preserve"> Co-Chairs.</w:t>
      </w:r>
    </w:p>
    <w:p w14:paraId="734A7BAB" w14:textId="77777777" w:rsidR="00C9481D" w:rsidRPr="00712CF6" w:rsidRDefault="00C9481D" w:rsidP="00C9481D">
      <w:pPr>
        <w:autoSpaceDE w:val="0"/>
        <w:autoSpaceDN w:val="0"/>
        <w:adjustRightInd w:val="0"/>
        <w:jc w:val="both"/>
      </w:pPr>
    </w:p>
    <w:p w14:paraId="0B773A46" w14:textId="49BA8B63" w:rsidR="00C9481D" w:rsidRPr="00712CF6" w:rsidRDefault="00C9481D" w:rsidP="00C9481D">
      <w:pPr>
        <w:autoSpaceDE w:val="0"/>
        <w:autoSpaceDN w:val="0"/>
        <w:adjustRightInd w:val="0"/>
        <w:jc w:val="both"/>
      </w:pPr>
      <w:r w:rsidRPr="00712CF6">
        <w:lastRenderedPageBreak/>
        <w:t xml:space="preserve">Temporary membership may be granted to an organization that is not a </w:t>
      </w:r>
      <w:r w:rsidR="00C076C2">
        <w:t>STWG</w:t>
      </w:r>
      <w:r w:rsidRPr="00712CF6">
        <w:t xml:space="preserve"> member but has been endorsed by the </w:t>
      </w:r>
      <w:r w:rsidR="00C076C2">
        <w:t>STWG</w:t>
      </w:r>
      <w:r w:rsidRPr="00712CF6">
        <w:t xml:space="preserve"> Co-Chairs as a credible humanitarian actor within the </w:t>
      </w:r>
      <w:r w:rsidR="00C076C2">
        <w:t>S</w:t>
      </w:r>
      <w:r w:rsidRPr="00712CF6">
        <w:t xml:space="preserve">TWG area of focus. </w:t>
      </w:r>
    </w:p>
    <w:p w14:paraId="78033950" w14:textId="77777777" w:rsidR="00C9481D" w:rsidRPr="00712CF6" w:rsidRDefault="00C9481D" w:rsidP="00C9481D">
      <w:pPr>
        <w:autoSpaceDE w:val="0"/>
        <w:autoSpaceDN w:val="0"/>
        <w:adjustRightInd w:val="0"/>
        <w:jc w:val="both"/>
      </w:pPr>
    </w:p>
    <w:p w14:paraId="2EBAA082" w14:textId="0F88844D" w:rsidR="00C9481D" w:rsidRPr="00712CF6" w:rsidRDefault="00C9481D" w:rsidP="00C9481D">
      <w:pPr>
        <w:rPr>
          <w:b/>
        </w:rPr>
      </w:pPr>
      <w:bookmarkStart w:id="2" w:name="_Toc176550992"/>
      <w:r w:rsidRPr="00712CF6">
        <w:rPr>
          <w:b/>
        </w:rPr>
        <w:t xml:space="preserve">Activation of the </w:t>
      </w:r>
      <w:r w:rsidR="00C076C2">
        <w:rPr>
          <w:b/>
        </w:rPr>
        <w:t>S</w:t>
      </w:r>
      <w:r w:rsidRPr="00712CF6">
        <w:rPr>
          <w:b/>
        </w:rPr>
        <w:t>TWG</w:t>
      </w:r>
      <w:bookmarkEnd w:id="2"/>
    </w:p>
    <w:p w14:paraId="48AC6B2D" w14:textId="77777777" w:rsidR="00C9481D" w:rsidRPr="00712CF6" w:rsidRDefault="00C9481D" w:rsidP="00C9481D"/>
    <w:p w14:paraId="19986FEC" w14:textId="5A05E48E" w:rsidR="00C9481D" w:rsidRPr="00712CF6" w:rsidRDefault="00C9481D" w:rsidP="00C9481D">
      <w:r w:rsidRPr="00712CF6">
        <w:t xml:space="preserve">The </w:t>
      </w:r>
      <w:r w:rsidR="00C076C2">
        <w:t>S</w:t>
      </w:r>
      <w:r w:rsidRPr="00712CF6">
        <w:t xml:space="preserve">TWG may be activated in alignment with the activation protocols for the CDPG-DM and further to authorization by the </w:t>
      </w:r>
      <w:r w:rsidR="00C076C2">
        <w:t>STWG</w:t>
      </w:r>
      <w:r w:rsidRPr="00712CF6">
        <w:t xml:space="preserve"> Co-Chairs when:</w:t>
      </w:r>
    </w:p>
    <w:p w14:paraId="080A6AA8" w14:textId="77777777" w:rsidR="00C9481D" w:rsidRPr="00712CF6" w:rsidRDefault="00C9481D" w:rsidP="00C9481D">
      <w:pPr>
        <w:numPr>
          <w:ilvl w:val="0"/>
          <w:numId w:val="5"/>
        </w:numPr>
      </w:pPr>
      <w:r w:rsidRPr="00712CF6">
        <w:t>A CDEMA PS is under direct threat (Watch or Warning)</w:t>
      </w:r>
    </w:p>
    <w:p w14:paraId="12AA722C" w14:textId="77777777" w:rsidR="00C9481D" w:rsidRPr="00712CF6" w:rsidRDefault="00C9481D" w:rsidP="00C9481D">
      <w:pPr>
        <w:numPr>
          <w:ilvl w:val="0"/>
          <w:numId w:val="5"/>
        </w:numPr>
      </w:pPr>
      <w:r w:rsidRPr="00712CF6">
        <w:t>A CDEMA PS has been impacted by a sudden onset hazard warranting external support through the RRM.</w:t>
      </w:r>
    </w:p>
    <w:p w14:paraId="2FEAABDF" w14:textId="77777777" w:rsidR="00C9481D" w:rsidRPr="00712CF6" w:rsidRDefault="00C9481D" w:rsidP="00C9481D">
      <w:pPr>
        <w:numPr>
          <w:ilvl w:val="0"/>
          <w:numId w:val="5"/>
        </w:numPr>
      </w:pPr>
      <w:r w:rsidRPr="00712CF6">
        <w:t>A CDEMA PS has requested the activation of the CDPG-DM TWGs to support ongoing emergency operations.</w:t>
      </w:r>
    </w:p>
    <w:p w14:paraId="58D05217" w14:textId="77777777" w:rsidR="00C9481D" w:rsidRPr="00712CF6" w:rsidRDefault="00C9481D" w:rsidP="00C9481D"/>
    <w:p w14:paraId="4AEA3284" w14:textId="1672131B" w:rsidR="00C9481D" w:rsidRPr="00712CF6" w:rsidRDefault="00C9481D" w:rsidP="00C9481D">
      <w:pPr>
        <w:rPr>
          <w:b/>
        </w:rPr>
      </w:pPr>
      <w:bookmarkStart w:id="3" w:name="_Toc176550993"/>
      <w:r w:rsidRPr="00712CF6">
        <w:rPr>
          <w:b/>
        </w:rPr>
        <w:t xml:space="preserve">Deactivation of the </w:t>
      </w:r>
      <w:r w:rsidR="00C076C2">
        <w:rPr>
          <w:b/>
        </w:rPr>
        <w:t>S</w:t>
      </w:r>
      <w:r w:rsidRPr="00712CF6">
        <w:rPr>
          <w:b/>
        </w:rPr>
        <w:t>TWG</w:t>
      </w:r>
      <w:bookmarkEnd w:id="3"/>
    </w:p>
    <w:p w14:paraId="15A0DCF4" w14:textId="77777777" w:rsidR="00C9481D" w:rsidRPr="00712CF6" w:rsidRDefault="00C9481D" w:rsidP="00C9481D"/>
    <w:p w14:paraId="57493ECD" w14:textId="78CA7BA5" w:rsidR="00C9481D" w:rsidRPr="00712CF6" w:rsidRDefault="00C9481D" w:rsidP="00C9481D">
      <w:r w:rsidRPr="00712CF6">
        <w:t xml:space="preserve">The </w:t>
      </w:r>
      <w:r w:rsidR="00C076C2">
        <w:t>S</w:t>
      </w:r>
      <w:r w:rsidRPr="00712CF6">
        <w:t xml:space="preserve">TWG shall be deactivated in alignment with the deactivation protocols of the CDPG-DM and further to authorization by the </w:t>
      </w:r>
      <w:r w:rsidR="00C076C2">
        <w:t xml:space="preserve">STWG </w:t>
      </w:r>
      <w:r w:rsidRPr="00712CF6">
        <w:t>co-chairs when:</w:t>
      </w:r>
    </w:p>
    <w:p w14:paraId="2FFB2739" w14:textId="77777777" w:rsidR="00C9481D" w:rsidRPr="00712CF6" w:rsidRDefault="00C9481D" w:rsidP="00C9481D">
      <w:pPr>
        <w:numPr>
          <w:ilvl w:val="0"/>
          <w:numId w:val="6"/>
        </w:numPr>
      </w:pPr>
      <w:r w:rsidRPr="00712CF6">
        <w:t>The direct threat to the CDEMA PS (Watch or Warning) has been discontinued and there is no request or need for external support.</w:t>
      </w:r>
    </w:p>
    <w:p w14:paraId="511C8CFF" w14:textId="15B92D8D" w:rsidR="00C9481D" w:rsidRPr="00712CF6" w:rsidRDefault="00C9481D" w:rsidP="00C9481D">
      <w:pPr>
        <w:numPr>
          <w:ilvl w:val="0"/>
          <w:numId w:val="6"/>
        </w:numPr>
      </w:pPr>
      <w:r w:rsidRPr="00712CF6">
        <w:t xml:space="preserve">The </w:t>
      </w:r>
      <w:r w:rsidR="00C076C2">
        <w:t>STWG</w:t>
      </w:r>
      <w:r w:rsidRPr="00712CF6">
        <w:t xml:space="preserve"> Co-Chairs, further to discussion with the authorities of the impacted PS, have determined that the support from the </w:t>
      </w:r>
      <w:r w:rsidR="00C076C2">
        <w:t>S</w:t>
      </w:r>
      <w:r w:rsidRPr="00712CF6">
        <w:t>TWG is no longer needed.</w:t>
      </w:r>
    </w:p>
    <w:p w14:paraId="4F5A03ED" w14:textId="77777777" w:rsidR="00C9481D" w:rsidRPr="00712CF6" w:rsidRDefault="00C9481D" w:rsidP="00C9481D">
      <w:pPr>
        <w:jc w:val="center"/>
        <w:rPr>
          <w:b/>
        </w:rPr>
      </w:pPr>
    </w:p>
    <w:p w14:paraId="4B558D83" w14:textId="77777777" w:rsidR="00C9481D" w:rsidRPr="00712CF6" w:rsidRDefault="00C9481D" w:rsidP="00C9481D">
      <w:pPr>
        <w:jc w:val="center"/>
        <w:rPr>
          <w:b/>
        </w:rPr>
      </w:pPr>
    </w:p>
    <w:p w14:paraId="2C22C271" w14:textId="77777777" w:rsidR="00C9481D" w:rsidRPr="00712CF6" w:rsidRDefault="00C9481D" w:rsidP="00C9481D">
      <w:pPr>
        <w:jc w:val="center"/>
        <w:rPr>
          <w:b/>
        </w:rPr>
      </w:pPr>
    </w:p>
    <w:p w14:paraId="4C8A3973" w14:textId="77777777" w:rsidR="00C9481D" w:rsidRPr="00712CF6" w:rsidRDefault="00C9481D" w:rsidP="00C9481D">
      <w:pPr>
        <w:jc w:val="center"/>
        <w:rPr>
          <w:b/>
        </w:rPr>
      </w:pPr>
    </w:p>
    <w:p w14:paraId="6DCAC6CB" w14:textId="77777777" w:rsidR="00C9481D" w:rsidRPr="00712CF6" w:rsidRDefault="00C9481D" w:rsidP="00C9481D">
      <w:pPr>
        <w:jc w:val="center"/>
        <w:rPr>
          <w:b/>
        </w:rPr>
      </w:pPr>
    </w:p>
    <w:p w14:paraId="173947AB" w14:textId="77777777" w:rsidR="00C9481D" w:rsidRPr="00712CF6" w:rsidRDefault="00C9481D" w:rsidP="00C9481D">
      <w:pPr>
        <w:jc w:val="center"/>
        <w:rPr>
          <w:b/>
        </w:rPr>
      </w:pPr>
    </w:p>
    <w:p w14:paraId="0B7F3095" w14:textId="77777777" w:rsidR="00C9481D" w:rsidRPr="00712CF6" w:rsidRDefault="00C9481D" w:rsidP="00C9481D">
      <w:pPr>
        <w:jc w:val="center"/>
        <w:rPr>
          <w:b/>
        </w:rPr>
      </w:pPr>
    </w:p>
    <w:p w14:paraId="29778638" w14:textId="77777777" w:rsidR="00C9481D" w:rsidRPr="00712CF6" w:rsidRDefault="00C9481D" w:rsidP="00C9481D">
      <w:pPr>
        <w:jc w:val="center"/>
        <w:rPr>
          <w:b/>
        </w:rPr>
      </w:pPr>
    </w:p>
    <w:p w14:paraId="782E57A0" w14:textId="77777777" w:rsidR="00C47002" w:rsidRPr="00712CF6" w:rsidRDefault="00C47002"/>
    <w:sectPr w:rsidR="00C47002" w:rsidRPr="00712C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9F5B" w14:textId="77777777" w:rsidR="00037854" w:rsidRDefault="00037854" w:rsidP="00712CF6">
      <w:r>
        <w:separator/>
      </w:r>
    </w:p>
  </w:endnote>
  <w:endnote w:type="continuationSeparator" w:id="0">
    <w:p w14:paraId="426BCACE" w14:textId="77777777" w:rsidR="00037854" w:rsidRDefault="00037854" w:rsidP="0071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42A7" w14:textId="77777777" w:rsidR="00037854" w:rsidRDefault="00037854" w:rsidP="00712CF6">
      <w:r>
        <w:separator/>
      </w:r>
    </w:p>
  </w:footnote>
  <w:footnote w:type="continuationSeparator" w:id="0">
    <w:p w14:paraId="773FDACD" w14:textId="77777777" w:rsidR="00037854" w:rsidRDefault="00037854" w:rsidP="00712CF6">
      <w:r>
        <w:continuationSeparator/>
      </w:r>
    </w:p>
  </w:footnote>
  <w:footnote w:id="1">
    <w:p w14:paraId="0F2E19A9" w14:textId="5A70C2D3" w:rsidR="008260D9" w:rsidRPr="00C82569" w:rsidRDefault="008260D9" w:rsidP="008260D9">
      <w:pPr>
        <w:spacing w:after="160" w:line="259" w:lineRule="auto"/>
        <w:jc w:val="both"/>
        <w:rPr>
          <w:sz w:val="22"/>
          <w:szCs w:val="22"/>
        </w:rPr>
      </w:pPr>
      <w:r>
        <w:rPr>
          <w:rStyle w:val="FootnoteReference"/>
        </w:rPr>
        <w:footnoteRef/>
      </w:r>
      <w:r>
        <w:t xml:space="preserve"> </w:t>
      </w:r>
      <w:r w:rsidR="00C82569" w:rsidRPr="00C82569">
        <w:rPr>
          <w:b/>
          <w:bCs/>
          <w:sz w:val="22"/>
          <w:szCs w:val="22"/>
        </w:rPr>
        <w:t>Shelter</w:t>
      </w:r>
      <w:r w:rsidR="00C82569" w:rsidRPr="00C82569">
        <w:rPr>
          <w:sz w:val="22"/>
          <w:szCs w:val="22"/>
        </w:rPr>
        <w:t xml:space="preserve"> is a </w:t>
      </w:r>
      <w:r w:rsidR="00C076C2">
        <w:rPr>
          <w:sz w:val="22"/>
          <w:szCs w:val="22"/>
        </w:rPr>
        <w:t xml:space="preserve">defined as a </w:t>
      </w:r>
      <w:r w:rsidR="00C82569" w:rsidRPr="00C82569">
        <w:rPr>
          <w:sz w:val="22"/>
          <w:szCs w:val="22"/>
        </w:rPr>
        <w:t>habitable covered living space, providing a secure, healthy living environment with privacy and dignity to those within</w:t>
      </w:r>
      <w:r w:rsidR="00C82569" w:rsidRPr="00C82569">
        <w:rPr>
          <w:sz w:val="22"/>
          <w:szCs w:val="22"/>
        </w:rPr>
        <w:t xml:space="preserve"> it</w:t>
      </w:r>
      <w:r w:rsidR="00C82569" w:rsidRPr="00C82569">
        <w:rPr>
          <w:sz w:val="22"/>
          <w:szCs w:val="22"/>
        </w:rPr>
        <w:t xml:space="preserve">. </w:t>
      </w:r>
      <w:r w:rsidR="00C82569">
        <w:rPr>
          <w:sz w:val="22"/>
          <w:szCs w:val="22"/>
        </w:rPr>
        <w:t>S</w:t>
      </w:r>
      <w:r w:rsidR="00C82569" w:rsidRPr="00C82569">
        <w:rPr>
          <w:sz w:val="22"/>
          <w:szCs w:val="22"/>
        </w:rPr>
        <w:t xml:space="preserve">helter encompasses </w:t>
      </w:r>
      <w:r w:rsidR="00C076C2">
        <w:rPr>
          <w:sz w:val="22"/>
          <w:szCs w:val="22"/>
        </w:rPr>
        <w:t xml:space="preserve">temporary </w:t>
      </w:r>
      <w:r w:rsidR="00C82569" w:rsidRPr="00C82569">
        <w:rPr>
          <w:sz w:val="22"/>
          <w:szCs w:val="22"/>
        </w:rPr>
        <w:t>physical structure</w:t>
      </w:r>
      <w:r w:rsidR="00C076C2">
        <w:rPr>
          <w:sz w:val="22"/>
          <w:szCs w:val="22"/>
        </w:rPr>
        <w:t>s, houses, collective centers</w:t>
      </w:r>
      <w:r w:rsidR="00CB5DB7">
        <w:rPr>
          <w:sz w:val="22"/>
          <w:szCs w:val="22"/>
        </w:rPr>
        <w:t>, displacement sites</w:t>
      </w:r>
      <w:r w:rsidR="00C076C2">
        <w:rPr>
          <w:sz w:val="22"/>
          <w:szCs w:val="22"/>
        </w:rPr>
        <w:t xml:space="preserve"> etc., </w:t>
      </w:r>
      <w:r w:rsidR="00C82569" w:rsidRPr="00C82569">
        <w:rPr>
          <w:sz w:val="22"/>
          <w:szCs w:val="22"/>
        </w:rPr>
        <w:t>and the essential services needed to ensure the safety, health, and dignity of displaced or affected populations</w:t>
      </w:r>
      <w:r w:rsidR="00C076C2">
        <w:rPr>
          <w:sz w:val="22"/>
          <w:szCs w:val="22"/>
        </w:rPr>
        <w:t xml:space="preserve"> including </w:t>
      </w:r>
      <w:r w:rsidR="00CB5DB7">
        <w:rPr>
          <w:sz w:val="22"/>
          <w:szCs w:val="22"/>
        </w:rPr>
        <w:t>site management, Non-Food</w:t>
      </w:r>
      <w:r w:rsidR="00C076C2">
        <w:rPr>
          <w:sz w:val="22"/>
          <w:szCs w:val="22"/>
        </w:rPr>
        <w:t xml:space="preserve"> items,</w:t>
      </w:r>
      <w:r w:rsidR="00CB5DB7">
        <w:rPr>
          <w:sz w:val="22"/>
          <w:szCs w:val="22"/>
        </w:rPr>
        <w:t xml:space="preserve"> repairs, legals support,</w:t>
      </w:r>
      <w:r w:rsidR="00C076C2">
        <w:rPr>
          <w:sz w:val="22"/>
          <w:szCs w:val="22"/>
        </w:rPr>
        <w:t xml:space="preserve"> </w:t>
      </w:r>
      <w:proofErr w:type="gramStart"/>
      <w:r w:rsidR="00CB5DB7">
        <w:rPr>
          <w:sz w:val="22"/>
          <w:szCs w:val="22"/>
        </w:rPr>
        <w:t>cash based</w:t>
      </w:r>
      <w:proofErr w:type="gramEnd"/>
      <w:r w:rsidR="00CB5DB7">
        <w:rPr>
          <w:sz w:val="22"/>
          <w:szCs w:val="22"/>
        </w:rPr>
        <w:t xml:space="preserve"> interventions and protection among others.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DC05" w14:textId="3B9C1F97" w:rsidR="00712CF6" w:rsidRDefault="00000000">
    <w:pPr>
      <w:pStyle w:val="Header"/>
    </w:pPr>
    <w:sdt>
      <w:sdtPr>
        <w:id w:val="1582871991"/>
        <w:docPartObj>
          <w:docPartGallery w:val="Watermarks"/>
          <w:docPartUnique/>
        </w:docPartObj>
      </w:sdtPr>
      <w:sdtContent>
        <w:r w:rsidR="00037854">
          <w:rPr>
            <w:noProof/>
          </w:rPr>
          <w:pict w14:anchorId="1659E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C076C2">
      <w:t>Version: 26 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6C81"/>
    <w:multiLevelType w:val="hybridMultilevel"/>
    <w:tmpl w:val="BDB43E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D076D"/>
    <w:multiLevelType w:val="hybridMultilevel"/>
    <w:tmpl w:val="3B6C2A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0183A"/>
    <w:multiLevelType w:val="hybridMultilevel"/>
    <w:tmpl w:val="67523200"/>
    <w:lvl w:ilvl="0" w:tplc="04090017">
      <w:start w:val="1"/>
      <w:numFmt w:val="lowerLetter"/>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CD1B13"/>
    <w:multiLevelType w:val="hybridMultilevel"/>
    <w:tmpl w:val="C77683D8"/>
    <w:lvl w:ilvl="0" w:tplc="04090017">
      <w:start w:val="1"/>
      <w:numFmt w:val="lowerLetter"/>
      <w:lvlText w:val="%1)"/>
      <w:lvlJc w:val="left"/>
      <w:pPr>
        <w:ind w:left="720" w:hanging="360"/>
      </w:pPr>
      <w:rPr>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23C3E"/>
    <w:multiLevelType w:val="hybridMultilevel"/>
    <w:tmpl w:val="265CE9B0"/>
    <w:lvl w:ilvl="0" w:tplc="04090017">
      <w:start w:val="1"/>
      <w:numFmt w:val="lowerLetter"/>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46129D"/>
    <w:multiLevelType w:val="hybridMultilevel"/>
    <w:tmpl w:val="7FDE1048"/>
    <w:lvl w:ilvl="0" w:tplc="04090017">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43759"/>
    <w:multiLevelType w:val="hybridMultilevel"/>
    <w:tmpl w:val="0C0EB3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2440896"/>
    <w:multiLevelType w:val="hybridMultilevel"/>
    <w:tmpl w:val="748CA99A"/>
    <w:lvl w:ilvl="0" w:tplc="04090017">
      <w:start w:val="1"/>
      <w:numFmt w:val="lowerLetter"/>
      <w:lvlText w:val="%1)"/>
      <w:lvlJc w:val="left"/>
      <w:pPr>
        <w:ind w:left="720" w:hanging="360"/>
      </w:pPr>
      <w:rPr>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2D30C66"/>
    <w:multiLevelType w:val="hybridMultilevel"/>
    <w:tmpl w:val="AA3AE8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02262">
    <w:abstractNumId w:val="7"/>
  </w:num>
  <w:num w:numId="2" w16cid:durableId="881868928">
    <w:abstractNumId w:val="3"/>
  </w:num>
  <w:num w:numId="3" w16cid:durableId="792361542">
    <w:abstractNumId w:val="2"/>
  </w:num>
  <w:num w:numId="4" w16cid:durableId="1944649959">
    <w:abstractNumId w:val="6"/>
  </w:num>
  <w:num w:numId="5" w16cid:durableId="1143700025">
    <w:abstractNumId w:val="1"/>
  </w:num>
  <w:num w:numId="6" w16cid:durableId="824933763">
    <w:abstractNumId w:val="8"/>
  </w:num>
  <w:num w:numId="7" w16cid:durableId="456333363">
    <w:abstractNumId w:val="0"/>
  </w:num>
  <w:num w:numId="8" w16cid:durableId="1739669404">
    <w:abstractNumId w:val="4"/>
  </w:num>
  <w:num w:numId="9" w16cid:durableId="546331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1D"/>
    <w:rsid w:val="00037854"/>
    <w:rsid w:val="00184904"/>
    <w:rsid w:val="00200FF4"/>
    <w:rsid w:val="00712CF6"/>
    <w:rsid w:val="008260D9"/>
    <w:rsid w:val="00A0225D"/>
    <w:rsid w:val="00BB4833"/>
    <w:rsid w:val="00BC5FC5"/>
    <w:rsid w:val="00BE3077"/>
    <w:rsid w:val="00C076C2"/>
    <w:rsid w:val="00C47002"/>
    <w:rsid w:val="00C82569"/>
    <w:rsid w:val="00C9481D"/>
    <w:rsid w:val="00CB5DB7"/>
    <w:rsid w:val="00D747DA"/>
    <w:rsid w:val="00E1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0C67"/>
  <w15:chartTrackingRefBased/>
  <w15:docId w15:val="{095796EC-9961-4E8D-BE79-C6BD4A99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8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94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8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8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8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8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8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8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8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8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8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8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8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8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81D"/>
    <w:rPr>
      <w:rFonts w:eastAsiaTheme="majorEastAsia" w:cstheme="majorBidi"/>
      <w:color w:val="272727" w:themeColor="text1" w:themeTint="D8"/>
    </w:rPr>
  </w:style>
  <w:style w:type="paragraph" w:styleId="Title">
    <w:name w:val="Title"/>
    <w:basedOn w:val="Normal"/>
    <w:next w:val="Normal"/>
    <w:link w:val="TitleChar"/>
    <w:uiPriority w:val="10"/>
    <w:qFormat/>
    <w:rsid w:val="00C948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81D"/>
    <w:pPr>
      <w:spacing w:before="160"/>
      <w:jc w:val="center"/>
    </w:pPr>
    <w:rPr>
      <w:i/>
      <w:iCs/>
      <w:color w:val="404040" w:themeColor="text1" w:themeTint="BF"/>
    </w:rPr>
  </w:style>
  <w:style w:type="character" w:customStyle="1" w:styleId="QuoteChar">
    <w:name w:val="Quote Char"/>
    <w:basedOn w:val="DefaultParagraphFont"/>
    <w:link w:val="Quote"/>
    <w:uiPriority w:val="29"/>
    <w:rsid w:val="00C9481D"/>
    <w:rPr>
      <w:i/>
      <w:iCs/>
      <w:color w:val="404040" w:themeColor="text1" w:themeTint="BF"/>
    </w:rPr>
  </w:style>
  <w:style w:type="paragraph" w:styleId="ListParagraph">
    <w:name w:val="List Paragraph"/>
    <w:basedOn w:val="Normal"/>
    <w:link w:val="ListParagraphChar"/>
    <w:uiPriority w:val="34"/>
    <w:qFormat/>
    <w:rsid w:val="00C9481D"/>
    <w:pPr>
      <w:ind w:left="720"/>
      <w:contextualSpacing/>
    </w:pPr>
  </w:style>
  <w:style w:type="character" w:styleId="IntenseEmphasis">
    <w:name w:val="Intense Emphasis"/>
    <w:basedOn w:val="DefaultParagraphFont"/>
    <w:uiPriority w:val="21"/>
    <w:qFormat/>
    <w:rsid w:val="00C9481D"/>
    <w:rPr>
      <w:i/>
      <w:iCs/>
      <w:color w:val="2F5496" w:themeColor="accent1" w:themeShade="BF"/>
    </w:rPr>
  </w:style>
  <w:style w:type="paragraph" w:styleId="IntenseQuote">
    <w:name w:val="Intense Quote"/>
    <w:basedOn w:val="Normal"/>
    <w:next w:val="Normal"/>
    <w:link w:val="IntenseQuoteChar"/>
    <w:uiPriority w:val="30"/>
    <w:qFormat/>
    <w:rsid w:val="00C94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81D"/>
    <w:rPr>
      <w:i/>
      <w:iCs/>
      <w:color w:val="2F5496" w:themeColor="accent1" w:themeShade="BF"/>
    </w:rPr>
  </w:style>
  <w:style w:type="character" w:styleId="IntenseReference">
    <w:name w:val="Intense Reference"/>
    <w:basedOn w:val="DefaultParagraphFont"/>
    <w:uiPriority w:val="32"/>
    <w:qFormat/>
    <w:rsid w:val="00C9481D"/>
    <w:rPr>
      <w:b/>
      <w:bCs/>
      <w:smallCaps/>
      <w:color w:val="2F5496" w:themeColor="accent1" w:themeShade="BF"/>
      <w:spacing w:val="5"/>
    </w:rPr>
  </w:style>
  <w:style w:type="character" w:customStyle="1" w:styleId="ListParagraphChar">
    <w:name w:val="List Paragraph Char"/>
    <w:link w:val="ListParagraph"/>
    <w:uiPriority w:val="34"/>
    <w:locked/>
    <w:rsid w:val="00C9481D"/>
  </w:style>
  <w:style w:type="paragraph" w:styleId="Header">
    <w:name w:val="header"/>
    <w:basedOn w:val="Normal"/>
    <w:link w:val="HeaderChar"/>
    <w:uiPriority w:val="99"/>
    <w:unhideWhenUsed/>
    <w:rsid w:val="00712CF6"/>
    <w:pPr>
      <w:tabs>
        <w:tab w:val="center" w:pos="4680"/>
        <w:tab w:val="right" w:pos="9360"/>
      </w:tabs>
    </w:pPr>
  </w:style>
  <w:style w:type="character" w:customStyle="1" w:styleId="HeaderChar">
    <w:name w:val="Header Char"/>
    <w:basedOn w:val="DefaultParagraphFont"/>
    <w:link w:val="Header"/>
    <w:uiPriority w:val="99"/>
    <w:rsid w:val="00712C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2CF6"/>
    <w:pPr>
      <w:tabs>
        <w:tab w:val="center" w:pos="4680"/>
        <w:tab w:val="right" w:pos="9360"/>
      </w:tabs>
    </w:pPr>
  </w:style>
  <w:style w:type="character" w:customStyle="1" w:styleId="FooterChar">
    <w:name w:val="Footer Char"/>
    <w:basedOn w:val="DefaultParagraphFont"/>
    <w:link w:val="Footer"/>
    <w:uiPriority w:val="99"/>
    <w:rsid w:val="00712CF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260D9"/>
    <w:rPr>
      <w:sz w:val="20"/>
      <w:szCs w:val="20"/>
    </w:rPr>
  </w:style>
  <w:style w:type="character" w:customStyle="1" w:styleId="FootnoteTextChar">
    <w:name w:val="Footnote Text Char"/>
    <w:basedOn w:val="DefaultParagraphFont"/>
    <w:link w:val="FootnoteText"/>
    <w:uiPriority w:val="99"/>
    <w:semiHidden/>
    <w:rsid w:val="008260D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260D9"/>
    <w:rPr>
      <w:vertAlign w:val="superscript"/>
    </w:rPr>
  </w:style>
  <w:style w:type="character" w:styleId="Strong">
    <w:name w:val="Strong"/>
    <w:basedOn w:val="DefaultParagraphFont"/>
    <w:uiPriority w:val="22"/>
    <w:qFormat/>
    <w:rsid w:val="00C82569"/>
    <w:rPr>
      <w:b/>
      <w:bCs/>
    </w:rPr>
  </w:style>
  <w:style w:type="character" w:customStyle="1" w:styleId="apple-converted-space">
    <w:name w:val="apple-converted-space"/>
    <w:basedOn w:val="DefaultParagraphFont"/>
    <w:rsid w:val="00C82569"/>
  </w:style>
  <w:style w:type="character" w:customStyle="1" w:styleId="inline-flex">
    <w:name w:val="inline-flex"/>
    <w:basedOn w:val="DefaultParagraphFont"/>
    <w:rsid w:val="00C82569"/>
  </w:style>
  <w:style w:type="character" w:customStyle="1" w:styleId="text-nowrap">
    <w:name w:val="text-nowrap"/>
    <w:basedOn w:val="DefaultParagraphFont"/>
    <w:rsid w:val="00C82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6F1AE-7B02-439A-91F5-E05406AA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Mandela Christian</dc:creator>
  <cp:keywords/>
  <dc:description/>
  <cp:lastModifiedBy>J.W. Wegdam</cp:lastModifiedBy>
  <cp:revision>2</cp:revision>
  <dcterms:created xsi:type="dcterms:W3CDTF">2025-08-26T17:32:00Z</dcterms:created>
  <dcterms:modified xsi:type="dcterms:W3CDTF">2025-08-26T17:32:00Z</dcterms:modified>
</cp:coreProperties>
</file>