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96" w:rsidRDefault="00675096"/>
    <w:p w:rsidR="00675096" w:rsidRPr="00B7684A" w:rsidRDefault="00675096" w:rsidP="00B7684A">
      <w:pPr>
        <w:jc w:val="center"/>
        <w:rPr>
          <w:rFonts w:ascii="Arial" w:hAnsi="Arial" w:cs="Arial"/>
          <w:b/>
        </w:rPr>
      </w:pPr>
      <w:r w:rsidRPr="00B7684A">
        <w:rPr>
          <w:rFonts w:ascii="Arial" w:hAnsi="Arial" w:cs="Arial"/>
          <w:b/>
        </w:rPr>
        <w:t>Shelter cluster meeting minutes</w:t>
      </w:r>
    </w:p>
    <w:p w:rsidR="004F765B" w:rsidRPr="0065471C" w:rsidRDefault="00675096" w:rsidP="0065471C">
      <w:pPr>
        <w:jc w:val="both"/>
        <w:rPr>
          <w:rFonts w:ascii="Arial" w:hAnsi="Arial" w:cs="Arial"/>
        </w:rPr>
      </w:pPr>
      <w:r w:rsidRPr="0065471C">
        <w:rPr>
          <w:rFonts w:ascii="Arial" w:hAnsi="Arial" w:cs="Arial"/>
        </w:rPr>
        <w:t xml:space="preserve">Upon the needs felt over disaster situation in the country, being convener of shelter cluster </w:t>
      </w:r>
      <w:r w:rsidR="004F765B" w:rsidRPr="0065471C">
        <w:rPr>
          <w:rFonts w:ascii="Arial" w:hAnsi="Arial" w:cs="Arial"/>
        </w:rPr>
        <w:t>IFRC during</w:t>
      </w:r>
      <w:r w:rsidRPr="0065471C">
        <w:rPr>
          <w:rFonts w:ascii="Arial" w:hAnsi="Arial" w:cs="Arial"/>
        </w:rPr>
        <w:t xml:space="preserve"> emergency in consultation with UNDP had organized a meeting of the shelter cluster</w:t>
      </w:r>
      <w:r w:rsidR="00B7684A">
        <w:rPr>
          <w:rFonts w:ascii="Arial" w:hAnsi="Arial" w:cs="Arial"/>
        </w:rPr>
        <w:t xml:space="preserve"> on 3 July 2012</w:t>
      </w:r>
      <w:r w:rsidRPr="0065471C">
        <w:rPr>
          <w:rFonts w:ascii="Arial" w:hAnsi="Arial" w:cs="Arial"/>
        </w:rPr>
        <w:t xml:space="preserve">.   Objectives of the meeting were </w:t>
      </w:r>
      <w:r w:rsidR="004F765B" w:rsidRPr="0065471C">
        <w:rPr>
          <w:rFonts w:ascii="Arial" w:hAnsi="Arial" w:cs="Arial"/>
        </w:rPr>
        <w:t>followings-</w:t>
      </w:r>
    </w:p>
    <w:p w:rsidR="004F765B" w:rsidRPr="0065471C" w:rsidRDefault="00675096" w:rsidP="0065471C">
      <w:pPr>
        <w:pStyle w:val="ListParagraph"/>
        <w:numPr>
          <w:ilvl w:val="0"/>
          <w:numId w:val="3"/>
        </w:numPr>
        <w:jc w:val="both"/>
        <w:rPr>
          <w:rFonts w:ascii="Arial" w:hAnsi="Arial" w:cs="Arial"/>
        </w:rPr>
      </w:pPr>
      <w:r w:rsidRPr="0065471C">
        <w:rPr>
          <w:rFonts w:ascii="Arial" w:hAnsi="Arial" w:cs="Arial"/>
        </w:rPr>
        <w:t>to review needs</w:t>
      </w:r>
      <w:r w:rsidR="004F765B" w:rsidRPr="0065471C">
        <w:rPr>
          <w:rFonts w:ascii="Arial" w:hAnsi="Arial" w:cs="Arial"/>
        </w:rPr>
        <w:t xml:space="preserve"> of </w:t>
      </w:r>
      <w:r w:rsidRPr="0065471C">
        <w:rPr>
          <w:rFonts w:ascii="Arial" w:hAnsi="Arial" w:cs="Arial"/>
        </w:rPr>
        <w:t xml:space="preserve"> shelter intervention </w:t>
      </w:r>
      <w:r w:rsidR="004F765B" w:rsidRPr="0065471C">
        <w:rPr>
          <w:rFonts w:ascii="Arial" w:hAnsi="Arial" w:cs="Arial"/>
        </w:rPr>
        <w:t>on the ground</w:t>
      </w:r>
      <w:r w:rsidRPr="0065471C">
        <w:rPr>
          <w:rFonts w:ascii="Arial" w:hAnsi="Arial" w:cs="Arial"/>
        </w:rPr>
        <w:t xml:space="preserve">, </w:t>
      </w:r>
    </w:p>
    <w:p w:rsidR="00675096" w:rsidRPr="0065471C" w:rsidRDefault="004F765B" w:rsidP="0065471C">
      <w:pPr>
        <w:pStyle w:val="ListParagraph"/>
        <w:numPr>
          <w:ilvl w:val="0"/>
          <w:numId w:val="3"/>
        </w:numPr>
        <w:jc w:val="both"/>
        <w:rPr>
          <w:rFonts w:ascii="Arial" w:hAnsi="Arial" w:cs="Arial"/>
          <w:color w:val="1F497D"/>
        </w:rPr>
      </w:pPr>
      <w:r w:rsidRPr="0065471C">
        <w:rPr>
          <w:rFonts w:ascii="Arial" w:hAnsi="Arial" w:cs="Arial"/>
          <w:color w:val="1F497D"/>
        </w:rPr>
        <w:t>to map out  resources available with cluster members</w:t>
      </w:r>
      <w:r w:rsidR="00675096" w:rsidRPr="0065471C">
        <w:rPr>
          <w:rFonts w:ascii="Arial" w:hAnsi="Arial" w:cs="Arial"/>
          <w:color w:val="1F497D"/>
        </w:rPr>
        <w:t xml:space="preserve">  </w:t>
      </w:r>
    </w:p>
    <w:p w:rsidR="004F765B" w:rsidRPr="0065471C" w:rsidRDefault="004F765B" w:rsidP="0065471C">
      <w:pPr>
        <w:pStyle w:val="ListParagraph"/>
        <w:numPr>
          <w:ilvl w:val="0"/>
          <w:numId w:val="3"/>
        </w:numPr>
        <w:jc w:val="both"/>
        <w:rPr>
          <w:rFonts w:ascii="Arial" w:hAnsi="Arial" w:cs="Arial"/>
          <w:color w:val="1F497D"/>
        </w:rPr>
      </w:pPr>
      <w:r w:rsidRPr="0065471C">
        <w:rPr>
          <w:rFonts w:ascii="Arial" w:hAnsi="Arial" w:cs="Arial"/>
          <w:color w:val="1F497D"/>
        </w:rPr>
        <w:t>to explore need for  shelter cluster to launch an assessment</w:t>
      </w:r>
    </w:p>
    <w:p w:rsidR="004F765B" w:rsidRPr="0065471C" w:rsidRDefault="004F765B" w:rsidP="0065471C">
      <w:pPr>
        <w:pStyle w:val="ListParagraph"/>
        <w:jc w:val="both"/>
        <w:rPr>
          <w:rFonts w:ascii="Arial" w:hAnsi="Arial" w:cs="Arial"/>
          <w:color w:val="1F497D"/>
        </w:rPr>
      </w:pPr>
    </w:p>
    <w:p w:rsidR="004F765B" w:rsidRPr="0065471C" w:rsidRDefault="004F765B" w:rsidP="0065471C">
      <w:pPr>
        <w:jc w:val="both"/>
        <w:rPr>
          <w:rFonts w:ascii="Arial" w:hAnsi="Arial" w:cs="Arial"/>
        </w:rPr>
      </w:pPr>
      <w:r w:rsidRPr="0065471C">
        <w:rPr>
          <w:rFonts w:ascii="Arial" w:hAnsi="Arial" w:cs="Arial"/>
        </w:rPr>
        <w:t>Following member organizations attended the meeting (details of participants annexed)-</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ACF</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Action Aid</w:t>
      </w:r>
      <w:r w:rsidR="00741EA0" w:rsidRPr="0065471C">
        <w:rPr>
          <w:rFonts w:ascii="Arial" w:hAnsi="Arial" w:cs="Arial"/>
        </w:rPr>
        <w:t xml:space="preserve"> Bangladesh</w:t>
      </w:r>
    </w:p>
    <w:p w:rsidR="004F765B" w:rsidRPr="0065471C" w:rsidRDefault="004F765B" w:rsidP="0065471C">
      <w:pPr>
        <w:pStyle w:val="ListParagraph"/>
        <w:numPr>
          <w:ilvl w:val="0"/>
          <w:numId w:val="4"/>
        </w:numPr>
        <w:jc w:val="both"/>
        <w:rPr>
          <w:rFonts w:ascii="Arial" w:hAnsi="Arial" w:cs="Arial"/>
        </w:rPr>
      </w:pPr>
      <w:proofErr w:type="spellStart"/>
      <w:r w:rsidRPr="0065471C">
        <w:rPr>
          <w:rFonts w:ascii="Arial" w:hAnsi="Arial" w:cs="Arial"/>
        </w:rPr>
        <w:t>AusAid</w:t>
      </w:r>
      <w:proofErr w:type="spellEnd"/>
    </w:p>
    <w:p w:rsidR="00741EA0" w:rsidRPr="0065471C" w:rsidRDefault="00741EA0" w:rsidP="0065471C">
      <w:pPr>
        <w:pStyle w:val="ListParagraph"/>
        <w:numPr>
          <w:ilvl w:val="0"/>
          <w:numId w:val="4"/>
        </w:numPr>
        <w:jc w:val="both"/>
        <w:rPr>
          <w:rFonts w:ascii="Arial" w:hAnsi="Arial" w:cs="Arial"/>
        </w:rPr>
      </w:pPr>
      <w:r w:rsidRPr="0065471C">
        <w:rPr>
          <w:rFonts w:ascii="Arial" w:hAnsi="Arial" w:cs="Arial"/>
        </w:rPr>
        <w:t>Caritas Bangladesh</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Care Bangladesh</w:t>
      </w:r>
    </w:p>
    <w:p w:rsidR="00741EA0" w:rsidRPr="0065471C" w:rsidRDefault="00741EA0" w:rsidP="0065471C">
      <w:pPr>
        <w:pStyle w:val="ListParagraph"/>
        <w:numPr>
          <w:ilvl w:val="0"/>
          <w:numId w:val="4"/>
        </w:numPr>
        <w:jc w:val="both"/>
        <w:rPr>
          <w:rFonts w:ascii="Arial" w:hAnsi="Arial" w:cs="Arial"/>
        </w:rPr>
      </w:pPr>
      <w:r w:rsidRPr="0065471C">
        <w:rPr>
          <w:rFonts w:ascii="Arial" w:hAnsi="Arial" w:cs="Arial"/>
        </w:rPr>
        <w:t>Concern World Wide</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 xml:space="preserve">IFRC </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 xml:space="preserve">Islamic Relief </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IOM</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Ministry of Food and Disaster Management(</w:t>
      </w:r>
      <w:proofErr w:type="spellStart"/>
      <w:r w:rsidR="00741EA0" w:rsidRPr="0065471C">
        <w:rPr>
          <w:rFonts w:ascii="Arial" w:hAnsi="Arial" w:cs="Arial"/>
        </w:rPr>
        <w:t>MoFDM</w:t>
      </w:r>
      <w:proofErr w:type="spellEnd"/>
      <w:r w:rsidRPr="0065471C">
        <w:rPr>
          <w:rFonts w:ascii="Arial" w:hAnsi="Arial" w:cs="Arial"/>
        </w:rPr>
        <w:t>)</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SDC(Swiss Agency  for  Development Cooperation)</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UNHCR</w:t>
      </w:r>
    </w:p>
    <w:p w:rsidR="004F765B" w:rsidRPr="0065471C" w:rsidRDefault="004F765B" w:rsidP="0065471C">
      <w:pPr>
        <w:pStyle w:val="ListParagraph"/>
        <w:numPr>
          <w:ilvl w:val="0"/>
          <w:numId w:val="4"/>
        </w:numPr>
        <w:jc w:val="both"/>
        <w:rPr>
          <w:rFonts w:ascii="Arial" w:hAnsi="Arial" w:cs="Arial"/>
        </w:rPr>
      </w:pPr>
      <w:r w:rsidRPr="0065471C">
        <w:rPr>
          <w:rFonts w:ascii="Arial" w:hAnsi="Arial" w:cs="Arial"/>
        </w:rPr>
        <w:t>UNDP</w:t>
      </w:r>
    </w:p>
    <w:p w:rsidR="004F765B" w:rsidRPr="0065471C" w:rsidRDefault="004F765B" w:rsidP="0065471C">
      <w:pPr>
        <w:jc w:val="both"/>
        <w:rPr>
          <w:rFonts w:ascii="Arial" w:hAnsi="Arial" w:cs="Arial"/>
        </w:rPr>
      </w:pPr>
    </w:p>
    <w:p w:rsidR="00741EA0" w:rsidRPr="0065471C" w:rsidRDefault="00741EA0" w:rsidP="0065471C">
      <w:pPr>
        <w:jc w:val="both"/>
        <w:rPr>
          <w:rFonts w:ascii="Arial" w:hAnsi="Arial" w:cs="Arial"/>
        </w:rPr>
      </w:pPr>
      <w:r w:rsidRPr="0065471C">
        <w:rPr>
          <w:rFonts w:ascii="Arial" w:hAnsi="Arial" w:cs="Arial"/>
        </w:rPr>
        <w:t xml:space="preserve">The meeting started with welcome notes and appreciation to all its members for their serious engagement in current humanitarian crisis. </w:t>
      </w:r>
      <w:r w:rsidR="00FE56CD" w:rsidRPr="0065471C">
        <w:rPr>
          <w:rFonts w:ascii="Arial" w:hAnsi="Arial" w:cs="Arial"/>
        </w:rPr>
        <w:t xml:space="preserve"> The meeting has endorsed the </w:t>
      </w:r>
      <w:proofErr w:type="spellStart"/>
      <w:r w:rsidR="00FE56CD" w:rsidRPr="0065471C">
        <w:rPr>
          <w:rFonts w:ascii="Arial" w:hAnsi="Arial" w:cs="Arial"/>
        </w:rPr>
        <w:t>ToR</w:t>
      </w:r>
      <w:proofErr w:type="spellEnd"/>
      <w:r w:rsidR="00FE56CD" w:rsidRPr="0065471C">
        <w:rPr>
          <w:rFonts w:ascii="Arial" w:hAnsi="Arial" w:cs="Arial"/>
        </w:rPr>
        <w:t xml:space="preserve"> and minutes of the last meeting. </w:t>
      </w:r>
    </w:p>
    <w:p w:rsidR="00FE56CD" w:rsidRPr="0065471C" w:rsidRDefault="00FE56CD" w:rsidP="0065471C">
      <w:pPr>
        <w:jc w:val="both"/>
        <w:rPr>
          <w:rFonts w:ascii="Arial" w:hAnsi="Arial" w:cs="Arial"/>
        </w:rPr>
      </w:pPr>
    </w:p>
    <w:p w:rsidR="00FE56CD" w:rsidRPr="0065471C" w:rsidRDefault="00FE56CD" w:rsidP="0065471C">
      <w:pPr>
        <w:jc w:val="both"/>
        <w:rPr>
          <w:rFonts w:ascii="Arial" w:hAnsi="Arial" w:cs="Arial"/>
        </w:rPr>
      </w:pPr>
      <w:r w:rsidRPr="0065471C">
        <w:rPr>
          <w:rFonts w:ascii="Arial" w:hAnsi="Arial" w:cs="Arial"/>
        </w:rPr>
        <w:t>Following agendas were discussed and certain issues agreed upon-</w:t>
      </w:r>
    </w:p>
    <w:p w:rsidR="00B8105E" w:rsidRPr="0065471C" w:rsidRDefault="00FE56CD" w:rsidP="0065471C">
      <w:pPr>
        <w:pStyle w:val="ListParagraph"/>
        <w:numPr>
          <w:ilvl w:val="0"/>
          <w:numId w:val="5"/>
        </w:numPr>
        <w:jc w:val="both"/>
        <w:rPr>
          <w:rFonts w:ascii="Arial" w:hAnsi="Arial" w:cs="Arial"/>
        </w:rPr>
      </w:pPr>
      <w:r w:rsidRPr="0065471C">
        <w:rPr>
          <w:rFonts w:ascii="Arial" w:hAnsi="Arial" w:cs="Arial"/>
          <w:color w:val="1F497D"/>
        </w:rPr>
        <w:t xml:space="preserve">Review flood situation; cluster members have shared their updates through assessment either done by individual agency or </w:t>
      </w:r>
      <w:r w:rsidR="00772C14" w:rsidRPr="0065471C">
        <w:rPr>
          <w:rFonts w:ascii="Arial" w:hAnsi="Arial" w:cs="Arial"/>
          <w:color w:val="1F497D"/>
        </w:rPr>
        <w:t xml:space="preserve">multi-agencies </w:t>
      </w:r>
      <w:r w:rsidRPr="0065471C">
        <w:rPr>
          <w:rFonts w:ascii="Arial" w:hAnsi="Arial" w:cs="Arial"/>
          <w:color w:val="1F497D"/>
        </w:rPr>
        <w:t xml:space="preserve">on situation on the south-east and south west and emerging flood situation on the north-east. </w:t>
      </w:r>
      <w:r w:rsidR="00772C14" w:rsidRPr="0065471C">
        <w:rPr>
          <w:rFonts w:ascii="Arial" w:hAnsi="Arial" w:cs="Arial"/>
          <w:color w:val="1F497D"/>
        </w:rPr>
        <w:t xml:space="preserve"> There has been no consolidated figure of shelter damage or people need shelter support yet. Though some joint need assessment done by couple of </w:t>
      </w:r>
      <w:r w:rsidR="00B8105E" w:rsidRPr="0065471C">
        <w:rPr>
          <w:rFonts w:ascii="Arial" w:hAnsi="Arial" w:cs="Arial"/>
          <w:color w:val="1F497D"/>
        </w:rPr>
        <w:t xml:space="preserve">INGOs has been highly appreciated in the meeting.  </w:t>
      </w:r>
      <w:r w:rsidR="00780B67" w:rsidRPr="0065471C">
        <w:rPr>
          <w:rFonts w:ascii="Arial" w:hAnsi="Arial" w:cs="Arial"/>
          <w:color w:val="1F497D"/>
        </w:rPr>
        <w:t>T</w:t>
      </w:r>
      <w:r w:rsidR="00B8105E" w:rsidRPr="0065471C">
        <w:rPr>
          <w:rFonts w:ascii="Arial" w:hAnsi="Arial" w:cs="Arial"/>
          <w:color w:val="1F497D"/>
        </w:rPr>
        <w:t xml:space="preserve">his assessment findings present a snap </w:t>
      </w:r>
      <w:r w:rsidR="00780B67" w:rsidRPr="0065471C">
        <w:rPr>
          <w:rFonts w:ascii="Arial" w:hAnsi="Arial" w:cs="Arial"/>
          <w:color w:val="1F497D"/>
        </w:rPr>
        <w:t xml:space="preserve">short of the ground situation can be a good source of information. Reviewing the reports, damage statistics available at the scroll, </w:t>
      </w:r>
      <w:r w:rsidR="00272284" w:rsidRPr="0065471C">
        <w:rPr>
          <w:rFonts w:ascii="Arial" w:hAnsi="Arial" w:cs="Arial"/>
          <w:color w:val="1F497D"/>
        </w:rPr>
        <w:t xml:space="preserve">should be point of departure for </w:t>
      </w:r>
      <w:r w:rsidR="00780B67" w:rsidRPr="0065471C">
        <w:rPr>
          <w:rFonts w:ascii="Arial" w:hAnsi="Arial" w:cs="Arial"/>
          <w:color w:val="1F497D"/>
        </w:rPr>
        <w:t xml:space="preserve">the cluster </w:t>
      </w:r>
      <w:r w:rsidR="00272284" w:rsidRPr="0065471C">
        <w:rPr>
          <w:rFonts w:ascii="Arial" w:hAnsi="Arial" w:cs="Arial"/>
          <w:color w:val="1F497D"/>
        </w:rPr>
        <w:t xml:space="preserve">to decide </w:t>
      </w:r>
      <w:r w:rsidR="00780B67" w:rsidRPr="0065471C">
        <w:rPr>
          <w:rFonts w:ascii="Arial" w:hAnsi="Arial" w:cs="Arial"/>
          <w:color w:val="1F497D"/>
        </w:rPr>
        <w:t xml:space="preserve">explore further sector specific assessment. </w:t>
      </w:r>
      <w:r w:rsidR="00272284" w:rsidRPr="0065471C">
        <w:rPr>
          <w:rFonts w:ascii="Arial" w:hAnsi="Arial" w:cs="Arial"/>
          <w:color w:val="1F497D"/>
        </w:rPr>
        <w:t xml:space="preserve"> Reviewing </w:t>
      </w:r>
    </w:p>
    <w:p w:rsidR="00780B67" w:rsidRPr="0065471C" w:rsidRDefault="00780B67" w:rsidP="0065471C">
      <w:pPr>
        <w:pStyle w:val="ListParagraph"/>
        <w:jc w:val="both"/>
        <w:rPr>
          <w:rFonts w:ascii="Arial" w:hAnsi="Arial" w:cs="Arial"/>
        </w:rPr>
      </w:pPr>
    </w:p>
    <w:p w:rsidR="00272284" w:rsidRPr="0065471C" w:rsidRDefault="00780B67" w:rsidP="0065471C">
      <w:pPr>
        <w:ind w:left="360"/>
        <w:jc w:val="both"/>
        <w:rPr>
          <w:rFonts w:ascii="Arial" w:hAnsi="Arial" w:cs="Arial"/>
        </w:rPr>
      </w:pPr>
      <w:r w:rsidRPr="0065471C">
        <w:rPr>
          <w:rFonts w:ascii="Arial" w:hAnsi="Arial" w:cs="Arial"/>
        </w:rPr>
        <w:t xml:space="preserve">Emphasis has been given on the coordinated response rather than joint assessment and single channel and center depository </w:t>
      </w:r>
      <w:r w:rsidR="00272284" w:rsidRPr="0065471C">
        <w:rPr>
          <w:rFonts w:ascii="Arial" w:hAnsi="Arial" w:cs="Arial"/>
        </w:rPr>
        <w:t xml:space="preserve">for flow of information. UNDP has been requested to coordinate this information management. It has been agreed in the meeting to host </w:t>
      </w:r>
      <w:r w:rsidR="00272284" w:rsidRPr="0065471C">
        <w:rPr>
          <w:rFonts w:ascii="Arial" w:hAnsi="Arial" w:cs="Arial"/>
        </w:rPr>
        <w:lastRenderedPageBreak/>
        <w:t xml:space="preserve">collective assessment reports on public domain (DMIC, NDRCC) for easy access and to be consistence in terms of priority needs. As reported by UNDP standard assessment process is in progress. </w:t>
      </w:r>
    </w:p>
    <w:p w:rsidR="00272284" w:rsidRPr="0065471C" w:rsidRDefault="00272284" w:rsidP="0065471C">
      <w:pPr>
        <w:ind w:left="360"/>
        <w:jc w:val="both"/>
        <w:rPr>
          <w:rFonts w:ascii="Arial" w:hAnsi="Arial" w:cs="Arial"/>
        </w:rPr>
      </w:pPr>
      <w:r w:rsidRPr="0065471C">
        <w:rPr>
          <w:rFonts w:ascii="Arial" w:hAnsi="Arial" w:cs="Arial"/>
        </w:rPr>
        <w:t xml:space="preserve">It has been clarified in the meeting that since initial assessment done by several agencies, comprehensive sector specific assessment should include aspect of sustainability, safe shelter and socio-cultural context. </w:t>
      </w:r>
      <w:r w:rsidR="003B1EA8" w:rsidRPr="0065471C">
        <w:rPr>
          <w:rFonts w:ascii="Arial" w:hAnsi="Arial" w:cs="Arial"/>
        </w:rPr>
        <w:t xml:space="preserve">Since there is no standard specification of shelter which is yet to be done by the government, the government urges for best quality items available in the country and also encourages agencies who maintain standard specifications. </w:t>
      </w:r>
      <w:r w:rsidR="0065471C" w:rsidRPr="0065471C">
        <w:rPr>
          <w:rFonts w:ascii="Arial" w:hAnsi="Arial" w:cs="Arial"/>
        </w:rPr>
        <w:t>As discussed, through the shelter cluster humanitarian agencies are requested to maintain minimum standard and principles as specified in the Sphere to the context of Bangladesh.</w:t>
      </w:r>
    </w:p>
    <w:p w:rsidR="00FE56CD" w:rsidRPr="0065471C" w:rsidRDefault="00FE56CD" w:rsidP="0065471C">
      <w:pPr>
        <w:pStyle w:val="ListParagraph"/>
        <w:numPr>
          <w:ilvl w:val="0"/>
          <w:numId w:val="5"/>
        </w:numPr>
        <w:jc w:val="both"/>
        <w:rPr>
          <w:rFonts w:ascii="Arial" w:hAnsi="Arial" w:cs="Arial"/>
          <w:color w:val="1F497D"/>
        </w:rPr>
      </w:pPr>
      <w:r w:rsidRPr="0065471C">
        <w:rPr>
          <w:rFonts w:ascii="Arial" w:hAnsi="Arial" w:cs="Arial"/>
          <w:color w:val="1F497D"/>
        </w:rPr>
        <w:t xml:space="preserve">Heads up for the cluster members; organizational level preparedness </w:t>
      </w:r>
    </w:p>
    <w:p w:rsidR="003B1EA8" w:rsidRPr="0065471C" w:rsidRDefault="003B1EA8" w:rsidP="0065471C">
      <w:pPr>
        <w:ind w:left="360"/>
        <w:jc w:val="both"/>
        <w:rPr>
          <w:rFonts w:ascii="Arial" w:hAnsi="Arial" w:cs="Arial"/>
          <w:color w:val="1F497D"/>
        </w:rPr>
      </w:pPr>
      <w:r w:rsidRPr="0065471C">
        <w:rPr>
          <w:rFonts w:ascii="Arial" w:hAnsi="Arial" w:cs="Arial"/>
          <w:color w:val="1F497D"/>
        </w:rPr>
        <w:t>A mapping of shelter materials/resources are available with cluster members has been done as follows-</w:t>
      </w:r>
    </w:p>
    <w:tbl>
      <w:tblPr>
        <w:tblStyle w:val="TableGrid"/>
        <w:tblW w:w="9378" w:type="dxa"/>
        <w:tblInd w:w="360" w:type="dxa"/>
        <w:tblLook w:val="04A0"/>
      </w:tblPr>
      <w:tblGrid>
        <w:gridCol w:w="738"/>
        <w:gridCol w:w="2948"/>
        <w:gridCol w:w="1843"/>
        <w:gridCol w:w="1843"/>
        <w:gridCol w:w="2006"/>
      </w:tblGrid>
      <w:tr w:rsidR="003B1EA8" w:rsidRPr="0065471C" w:rsidTr="003B1EA8">
        <w:tc>
          <w:tcPr>
            <w:tcW w:w="738" w:type="dxa"/>
          </w:tcPr>
          <w:p w:rsidR="003B1EA8" w:rsidRPr="0065471C" w:rsidRDefault="003B1EA8" w:rsidP="0065471C">
            <w:pPr>
              <w:jc w:val="both"/>
              <w:rPr>
                <w:rFonts w:ascii="Arial" w:hAnsi="Arial" w:cs="Arial"/>
                <w:color w:val="1F497D"/>
              </w:rPr>
            </w:pPr>
            <w:proofErr w:type="spellStart"/>
            <w:r w:rsidRPr="0065471C">
              <w:rPr>
                <w:rFonts w:ascii="Arial" w:hAnsi="Arial" w:cs="Arial"/>
                <w:color w:val="1F497D"/>
              </w:rPr>
              <w:t>Sl</w:t>
            </w:r>
            <w:proofErr w:type="spellEnd"/>
          </w:p>
        </w:tc>
        <w:tc>
          <w:tcPr>
            <w:tcW w:w="2948" w:type="dxa"/>
          </w:tcPr>
          <w:p w:rsidR="003B1EA8" w:rsidRPr="0065471C" w:rsidRDefault="003B1EA8" w:rsidP="0065471C">
            <w:pPr>
              <w:jc w:val="both"/>
              <w:rPr>
                <w:rFonts w:ascii="Arial" w:hAnsi="Arial" w:cs="Arial"/>
                <w:color w:val="1F497D"/>
              </w:rPr>
            </w:pPr>
            <w:r w:rsidRPr="0065471C">
              <w:rPr>
                <w:rFonts w:ascii="Arial" w:hAnsi="Arial" w:cs="Arial"/>
                <w:color w:val="1F497D"/>
              </w:rPr>
              <w:t>Cluster member</w:t>
            </w:r>
          </w:p>
        </w:tc>
        <w:tc>
          <w:tcPr>
            <w:tcW w:w="1843" w:type="dxa"/>
          </w:tcPr>
          <w:p w:rsidR="003B1EA8" w:rsidRPr="0065471C" w:rsidRDefault="003B1EA8" w:rsidP="0065471C">
            <w:pPr>
              <w:jc w:val="both"/>
              <w:rPr>
                <w:rFonts w:ascii="Arial" w:hAnsi="Arial" w:cs="Arial"/>
                <w:color w:val="1F497D"/>
              </w:rPr>
            </w:pPr>
            <w:r w:rsidRPr="0065471C">
              <w:rPr>
                <w:rFonts w:ascii="Arial" w:hAnsi="Arial" w:cs="Arial"/>
                <w:color w:val="1F497D"/>
              </w:rPr>
              <w:t xml:space="preserve">Items </w:t>
            </w:r>
          </w:p>
        </w:tc>
        <w:tc>
          <w:tcPr>
            <w:tcW w:w="1843" w:type="dxa"/>
          </w:tcPr>
          <w:p w:rsidR="003B1EA8" w:rsidRPr="0065471C" w:rsidRDefault="003B1EA8" w:rsidP="0065471C">
            <w:pPr>
              <w:jc w:val="both"/>
              <w:rPr>
                <w:rFonts w:ascii="Arial" w:hAnsi="Arial" w:cs="Arial"/>
                <w:color w:val="1F497D"/>
              </w:rPr>
            </w:pPr>
            <w:r w:rsidRPr="0065471C">
              <w:rPr>
                <w:rFonts w:ascii="Arial" w:hAnsi="Arial" w:cs="Arial"/>
                <w:color w:val="1F497D"/>
              </w:rPr>
              <w:t>Quantity</w:t>
            </w:r>
          </w:p>
        </w:tc>
        <w:tc>
          <w:tcPr>
            <w:tcW w:w="2006" w:type="dxa"/>
          </w:tcPr>
          <w:p w:rsidR="003B1EA8" w:rsidRPr="0065471C" w:rsidRDefault="003B1EA8" w:rsidP="0065471C">
            <w:pPr>
              <w:jc w:val="both"/>
              <w:rPr>
                <w:rFonts w:ascii="Arial" w:hAnsi="Arial" w:cs="Arial"/>
                <w:color w:val="1F497D"/>
              </w:rPr>
            </w:pPr>
            <w:r w:rsidRPr="0065471C">
              <w:rPr>
                <w:rFonts w:ascii="Arial" w:hAnsi="Arial" w:cs="Arial"/>
                <w:color w:val="1F497D"/>
              </w:rPr>
              <w:t>Remarks</w:t>
            </w:r>
          </w:p>
        </w:tc>
      </w:tr>
      <w:tr w:rsidR="003B1EA8" w:rsidRPr="0065471C" w:rsidTr="003B1EA8">
        <w:tc>
          <w:tcPr>
            <w:tcW w:w="738" w:type="dxa"/>
          </w:tcPr>
          <w:p w:rsidR="003B1EA8" w:rsidRPr="0065471C" w:rsidRDefault="003B1EA8" w:rsidP="0065471C">
            <w:pPr>
              <w:jc w:val="both"/>
              <w:rPr>
                <w:rFonts w:ascii="Arial" w:hAnsi="Arial" w:cs="Arial"/>
                <w:color w:val="1F497D"/>
              </w:rPr>
            </w:pPr>
            <w:r w:rsidRPr="0065471C">
              <w:rPr>
                <w:rFonts w:ascii="Arial" w:hAnsi="Arial" w:cs="Arial"/>
                <w:color w:val="1F497D"/>
              </w:rPr>
              <w:t>1.</w:t>
            </w:r>
          </w:p>
        </w:tc>
        <w:tc>
          <w:tcPr>
            <w:tcW w:w="2948" w:type="dxa"/>
          </w:tcPr>
          <w:p w:rsidR="003B1EA8" w:rsidRPr="0065471C" w:rsidRDefault="003B1EA8" w:rsidP="0065471C">
            <w:pPr>
              <w:jc w:val="both"/>
              <w:rPr>
                <w:rFonts w:ascii="Arial" w:hAnsi="Arial" w:cs="Arial"/>
                <w:color w:val="1F497D"/>
              </w:rPr>
            </w:pPr>
            <w:r w:rsidRPr="0065471C">
              <w:rPr>
                <w:rFonts w:ascii="Arial" w:hAnsi="Arial" w:cs="Arial"/>
                <w:color w:val="1F497D"/>
              </w:rPr>
              <w:t>ACF</w:t>
            </w:r>
          </w:p>
        </w:tc>
        <w:tc>
          <w:tcPr>
            <w:tcW w:w="1843" w:type="dxa"/>
          </w:tcPr>
          <w:p w:rsidR="003B1EA8" w:rsidRPr="0065471C" w:rsidRDefault="003B1EA8" w:rsidP="0065471C">
            <w:pPr>
              <w:jc w:val="both"/>
              <w:rPr>
                <w:rFonts w:ascii="Arial" w:hAnsi="Arial" w:cs="Arial"/>
                <w:color w:val="1F497D"/>
              </w:rPr>
            </w:pPr>
            <w:r w:rsidRPr="0065471C">
              <w:rPr>
                <w:rFonts w:ascii="Arial" w:hAnsi="Arial" w:cs="Arial"/>
                <w:color w:val="1F497D"/>
              </w:rPr>
              <w:t>Kits</w:t>
            </w:r>
          </w:p>
        </w:tc>
        <w:tc>
          <w:tcPr>
            <w:tcW w:w="1843" w:type="dxa"/>
          </w:tcPr>
          <w:p w:rsidR="003B1EA8" w:rsidRPr="0065471C" w:rsidRDefault="003B1EA8" w:rsidP="0065471C">
            <w:pPr>
              <w:jc w:val="both"/>
              <w:rPr>
                <w:rFonts w:ascii="Arial" w:hAnsi="Arial" w:cs="Arial"/>
                <w:color w:val="1F497D"/>
              </w:rPr>
            </w:pPr>
            <w:r w:rsidRPr="0065471C">
              <w:rPr>
                <w:rFonts w:ascii="Arial" w:hAnsi="Arial" w:cs="Arial"/>
                <w:color w:val="1F497D"/>
              </w:rPr>
              <w:t>2,000</w:t>
            </w:r>
          </w:p>
        </w:tc>
        <w:tc>
          <w:tcPr>
            <w:tcW w:w="2006" w:type="dxa"/>
          </w:tcPr>
          <w:p w:rsidR="003B1EA8" w:rsidRPr="0065471C" w:rsidRDefault="003B1EA8" w:rsidP="0065471C">
            <w:pPr>
              <w:jc w:val="both"/>
              <w:rPr>
                <w:rFonts w:ascii="Arial" w:hAnsi="Arial" w:cs="Arial"/>
                <w:color w:val="1F497D"/>
              </w:rPr>
            </w:pPr>
          </w:p>
        </w:tc>
      </w:tr>
      <w:tr w:rsidR="003B1EA8" w:rsidRPr="0065471C" w:rsidTr="003B1EA8">
        <w:tc>
          <w:tcPr>
            <w:tcW w:w="738" w:type="dxa"/>
          </w:tcPr>
          <w:p w:rsidR="003B1EA8" w:rsidRPr="0065471C" w:rsidRDefault="003B1EA8" w:rsidP="0065471C">
            <w:pPr>
              <w:jc w:val="both"/>
              <w:rPr>
                <w:rFonts w:ascii="Arial" w:hAnsi="Arial" w:cs="Arial"/>
                <w:color w:val="1F497D"/>
              </w:rPr>
            </w:pPr>
            <w:r w:rsidRPr="0065471C">
              <w:rPr>
                <w:rFonts w:ascii="Arial" w:hAnsi="Arial" w:cs="Arial"/>
                <w:color w:val="1F497D"/>
              </w:rPr>
              <w:t>2.</w:t>
            </w:r>
          </w:p>
        </w:tc>
        <w:tc>
          <w:tcPr>
            <w:tcW w:w="2948" w:type="dxa"/>
          </w:tcPr>
          <w:p w:rsidR="003B1EA8" w:rsidRPr="0065471C" w:rsidRDefault="003B1EA8" w:rsidP="0065471C">
            <w:pPr>
              <w:jc w:val="both"/>
              <w:rPr>
                <w:rFonts w:ascii="Arial" w:hAnsi="Arial" w:cs="Arial"/>
                <w:color w:val="1F497D"/>
              </w:rPr>
            </w:pPr>
            <w:r w:rsidRPr="0065471C">
              <w:rPr>
                <w:rFonts w:ascii="Arial" w:hAnsi="Arial" w:cs="Arial"/>
                <w:color w:val="1F497D"/>
              </w:rPr>
              <w:t>UNHCR</w:t>
            </w:r>
          </w:p>
        </w:tc>
        <w:tc>
          <w:tcPr>
            <w:tcW w:w="1843" w:type="dxa"/>
          </w:tcPr>
          <w:p w:rsidR="003B1EA8" w:rsidRPr="0065471C" w:rsidRDefault="003B1EA8" w:rsidP="0065471C">
            <w:pPr>
              <w:jc w:val="both"/>
              <w:rPr>
                <w:rFonts w:ascii="Arial" w:hAnsi="Arial" w:cs="Arial"/>
                <w:color w:val="1F497D"/>
              </w:rPr>
            </w:pPr>
            <w:r w:rsidRPr="0065471C">
              <w:rPr>
                <w:rFonts w:ascii="Arial" w:hAnsi="Arial" w:cs="Arial"/>
                <w:color w:val="1F497D"/>
              </w:rPr>
              <w:t>Tarps</w:t>
            </w:r>
          </w:p>
        </w:tc>
        <w:tc>
          <w:tcPr>
            <w:tcW w:w="1843" w:type="dxa"/>
          </w:tcPr>
          <w:p w:rsidR="003B1EA8" w:rsidRPr="0065471C" w:rsidRDefault="003B1EA8" w:rsidP="0065471C">
            <w:pPr>
              <w:jc w:val="both"/>
              <w:rPr>
                <w:rFonts w:ascii="Arial" w:hAnsi="Arial" w:cs="Arial"/>
                <w:color w:val="1F497D"/>
              </w:rPr>
            </w:pPr>
          </w:p>
        </w:tc>
        <w:tc>
          <w:tcPr>
            <w:tcW w:w="2006" w:type="dxa"/>
          </w:tcPr>
          <w:p w:rsidR="003B1EA8" w:rsidRPr="0065471C" w:rsidRDefault="003B1EA8" w:rsidP="0065471C">
            <w:pPr>
              <w:jc w:val="both"/>
              <w:rPr>
                <w:rFonts w:ascii="Arial" w:hAnsi="Arial" w:cs="Arial"/>
                <w:color w:val="1F497D"/>
              </w:rPr>
            </w:pPr>
            <w:r w:rsidRPr="0065471C">
              <w:rPr>
                <w:rFonts w:ascii="Arial" w:hAnsi="Arial" w:cs="Arial"/>
                <w:color w:val="1F497D"/>
              </w:rPr>
              <w:t>UNCH will send Update later</w:t>
            </w:r>
          </w:p>
        </w:tc>
      </w:tr>
      <w:tr w:rsidR="003B1EA8" w:rsidRPr="0065471C" w:rsidTr="003B1EA8">
        <w:tc>
          <w:tcPr>
            <w:tcW w:w="738" w:type="dxa"/>
          </w:tcPr>
          <w:p w:rsidR="003B1EA8" w:rsidRPr="0065471C" w:rsidRDefault="003B1EA8" w:rsidP="0065471C">
            <w:pPr>
              <w:jc w:val="both"/>
              <w:rPr>
                <w:rFonts w:ascii="Arial" w:hAnsi="Arial" w:cs="Arial"/>
                <w:color w:val="1F497D"/>
              </w:rPr>
            </w:pPr>
            <w:r w:rsidRPr="0065471C">
              <w:rPr>
                <w:rFonts w:ascii="Arial" w:hAnsi="Arial" w:cs="Arial"/>
                <w:color w:val="1F497D"/>
              </w:rPr>
              <w:t>3.</w:t>
            </w:r>
          </w:p>
        </w:tc>
        <w:tc>
          <w:tcPr>
            <w:tcW w:w="2948" w:type="dxa"/>
          </w:tcPr>
          <w:p w:rsidR="003B1EA8" w:rsidRPr="0065471C" w:rsidRDefault="003B1EA8" w:rsidP="0065471C">
            <w:pPr>
              <w:jc w:val="both"/>
              <w:rPr>
                <w:rFonts w:ascii="Arial" w:hAnsi="Arial" w:cs="Arial"/>
                <w:color w:val="1F497D"/>
              </w:rPr>
            </w:pPr>
            <w:r w:rsidRPr="0065471C">
              <w:rPr>
                <w:rFonts w:ascii="Arial" w:hAnsi="Arial" w:cs="Arial"/>
                <w:color w:val="1F497D"/>
              </w:rPr>
              <w:t>IFRC</w:t>
            </w:r>
          </w:p>
        </w:tc>
        <w:tc>
          <w:tcPr>
            <w:tcW w:w="1843" w:type="dxa"/>
          </w:tcPr>
          <w:p w:rsidR="003B1EA8" w:rsidRPr="0065471C" w:rsidRDefault="003B1EA8" w:rsidP="0065471C">
            <w:pPr>
              <w:jc w:val="both"/>
              <w:rPr>
                <w:rFonts w:ascii="Arial" w:hAnsi="Arial" w:cs="Arial"/>
                <w:color w:val="1F497D"/>
              </w:rPr>
            </w:pPr>
            <w:r w:rsidRPr="0065471C">
              <w:rPr>
                <w:rFonts w:ascii="Arial" w:hAnsi="Arial" w:cs="Arial"/>
                <w:color w:val="1F497D"/>
              </w:rPr>
              <w:t xml:space="preserve">Tarps </w:t>
            </w:r>
          </w:p>
        </w:tc>
        <w:tc>
          <w:tcPr>
            <w:tcW w:w="1843" w:type="dxa"/>
          </w:tcPr>
          <w:p w:rsidR="003B1EA8" w:rsidRPr="0065471C" w:rsidRDefault="003B1EA8" w:rsidP="0065471C">
            <w:pPr>
              <w:jc w:val="both"/>
              <w:rPr>
                <w:rFonts w:ascii="Arial" w:hAnsi="Arial" w:cs="Arial"/>
                <w:color w:val="1F497D"/>
              </w:rPr>
            </w:pPr>
            <w:r w:rsidRPr="0065471C">
              <w:rPr>
                <w:rFonts w:ascii="Arial" w:hAnsi="Arial" w:cs="Arial"/>
                <w:color w:val="1F497D"/>
              </w:rPr>
              <w:t>10</w:t>
            </w:r>
          </w:p>
        </w:tc>
        <w:tc>
          <w:tcPr>
            <w:tcW w:w="2006" w:type="dxa"/>
          </w:tcPr>
          <w:p w:rsidR="003B1EA8" w:rsidRPr="0065471C" w:rsidRDefault="003B1EA8" w:rsidP="0065471C">
            <w:pPr>
              <w:jc w:val="both"/>
              <w:rPr>
                <w:rFonts w:ascii="Arial" w:hAnsi="Arial" w:cs="Arial"/>
                <w:color w:val="1F497D"/>
              </w:rPr>
            </w:pPr>
          </w:p>
        </w:tc>
      </w:tr>
      <w:tr w:rsidR="0065471C" w:rsidRPr="0065471C" w:rsidTr="003B1EA8">
        <w:tc>
          <w:tcPr>
            <w:tcW w:w="738" w:type="dxa"/>
          </w:tcPr>
          <w:p w:rsidR="0065471C" w:rsidRPr="0065471C" w:rsidRDefault="0065471C" w:rsidP="0065471C">
            <w:pPr>
              <w:jc w:val="both"/>
              <w:rPr>
                <w:rFonts w:ascii="Arial" w:hAnsi="Arial" w:cs="Arial"/>
                <w:color w:val="1F497D"/>
              </w:rPr>
            </w:pPr>
          </w:p>
        </w:tc>
        <w:tc>
          <w:tcPr>
            <w:tcW w:w="2948" w:type="dxa"/>
          </w:tcPr>
          <w:p w:rsidR="0065471C" w:rsidRPr="0065471C" w:rsidRDefault="0065471C" w:rsidP="0065471C">
            <w:pPr>
              <w:jc w:val="both"/>
              <w:rPr>
                <w:rFonts w:ascii="Arial" w:hAnsi="Arial" w:cs="Arial"/>
                <w:color w:val="1F497D"/>
              </w:rPr>
            </w:pPr>
          </w:p>
        </w:tc>
        <w:tc>
          <w:tcPr>
            <w:tcW w:w="1843" w:type="dxa"/>
          </w:tcPr>
          <w:p w:rsidR="0065471C" w:rsidRPr="0065471C" w:rsidRDefault="0065471C" w:rsidP="0065471C">
            <w:pPr>
              <w:jc w:val="both"/>
              <w:rPr>
                <w:rFonts w:ascii="Arial" w:hAnsi="Arial" w:cs="Arial"/>
                <w:color w:val="1F497D"/>
              </w:rPr>
            </w:pPr>
            <w:r w:rsidRPr="0065471C">
              <w:rPr>
                <w:rFonts w:ascii="Arial" w:hAnsi="Arial" w:cs="Arial"/>
                <w:color w:val="1F497D"/>
              </w:rPr>
              <w:t>Tool kits</w:t>
            </w:r>
          </w:p>
        </w:tc>
        <w:tc>
          <w:tcPr>
            <w:tcW w:w="1843" w:type="dxa"/>
          </w:tcPr>
          <w:p w:rsidR="0065471C" w:rsidRPr="0065471C" w:rsidRDefault="0065471C" w:rsidP="0065471C">
            <w:pPr>
              <w:jc w:val="both"/>
              <w:rPr>
                <w:rFonts w:ascii="Arial" w:hAnsi="Arial" w:cs="Arial"/>
                <w:color w:val="1F497D"/>
              </w:rPr>
            </w:pPr>
          </w:p>
        </w:tc>
        <w:tc>
          <w:tcPr>
            <w:tcW w:w="2006" w:type="dxa"/>
          </w:tcPr>
          <w:p w:rsidR="0065471C" w:rsidRPr="0065471C" w:rsidRDefault="0065471C" w:rsidP="0065471C">
            <w:pPr>
              <w:jc w:val="both"/>
              <w:rPr>
                <w:rFonts w:ascii="Arial" w:hAnsi="Arial" w:cs="Arial"/>
                <w:color w:val="1F497D"/>
              </w:rPr>
            </w:pPr>
          </w:p>
        </w:tc>
      </w:tr>
      <w:tr w:rsidR="003B1EA8" w:rsidRPr="0065471C" w:rsidTr="003B1EA8">
        <w:tc>
          <w:tcPr>
            <w:tcW w:w="738" w:type="dxa"/>
          </w:tcPr>
          <w:p w:rsidR="003B1EA8" w:rsidRPr="0065471C" w:rsidRDefault="0065471C" w:rsidP="0065471C">
            <w:pPr>
              <w:jc w:val="both"/>
              <w:rPr>
                <w:rFonts w:ascii="Arial" w:hAnsi="Arial" w:cs="Arial"/>
                <w:color w:val="1F497D"/>
              </w:rPr>
            </w:pPr>
            <w:r w:rsidRPr="0065471C">
              <w:rPr>
                <w:rFonts w:ascii="Arial" w:hAnsi="Arial" w:cs="Arial"/>
                <w:color w:val="1F497D"/>
              </w:rPr>
              <w:t>4.</w:t>
            </w:r>
          </w:p>
        </w:tc>
        <w:tc>
          <w:tcPr>
            <w:tcW w:w="2948" w:type="dxa"/>
          </w:tcPr>
          <w:p w:rsidR="003B1EA8" w:rsidRPr="0065471C" w:rsidRDefault="0065471C" w:rsidP="0065471C">
            <w:pPr>
              <w:jc w:val="both"/>
              <w:rPr>
                <w:rFonts w:ascii="Arial" w:hAnsi="Arial" w:cs="Arial"/>
                <w:color w:val="1F497D"/>
              </w:rPr>
            </w:pPr>
            <w:proofErr w:type="spellStart"/>
            <w:r w:rsidRPr="0065471C">
              <w:rPr>
                <w:rFonts w:ascii="Arial" w:hAnsi="Arial" w:cs="Arial"/>
                <w:color w:val="1F497D"/>
              </w:rPr>
              <w:t>MoFDM</w:t>
            </w:r>
            <w:proofErr w:type="spellEnd"/>
          </w:p>
        </w:tc>
        <w:tc>
          <w:tcPr>
            <w:tcW w:w="1843" w:type="dxa"/>
          </w:tcPr>
          <w:p w:rsidR="003B1EA8" w:rsidRPr="0065471C" w:rsidRDefault="0065471C" w:rsidP="0065471C">
            <w:pPr>
              <w:jc w:val="both"/>
              <w:rPr>
                <w:rFonts w:ascii="Arial" w:hAnsi="Arial" w:cs="Arial"/>
                <w:color w:val="1F497D"/>
              </w:rPr>
            </w:pPr>
            <w:r w:rsidRPr="0065471C">
              <w:rPr>
                <w:rFonts w:ascii="Arial" w:hAnsi="Arial" w:cs="Arial"/>
                <w:color w:val="1F497D"/>
              </w:rPr>
              <w:t>Tarps</w:t>
            </w:r>
          </w:p>
        </w:tc>
        <w:tc>
          <w:tcPr>
            <w:tcW w:w="1843" w:type="dxa"/>
          </w:tcPr>
          <w:p w:rsidR="003B1EA8" w:rsidRPr="0065471C" w:rsidRDefault="0065471C" w:rsidP="0065471C">
            <w:pPr>
              <w:jc w:val="both"/>
              <w:rPr>
                <w:rFonts w:ascii="Arial" w:hAnsi="Arial" w:cs="Arial"/>
                <w:color w:val="1F497D"/>
              </w:rPr>
            </w:pPr>
            <w:r w:rsidRPr="0065471C">
              <w:rPr>
                <w:rFonts w:ascii="Arial" w:hAnsi="Arial" w:cs="Arial"/>
                <w:color w:val="1F497D"/>
              </w:rPr>
              <w:t>16,890</w:t>
            </w:r>
          </w:p>
        </w:tc>
        <w:tc>
          <w:tcPr>
            <w:tcW w:w="2006" w:type="dxa"/>
          </w:tcPr>
          <w:p w:rsidR="003B1EA8" w:rsidRPr="0065471C" w:rsidRDefault="003B1EA8" w:rsidP="0065471C">
            <w:pPr>
              <w:jc w:val="both"/>
              <w:rPr>
                <w:rFonts w:ascii="Arial" w:hAnsi="Arial" w:cs="Arial"/>
                <w:color w:val="1F497D"/>
              </w:rPr>
            </w:pPr>
          </w:p>
        </w:tc>
      </w:tr>
      <w:tr w:rsidR="003B1EA8" w:rsidRPr="0065471C" w:rsidTr="003B1EA8">
        <w:tc>
          <w:tcPr>
            <w:tcW w:w="738" w:type="dxa"/>
          </w:tcPr>
          <w:p w:rsidR="003B1EA8" w:rsidRPr="0065471C" w:rsidRDefault="003B1EA8" w:rsidP="0065471C">
            <w:pPr>
              <w:jc w:val="both"/>
              <w:rPr>
                <w:rFonts w:ascii="Arial" w:hAnsi="Arial" w:cs="Arial"/>
                <w:color w:val="1F497D"/>
              </w:rPr>
            </w:pPr>
          </w:p>
        </w:tc>
        <w:tc>
          <w:tcPr>
            <w:tcW w:w="2948" w:type="dxa"/>
          </w:tcPr>
          <w:p w:rsidR="003B1EA8" w:rsidRPr="0065471C" w:rsidRDefault="003B1EA8" w:rsidP="0065471C">
            <w:pPr>
              <w:jc w:val="both"/>
              <w:rPr>
                <w:rFonts w:ascii="Arial" w:hAnsi="Arial" w:cs="Arial"/>
                <w:color w:val="1F497D"/>
              </w:rPr>
            </w:pPr>
          </w:p>
        </w:tc>
        <w:tc>
          <w:tcPr>
            <w:tcW w:w="1843" w:type="dxa"/>
          </w:tcPr>
          <w:p w:rsidR="003B1EA8" w:rsidRPr="0065471C" w:rsidRDefault="0065471C" w:rsidP="0065471C">
            <w:pPr>
              <w:jc w:val="both"/>
              <w:rPr>
                <w:rFonts w:ascii="Arial" w:hAnsi="Arial" w:cs="Arial"/>
                <w:color w:val="1F497D"/>
              </w:rPr>
            </w:pPr>
            <w:r w:rsidRPr="0065471C">
              <w:rPr>
                <w:rFonts w:ascii="Arial" w:hAnsi="Arial" w:cs="Arial"/>
                <w:color w:val="1F497D"/>
              </w:rPr>
              <w:t>Plastic sheet</w:t>
            </w:r>
          </w:p>
        </w:tc>
        <w:tc>
          <w:tcPr>
            <w:tcW w:w="1843" w:type="dxa"/>
          </w:tcPr>
          <w:p w:rsidR="003B1EA8" w:rsidRPr="0065471C" w:rsidRDefault="0065471C" w:rsidP="0065471C">
            <w:pPr>
              <w:jc w:val="both"/>
              <w:rPr>
                <w:rFonts w:ascii="Arial" w:hAnsi="Arial" w:cs="Arial"/>
                <w:color w:val="1F497D"/>
              </w:rPr>
            </w:pPr>
            <w:r w:rsidRPr="0065471C">
              <w:rPr>
                <w:rFonts w:ascii="Arial" w:hAnsi="Arial" w:cs="Arial"/>
                <w:color w:val="1F497D"/>
              </w:rPr>
              <w:t>14,097</w:t>
            </w:r>
          </w:p>
        </w:tc>
        <w:tc>
          <w:tcPr>
            <w:tcW w:w="2006" w:type="dxa"/>
          </w:tcPr>
          <w:p w:rsidR="003B1EA8" w:rsidRPr="0065471C" w:rsidRDefault="003B1EA8" w:rsidP="0065471C">
            <w:pPr>
              <w:jc w:val="both"/>
              <w:rPr>
                <w:rFonts w:ascii="Arial" w:hAnsi="Arial" w:cs="Arial"/>
                <w:color w:val="1F497D"/>
              </w:rPr>
            </w:pPr>
          </w:p>
        </w:tc>
      </w:tr>
      <w:tr w:rsidR="0065471C" w:rsidRPr="0065471C" w:rsidTr="003B1EA8">
        <w:tc>
          <w:tcPr>
            <w:tcW w:w="738" w:type="dxa"/>
          </w:tcPr>
          <w:p w:rsidR="0065471C" w:rsidRPr="0065471C" w:rsidRDefault="0065471C" w:rsidP="0065471C">
            <w:pPr>
              <w:jc w:val="both"/>
              <w:rPr>
                <w:rFonts w:ascii="Arial" w:hAnsi="Arial" w:cs="Arial"/>
                <w:color w:val="1F497D"/>
              </w:rPr>
            </w:pPr>
            <w:r w:rsidRPr="0065471C">
              <w:rPr>
                <w:rFonts w:ascii="Arial" w:hAnsi="Arial" w:cs="Arial"/>
                <w:color w:val="1F497D"/>
              </w:rPr>
              <w:t>5.</w:t>
            </w:r>
          </w:p>
        </w:tc>
        <w:tc>
          <w:tcPr>
            <w:tcW w:w="2948" w:type="dxa"/>
          </w:tcPr>
          <w:p w:rsidR="0065471C" w:rsidRPr="0065471C" w:rsidRDefault="0065471C" w:rsidP="0065471C">
            <w:pPr>
              <w:jc w:val="both"/>
              <w:rPr>
                <w:rFonts w:ascii="Arial" w:hAnsi="Arial" w:cs="Arial"/>
                <w:color w:val="1F497D"/>
              </w:rPr>
            </w:pPr>
            <w:r w:rsidRPr="0065471C">
              <w:rPr>
                <w:rFonts w:ascii="Arial" w:hAnsi="Arial" w:cs="Arial"/>
                <w:color w:val="1F497D"/>
              </w:rPr>
              <w:t>Care Bangladesh</w:t>
            </w:r>
          </w:p>
        </w:tc>
        <w:tc>
          <w:tcPr>
            <w:tcW w:w="1843" w:type="dxa"/>
          </w:tcPr>
          <w:p w:rsidR="0065471C" w:rsidRPr="0065471C" w:rsidRDefault="0065471C" w:rsidP="0065471C">
            <w:pPr>
              <w:jc w:val="both"/>
              <w:rPr>
                <w:rFonts w:ascii="Arial" w:hAnsi="Arial" w:cs="Arial"/>
                <w:color w:val="1F497D"/>
              </w:rPr>
            </w:pPr>
            <w:r w:rsidRPr="0065471C">
              <w:rPr>
                <w:rFonts w:ascii="Arial" w:hAnsi="Arial" w:cs="Arial"/>
                <w:color w:val="1F497D"/>
              </w:rPr>
              <w:t>Tent</w:t>
            </w:r>
          </w:p>
        </w:tc>
        <w:tc>
          <w:tcPr>
            <w:tcW w:w="1843" w:type="dxa"/>
          </w:tcPr>
          <w:p w:rsidR="0065471C" w:rsidRPr="0065471C" w:rsidRDefault="0065471C" w:rsidP="0065471C">
            <w:pPr>
              <w:jc w:val="both"/>
              <w:rPr>
                <w:rFonts w:ascii="Arial" w:hAnsi="Arial" w:cs="Arial"/>
                <w:color w:val="1F497D"/>
              </w:rPr>
            </w:pPr>
            <w:r w:rsidRPr="0065471C">
              <w:rPr>
                <w:rFonts w:ascii="Arial" w:hAnsi="Arial" w:cs="Arial"/>
                <w:color w:val="1F497D"/>
              </w:rPr>
              <w:t>20,000</w:t>
            </w:r>
          </w:p>
        </w:tc>
        <w:tc>
          <w:tcPr>
            <w:tcW w:w="2006" w:type="dxa"/>
          </w:tcPr>
          <w:p w:rsidR="0065471C" w:rsidRPr="0065471C" w:rsidRDefault="0065471C" w:rsidP="0065471C">
            <w:pPr>
              <w:jc w:val="both"/>
              <w:rPr>
                <w:rFonts w:ascii="Arial" w:hAnsi="Arial" w:cs="Arial"/>
                <w:color w:val="1F497D"/>
              </w:rPr>
            </w:pPr>
          </w:p>
        </w:tc>
      </w:tr>
    </w:tbl>
    <w:p w:rsidR="003B1EA8" w:rsidRPr="0065471C" w:rsidRDefault="003B1EA8" w:rsidP="0065471C">
      <w:pPr>
        <w:ind w:left="360"/>
        <w:jc w:val="both"/>
        <w:rPr>
          <w:rFonts w:ascii="Arial" w:hAnsi="Arial" w:cs="Arial"/>
          <w:color w:val="1F497D"/>
        </w:rPr>
      </w:pPr>
    </w:p>
    <w:p w:rsidR="003B1EA8" w:rsidRPr="0065471C" w:rsidRDefault="0065471C" w:rsidP="0065471C">
      <w:pPr>
        <w:jc w:val="both"/>
        <w:rPr>
          <w:rFonts w:ascii="Arial" w:hAnsi="Arial" w:cs="Arial"/>
          <w:color w:val="1F497D"/>
        </w:rPr>
      </w:pPr>
      <w:r w:rsidRPr="0065471C">
        <w:rPr>
          <w:rFonts w:ascii="Arial" w:hAnsi="Arial" w:cs="Arial"/>
          <w:color w:val="1F497D"/>
        </w:rPr>
        <w:t xml:space="preserve">IFRC confirms to respond to request for mobilizing standard and quality tarpaulins from its system from cluster members provided they are able to bear all related cost. </w:t>
      </w:r>
    </w:p>
    <w:p w:rsidR="00FE56CD" w:rsidRPr="0065471C" w:rsidRDefault="00FE56CD" w:rsidP="003B1EA8">
      <w:pPr>
        <w:pStyle w:val="ListParagraph"/>
        <w:numPr>
          <w:ilvl w:val="0"/>
          <w:numId w:val="5"/>
        </w:numPr>
        <w:rPr>
          <w:rFonts w:ascii="Arial" w:hAnsi="Arial" w:cs="Arial"/>
          <w:color w:val="1F497D"/>
        </w:rPr>
      </w:pPr>
      <w:r w:rsidRPr="0065471C">
        <w:rPr>
          <w:rFonts w:ascii="Arial" w:hAnsi="Arial" w:cs="Arial"/>
          <w:color w:val="1F497D"/>
        </w:rPr>
        <w:t>Coordination between members on shelter intervention</w:t>
      </w:r>
    </w:p>
    <w:p w:rsidR="0065471C" w:rsidRDefault="0065471C" w:rsidP="0065471C">
      <w:pPr>
        <w:rPr>
          <w:rFonts w:ascii="Arial" w:hAnsi="Arial" w:cs="Arial"/>
          <w:color w:val="1F497D"/>
        </w:rPr>
      </w:pPr>
      <w:r w:rsidRPr="0065471C">
        <w:rPr>
          <w:rFonts w:ascii="Arial" w:hAnsi="Arial" w:cs="Arial"/>
          <w:color w:val="1F497D"/>
        </w:rPr>
        <w:t xml:space="preserve">Lessons learnt from the chaos and less coordinated assessment in the past, HCTT has urged the shelter cluster to launch a joint assessment for shelter need and gap analysis. </w:t>
      </w:r>
      <w:r w:rsidR="00E8405F">
        <w:rPr>
          <w:rFonts w:ascii="Arial" w:hAnsi="Arial" w:cs="Arial"/>
          <w:color w:val="1F497D"/>
        </w:rPr>
        <w:t>It has been emphasized to avoid of conducting assessment by individual cluster Shelter</w:t>
      </w:r>
      <w:r>
        <w:rPr>
          <w:rFonts w:ascii="Arial" w:hAnsi="Arial" w:cs="Arial"/>
          <w:color w:val="1F497D"/>
        </w:rPr>
        <w:t xml:space="preserve">, WASH and FSC </w:t>
      </w:r>
      <w:r w:rsidR="00E8405F">
        <w:rPr>
          <w:rFonts w:ascii="Arial" w:hAnsi="Arial" w:cs="Arial"/>
          <w:color w:val="1F497D"/>
        </w:rPr>
        <w:t xml:space="preserve">will club </w:t>
      </w:r>
      <w:r>
        <w:rPr>
          <w:rFonts w:ascii="Arial" w:hAnsi="Arial" w:cs="Arial"/>
          <w:color w:val="1F497D"/>
        </w:rPr>
        <w:t xml:space="preserve">together to launch the </w:t>
      </w:r>
      <w:r w:rsidR="00E8405F">
        <w:rPr>
          <w:rFonts w:ascii="Arial" w:hAnsi="Arial" w:cs="Arial"/>
          <w:color w:val="1F497D"/>
        </w:rPr>
        <w:t xml:space="preserve">coordinated assessment in terms of maintaining consistent approach and tools.  </w:t>
      </w:r>
    </w:p>
    <w:p w:rsidR="00E8405F" w:rsidRDefault="00E8405F" w:rsidP="0065471C">
      <w:pPr>
        <w:rPr>
          <w:rFonts w:ascii="Arial" w:hAnsi="Arial" w:cs="Arial"/>
          <w:color w:val="1F497D"/>
        </w:rPr>
      </w:pPr>
      <w:r>
        <w:rPr>
          <w:rFonts w:ascii="Arial" w:hAnsi="Arial" w:cs="Arial"/>
          <w:color w:val="1F497D"/>
        </w:rPr>
        <w:t xml:space="preserve">Regarding the role of the government in coordination, there has been acknowledgement from the </w:t>
      </w:r>
      <w:r w:rsidR="00EE03B1">
        <w:rPr>
          <w:rFonts w:ascii="Arial" w:hAnsi="Arial" w:cs="Arial"/>
          <w:color w:val="1F497D"/>
        </w:rPr>
        <w:t xml:space="preserve">government side and fair job is being done to take all humanitarian agencies on board compared to the precedence.  </w:t>
      </w:r>
    </w:p>
    <w:p w:rsidR="00E8405F" w:rsidRDefault="00EE03B1" w:rsidP="0065471C">
      <w:pPr>
        <w:rPr>
          <w:rFonts w:ascii="Arial" w:hAnsi="Arial" w:cs="Arial"/>
          <w:color w:val="1F497D"/>
        </w:rPr>
      </w:pPr>
      <w:r>
        <w:rPr>
          <w:rFonts w:ascii="Arial" w:hAnsi="Arial" w:cs="Arial"/>
          <w:color w:val="1F497D"/>
        </w:rPr>
        <w:t xml:space="preserve">The proactive role by the government and enough space for dialogue with humanitarian actors and its openness to adhere to humanitarian clusters and taking forward needful for coordinated response has been highlighted by HCTT. </w:t>
      </w:r>
    </w:p>
    <w:p w:rsidR="00E8405F" w:rsidRPr="0065471C" w:rsidRDefault="00E8405F" w:rsidP="0065471C">
      <w:pPr>
        <w:rPr>
          <w:rFonts w:ascii="Arial" w:hAnsi="Arial" w:cs="Arial"/>
          <w:color w:val="1F497D"/>
        </w:rPr>
      </w:pPr>
    </w:p>
    <w:p w:rsidR="00E8405F" w:rsidRPr="00EE03B1" w:rsidRDefault="00E8405F" w:rsidP="00741EA0">
      <w:pPr>
        <w:jc w:val="both"/>
        <w:rPr>
          <w:rFonts w:ascii="Arial" w:hAnsi="Arial" w:cs="Arial"/>
          <w:b/>
        </w:rPr>
      </w:pPr>
      <w:r w:rsidRPr="00EE03B1">
        <w:rPr>
          <w:rFonts w:ascii="Arial" w:hAnsi="Arial" w:cs="Arial"/>
          <w:b/>
        </w:rPr>
        <w:t>Way-forwards</w:t>
      </w:r>
    </w:p>
    <w:p w:rsidR="00E8405F" w:rsidRPr="00B7684A" w:rsidRDefault="00E8405F" w:rsidP="00B7684A">
      <w:pPr>
        <w:pStyle w:val="ListParagraph"/>
        <w:numPr>
          <w:ilvl w:val="0"/>
          <w:numId w:val="6"/>
        </w:numPr>
        <w:jc w:val="both"/>
        <w:rPr>
          <w:rFonts w:ascii="Arial" w:hAnsi="Arial" w:cs="Arial"/>
        </w:rPr>
      </w:pPr>
      <w:r w:rsidRPr="00B7684A">
        <w:rPr>
          <w:rFonts w:ascii="Arial" w:hAnsi="Arial" w:cs="Arial"/>
        </w:rPr>
        <w:lastRenderedPageBreak/>
        <w:t xml:space="preserve">IFRC together with UNDP will collect assessment reports from all shelter cluster members or its alliances and based on that a summary of priority needs and gap will be shared with. </w:t>
      </w:r>
      <w:r w:rsidR="00EE03B1" w:rsidRPr="00B7684A">
        <w:rPr>
          <w:rFonts w:ascii="Arial" w:hAnsi="Arial" w:cs="Arial"/>
        </w:rPr>
        <w:t xml:space="preserve">Reviewing the information, IFRC with UNDP will come up with some recommends in regards to explore further detailed assessment. </w:t>
      </w:r>
    </w:p>
    <w:p w:rsidR="00EE03B1" w:rsidRPr="00B7684A" w:rsidRDefault="00EE03B1" w:rsidP="00B7684A">
      <w:pPr>
        <w:pStyle w:val="ListParagraph"/>
        <w:numPr>
          <w:ilvl w:val="0"/>
          <w:numId w:val="6"/>
        </w:numPr>
        <w:jc w:val="both"/>
        <w:rPr>
          <w:rFonts w:ascii="Arial" w:hAnsi="Arial" w:cs="Arial"/>
        </w:rPr>
      </w:pPr>
      <w:proofErr w:type="spellStart"/>
      <w:r w:rsidRPr="00B7684A">
        <w:rPr>
          <w:rFonts w:ascii="Arial" w:hAnsi="Arial" w:cs="Arial"/>
        </w:rPr>
        <w:t>MoFDM</w:t>
      </w:r>
      <w:proofErr w:type="spellEnd"/>
      <w:r w:rsidRPr="00B7684A">
        <w:rPr>
          <w:rFonts w:ascii="Arial" w:hAnsi="Arial" w:cs="Arial"/>
        </w:rPr>
        <w:t xml:space="preserve"> will </w:t>
      </w:r>
      <w:r w:rsidR="00B7684A" w:rsidRPr="00B7684A">
        <w:rPr>
          <w:rFonts w:ascii="Arial" w:hAnsi="Arial" w:cs="Arial"/>
        </w:rPr>
        <w:t xml:space="preserve">compile information of shelter </w:t>
      </w:r>
      <w:proofErr w:type="gramStart"/>
      <w:r w:rsidR="00B7684A" w:rsidRPr="00B7684A">
        <w:rPr>
          <w:rFonts w:ascii="Arial" w:hAnsi="Arial" w:cs="Arial"/>
        </w:rPr>
        <w:t>needs  and</w:t>
      </w:r>
      <w:proofErr w:type="gramEnd"/>
      <w:r w:rsidR="00B7684A" w:rsidRPr="00B7684A">
        <w:rPr>
          <w:rFonts w:ascii="Arial" w:hAnsi="Arial" w:cs="Arial"/>
        </w:rPr>
        <w:t xml:space="preserve"> upload on the DMIC and NDRCC website. </w:t>
      </w:r>
    </w:p>
    <w:p w:rsidR="00EE03B1" w:rsidRDefault="00EE03B1" w:rsidP="00741EA0">
      <w:pPr>
        <w:jc w:val="both"/>
        <w:rPr>
          <w:rFonts w:ascii="Arial" w:hAnsi="Arial" w:cs="Arial"/>
        </w:rPr>
      </w:pPr>
    </w:p>
    <w:p w:rsidR="00EE03B1" w:rsidRDefault="00EE03B1" w:rsidP="00741EA0">
      <w:pPr>
        <w:jc w:val="both"/>
        <w:rPr>
          <w:rFonts w:ascii="Arial" w:hAnsi="Arial" w:cs="Arial"/>
        </w:rPr>
      </w:pPr>
    </w:p>
    <w:p w:rsidR="00FE56CD" w:rsidRPr="00741EA0" w:rsidRDefault="00FE56CD" w:rsidP="00741EA0">
      <w:pPr>
        <w:jc w:val="both"/>
        <w:rPr>
          <w:rFonts w:ascii="Arial" w:hAnsi="Arial" w:cs="Arial"/>
        </w:rPr>
      </w:pPr>
    </w:p>
    <w:sectPr w:rsidR="00FE56CD" w:rsidRPr="00741EA0" w:rsidSect="003442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16509"/>
    <w:multiLevelType w:val="hybridMultilevel"/>
    <w:tmpl w:val="8B7A33B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3920AB"/>
    <w:multiLevelType w:val="hybridMultilevel"/>
    <w:tmpl w:val="7ACA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729D7"/>
    <w:multiLevelType w:val="hybridMultilevel"/>
    <w:tmpl w:val="CC60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23660"/>
    <w:multiLevelType w:val="hybridMultilevel"/>
    <w:tmpl w:val="278A3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F82C86"/>
    <w:multiLevelType w:val="hybridMultilevel"/>
    <w:tmpl w:val="97E6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5096"/>
    <w:rsid w:val="00272284"/>
    <w:rsid w:val="003442F1"/>
    <w:rsid w:val="003B1EA8"/>
    <w:rsid w:val="004F765B"/>
    <w:rsid w:val="0065471C"/>
    <w:rsid w:val="00675096"/>
    <w:rsid w:val="00741EA0"/>
    <w:rsid w:val="00772C14"/>
    <w:rsid w:val="00780B67"/>
    <w:rsid w:val="007D17CD"/>
    <w:rsid w:val="00B7684A"/>
    <w:rsid w:val="00B8105E"/>
    <w:rsid w:val="00E8405F"/>
    <w:rsid w:val="00EE03B1"/>
    <w:rsid w:val="00FE5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2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96"/>
    <w:pPr>
      <w:spacing w:after="0" w:line="240" w:lineRule="auto"/>
      <w:ind w:left="720"/>
    </w:pPr>
    <w:rPr>
      <w:rFonts w:ascii="Calibri" w:hAnsi="Calibri" w:cs="Calibri"/>
    </w:rPr>
  </w:style>
  <w:style w:type="table" w:styleId="TableGrid">
    <w:name w:val="Table Grid"/>
    <w:basedOn w:val="TableNormal"/>
    <w:uiPriority w:val="59"/>
    <w:rsid w:val="003B1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9249336">
      <w:bodyDiv w:val="1"/>
      <w:marLeft w:val="0"/>
      <w:marRight w:val="0"/>
      <w:marTop w:val="0"/>
      <w:marBottom w:val="0"/>
      <w:divBdr>
        <w:top w:val="none" w:sz="0" w:space="0" w:color="auto"/>
        <w:left w:val="none" w:sz="0" w:space="0" w:color="auto"/>
        <w:bottom w:val="none" w:sz="0" w:space="0" w:color="auto"/>
        <w:right w:val="none" w:sz="0" w:space="0" w:color="auto"/>
      </w:divBdr>
    </w:div>
    <w:div w:id="177609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June</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Bangladesh</TermName>
          <TermId xmlns="http://schemas.microsoft.com/office/infopath/2007/PartnerControls">2a549bbf-57b4-4fbc-88d0-df70e6c17abf</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Flood</TermName>
          <TermId xmlns="http://schemas.microsoft.com/office/infopath/2007/PartnerControls">071fd773-286a-4bf7-ba3e-769af5e0f9cb</TermId>
        </TermInfo>
        <TermInfo xmlns="http://schemas.microsoft.com/office/infopath/2007/PartnerControls">
          <TermName xmlns="http://schemas.microsoft.com/office/infopath/2007/PartnerControls">Slide</TermName>
          <TermId xmlns="http://schemas.microsoft.com/office/infopath/2007/PartnerControls">2a99c5a5-9a13-42fb-a3f3-56033608559e</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Bangladesh Floods 2012</TermName>
          <TermId xmlns="http://schemas.microsoft.com/office/infopath/2007/PartnerControls">e9d20f13-e483-46d5-ac73-11856eddd297</TermId>
        </TermInfo>
      </Terms>
    </g2834a0a4b5b445382f80b4d1c20b873>
    <Document_x0020_Description xmlns="96664bca-06c0-4657-b6f9-0a997f5ff9b9">&lt;div class="ExternalClass387F9A7F6F994B78ABC6457F473C1440"&gt;&lt;p&gt;​Shelter Cluster meeting minutes, 3 June, 2012&lt;br /&gt;&lt;/p&gt;&lt;/div&gt;</Document_x0020_Description>
    <Websio_x0020_Document_x0020_Preview xmlns="96664bca-06c0-4657-b6f9-0a997f5ff9b9">/Asia/Bangladesh/BangladeshFloods2012/_layouts/WebsioPreviewField/preview.aspx?ID=daaa291d-709f-4fc3-8b4e-e467570d1b26&amp;WebID=ebbabaac-e2f8-42d7-bdd9-5674041d7599&amp;SiteID=0e29c24b-3e6a-4c7c-8cc1-69b27805b55c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19</Value>
      <Value>16</Value>
      <Value>15</Value>
      <Value>39</Value>
      <Value>245</Value>
      <Value>11</Value>
      <Value>10</Value>
      <Value>5</Value>
      <Value>326</Value>
      <Value>115</Value>
      <Value>119</Value>
      <Value>49</Value>
      <Value>116</Value>
      <Value>23</Value>
    </TaxCatchAll>
    <Shelter_x0020_Programming xmlns="96664bca-06c0-4657-b6f9-0a997f5ff9b9">true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2012-06-02T18:00:00+00:00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49CDCB0DC929D54A84AEA3008870CBF4" ma:contentTypeVersion="77" ma:contentTypeDescription="" ma:contentTypeScope="" ma:versionID="fb1b76d57a4a94279082fa1354a0ba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8a94ed59c5f635b32c0de16d552ca58"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326;#Bangladesh Floods 2012|e9d20f13-e483-46d5-ac73-11856eddd297"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5A4B7-F602-4316-BAF5-6A8D2DED1515}"/>
</file>

<file path=customXml/itemProps2.xml><?xml version="1.0" encoding="utf-8"?>
<ds:datastoreItem xmlns:ds="http://schemas.openxmlformats.org/officeDocument/2006/customXml" ds:itemID="{160E5407-4208-4172-8629-E8AD4F80D6E4}"/>
</file>

<file path=customXml/itemProps3.xml><?xml version="1.0" encoding="utf-8"?>
<ds:datastoreItem xmlns:ds="http://schemas.openxmlformats.org/officeDocument/2006/customXml" ds:itemID="{1001DB92-D25F-4CAA-8311-652A7E2E7236}"/>
</file>

<file path=docProps/app.xml><?xml version="1.0" encoding="utf-8"?>
<Properties xmlns="http://schemas.openxmlformats.org/officeDocument/2006/extended-properties" xmlns:vt="http://schemas.openxmlformats.org/officeDocument/2006/docPropsVTypes">
  <Template>Normal</Template>
  <TotalTime>126</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Minutes Masud 120603</dc:title>
  <dc:creator>Customer</dc:creator>
  <cp:keywords/>
  <cp:lastModifiedBy>Customer</cp:lastModifiedBy>
  <cp:revision>1</cp:revision>
  <dcterms:created xsi:type="dcterms:W3CDTF">2012-07-03T05:50:00Z</dcterms:created>
  <dcterms:modified xsi:type="dcterms:W3CDTF">2012-07-03T07:57:00Z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0x010100AA7AFC8FE433CD4B94E991D812AE17EB0049CDCB0DC929D54A84AEA3008870CBF4</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326;#Bangladesh Floods 2012|e9d20f13-e483-46d5-ac73-11856eddd297</vt:lpwstr>
  </property>
  <property fmtid="{D5CDD505-2E9C-101B-9397-08002B2CF9AE}" pid="14" name="Country">
    <vt:lpwstr>119;#Bangladesh|2a549bbf-57b4-4fbc-88d0-df70e6c17abf</vt:lpwstr>
  </property>
  <property fmtid="{D5CDD505-2E9C-101B-9397-08002B2CF9AE}" pid="15" name="Damage Location">
    <vt:lpwstr>49;#Urban|f95d968c-f509-433d-9d2f-3f9ba300a514;#16;#Peri-Urban|df197954-a687-4fd4-b090-340c291f0d53;#19;#Rural|5400dbf1-cf20-4773-abf1-c8f7ccce637a</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10;#Flood|071fd773-286a-4bf7-ba3e-769af5e0f9cb;#23;#Slide|2a99c5a5-9a13-42fb-a3f3-56033608559e</vt:lpwstr>
  </property>
</Properties>
</file>