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6734" w14:textId="77777777" w:rsidR="00205CA2" w:rsidRPr="00D417E1" w:rsidRDefault="00205CA2" w:rsidP="00205CA2">
      <w:pPr>
        <w:shd w:val="clear" w:color="auto" w:fill="F2F2F2" w:themeFill="background1" w:themeFillShade="F2"/>
        <w:rPr>
          <w:rFonts w:ascii="Arial Narrow" w:hAnsi="Arial Narrow"/>
          <w:b/>
          <w:bCs/>
          <w:color w:val="7F1416"/>
          <w:sz w:val="36"/>
          <w:szCs w:val="36"/>
          <w:u w:val="single"/>
          <w:lang w:val="fr-FR"/>
        </w:rPr>
      </w:pPr>
      <w:r w:rsidRPr="00D417E1">
        <w:rPr>
          <w:rFonts w:ascii="Arial Narrow" w:hAnsi="Arial Narrow"/>
          <w:b/>
          <w:bCs/>
          <w:color w:val="7F1416"/>
          <w:sz w:val="36"/>
          <w:szCs w:val="36"/>
          <w:u w:val="single"/>
          <w:lang w:val="fr-FR"/>
        </w:rPr>
        <w:t>Draft du Compte Rendu de la Réunion Mensuelle de Coordination</w:t>
      </w:r>
    </w:p>
    <w:p w14:paraId="17100AB6" w14:textId="38AB9413" w:rsidR="00205CA2" w:rsidRPr="00D96ABE" w:rsidRDefault="00205CA2" w:rsidP="00205CA2">
      <w:pPr>
        <w:rPr>
          <w:rFonts w:ascii="Arial Narrow" w:hAnsi="Arial Narrow"/>
          <w:color w:val="7F1416"/>
          <w:lang w:val="fr-FR"/>
        </w:rPr>
      </w:pPr>
      <w:r w:rsidRPr="00E15F3E">
        <w:rPr>
          <w:rFonts w:ascii="Arial Narrow" w:hAnsi="Arial Narrow"/>
          <w:b/>
          <w:bCs/>
          <w:color w:val="7F1416"/>
          <w:lang w:val="fr-FR"/>
        </w:rPr>
        <w:t>Date</w:t>
      </w:r>
      <w:r w:rsidRPr="00D96ABE">
        <w:rPr>
          <w:rFonts w:ascii="Arial Narrow" w:hAnsi="Arial Narrow"/>
          <w:color w:val="7F1416"/>
          <w:lang w:val="fr-FR"/>
        </w:rPr>
        <w:t> : 2</w:t>
      </w:r>
      <w:r w:rsidR="00334F3D">
        <w:rPr>
          <w:rFonts w:ascii="Arial Narrow" w:hAnsi="Arial Narrow"/>
          <w:color w:val="7F1416"/>
          <w:lang w:val="fr-FR"/>
        </w:rPr>
        <w:t>8</w:t>
      </w:r>
      <w:r w:rsidRPr="00D96ABE">
        <w:rPr>
          <w:rFonts w:ascii="Arial Narrow" w:hAnsi="Arial Narrow"/>
          <w:color w:val="7F1416"/>
          <w:lang w:val="fr-FR"/>
        </w:rPr>
        <w:t xml:space="preserve"> </w:t>
      </w:r>
      <w:r w:rsidR="00334F3D">
        <w:rPr>
          <w:rFonts w:ascii="Arial Narrow" w:hAnsi="Arial Narrow"/>
          <w:color w:val="7F1416"/>
          <w:lang w:val="fr-FR"/>
        </w:rPr>
        <w:t>O</w:t>
      </w:r>
      <w:r w:rsidR="00E61525">
        <w:rPr>
          <w:rFonts w:ascii="Arial Narrow" w:hAnsi="Arial Narrow"/>
          <w:color w:val="7F1416"/>
          <w:lang w:val="fr-FR"/>
        </w:rPr>
        <w:t>c</w:t>
      </w:r>
      <w:r w:rsidR="00334F3D">
        <w:rPr>
          <w:rFonts w:ascii="Arial Narrow" w:hAnsi="Arial Narrow"/>
          <w:color w:val="7F1416"/>
          <w:lang w:val="fr-FR"/>
        </w:rPr>
        <w:t>tobre</w:t>
      </w:r>
      <w:r w:rsidRPr="00D96ABE">
        <w:rPr>
          <w:rFonts w:ascii="Arial Narrow" w:hAnsi="Arial Narrow"/>
          <w:color w:val="7F1416"/>
          <w:lang w:val="fr-FR"/>
        </w:rPr>
        <w:t xml:space="preserve"> 2022</w:t>
      </w:r>
    </w:p>
    <w:p w14:paraId="5D77B345" w14:textId="17E8D37D" w:rsidR="00205CA2" w:rsidRPr="00D96ABE" w:rsidRDefault="00205CA2" w:rsidP="00205CA2">
      <w:pPr>
        <w:rPr>
          <w:rFonts w:ascii="Arial Narrow" w:hAnsi="Arial Narrow"/>
          <w:color w:val="7F1416"/>
          <w:lang w:val="fr-FR"/>
        </w:rPr>
      </w:pPr>
      <w:r w:rsidRPr="00E15F3E">
        <w:rPr>
          <w:rFonts w:ascii="Arial Narrow" w:hAnsi="Arial Narrow"/>
          <w:b/>
          <w:bCs/>
          <w:color w:val="7F1416"/>
          <w:lang w:val="fr-FR"/>
        </w:rPr>
        <w:t>Heure</w:t>
      </w:r>
      <w:r w:rsidRPr="00D96ABE">
        <w:rPr>
          <w:rFonts w:ascii="Arial Narrow" w:hAnsi="Arial Narrow"/>
          <w:color w:val="7F1416"/>
          <w:lang w:val="fr-FR"/>
        </w:rPr>
        <w:t xml:space="preserve"> : </w:t>
      </w:r>
      <w:r w:rsidR="00334F3D">
        <w:rPr>
          <w:rFonts w:ascii="Arial Narrow" w:hAnsi="Arial Narrow"/>
          <w:color w:val="7F1416"/>
          <w:lang w:val="fr-FR"/>
        </w:rPr>
        <w:t>09h2</w:t>
      </w:r>
      <w:r w:rsidR="00717FF6">
        <w:rPr>
          <w:rFonts w:ascii="Arial Narrow" w:hAnsi="Arial Narrow"/>
          <w:color w:val="7F1416"/>
          <w:lang w:val="fr-FR"/>
        </w:rPr>
        <w:t>0-</w:t>
      </w:r>
      <w:r w:rsidR="000741C0">
        <w:rPr>
          <w:rFonts w:ascii="Arial Narrow" w:hAnsi="Arial Narrow"/>
          <w:color w:val="7F1416"/>
          <w:lang w:val="fr-FR"/>
        </w:rPr>
        <w:t>11h20</w:t>
      </w:r>
    </w:p>
    <w:p w14:paraId="54253F06" w14:textId="77777777" w:rsidR="00205CA2" w:rsidRPr="00D96ABE" w:rsidRDefault="00205CA2" w:rsidP="00205CA2">
      <w:pPr>
        <w:rPr>
          <w:rFonts w:ascii="Arial Narrow" w:hAnsi="Arial Narrow"/>
          <w:color w:val="7F1416"/>
          <w:lang w:val="fr-FR"/>
        </w:rPr>
      </w:pPr>
      <w:r w:rsidRPr="00E15F3E">
        <w:rPr>
          <w:rFonts w:ascii="Arial Narrow" w:hAnsi="Arial Narrow"/>
          <w:b/>
          <w:bCs/>
          <w:color w:val="7F1416"/>
          <w:lang w:val="fr-FR"/>
        </w:rPr>
        <w:t>Lieu</w:t>
      </w:r>
      <w:r w:rsidRPr="00D96ABE">
        <w:rPr>
          <w:rFonts w:ascii="Arial Narrow" w:hAnsi="Arial Narrow"/>
          <w:color w:val="7F1416"/>
          <w:lang w:val="fr-FR"/>
        </w:rPr>
        <w:t> : MS Teams</w:t>
      </w:r>
    </w:p>
    <w:p w14:paraId="33EFA4AB" w14:textId="5F9E880A" w:rsidR="00205CA2" w:rsidRPr="00D458C5" w:rsidRDefault="00C14630" w:rsidP="00205CA2">
      <w:pPr>
        <w:rPr>
          <w:rFonts w:ascii="Arial Narrow" w:hAnsi="Arial Narrow"/>
          <w:color w:val="7F1416"/>
          <w:lang w:val="fr-FR"/>
        </w:rPr>
      </w:pPr>
      <w:r w:rsidRPr="00D458C5">
        <w:rPr>
          <w:rFonts w:ascii="Arial Narrow" w:hAnsi="Arial Narrow"/>
          <w:color w:val="7F1416"/>
          <w:lang w:val="fr-FR"/>
        </w:rPr>
        <w:t>Participants :</w:t>
      </w:r>
      <w:r w:rsidR="00205CA2" w:rsidRPr="00D458C5">
        <w:rPr>
          <w:rFonts w:ascii="Arial Narrow" w:hAnsi="Arial Narrow"/>
          <w:color w:val="7F1416"/>
          <w:lang w:val="fr-FR"/>
        </w:rPr>
        <w:t xml:space="preserve"> </w:t>
      </w:r>
      <w:r w:rsidR="00205CA2" w:rsidRPr="00D458C5">
        <w:rPr>
          <w:rFonts w:ascii="Arial Narrow" w:hAnsi="Arial Narrow"/>
          <w:b/>
          <w:bCs/>
          <w:color w:val="7F1416"/>
          <w:sz w:val="20"/>
          <w:szCs w:val="20"/>
          <w:lang w:val="fr-FR"/>
        </w:rPr>
        <w:t>ECHO, NRC, ACTED, UNHCR, OIM, Croix Rouge Luxembourgeoise, Help Sahel, CRS</w:t>
      </w:r>
      <w:r w:rsidR="00D458C5" w:rsidRPr="00D458C5">
        <w:rPr>
          <w:rFonts w:ascii="Arial Narrow" w:hAnsi="Arial Narrow"/>
          <w:b/>
          <w:bCs/>
          <w:color w:val="7F1416"/>
          <w:sz w:val="20"/>
          <w:szCs w:val="20"/>
          <w:lang w:val="fr-FR"/>
        </w:rPr>
        <w:t>,</w:t>
      </w:r>
      <w:r w:rsidR="00D458C5">
        <w:rPr>
          <w:rFonts w:ascii="Arial Narrow" w:hAnsi="Arial Narrow"/>
          <w:b/>
          <w:bCs/>
          <w:color w:val="7F1416"/>
          <w:sz w:val="20"/>
          <w:szCs w:val="20"/>
          <w:lang w:val="fr-FR"/>
        </w:rPr>
        <w:t xml:space="preserve"> </w:t>
      </w:r>
      <w:r w:rsidR="005F7A7B">
        <w:rPr>
          <w:rFonts w:ascii="Arial Narrow" w:hAnsi="Arial Narrow"/>
          <w:b/>
          <w:bCs/>
          <w:color w:val="7F1416"/>
          <w:sz w:val="20"/>
          <w:szCs w:val="20"/>
          <w:lang w:val="fr-FR"/>
        </w:rPr>
        <w:t xml:space="preserve">Plan, </w:t>
      </w:r>
      <w:r w:rsidR="0009651B">
        <w:rPr>
          <w:rFonts w:ascii="Arial Narrow" w:hAnsi="Arial Narrow"/>
          <w:b/>
          <w:bCs/>
          <w:color w:val="7F1416"/>
          <w:sz w:val="20"/>
          <w:szCs w:val="20"/>
          <w:lang w:val="fr-FR"/>
        </w:rPr>
        <w:t>APAD</w:t>
      </w:r>
    </w:p>
    <w:p w14:paraId="0B8D05A6" w14:textId="77777777" w:rsidR="00205CA2" w:rsidRDefault="00205CA2" w:rsidP="00205CA2">
      <w:pPr>
        <w:rPr>
          <w:rFonts w:ascii="Arial Narrow" w:hAnsi="Arial Narrow"/>
          <w:lang w:val="fr-FR"/>
        </w:rPr>
      </w:pPr>
    </w:p>
    <w:tbl>
      <w:tblPr>
        <w:tblStyle w:val="TableGrid"/>
        <w:tblW w:w="0" w:type="auto"/>
        <w:tblLook w:val="04A0" w:firstRow="1" w:lastRow="0" w:firstColumn="1" w:lastColumn="0" w:noHBand="0" w:noVBand="1"/>
      </w:tblPr>
      <w:tblGrid>
        <w:gridCol w:w="728"/>
        <w:gridCol w:w="8622"/>
      </w:tblGrid>
      <w:tr w:rsidR="00205CA2" w:rsidRPr="002F0C1A" w14:paraId="72E53728" w14:textId="77777777" w:rsidTr="0006656B">
        <w:tc>
          <w:tcPr>
            <w:tcW w:w="9350" w:type="dxa"/>
            <w:gridSpan w:val="2"/>
          </w:tcPr>
          <w:p w14:paraId="3C1E5665" w14:textId="77777777" w:rsidR="00205CA2" w:rsidRPr="002F0C1A" w:rsidRDefault="00205CA2" w:rsidP="0006656B">
            <w:pPr>
              <w:jc w:val="center"/>
              <w:rPr>
                <w:rFonts w:ascii="Arial Narrow" w:hAnsi="Arial Narrow"/>
                <w:b/>
                <w:bCs/>
                <w:color w:val="002060"/>
                <w:lang w:val="fr-FR"/>
              </w:rPr>
            </w:pPr>
            <w:r w:rsidRPr="002F0C1A">
              <w:rPr>
                <w:rFonts w:ascii="Arial Narrow" w:hAnsi="Arial Narrow"/>
                <w:b/>
                <w:bCs/>
                <w:color w:val="002060"/>
                <w:sz w:val="28"/>
                <w:szCs w:val="28"/>
                <w:lang w:val="fr-FR"/>
              </w:rPr>
              <w:t>Agenda</w:t>
            </w:r>
          </w:p>
        </w:tc>
      </w:tr>
      <w:tr w:rsidR="00205CA2" w:rsidRPr="002F0C1A" w14:paraId="34126701" w14:textId="77777777" w:rsidTr="0006656B">
        <w:tc>
          <w:tcPr>
            <w:tcW w:w="625" w:type="dxa"/>
          </w:tcPr>
          <w:p w14:paraId="5E81EAE5"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1</w:t>
            </w:r>
          </w:p>
        </w:tc>
        <w:tc>
          <w:tcPr>
            <w:tcW w:w="8725" w:type="dxa"/>
          </w:tcPr>
          <w:p w14:paraId="391D4CA7" w14:textId="0306DAE9" w:rsidR="00205CA2" w:rsidRPr="00CF0996" w:rsidRDefault="00AC73B4" w:rsidP="0006656B">
            <w:pPr>
              <w:tabs>
                <w:tab w:val="left" w:pos="720"/>
              </w:tabs>
              <w:spacing w:after="160" w:line="259" w:lineRule="auto"/>
              <w:ind w:left="720"/>
              <w:rPr>
                <w:rFonts w:ascii="Arial Narrow" w:hAnsi="Arial Narrow"/>
                <w:color w:val="002060"/>
                <w:lang w:val="fr-FR"/>
              </w:rPr>
            </w:pPr>
            <w:r>
              <w:rPr>
                <w:rFonts w:ascii="Arial Narrow" w:hAnsi="Arial Narrow"/>
                <w:color w:val="002060"/>
              </w:rPr>
              <w:t>Presentation</w:t>
            </w:r>
          </w:p>
        </w:tc>
      </w:tr>
      <w:tr w:rsidR="00205CA2" w:rsidRPr="00A13C7D" w14:paraId="50674FF2" w14:textId="77777777" w:rsidTr="0006656B">
        <w:tc>
          <w:tcPr>
            <w:tcW w:w="625" w:type="dxa"/>
          </w:tcPr>
          <w:p w14:paraId="41065E04"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2</w:t>
            </w:r>
          </w:p>
        </w:tc>
        <w:tc>
          <w:tcPr>
            <w:tcW w:w="8725" w:type="dxa"/>
          </w:tcPr>
          <w:p w14:paraId="2C519253" w14:textId="5503997B" w:rsidR="00205CA2" w:rsidRPr="002F0C1A" w:rsidRDefault="00CF0996" w:rsidP="0006656B">
            <w:pPr>
              <w:tabs>
                <w:tab w:val="left" w:pos="720"/>
              </w:tabs>
              <w:spacing w:after="160" w:line="259" w:lineRule="auto"/>
              <w:ind w:left="720"/>
              <w:rPr>
                <w:rFonts w:ascii="Arial Narrow" w:hAnsi="Arial Narrow"/>
                <w:color w:val="002060"/>
                <w:lang w:val="fr-FR"/>
              </w:rPr>
            </w:pPr>
            <w:r>
              <w:rPr>
                <w:rFonts w:ascii="Arial Narrow" w:hAnsi="Arial Narrow"/>
                <w:color w:val="002060"/>
                <w:lang w:val="fr-FR"/>
              </w:rPr>
              <w:t>Suivi de Recommandations</w:t>
            </w:r>
          </w:p>
        </w:tc>
      </w:tr>
      <w:tr w:rsidR="00205CA2" w:rsidRPr="00C14630" w14:paraId="1211649D" w14:textId="77777777" w:rsidTr="0006656B">
        <w:tc>
          <w:tcPr>
            <w:tcW w:w="625" w:type="dxa"/>
          </w:tcPr>
          <w:p w14:paraId="2672CFEE"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3</w:t>
            </w:r>
          </w:p>
        </w:tc>
        <w:tc>
          <w:tcPr>
            <w:tcW w:w="8725" w:type="dxa"/>
          </w:tcPr>
          <w:p w14:paraId="1D9FAF36" w14:textId="78F2B19D" w:rsidR="00205CA2" w:rsidRPr="002F0C1A" w:rsidRDefault="00426171" w:rsidP="0006656B">
            <w:pPr>
              <w:tabs>
                <w:tab w:val="left" w:pos="720"/>
              </w:tabs>
              <w:spacing w:after="160" w:line="259" w:lineRule="auto"/>
              <w:ind w:left="720"/>
              <w:rPr>
                <w:rFonts w:ascii="Arial Narrow" w:hAnsi="Arial Narrow"/>
                <w:color w:val="002060"/>
                <w:lang w:val="fr-FR"/>
              </w:rPr>
            </w:pPr>
            <w:r>
              <w:rPr>
                <w:rFonts w:ascii="Arial Narrow" w:hAnsi="Arial Narrow"/>
                <w:color w:val="002060"/>
                <w:lang w:val="fr-FR"/>
              </w:rPr>
              <w:t>Situation Humanitaire : Présentation du RRM</w:t>
            </w:r>
            <w:r w:rsidR="00773FD5">
              <w:rPr>
                <w:rFonts w:ascii="Arial Narrow" w:hAnsi="Arial Narrow"/>
                <w:color w:val="002060"/>
                <w:lang w:val="fr-FR"/>
              </w:rPr>
              <w:t xml:space="preserve"> &amp; Suivi de Gaps</w:t>
            </w:r>
          </w:p>
        </w:tc>
      </w:tr>
      <w:tr w:rsidR="00205CA2" w:rsidRPr="00C14630" w14:paraId="0EBE13B7" w14:textId="77777777" w:rsidTr="0006656B">
        <w:tc>
          <w:tcPr>
            <w:tcW w:w="625" w:type="dxa"/>
          </w:tcPr>
          <w:p w14:paraId="404DA524"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4</w:t>
            </w:r>
          </w:p>
        </w:tc>
        <w:tc>
          <w:tcPr>
            <w:tcW w:w="8725" w:type="dxa"/>
          </w:tcPr>
          <w:p w14:paraId="7DC52234" w14:textId="7FAD98AC" w:rsidR="00205CA2" w:rsidRPr="002F0C1A" w:rsidRDefault="009C5BD5" w:rsidP="0006656B">
            <w:pPr>
              <w:tabs>
                <w:tab w:val="left" w:pos="720"/>
              </w:tabs>
              <w:spacing w:after="160" w:line="259" w:lineRule="auto"/>
              <w:ind w:left="720"/>
              <w:rPr>
                <w:rFonts w:ascii="Arial Narrow" w:hAnsi="Arial Narrow"/>
                <w:color w:val="002060"/>
                <w:lang w:val="fr-FR"/>
              </w:rPr>
            </w:pPr>
            <w:r>
              <w:rPr>
                <w:rFonts w:ascii="Arial Narrow" w:hAnsi="Arial Narrow"/>
                <w:color w:val="002060"/>
                <w:lang w:val="fr-FR"/>
              </w:rPr>
              <w:t>Présentation de la DG ECHO sur le Financement des Abris</w:t>
            </w:r>
          </w:p>
        </w:tc>
      </w:tr>
      <w:tr w:rsidR="00205CA2" w:rsidRPr="00C14630" w14:paraId="50C46FEB" w14:textId="77777777" w:rsidTr="0006656B">
        <w:tc>
          <w:tcPr>
            <w:tcW w:w="625" w:type="dxa"/>
          </w:tcPr>
          <w:p w14:paraId="2D06F978"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5</w:t>
            </w:r>
          </w:p>
        </w:tc>
        <w:tc>
          <w:tcPr>
            <w:tcW w:w="8725" w:type="dxa"/>
          </w:tcPr>
          <w:p w14:paraId="7F9D4DF3" w14:textId="019BF989" w:rsidR="00205CA2" w:rsidRPr="002F0C1A" w:rsidRDefault="009662C8" w:rsidP="0039456E">
            <w:pPr>
              <w:tabs>
                <w:tab w:val="left" w:pos="720"/>
              </w:tabs>
              <w:spacing w:after="160" w:line="259" w:lineRule="auto"/>
              <w:ind w:left="720"/>
              <w:rPr>
                <w:rFonts w:ascii="Arial Narrow" w:hAnsi="Arial Narrow"/>
                <w:color w:val="002060"/>
                <w:lang w:val="fr-FR"/>
              </w:rPr>
            </w:pPr>
            <w:r>
              <w:rPr>
                <w:rFonts w:ascii="Arial Narrow" w:hAnsi="Arial Narrow"/>
                <w:color w:val="002060"/>
                <w:lang w:val="fr-FR"/>
              </w:rPr>
              <w:t>Dashboard de Réalisations du Cluster ABNA</w:t>
            </w:r>
          </w:p>
        </w:tc>
      </w:tr>
      <w:tr w:rsidR="00205CA2" w:rsidRPr="00C14630" w14:paraId="2BDEB08E" w14:textId="77777777" w:rsidTr="0006656B">
        <w:tc>
          <w:tcPr>
            <w:tcW w:w="625" w:type="dxa"/>
          </w:tcPr>
          <w:p w14:paraId="1B0661F7"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6</w:t>
            </w:r>
          </w:p>
        </w:tc>
        <w:tc>
          <w:tcPr>
            <w:tcW w:w="8725" w:type="dxa"/>
          </w:tcPr>
          <w:p w14:paraId="5EE9012B" w14:textId="1C04D382" w:rsidR="00205CA2" w:rsidRPr="002F0C1A" w:rsidRDefault="009662C8" w:rsidP="0006656B">
            <w:pPr>
              <w:tabs>
                <w:tab w:val="left" w:pos="720"/>
              </w:tabs>
              <w:spacing w:after="160" w:line="259" w:lineRule="auto"/>
              <w:ind w:left="720"/>
              <w:rPr>
                <w:rFonts w:ascii="Arial Narrow" w:hAnsi="Arial Narrow"/>
                <w:color w:val="002060"/>
                <w:lang w:val="fr-FR"/>
              </w:rPr>
            </w:pPr>
            <w:r>
              <w:rPr>
                <w:rFonts w:ascii="Arial Narrow" w:hAnsi="Arial Narrow"/>
                <w:color w:val="002060"/>
                <w:lang w:val="fr-FR"/>
              </w:rPr>
              <w:t>HPC 2023 :</w:t>
            </w:r>
            <w:r w:rsidR="00C25BEC">
              <w:rPr>
                <w:rFonts w:ascii="Arial Narrow" w:hAnsi="Arial Narrow"/>
                <w:color w:val="002060"/>
                <w:lang w:val="fr-FR"/>
              </w:rPr>
              <w:t xml:space="preserve"> Méthodologie des Calculs du PiN &amp; Coûts par Activité</w:t>
            </w:r>
          </w:p>
        </w:tc>
      </w:tr>
      <w:tr w:rsidR="00205CA2" w:rsidRPr="00A13C7D" w14:paraId="6A968BCD" w14:textId="77777777" w:rsidTr="0006656B">
        <w:tc>
          <w:tcPr>
            <w:tcW w:w="625" w:type="dxa"/>
          </w:tcPr>
          <w:p w14:paraId="1927FA93"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7</w:t>
            </w:r>
          </w:p>
        </w:tc>
        <w:tc>
          <w:tcPr>
            <w:tcW w:w="8725" w:type="dxa"/>
          </w:tcPr>
          <w:p w14:paraId="2DC49BB7" w14:textId="3065332D" w:rsidR="00205CA2" w:rsidRPr="002F0C1A" w:rsidRDefault="00205CA2" w:rsidP="0006656B">
            <w:pPr>
              <w:tabs>
                <w:tab w:val="left" w:pos="720"/>
              </w:tabs>
              <w:spacing w:after="160" w:line="259" w:lineRule="auto"/>
              <w:ind w:left="720"/>
              <w:rPr>
                <w:rFonts w:ascii="Arial Narrow" w:hAnsi="Arial Narrow"/>
                <w:color w:val="002060"/>
                <w:lang w:val="fr-FR"/>
              </w:rPr>
            </w:pPr>
            <w:r w:rsidRPr="00D54449">
              <w:rPr>
                <w:rFonts w:ascii="Arial Narrow" w:hAnsi="Arial Narrow"/>
                <w:color w:val="002060"/>
                <w:lang w:val="fr-FR"/>
              </w:rPr>
              <w:t>S</w:t>
            </w:r>
            <w:r w:rsidR="00C25BEC">
              <w:rPr>
                <w:rFonts w:ascii="Arial Narrow" w:hAnsi="Arial Narrow"/>
                <w:color w:val="002060"/>
                <w:lang w:val="fr-FR"/>
              </w:rPr>
              <w:t>helter Activity Matrix</w:t>
            </w:r>
          </w:p>
        </w:tc>
      </w:tr>
      <w:tr w:rsidR="00205CA2" w:rsidRPr="00A13C7D" w14:paraId="74CD5CDA" w14:textId="77777777" w:rsidTr="0006656B">
        <w:tc>
          <w:tcPr>
            <w:tcW w:w="625" w:type="dxa"/>
          </w:tcPr>
          <w:p w14:paraId="2C7E2CE3" w14:textId="77777777" w:rsidR="00205CA2" w:rsidRPr="002F0C1A" w:rsidRDefault="00205CA2" w:rsidP="0006656B">
            <w:pPr>
              <w:rPr>
                <w:rFonts w:ascii="Arial Narrow" w:hAnsi="Arial Narrow"/>
                <w:color w:val="002060"/>
                <w:lang w:val="fr-FR"/>
              </w:rPr>
            </w:pPr>
            <w:r w:rsidRPr="002F0C1A">
              <w:rPr>
                <w:rFonts w:ascii="Arial Narrow" w:hAnsi="Arial Narrow"/>
                <w:color w:val="002060"/>
                <w:lang w:val="fr-FR"/>
              </w:rPr>
              <w:t>Divers</w:t>
            </w:r>
          </w:p>
        </w:tc>
        <w:tc>
          <w:tcPr>
            <w:tcW w:w="8725" w:type="dxa"/>
          </w:tcPr>
          <w:p w14:paraId="7F8CCC24" w14:textId="3AE13B16" w:rsidR="00205CA2" w:rsidRPr="002F0C1A" w:rsidRDefault="00955C81" w:rsidP="00205CA2">
            <w:pPr>
              <w:numPr>
                <w:ilvl w:val="0"/>
                <w:numId w:val="1"/>
              </w:numPr>
              <w:tabs>
                <w:tab w:val="left" w:pos="720"/>
              </w:tabs>
              <w:spacing w:after="160" w:line="259" w:lineRule="auto"/>
              <w:rPr>
                <w:rFonts w:ascii="Arial Narrow" w:hAnsi="Arial Narrow"/>
                <w:color w:val="002060"/>
                <w:lang w:val="fr-FR"/>
              </w:rPr>
            </w:pPr>
            <w:r>
              <w:rPr>
                <w:rFonts w:ascii="Arial Narrow" w:hAnsi="Arial Narrow"/>
                <w:color w:val="002060"/>
                <w:lang w:val="fr-FR"/>
              </w:rPr>
              <w:t xml:space="preserve">Organisation d’un Forum </w:t>
            </w:r>
            <w:r w:rsidR="00D83998">
              <w:rPr>
                <w:rFonts w:ascii="Arial Narrow" w:hAnsi="Arial Narrow"/>
                <w:color w:val="002060"/>
                <w:lang w:val="fr-FR"/>
              </w:rPr>
              <w:t>National sur l’Environnement et le Climat</w:t>
            </w:r>
          </w:p>
          <w:p w14:paraId="57806C73" w14:textId="6C522395" w:rsidR="00205CA2" w:rsidRPr="002F0C1A" w:rsidRDefault="00B103BA" w:rsidP="00205CA2">
            <w:pPr>
              <w:numPr>
                <w:ilvl w:val="0"/>
                <w:numId w:val="1"/>
              </w:numPr>
              <w:tabs>
                <w:tab w:val="left" w:pos="720"/>
              </w:tabs>
              <w:spacing w:after="160" w:line="259" w:lineRule="auto"/>
              <w:rPr>
                <w:rFonts w:ascii="Arial Narrow" w:hAnsi="Arial Narrow"/>
                <w:color w:val="002060"/>
                <w:lang w:val="fr-FR"/>
              </w:rPr>
            </w:pPr>
            <w:r>
              <w:rPr>
                <w:rFonts w:ascii="Arial Narrow" w:hAnsi="Arial Narrow"/>
                <w:color w:val="002060"/>
                <w:lang w:val="fr-FR"/>
              </w:rPr>
              <w:t>Retraite</w:t>
            </w:r>
            <w:r w:rsidR="00D83998">
              <w:rPr>
                <w:rFonts w:ascii="Arial Narrow" w:hAnsi="Arial Narrow"/>
                <w:color w:val="002060"/>
                <w:lang w:val="fr-FR"/>
              </w:rPr>
              <w:t xml:space="preserve"> du Cluster ABNA</w:t>
            </w:r>
          </w:p>
        </w:tc>
      </w:tr>
    </w:tbl>
    <w:p w14:paraId="057018AD" w14:textId="77777777" w:rsidR="00205CA2" w:rsidRDefault="00205CA2" w:rsidP="00205CA2">
      <w:pPr>
        <w:rPr>
          <w:rFonts w:ascii="Arial Narrow" w:hAnsi="Arial Narrow"/>
          <w:lang w:val="fr-FR"/>
        </w:rPr>
      </w:pPr>
    </w:p>
    <w:p w14:paraId="386F5387" w14:textId="77777777" w:rsidR="00205CA2" w:rsidRDefault="00205CA2" w:rsidP="00205CA2">
      <w:pPr>
        <w:rPr>
          <w:rFonts w:ascii="Arial Narrow" w:hAnsi="Arial Narrow"/>
          <w:lang w:val="fr-FR"/>
        </w:rPr>
      </w:pPr>
    </w:p>
    <w:p w14:paraId="21E4421A" w14:textId="7D6D6B21" w:rsidR="00205CA2" w:rsidRDefault="00205CA2" w:rsidP="00205CA2">
      <w:pPr>
        <w:rPr>
          <w:rFonts w:ascii="Arial Narrow" w:hAnsi="Arial Narrow"/>
          <w:lang w:val="fr-FR"/>
        </w:rPr>
      </w:pPr>
    </w:p>
    <w:p w14:paraId="69B3C0DB" w14:textId="2FFA72BE" w:rsidR="006F7ACD" w:rsidRDefault="006F7ACD" w:rsidP="00205CA2">
      <w:pPr>
        <w:rPr>
          <w:rFonts w:ascii="Arial Narrow" w:hAnsi="Arial Narrow"/>
          <w:lang w:val="fr-FR"/>
        </w:rPr>
      </w:pPr>
    </w:p>
    <w:p w14:paraId="3610AD0E" w14:textId="38CBB73F" w:rsidR="006F7ACD" w:rsidRDefault="006F7ACD" w:rsidP="00205CA2">
      <w:pPr>
        <w:rPr>
          <w:rFonts w:ascii="Arial Narrow" w:hAnsi="Arial Narrow"/>
          <w:lang w:val="fr-FR"/>
        </w:rPr>
      </w:pPr>
    </w:p>
    <w:p w14:paraId="7A41B876" w14:textId="464E7922" w:rsidR="006F7ACD" w:rsidRDefault="006F7ACD" w:rsidP="00205CA2">
      <w:pPr>
        <w:rPr>
          <w:rFonts w:ascii="Arial Narrow" w:hAnsi="Arial Narrow"/>
          <w:lang w:val="fr-FR"/>
        </w:rPr>
      </w:pPr>
    </w:p>
    <w:p w14:paraId="4B89E757" w14:textId="047CD438" w:rsidR="006F7ACD" w:rsidRDefault="006F7ACD" w:rsidP="00205CA2">
      <w:pPr>
        <w:rPr>
          <w:rFonts w:ascii="Arial Narrow" w:hAnsi="Arial Narrow"/>
          <w:lang w:val="fr-FR"/>
        </w:rPr>
      </w:pPr>
    </w:p>
    <w:p w14:paraId="43E61321" w14:textId="6C78A7F6" w:rsidR="006F7ACD" w:rsidRDefault="006F7ACD" w:rsidP="00205CA2">
      <w:pPr>
        <w:rPr>
          <w:rFonts w:ascii="Arial Narrow" w:hAnsi="Arial Narrow"/>
          <w:lang w:val="fr-FR"/>
        </w:rPr>
      </w:pPr>
    </w:p>
    <w:p w14:paraId="6BD07370" w14:textId="36E97F42" w:rsidR="006F7ACD" w:rsidRDefault="006F7ACD" w:rsidP="00205CA2">
      <w:pPr>
        <w:rPr>
          <w:rFonts w:ascii="Arial Narrow" w:hAnsi="Arial Narrow"/>
          <w:lang w:val="fr-FR"/>
        </w:rPr>
      </w:pPr>
    </w:p>
    <w:p w14:paraId="36C3CC49" w14:textId="1080E709" w:rsidR="006F7ACD" w:rsidRDefault="006F7ACD" w:rsidP="00205CA2">
      <w:pPr>
        <w:rPr>
          <w:rFonts w:ascii="Arial Narrow" w:hAnsi="Arial Narrow"/>
          <w:lang w:val="fr-FR"/>
        </w:rPr>
      </w:pPr>
    </w:p>
    <w:p w14:paraId="3C2C07EE" w14:textId="282526BA" w:rsidR="006F7ACD" w:rsidRDefault="006F7ACD" w:rsidP="00205CA2">
      <w:pPr>
        <w:rPr>
          <w:rFonts w:ascii="Arial Narrow" w:hAnsi="Arial Narrow"/>
          <w:lang w:val="fr-FR"/>
        </w:rPr>
      </w:pPr>
    </w:p>
    <w:p w14:paraId="344B69AA" w14:textId="4C216C29" w:rsidR="00F51FF5" w:rsidRDefault="00F51FF5" w:rsidP="00205CA2">
      <w:pPr>
        <w:rPr>
          <w:rFonts w:ascii="Arial Narrow" w:hAnsi="Arial Narrow"/>
          <w:lang w:val="fr-FR"/>
        </w:rPr>
      </w:pPr>
    </w:p>
    <w:p w14:paraId="393F2CB9" w14:textId="47A38827" w:rsidR="00F51FF5" w:rsidRDefault="00F51FF5" w:rsidP="00205CA2">
      <w:pPr>
        <w:rPr>
          <w:rFonts w:ascii="Arial Narrow" w:hAnsi="Arial Narrow"/>
          <w:lang w:val="fr-FR"/>
        </w:rPr>
      </w:pPr>
    </w:p>
    <w:p w14:paraId="2A81AB5B" w14:textId="77777777" w:rsidR="00F51FF5" w:rsidRDefault="00F51FF5" w:rsidP="00205CA2">
      <w:pPr>
        <w:rPr>
          <w:rFonts w:ascii="Arial Narrow" w:hAnsi="Arial Narrow"/>
          <w:lang w:val="fr-FR"/>
        </w:rPr>
        <w:sectPr w:rsidR="00F51FF5">
          <w:pgSz w:w="12240" w:h="15840"/>
          <w:pgMar w:top="1440" w:right="1440" w:bottom="1440" w:left="1440" w:header="720" w:footer="720" w:gutter="0"/>
          <w:cols w:space="720"/>
          <w:docGrid w:linePitch="360"/>
        </w:sectPr>
      </w:pPr>
    </w:p>
    <w:tbl>
      <w:tblPr>
        <w:tblW w:w="15168" w:type="dxa"/>
        <w:jc w:val="center"/>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3502"/>
        <w:gridCol w:w="11666"/>
      </w:tblGrid>
      <w:tr w:rsidR="00F51FF5" w:rsidRPr="00740297" w14:paraId="34CCB235" w14:textId="77777777" w:rsidTr="0006656B">
        <w:trPr>
          <w:trHeight w:val="412"/>
          <w:jc w:val="center"/>
        </w:trPr>
        <w:tc>
          <w:tcPr>
            <w:tcW w:w="3502" w:type="dxa"/>
            <w:tcBorders>
              <w:top w:val="single" w:sz="6" w:space="0" w:color="CCCCCC"/>
              <w:left w:val="single" w:sz="6" w:space="0" w:color="CCCCCC"/>
              <w:bottom w:val="single" w:sz="6" w:space="0" w:color="CCCCCC"/>
              <w:right w:val="single" w:sz="6" w:space="0" w:color="CCCCCC"/>
            </w:tcBorders>
            <w:shd w:val="clear" w:color="auto" w:fill="800000"/>
            <w:tcMar>
              <w:top w:w="30" w:type="dxa"/>
              <w:left w:w="45" w:type="dxa"/>
              <w:bottom w:w="30" w:type="dxa"/>
              <w:right w:w="45" w:type="dxa"/>
            </w:tcMar>
          </w:tcPr>
          <w:p w14:paraId="111C858D" w14:textId="77777777" w:rsidR="00F51FF5" w:rsidRPr="00740297" w:rsidRDefault="00F51FF5" w:rsidP="0006656B">
            <w:pPr>
              <w:jc w:val="center"/>
              <w:rPr>
                <w:rFonts w:ascii="Arial Narrow" w:eastAsia="Calibri" w:hAnsi="Arial Narrow" w:cs="Calibri"/>
                <w:b/>
              </w:rPr>
            </w:pPr>
            <w:r w:rsidRPr="00740297">
              <w:rPr>
                <w:rFonts w:ascii="Arial Narrow" w:eastAsia="Calibri" w:hAnsi="Arial Narrow" w:cs="Calibri"/>
                <w:b/>
              </w:rPr>
              <w:lastRenderedPageBreak/>
              <w:t>RUBRIQUE</w:t>
            </w:r>
          </w:p>
        </w:tc>
        <w:tc>
          <w:tcPr>
            <w:tcW w:w="11666" w:type="dxa"/>
            <w:tcBorders>
              <w:top w:val="single" w:sz="6" w:space="0" w:color="CCCCCC"/>
              <w:left w:val="single" w:sz="6" w:space="0" w:color="CCCCCC"/>
              <w:bottom w:val="single" w:sz="6" w:space="0" w:color="CCCCCC"/>
              <w:right w:val="single" w:sz="6" w:space="0" w:color="CCCCCC"/>
            </w:tcBorders>
            <w:shd w:val="clear" w:color="auto" w:fill="800000"/>
            <w:tcMar>
              <w:top w:w="30" w:type="dxa"/>
              <w:left w:w="45" w:type="dxa"/>
              <w:bottom w:w="30" w:type="dxa"/>
              <w:right w:w="45" w:type="dxa"/>
            </w:tcMar>
          </w:tcPr>
          <w:p w14:paraId="0E3C27BA" w14:textId="77777777" w:rsidR="00F51FF5" w:rsidRPr="00740297" w:rsidRDefault="00F51FF5" w:rsidP="0006656B">
            <w:pPr>
              <w:jc w:val="center"/>
              <w:rPr>
                <w:rFonts w:ascii="Arial Narrow" w:eastAsia="Calibri" w:hAnsi="Arial Narrow" w:cs="Calibri"/>
                <w:b/>
              </w:rPr>
            </w:pPr>
            <w:r w:rsidRPr="00740297">
              <w:rPr>
                <w:rFonts w:ascii="Arial Narrow" w:eastAsia="Calibri" w:hAnsi="Arial Narrow" w:cs="Calibri"/>
                <w:b/>
              </w:rPr>
              <w:t>SYNTHESE</w:t>
            </w:r>
          </w:p>
        </w:tc>
      </w:tr>
      <w:tr w:rsidR="00F51FF5" w:rsidRPr="00C14630" w14:paraId="4395246B" w14:textId="77777777" w:rsidTr="0006656B">
        <w:trPr>
          <w:trHeight w:val="3506"/>
          <w:jc w:val="center"/>
        </w:trPr>
        <w:tc>
          <w:tcPr>
            <w:tcW w:w="3502" w:type="dxa"/>
            <w:tcBorders>
              <w:top w:val="single" w:sz="6" w:space="0" w:color="CCCCCC"/>
              <w:left w:val="single" w:sz="6" w:space="0" w:color="CCCCCC"/>
              <w:bottom w:val="nil"/>
              <w:right w:val="single" w:sz="6" w:space="0" w:color="CCCCCC"/>
            </w:tcBorders>
            <w:shd w:val="clear" w:color="auto" w:fill="FFFFFF"/>
            <w:tcMar>
              <w:top w:w="30" w:type="dxa"/>
              <w:left w:w="45" w:type="dxa"/>
              <w:bottom w:w="30" w:type="dxa"/>
              <w:right w:w="45" w:type="dxa"/>
            </w:tcMar>
          </w:tcPr>
          <w:p w14:paraId="6A634592" w14:textId="0A01B6EA" w:rsidR="00F51FF5" w:rsidRPr="001226C7" w:rsidRDefault="001226C7" w:rsidP="00E90B50">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Suivi de Recommandations</w:t>
            </w:r>
          </w:p>
          <w:p w14:paraId="7D70D1CB"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6C2D5E31"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23836AF9"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03AB9EF6"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69FE084D"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665FC204"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02A3002E" w14:textId="77777777" w:rsidR="00F51FF5" w:rsidRPr="00111CD8" w:rsidRDefault="00F51FF5" w:rsidP="0006656B">
            <w:pPr>
              <w:rPr>
                <w:rFonts w:ascii="Arial Narrow" w:eastAsia="MS Mincho" w:hAnsi="Arial Narrow" w:cs="Times New Roman"/>
                <w:b/>
                <w:bCs/>
                <w:color w:val="7F1416"/>
                <w:sz w:val="24"/>
                <w:szCs w:val="24"/>
                <w:lang w:val="fr-FR" w:eastAsia="ja-JP"/>
              </w:rPr>
            </w:pPr>
          </w:p>
          <w:p w14:paraId="430B4D75" w14:textId="77777777" w:rsidR="00793BAD" w:rsidRDefault="006C38AE" w:rsidP="00F51FF5">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Situation</w:t>
            </w:r>
            <w:r w:rsidR="00793BAD">
              <w:rPr>
                <w:rFonts w:ascii="Arial Narrow" w:hAnsi="Arial Narrow"/>
                <w:b/>
                <w:bCs/>
                <w:color w:val="7F1416"/>
                <w:lang w:val="fr-FR"/>
              </w:rPr>
              <w:t xml:space="preserve"> </w:t>
            </w:r>
            <w:r>
              <w:rPr>
                <w:rFonts w:ascii="Arial Narrow" w:hAnsi="Arial Narrow"/>
                <w:b/>
                <w:bCs/>
                <w:color w:val="7F1416"/>
                <w:lang w:val="fr-FR"/>
              </w:rPr>
              <w:t>Humanitaire</w:t>
            </w:r>
            <w:r w:rsidR="00793BAD">
              <w:rPr>
                <w:rFonts w:ascii="Arial Narrow" w:hAnsi="Arial Narrow"/>
                <w:b/>
                <w:bCs/>
                <w:color w:val="7F1416"/>
                <w:lang w:val="fr-FR"/>
              </w:rPr>
              <w:t> :</w:t>
            </w:r>
          </w:p>
          <w:p w14:paraId="424A8754" w14:textId="26B02DAE" w:rsidR="00F51FF5" w:rsidRPr="00793BAD" w:rsidRDefault="00793BAD" w:rsidP="00793BAD">
            <w:pPr>
              <w:rPr>
                <w:rFonts w:ascii="Arial Narrow" w:hAnsi="Arial Narrow"/>
                <w:b/>
                <w:bCs/>
                <w:color w:val="7F1416"/>
                <w:lang w:val="fr-FR"/>
              </w:rPr>
            </w:pPr>
            <w:r w:rsidRPr="00793BAD">
              <w:rPr>
                <w:rFonts w:ascii="Arial Narrow" w:hAnsi="Arial Narrow"/>
                <w:b/>
                <w:bCs/>
                <w:color w:val="7F1416"/>
                <w:lang w:val="fr-FR"/>
              </w:rPr>
              <w:t xml:space="preserve">Présentation du </w:t>
            </w:r>
            <w:r w:rsidR="006761C5" w:rsidRPr="00793BAD">
              <w:rPr>
                <w:rFonts w:ascii="Arial Narrow" w:hAnsi="Arial Narrow"/>
                <w:b/>
                <w:bCs/>
                <w:color w:val="7F1416"/>
                <w:lang w:val="fr-FR"/>
              </w:rPr>
              <w:t xml:space="preserve">RRM </w:t>
            </w:r>
            <w:r w:rsidR="006761C5">
              <w:rPr>
                <w:rFonts w:ascii="Arial Narrow" w:hAnsi="Arial Narrow"/>
                <w:b/>
                <w:bCs/>
                <w:color w:val="7F1416"/>
                <w:lang w:val="fr-FR"/>
              </w:rPr>
              <w:t>&amp;</w:t>
            </w:r>
            <w:r>
              <w:rPr>
                <w:rFonts w:ascii="Arial Narrow" w:hAnsi="Arial Narrow"/>
                <w:b/>
                <w:bCs/>
                <w:color w:val="7F1416"/>
                <w:lang w:val="fr-FR"/>
              </w:rPr>
              <w:t xml:space="preserve"> Suivi de Gaps</w:t>
            </w:r>
          </w:p>
          <w:p w14:paraId="40367836" w14:textId="77777777" w:rsidR="00F51FF5" w:rsidRDefault="00F51FF5" w:rsidP="0006656B">
            <w:pPr>
              <w:rPr>
                <w:rFonts w:ascii="Arial Narrow" w:hAnsi="Arial Narrow"/>
                <w:b/>
                <w:bCs/>
                <w:color w:val="7F1416"/>
                <w:lang w:val="fr-FR"/>
              </w:rPr>
            </w:pPr>
          </w:p>
          <w:p w14:paraId="04AE802B" w14:textId="77777777" w:rsidR="00F51FF5" w:rsidRDefault="00F51FF5" w:rsidP="0006656B">
            <w:pPr>
              <w:rPr>
                <w:rFonts w:ascii="Arial Narrow" w:hAnsi="Arial Narrow"/>
                <w:b/>
                <w:bCs/>
                <w:color w:val="7F1416"/>
                <w:lang w:val="fr-FR"/>
              </w:rPr>
            </w:pPr>
          </w:p>
          <w:p w14:paraId="3577AF37" w14:textId="77777777" w:rsidR="00F51FF5" w:rsidRDefault="00F51FF5" w:rsidP="0006656B">
            <w:pPr>
              <w:rPr>
                <w:rFonts w:ascii="Arial Narrow" w:hAnsi="Arial Narrow"/>
                <w:b/>
                <w:bCs/>
                <w:color w:val="7F1416"/>
                <w:lang w:val="fr-FR"/>
              </w:rPr>
            </w:pPr>
          </w:p>
          <w:p w14:paraId="4B89904B" w14:textId="77777777" w:rsidR="00F51FF5" w:rsidRDefault="00F51FF5" w:rsidP="0006656B">
            <w:pPr>
              <w:rPr>
                <w:rFonts w:ascii="Arial Narrow" w:hAnsi="Arial Narrow"/>
                <w:b/>
                <w:bCs/>
                <w:color w:val="7F1416"/>
                <w:lang w:val="fr-FR"/>
              </w:rPr>
            </w:pPr>
          </w:p>
          <w:p w14:paraId="777179BD" w14:textId="77777777" w:rsidR="00F51FF5" w:rsidRDefault="00F51FF5" w:rsidP="0006656B">
            <w:pPr>
              <w:rPr>
                <w:rFonts w:ascii="Arial Narrow" w:hAnsi="Arial Narrow"/>
                <w:b/>
                <w:bCs/>
                <w:color w:val="7F1416"/>
                <w:lang w:val="fr-FR"/>
              </w:rPr>
            </w:pPr>
          </w:p>
          <w:p w14:paraId="57584876" w14:textId="77777777" w:rsidR="00F51FF5" w:rsidRDefault="00F51FF5" w:rsidP="0006656B">
            <w:pPr>
              <w:rPr>
                <w:rFonts w:ascii="Arial Narrow" w:hAnsi="Arial Narrow"/>
                <w:b/>
                <w:bCs/>
                <w:color w:val="7F1416"/>
                <w:lang w:val="fr-FR"/>
              </w:rPr>
            </w:pPr>
          </w:p>
          <w:p w14:paraId="70E0B9FF" w14:textId="77777777" w:rsidR="00F51FF5" w:rsidRDefault="00F51FF5" w:rsidP="0006656B">
            <w:pPr>
              <w:rPr>
                <w:rFonts w:ascii="Arial Narrow" w:hAnsi="Arial Narrow"/>
                <w:b/>
                <w:bCs/>
                <w:color w:val="7F1416"/>
                <w:lang w:val="fr-FR"/>
              </w:rPr>
            </w:pPr>
          </w:p>
          <w:p w14:paraId="784C5163" w14:textId="77777777" w:rsidR="00F51FF5" w:rsidRDefault="00F51FF5" w:rsidP="0006656B">
            <w:pPr>
              <w:rPr>
                <w:rFonts w:ascii="Arial Narrow" w:hAnsi="Arial Narrow"/>
                <w:b/>
                <w:bCs/>
                <w:color w:val="7F1416"/>
                <w:lang w:val="fr-FR"/>
              </w:rPr>
            </w:pPr>
          </w:p>
          <w:p w14:paraId="22DB3695" w14:textId="77777777" w:rsidR="00F51FF5" w:rsidRDefault="00F51FF5" w:rsidP="0006656B">
            <w:pPr>
              <w:rPr>
                <w:rFonts w:ascii="Arial Narrow" w:hAnsi="Arial Narrow"/>
                <w:b/>
                <w:bCs/>
                <w:color w:val="7F1416"/>
                <w:lang w:val="fr-FR"/>
              </w:rPr>
            </w:pPr>
          </w:p>
          <w:p w14:paraId="4EC9B018" w14:textId="77777777" w:rsidR="00F51FF5" w:rsidRDefault="00F51FF5" w:rsidP="0006656B">
            <w:pPr>
              <w:rPr>
                <w:rFonts w:ascii="Arial Narrow" w:hAnsi="Arial Narrow"/>
                <w:b/>
                <w:bCs/>
                <w:color w:val="7F1416"/>
                <w:lang w:val="fr-FR"/>
              </w:rPr>
            </w:pPr>
          </w:p>
          <w:p w14:paraId="2A756AE0" w14:textId="77777777" w:rsidR="00F51FF5" w:rsidRDefault="00F51FF5" w:rsidP="0006656B">
            <w:pPr>
              <w:rPr>
                <w:rFonts w:ascii="Arial Narrow" w:hAnsi="Arial Narrow"/>
                <w:b/>
                <w:bCs/>
                <w:color w:val="7F1416"/>
                <w:lang w:val="fr-FR"/>
              </w:rPr>
            </w:pPr>
          </w:p>
          <w:p w14:paraId="7591EB43" w14:textId="77777777" w:rsidR="00F51FF5" w:rsidRDefault="00F51FF5" w:rsidP="0006656B">
            <w:pPr>
              <w:rPr>
                <w:rFonts w:ascii="Arial Narrow" w:hAnsi="Arial Narrow"/>
                <w:b/>
                <w:bCs/>
                <w:color w:val="7F1416"/>
                <w:lang w:val="fr-FR"/>
              </w:rPr>
            </w:pPr>
          </w:p>
          <w:p w14:paraId="79FB6C03" w14:textId="77777777" w:rsidR="00F51FF5" w:rsidRDefault="00F51FF5" w:rsidP="0006656B">
            <w:pPr>
              <w:rPr>
                <w:rFonts w:ascii="Arial Narrow" w:hAnsi="Arial Narrow"/>
                <w:b/>
                <w:bCs/>
                <w:color w:val="7F1416"/>
                <w:lang w:val="fr-FR"/>
              </w:rPr>
            </w:pPr>
          </w:p>
          <w:p w14:paraId="3D6BA6E7" w14:textId="77777777" w:rsidR="00F51FF5" w:rsidRDefault="00F51FF5" w:rsidP="0006656B">
            <w:pPr>
              <w:rPr>
                <w:rFonts w:ascii="Arial Narrow" w:hAnsi="Arial Narrow"/>
                <w:b/>
                <w:bCs/>
                <w:color w:val="7F1416"/>
                <w:lang w:val="fr-FR"/>
              </w:rPr>
            </w:pPr>
          </w:p>
          <w:p w14:paraId="65EEB07A" w14:textId="77777777" w:rsidR="00F51FF5" w:rsidRDefault="00F51FF5" w:rsidP="0006656B">
            <w:pPr>
              <w:rPr>
                <w:rFonts w:ascii="Arial Narrow" w:hAnsi="Arial Narrow"/>
                <w:b/>
                <w:bCs/>
                <w:color w:val="7F1416"/>
                <w:lang w:val="fr-FR"/>
              </w:rPr>
            </w:pPr>
          </w:p>
          <w:p w14:paraId="10F519E1" w14:textId="77777777" w:rsidR="00F51FF5" w:rsidRDefault="00F51FF5" w:rsidP="0006656B">
            <w:pPr>
              <w:rPr>
                <w:rFonts w:ascii="Arial Narrow" w:hAnsi="Arial Narrow"/>
                <w:b/>
                <w:bCs/>
                <w:color w:val="7F1416"/>
                <w:lang w:val="fr-FR"/>
              </w:rPr>
            </w:pPr>
          </w:p>
          <w:p w14:paraId="25EE933F" w14:textId="77777777" w:rsidR="00F51FF5" w:rsidRDefault="00F51FF5" w:rsidP="0006656B">
            <w:pPr>
              <w:rPr>
                <w:rFonts w:ascii="Arial Narrow" w:hAnsi="Arial Narrow"/>
                <w:b/>
                <w:bCs/>
                <w:color w:val="7F1416"/>
                <w:lang w:val="fr-FR"/>
              </w:rPr>
            </w:pPr>
          </w:p>
          <w:p w14:paraId="4C93AECE" w14:textId="77777777" w:rsidR="00F51FF5" w:rsidRDefault="00F51FF5" w:rsidP="0006656B">
            <w:pPr>
              <w:rPr>
                <w:rFonts w:ascii="Arial Narrow" w:hAnsi="Arial Narrow"/>
                <w:b/>
                <w:bCs/>
                <w:color w:val="7F1416"/>
                <w:lang w:val="fr-FR"/>
              </w:rPr>
            </w:pPr>
          </w:p>
          <w:p w14:paraId="58A5E349" w14:textId="77777777" w:rsidR="00F51FF5" w:rsidRDefault="00F51FF5" w:rsidP="0006656B">
            <w:pPr>
              <w:rPr>
                <w:rFonts w:ascii="Arial Narrow" w:hAnsi="Arial Narrow"/>
                <w:b/>
                <w:bCs/>
                <w:color w:val="7F1416"/>
                <w:lang w:val="fr-FR"/>
              </w:rPr>
            </w:pPr>
          </w:p>
          <w:p w14:paraId="6F0D482D" w14:textId="77777777" w:rsidR="00F51FF5" w:rsidRDefault="00F51FF5" w:rsidP="0006656B">
            <w:pPr>
              <w:rPr>
                <w:rFonts w:ascii="Arial Narrow" w:hAnsi="Arial Narrow"/>
                <w:b/>
                <w:bCs/>
                <w:color w:val="7F1416"/>
                <w:lang w:val="fr-FR"/>
              </w:rPr>
            </w:pPr>
          </w:p>
          <w:p w14:paraId="6B96CC53" w14:textId="77777777" w:rsidR="00F51FF5" w:rsidRDefault="00F51FF5" w:rsidP="0006656B">
            <w:pPr>
              <w:rPr>
                <w:rFonts w:ascii="Arial Narrow" w:hAnsi="Arial Narrow"/>
                <w:b/>
                <w:bCs/>
                <w:color w:val="7F1416"/>
                <w:lang w:val="fr-FR"/>
              </w:rPr>
            </w:pPr>
          </w:p>
          <w:p w14:paraId="13296E3D" w14:textId="77777777" w:rsidR="00F51FF5" w:rsidRDefault="00F51FF5" w:rsidP="0006656B">
            <w:pPr>
              <w:rPr>
                <w:rFonts w:ascii="Arial Narrow" w:hAnsi="Arial Narrow"/>
                <w:b/>
                <w:bCs/>
                <w:color w:val="7F1416"/>
                <w:lang w:val="fr-FR"/>
              </w:rPr>
            </w:pPr>
          </w:p>
          <w:p w14:paraId="3776C4CC" w14:textId="77777777" w:rsidR="00F51FF5" w:rsidRDefault="00F51FF5" w:rsidP="0006656B">
            <w:pPr>
              <w:rPr>
                <w:rFonts w:ascii="Arial Narrow" w:hAnsi="Arial Narrow"/>
                <w:b/>
                <w:bCs/>
                <w:color w:val="7F1416"/>
                <w:lang w:val="fr-FR"/>
              </w:rPr>
            </w:pPr>
          </w:p>
          <w:p w14:paraId="62688725" w14:textId="16A52590" w:rsidR="00F51FF5" w:rsidRDefault="00F51FF5" w:rsidP="0006656B">
            <w:pPr>
              <w:rPr>
                <w:rFonts w:ascii="Arial Narrow" w:hAnsi="Arial Narrow"/>
                <w:b/>
                <w:bCs/>
                <w:color w:val="7F1416"/>
                <w:lang w:val="fr-FR"/>
              </w:rPr>
            </w:pPr>
          </w:p>
          <w:p w14:paraId="589ED004" w14:textId="5F9F06F6" w:rsidR="00E03B10" w:rsidRDefault="00E03B10" w:rsidP="0006656B">
            <w:pPr>
              <w:rPr>
                <w:rFonts w:ascii="Arial Narrow" w:hAnsi="Arial Narrow"/>
                <w:b/>
                <w:bCs/>
                <w:color w:val="7F1416"/>
                <w:lang w:val="fr-FR"/>
              </w:rPr>
            </w:pPr>
          </w:p>
          <w:p w14:paraId="72DAFF94" w14:textId="568BC667" w:rsidR="00E03B10" w:rsidRDefault="00E03B10" w:rsidP="0006656B">
            <w:pPr>
              <w:rPr>
                <w:rFonts w:ascii="Arial Narrow" w:hAnsi="Arial Narrow"/>
                <w:b/>
                <w:bCs/>
                <w:color w:val="7F1416"/>
                <w:lang w:val="fr-FR"/>
              </w:rPr>
            </w:pPr>
          </w:p>
          <w:p w14:paraId="4B473E26" w14:textId="60FFC378" w:rsidR="00E03B10" w:rsidRDefault="00E03B10" w:rsidP="0006656B">
            <w:pPr>
              <w:rPr>
                <w:rFonts w:ascii="Arial Narrow" w:hAnsi="Arial Narrow"/>
                <w:b/>
                <w:bCs/>
                <w:color w:val="7F1416"/>
                <w:lang w:val="fr-FR"/>
              </w:rPr>
            </w:pPr>
          </w:p>
          <w:p w14:paraId="4EFAAFBB" w14:textId="02346A4F" w:rsidR="00EF0A21" w:rsidRDefault="00EF0A21" w:rsidP="0006656B">
            <w:pPr>
              <w:rPr>
                <w:rFonts w:ascii="Arial Narrow" w:hAnsi="Arial Narrow"/>
                <w:b/>
                <w:bCs/>
                <w:color w:val="7F1416"/>
                <w:lang w:val="fr-FR"/>
              </w:rPr>
            </w:pPr>
          </w:p>
          <w:p w14:paraId="2FDF1637" w14:textId="77777777" w:rsidR="00EF0A21" w:rsidRDefault="00EF0A21" w:rsidP="0006656B">
            <w:pPr>
              <w:rPr>
                <w:rFonts w:ascii="Arial Narrow" w:hAnsi="Arial Narrow"/>
                <w:b/>
                <w:bCs/>
                <w:color w:val="7F1416"/>
                <w:lang w:val="fr-FR"/>
              </w:rPr>
            </w:pPr>
          </w:p>
          <w:p w14:paraId="5F1589C1" w14:textId="77777777" w:rsidR="00F51FF5" w:rsidRDefault="00F51FF5" w:rsidP="0006656B">
            <w:pPr>
              <w:rPr>
                <w:rFonts w:ascii="Arial Narrow" w:hAnsi="Arial Narrow"/>
                <w:b/>
                <w:bCs/>
                <w:color w:val="7F1416"/>
                <w:lang w:val="fr-FR"/>
              </w:rPr>
            </w:pPr>
          </w:p>
          <w:p w14:paraId="58529FDB" w14:textId="77777777" w:rsidR="00F51FF5" w:rsidRPr="009672A1" w:rsidRDefault="00F51FF5" w:rsidP="0006656B">
            <w:pPr>
              <w:rPr>
                <w:rFonts w:ascii="Arial Narrow" w:hAnsi="Arial Narrow"/>
                <w:b/>
                <w:bCs/>
                <w:color w:val="7F1416"/>
                <w:lang w:val="fr-FR"/>
              </w:rPr>
            </w:pPr>
          </w:p>
          <w:p w14:paraId="74CB803A" w14:textId="2D04D296" w:rsidR="00F51FF5" w:rsidRDefault="00F51FF5" w:rsidP="00F51FF5">
            <w:pPr>
              <w:pStyle w:val="ListParagraph"/>
              <w:numPr>
                <w:ilvl w:val="0"/>
                <w:numId w:val="4"/>
              </w:numPr>
              <w:spacing w:line="259" w:lineRule="auto"/>
              <w:rPr>
                <w:rFonts w:ascii="Arial Narrow" w:hAnsi="Arial Narrow"/>
                <w:b/>
                <w:bCs/>
                <w:color w:val="7F1416"/>
                <w:lang w:val="fr-FR"/>
              </w:rPr>
            </w:pPr>
            <w:r w:rsidRPr="009672A1">
              <w:rPr>
                <w:rFonts w:ascii="Arial Narrow" w:hAnsi="Arial Narrow"/>
                <w:b/>
                <w:bCs/>
                <w:color w:val="7F1416"/>
                <w:lang w:val="fr-FR"/>
              </w:rPr>
              <w:lastRenderedPageBreak/>
              <w:t>Pr</w:t>
            </w:r>
            <w:r w:rsidR="00245539">
              <w:rPr>
                <w:rFonts w:ascii="Arial Narrow" w:hAnsi="Arial Narrow"/>
                <w:b/>
                <w:bCs/>
                <w:color w:val="7F1416"/>
                <w:lang w:val="fr-FR"/>
              </w:rPr>
              <w:t>ésentation de la DG ECHO</w:t>
            </w:r>
            <w:r w:rsidR="00351B57">
              <w:rPr>
                <w:rFonts w:ascii="Arial Narrow" w:hAnsi="Arial Narrow"/>
                <w:b/>
                <w:bCs/>
                <w:color w:val="7F1416"/>
                <w:lang w:val="fr-FR"/>
              </w:rPr>
              <w:t> :</w:t>
            </w:r>
          </w:p>
          <w:p w14:paraId="3E0331F3" w14:textId="77777777" w:rsidR="00F51FF5" w:rsidRDefault="00F51FF5" w:rsidP="0006656B">
            <w:pPr>
              <w:rPr>
                <w:rFonts w:ascii="Arial Narrow" w:hAnsi="Arial Narrow"/>
                <w:b/>
                <w:bCs/>
                <w:color w:val="7F1416"/>
                <w:lang w:val="fr-FR"/>
              </w:rPr>
            </w:pPr>
          </w:p>
          <w:p w14:paraId="1B9FFAF1" w14:textId="77777777" w:rsidR="00F51FF5" w:rsidRDefault="00F51FF5" w:rsidP="0006656B">
            <w:pPr>
              <w:rPr>
                <w:rFonts w:ascii="Arial Narrow" w:hAnsi="Arial Narrow"/>
                <w:b/>
                <w:bCs/>
                <w:color w:val="7F1416"/>
                <w:lang w:val="fr-FR"/>
              </w:rPr>
            </w:pPr>
          </w:p>
          <w:p w14:paraId="636AA3D9" w14:textId="77777777" w:rsidR="00F51FF5" w:rsidRDefault="00F51FF5" w:rsidP="0006656B">
            <w:pPr>
              <w:rPr>
                <w:rFonts w:ascii="Arial Narrow" w:hAnsi="Arial Narrow"/>
                <w:b/>
                <w:bCs/>
                <w:color w:val="7F1416"/>
                <w:lang w:val="fr-FR"/>
              </w:rPr>
            </w:pPr>
          </w:p>
          <w:p w14:paraId="0D1CB3CC" w14:textId="77777777" w:rsidR="00F51FF5" w:rsidRDefault="00F51FF5" w:rsidP="0006656B">
            <w:pPr>
              <w:rPr>
                <w:rFonts w:ascii="Arial Narrow" w:hAnsi="Arial Narrow"/>
                <w:b/>
                <w:bCs/>
                <w:color w:val="7F1416"/>
                <w:lang w:val="fr-FR"/>
              </w:rPr>
            </w:pPr>
          </w:p>
          <w:p w14:paraId="212A452B" w14:textId="77777777" w:rsidR="00F51FF5" w:rsidRDefault="00F51FF5" w:rsidP="0006656B">
            <w:pPr>
              <w:rPr>
                <w:rFonts w:ascii="Arial Narrow" w:hAnsi="Arial Narrow"/>
                <w:b/>
                <w:bCs/>
                <w:color w:val="7F1416"/>
                <w:lang w:val="fr-FR"/>
              </w:rPr>
            </w:pPr>
          </w:p>
          <w:p w14:paraId="6DAC54F7" w14:textId="77777777" w:rsidR="00F51FF5" w:rsidRDefault="00F51FF5" w:rsidP="0006656B">
            <w:pPr>
              <w:rPr>
                <w:rFonts w:ascii="Arial Narrow" w:hAnsi="Arial Narrow"/>
                <w:b/>
                <w:bCs/>
                <w:color w:val="7F1416"/>
                <w:lang w:val="fr-FR"/>
              </w:rPr>
            </w:pPr>
          </w:p>
          <w:p w14:paraId="0744797A" w14:textId="01524B97" w:rsidR="00F51FF5" w:rsidRDefault="00F51FF5" w:rsidP="0006656B">
            <w:pPr>
              <w:rPr>
                <w:rFonts w:ascii="Arial Narrow" w:hAnsi="Arial Narrow"/>
                <w:b/>
                <w:bCs/>
                <w:color w:val="7F1416"/>
                <w:lang w:val="fr-FR"/>
              </w:rPr>
            </w:pPr>
          </w:p>
          <w:p w14:paraId="4D2AA2B1" w14:textId="77B03B09" w:rsidR="0013463B" w:rsidRDefault="0013463B" w:rsidP="0006656B">
            <w:pPr>
              <w:rPr>
                <w:rFonts w:ascii="Arial Narrow" w:hAnsi="Arial Narrow"/>
                <w:b/>
                <w:bCs/>
                <w:color w:val="7F1416"/>
                <w:lang w:val="fr-FR"/>
              </w:rPr>
            </w:pPr>
          </w:p>
          <w:p w14:paraId="3ED5D2AA" w14:textId="2BFF8A1E" w:rsidR="0013463B" w:rsidRDefault="0013463B" w:rsidP="0006656B">
            <w:pPr>
              <w:rPr>
                <w:rFonts w:ascii="Arial Narrow" w:hAnsi="Arial Narrow"/>
                <w:b/>
                <w:bCs/>
                <w:color w:val="7F1416"/>
                <w:lang w:val="fr-FR"/>
              </w:rPr>
            </w:pPr>
          </w:p>
          <w:p w14:paraId="056269E2" w14:textId="2B84B36F" w:rsidR="0013463B" w:rsidRDefault="0013463B" w:rsidP="0006656B">
            <w:pPr>
              <w:rPr>
                <w:rFonts w:ascii="Arial Narrow" w:hAnsi="Arial Narrow"/>
                <w:b/>
                <w:bCs/>
                <w:color w:val="7F1416"/>
                <w:lang w:val="fr-FR"/>
              </w:rPr>
            </w:pPr>
          </w:p>
          <w:p w14:paraId="1CE462DF" w14:textId="00B1CBAC" w:rsidR="0013463B" w:rsidRDefault="0013463B" w:rsidP="0006656B">
            <w:pPr>
              <w:rPr>
                <w:rFonts w:ascii="Arial Narrow" w:hAnsi="Arial Narrow"/>
                <w:b/>
                <w:bCs/>
                <w:color w:val="7F1416"/>
                <w:lang w:val="fr-FR"/>
              </w:rPr>
            </w:pPr>
          </w:p>
          <w:p w14:paraId="3FDF43FA" w14:textId="6F75F2D6" w:rsidR="0013463B" w:rsidRDefault="0013463B" w:rsidP="0006656B">
            <w:pPr>
              <w:rPr>
                <w:rFonts w:ascii="Arial Narrow" w:hAnsi="Arial Narrow"/>
                <w:b/>
                <w:bCs/>
                <w:color w:val="7F1416"/>
                <w:lang w:val="fr-FR"/>
              </w:rPr>
            </w:pPr>
          </w:p>
          <w:p w14:paraId="1AF1E9AA" w14:textId="33BC2FBE" w:rsidR="0039456E" w:rsidRDefault="0039456E" w:rsidP="0006656B">
            <w:pPr>
              <w:rPr>
                <w:rFonts w:ascii="Arial Narrow" w:hAnsi="Arial Narrow"/>
                <w:b/>
                <w:bCs/>
                <w:color w:val="7F1416"/>
                <w:lang w:val="fr-FR"/>
              </w:rPr>
            </w:pPr>
          </w:p>
          <w:p w14:paraId="5580676F" w14:textId="77777777" w:rsidR="0039456E" w:rsidRDefault="0039456E" w:rsidP="0006656B">
            <w:pPr>
              <w:rPr>
                <w:rFonts w:ascii="Arial Narrow" w:hAnsi="Arial Narrow"/>
                <w:b/>
                <w:bCs/>
                <w:color w:val="7F1416"/>
                <w:lang w:val="fr-FR"/>
              </w:rPr>
            </w:pPr>
          </w:p>
          <w:p w14:paraId="691EBD69" w14:textId="5B556280" w:rsidR="0013463B" w:rsidRDefault="0013463B" w:rsidP="0006656B">
            <w:pPr>
              <w:rPr>
                <w:rFonts w:ascii="Arial Narrow" w:hAnsi="Arial Narrow"/>
                <w:b/>
                <w:bCs/>
                <w:color w:val="7F1416"/>
                <w:lang w:val="fr-FR"/>
              </w:rPr>
            </w:pPr>
          </w:p>
          <w:p w14:paraId="75B09DEA" w14:textId="77777777" w:rsidR="0013463B" w:rsidRDefault="0013463B" w:rsidP="0006656B">
            <w:pPr>
              <w:rPr>
                <w:rFonts w:ascii="Arial Narrow" w:hAnsi="Arial Narrow"/>
                <w:b/>
                <w:bCs/>
                <w:color w:val="7F1416"/>
                <w:lang w:val="fr-FR"/>
              </w:rPr>
            </w:pPr>
          </w:p>
          <w:p w14:paraId="68F4E69B" w14:textId="77777777" w:rsidR="00F51FF5" w:rsidRPr="00D364C9" w:rsidRDefault="00F51FF5" w:rsidP="0006656B">
            <w:pPr>
              <w:rPr>
                <w:rFonts w:ascii="Arial Narrow" w:hAnsi="Arial Narrow"/>
                <w:b/>
                <w:bCs/>
                <w:color w:val="7F1416"/>
                <w:lang w:val="fr-FR"/>
              </w:rPr>
            </w:pPr>
          </w:p>
          <w:p w14:paraId="163FA55F" w14:textId="4EDB3A59" w:rsidR="00F51FF5" w:rsidRDefault="0039456E" w:rsidP="00F51FF5">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Dashboard de Réalisations du Cluster ABNA</w:t>
            </w:r>
          </w:p>
          <w:p w14:paraId="22B7F7EB" w14:textId="77777777" w:rsidR="00F51FF5" w:rsidRDefault="00F51FF5" w:rsidP="0006656B">
            <w:pPr>
              <w:rPr>
                <w:rFonts w:ascii="Arial Narrow" w:hAnsi="Arial Narrow"/>
                <w:b/>
                <w:bCs/>
                <w:color w:val="7F1416"/>
                <w:lang w:val="fr-FR"/>
              </w:rPr>
            </w:pPr>
          </w:p>
          <w:p w14:paraId="06AEB403" w14:textId="77777777" w:rsidR="00F51FF5" w:rsidRDefault="00F51FF5" w:rsidP="0006656B">
            <w:pPr>
              <w:rPr>
                <w:rFonts w:ascii="Arial Narrow" w:hAnsi="Arial Narrow"/>
                <w:b/>
                <w:bCs/>
                <w:color w:val="7F1416"/>
                <w:lang w:val="fr-FR"/>
              </w:rPr>
            </w:pPr>
          </w:p>
          <w:p w14:paraId="773C8F0F" w14:textId="77777777" w:rsidR="00F51FF5" w:rsidRPr="0099335C" w:rsidRDefault="00F51FF5" w:rsidP="0006656B">
            <w:pPr>
              <w:rPr>
                <w:rFonts w:ascii="Arial Narrow" w:hAnsi="Arial Narrow"/>
                <w:b/>
                <w:bCs/>
                <w:color w:val="7F1416"/>
                <w:lang w:val="fr-FR"/>
              </w:rPr>
            </w:pPr>
          </w:p>
          <w:p w14:paraId="69492696" w14:textId="1F32AF1D" w:rsidR="00F51FF5" w:rsidRDefault="007B7B9B" w:rsidP="00F51FF5">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HPC 2023</w:t>
            </w:r>
            <w:r w:rsidR="000F16A1">
              <w:rPr>
                <w:rFonts w:ascii="Arial Narrow" w:hAnsi="Arial Narrow"/>
                <w:b/>
                <w:bCs/>
                <w:color w:val="7F1416"/>
                <w:lang w:val="fr-FR"/>
              </w:rPr>
              <w:t xml:space="preserve"> : Méthodologie des Calculs </w:t>
            </w:r>
            <w:r w:rsidR="00327BF3">
              <w:rPr>
                <w:rFonts w:ascii="Arial Narrow" w:hAnsi="Arial Narrow"/>
                <w:b/>
                <w:bCs/>
                <w:color w:val="7F1416"/>
                <w:lang w:val="fr-FR"/>
              </w:rPr>
              <w:t>de PiN &amp; Coûts par Activité</w:t>
            </w:r>
          </w:p>
          <w:p w14:paraId="365A3750" w14:textId="77777777" w:rsidR="00F51FF5" w:rsidRDefault="00F51FF5" w:rsidP="0006656B">
            <w:pPr>
              <w:rPr>
                <w:rFonts w:ascii="Arial Narrow" w:hAnsi="Arial Narrow"/>
                <w:b/>
                <w:bCs/>
                <w:color w:val="7F1416"/>
                <w:lang w:val="fr-FR"/>
              </w:rPr>
            </w:pPr>
          </w:p>
          <w:p w14:paraId="3E08C457" w14:textId="77777777" w:rsidR="00F51FF5" w:rsidRDefault="00F51FF5" w:rsidP="0006656B">
            <w:pPr>
              <w:rPr>
                <w:rFonts w:ascii="Arial Narrow" w:hAnsi="Arial Narrow"/>
                <w:b/>
                <w:bCs/>
                <w:color w:val="7F1416"/>
                <w:lang w:val="fr-FR"/>
              </w:rPr>
            </w:pPr>
          </w:p>
          <w:p w14:paraId="716113FF" w14:textId="77777777" w:rsidR="00F51FF5" w:rsidRDefault="00F51FF5" w:rsidP="0006656B">
            <w:pPr>
              <w:rPr>
                <w:rFonts w:ascii="Arial Narrow" w:hAnsi="Arial Narrow"/>
                <w:b/>
                <w:bCs/>
                <w:color w:val="7F1416"/>
                <w:lang w:val="fr-FR"/>
              </w:rPr>
            </w:pPr>
          </w:p>
          <w:p w14:paraId="34490809" w14:textId="77777777" w:rsidR="00F51FF5" w:rsidRDefault="00F51FF5" w:rsidP="0006656B">
            <w:pPr>
              <w:rPr>
                <w:rFonts w:ascii="Arial Narrow" w:hAnsi="Arial Narrow"/>
                <w:b/>
                <w:bCs/>
                <w:color w:val="7F1416"/>
                <w:lang w:val="fr-FR"/>
              </w:rPr>
            </w:pPr>
          </w:p>
          <w:p w14:paraId="70C61869" w14:textId="77777777" w:rsidR="00F51FF5" w:rsidRDefault="00F51FF5" w:rsidP="0006656B">
            <w:pPr>
              <w:rPr>
                <w:rFonts w:ascii="Arial Narrow" w:hAnsi="Arial Narrow"/>
                <w:b/>
                <w:bCs/>
                <w:color w:val="7F1416"/>
                <w:lang w:val="fr-FR"/>
              </w:rPr>
            </w:pPr>
          </w:p>
          <w:p w14:paraId="7AA3577F" w14:textId="77777777" w:rsidR="00F51FF5" w:rsidRDefault="00F51FF5" w:rsidP="0006656B">
            <w:pPr>
              <w:rPr>
                <w:rFonts w:ascii="Arial Narrow" w:hAnsi="Arial Narrow"/>
                <w:b/>
                <w:bCs/>
                <w:color w:val="7F1416"/>
                <w:lang w:val="fr-FR"/>
              </w:rPr>
            </w:pPr>
          </w:p>
          <w:p w14:paraId="67609DF1" w14:textId="77777777" w:rsidR="00F51FF5" w:rsidRDefault="00F51FF5" w:rsidP="0006656B">
            <w:pPr>
              <w:rPr>
                <w:rFonts w:ascii="Arial Narrow" w:hAnsi="Arial Narrow"/>
                <w:b/>
                <w:bCs/>
                <w:color w:val="7F1416"/>
                <w:lang w:val="fr-FR"/>
              </w:rPr>
            </w:pPr>
          </w:p>
          <w:p w14:paraId="00981BAB" w14:textId="77777777" w:rsidR="00F51FF5" w:rsidRPr="000B39D7" w:rsidRDefault="00F51FF5" w:rsidP="0006656B">
            <w:pPr>
              <w:rPr>
                <w:rFonts w:ascii="Arial Narrow" w:hAnsi="Arial Narrow"/>
                <w:b/>
                <w:bCs/>
                <w:color w:val="7F1416"/>
                <w:lang w:val="fr-FR"/>
              </w:rPr>
            </w:pPr>
          </w:p>
          <w:p w14:paraId="666A1EEC" w14:textId="4F8A7AA3" w:rsidR="00F51FF5" w:rsidRDefault="00062EF3" w:rsidP="00F51FF5">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Shelter Activity Matrix</w:t>
            </w:r>
          </w:p>
          <w:p w14:paraId="0E8F916A" w14:textId="77777777" w:rsidR="00302892" w:rsidRDefault="00302892" w:rsidP="00302892">
            <w:pPr>
              <w:pStyle w:val="ListParagraph"/>
              <w:spacing w:line="259" w:lineRule="auto"/>
              <w:ind w:left="360"/>
              <w:rPr>
                <w:rFonts w:ascii="Arial Narrow" w:hAnsi="Arial Narrow"/>
                <w:b/>
                <w:bCs/>
                <w:color w:val="7F1416"/>
                <w:lang w:val="fr-FR"/>
              </w:rPr>
            </w:pPr>
          </w:p>
          <w:p w14:paraId="10313F98" w14:textId="77777777" w:rsidR="00F51FF5" w:rsidRDefault="00F51FF5" w:rsidP="0006656B">
            <w:pPr>
              <w:rPr>
                <w:rFonts w:ascii="Arial Narrow" w:hAnsi="Arial Narrow"/>
                <w:b/>
                <w:bCs/>
                <w:color w:val="7F1416"/>
                <w:lang w:val="fr-FR"/>
              </w:rPr>
            </w:pPr>
          </w:p>
          <w:p w14:paraId="0BD22CCD" w14:textId="77777777" w:rsidR="00F51FF5" w:rsidRDefault="00F51FF5" w:rsidP="0006656B">
            <w:pPr>
              <w:rPr>
                <w:rFonts w:ascii="Arial Narrow" w:hAnsi="Arial Narrow"/>
                <w:b/>
                <w:bCs/>
                <w:color w:val="7F1416"/>
                <w:lang w:val="fr-FR"/>
              </w:rPr>
            </w:pPr>
          </w:p>
          <w:p w14:paraId="190D7942" w14:textId="77777777" w:rsidR="00F51FF5" w:rsidRPr="00FD10D3" w:rsidRDefault="00F51FF5" w:rsidP="0006656B">
            <w:pPr>
              <w:rPr>
                <w:rFonts w:ascii="Arial Narrow" w:hAnsi="Arial Narrow"/>
                <w:b/>
                <w:bCs/>
                <w:color w:val="7F1416"/>
                <w:lang w:val="fr-FR"/>
              </w:rPr>
            </w:pPr>
          </w:p>
          <w:p w14:paraId="34F1A913" w14:textId="38D8BE62" w:rsidR="00F51FF5" w:rsidRPr="00FD10D3" w:rsidRDefault="00062EF3" w:rsidP="00F51FF5">
            <w:pPr>
              <w:pStyle w:val="ListParagraph"/>
              <w:numPr>
                <w:ilvl w:val="0"/>
                <w:numId w:val="4"/>
              </w:numPr>
              <w:spacing w:line="259" w:lineRule="auto"/>
              <w:rPr>
                <w:rFonts w:ascii="Arial Narrow" w:hAnsi="Arial Narrow"/>
                <w:b/>
                <w:bCs/>
                <w:color w:val="7F1416"/>
                <w:lang w:val="fr-FR"/>
              </w:rPr>
            </w:pPr>
            <w:r>
              <w:rPr>
                <w:rFonts w:ascii="Arial Narrow" w:hAnsi="Arial Narrow"/>
                <w:b/>
                <w:bCs/>
                <w:color w:val="7F1416"/>
                <w:lang w:val="fr-FR"/>
              </w:rPr>
              <w:t xml:space="preserve">Divers : </w:t>
            </w:r>
            <w:r w:rsidR="009B24C9">
              <w:rPr>
                <w:rFonts w:ascii="Arial Narrow" w:hAnsi="Arial Narrow"/>
                <w:b/>
                <w:bCs/>
                <w:color w:val="7F1416"/>
                <w:lang w:val="fr-FR"/>
              </w:rPr>
              <w:t>Forum National sur l’Environnement et le Climat</w:t>
            </w:r>
            <w:r w:rsidR="00B53282">
              <w:rPr>
                <w:rFonts w:ascii="Arial Narrow" w:hAnsi="Arial Narrow"/>
                <w:b/>
                <w:bCs/>
                <w:color w:val="7F1416"/>
                <w:lang w:val="fr-FR"/>
              </w:rPr>
              <w:t xml:space="preserve"> &amp; Retraite du Cluster ABNA</w:t>
            </w:r>
          </w:p>
        </w:tc>
        <w:tc>
          <w:tcPr>
            <w:tcW w:w="11666" w:type="dxa"/>
            <w:tcBorders>
              <w:top w:val="single" w:sz="6" w:space="0" w:color="CCCCCC"/>
              <w:left w:val="single" w:sz="6" w:space="0" w:color="CCCCCC"/>
              <w:bottom w:val="nil"/>
              <w:right w:val="single" w:sz="6" w:space="0" w:color="CCCCCC"/>
            </w:tcBorders>
            <w:shd w:val="clear" w:color="auto" w:fill="FFFFFF"/>
            <w:tcMar>
              <w:top w:w="30" w:type="dxa"/>
              <w:left w:w="45" w:type="dxa"/>
              <w:bottom w:w="30" w:type="dxa"/>
              <w:right w:w="45" w:type="dxa"/>
            </w:tcMar>
          </w:tcPr>
          <w:p w14:paraId="6E50534F" w14:textId="7E71451A" w:rsidR="00F51FF5" w:rsidRPr="00663EDB" w:rsidRDefault="00DD30D8" w:rsidP="00A06E7B">
            <w:pPr>
              <w:rPr>
                <w:rFonts w:ascii="Arial Narrow" w:hAnsi="Arial Narrow"/>
                <w:lang w:val="fr-FR"/>
              </w:rPr>
            </w:pPr>
            <w:r w:rsidRPr="00663EDB">
              <w:rPr>
                <w:rFonts w:ascii="Arial Narrow" w:hAnsi="Arial Narrow"/>
                <w:lang w:val="fr-FR"/>
              </w:rPr>
              <w:lastRenderedPageBreak/>
              <w:t>S</w:t>
            </w:r>
            <w:r w:rsidR="00B847A3" w:rsidRPr="00663EDB">
              <w:rPr>
                <w:rFonts w:ascii="Arial Narrow" w:hAnsi="Arial Narrow"/>
                <w:lang w:val="fr-FR"/>
              </w:rPr>
              <w:t xml:space="preserve">’agissant </w:t>
            </w:r>
            <w:r w:rsidR="005E4A3A" w:rsidRPr="00663EDB">
              <w:rPr>
                <w:rFonts w:ascii="Arial Narrow" w:hAnsi="Arial Narrow"/>
                <w:lang w:val="fr-FR"/>
              </w:rPr>
              <w:t xml:space="preserve">de </w:t>
            </w:r>
            <w:r w:rsidR="001226C7" w:rsidRPr="00663EDB">
              <w:rPr>
                <w:rFonts w:ascii="Arial Narrow" w:hAnsi="Arial Narrow"/>
                <w:lang w:val="fr-FR"/>
              </w:rPr>
              <w:t>l</w:t>
            </w:r>
            <w:r w:rsidR="00CF3B07" w:rsidRPr="00663EDB">
              <w:rPr>
                <w:rFonts w:ascii="Arial Narrow" w:hAnsi="Arial Narrow"/>
                <w:lang w:val="fr-FR"/>
              </w:rPr>
              <w:t xml:space="preserve">a recommandation sur </w:t>
            </w:r>
            <w:r w:rsidR="00C1570F" w:rsidRPr="00663EDB">
              <w:rPr>
                <w:rFonts w:ascii="Arial Narrow" w:hAnsi="Arial Narrow"/>
                <w:lang w:val="fr-FR"/>
              </w:rPr>
              <w:t xml:space="preserve">le </w:t>
            </w:r>
            <w:r w:rsidR="00CF3B07" w:rsidRPr="00663EDB">
              <w:rPr>
                <w:rFonts w:ascii="Arial Narrow" w:hAnsi="Arial Narrow"/>
                <w:lang w:val="fr-FR"/>
              </w:rPr>
              <w:t xml:space="preserve">Partage de l’approche développée par l’unité </w:t>
            </w:r>
            <w:r w:rsidR="005E4A3A" w:rsidRPr="00663EDB">
              <w:rPr>
                <w:rFonts w:ascii="Arial Narrow" w:hAnsi="Arial Narrow"/>
                <w:lang w:val="fr-FR"/>
              </w:rPr>
              <w:t>de Gestion de l’</w:t>
            </w:r>
            <w:r w:rsidR="004A70E7" w:rsidRPr="00663EDB">
              <w:rPr>
                <w:rFonts w:ascii="Arial Narrow" w:hAnsi="Arial Narrow"/>
                <w:lang w:val="fr-FR"/>
              </w:rPr>
              <w:t>I</w:t>
            </w:r>
            <w:r w:rsidR="005E4A3A" w:rsidRPr="00663EDB">
              <w:rPr>
                <w:rFonts w:ascii="Arial Narrow" w:hAnsi="Arial Narrow"/>
                <w:lang w:val="fr-FR"/>
              </w:rPr>
              <w:t>nformation (IM)</w:t>
            </w:r>
            <w:r w:rsidR="00CF3B07" w:rsidRPr="00663EDB">
              <w:rPr>
                <w:rFonts w:ascii="Arial Narrow" w:hAnsi="Arial Narrow"/>
                <w:lang w:val="fr-FR"/>
              </w:rPr>
              <w:t xml:space="preserve"> du mécanisme de collecte mis en œuvre au Cluster Protection</w:t>
            </w:r>
            <w:r w:rsidR="0057643D" w:rsidRPr="00663EDB">
              <w:rPr>
                <w:rFonts w:ascii="Arial Narrow" w:hAnsi="Arial Narrow"/>
                <w:lang w:val="fr-FR"/>
              </w:rPr>
              <w:t xml:space="preserve">, les participants ont recommandé d’organiser une </w:t>
            </w:r>
            <w:r w:rsidR="00AC73B4" w:rsidRPr="00663EDB">
              <w:rPr>
                <w:rFonts w:ascii="Arial Narrow" w:hAnsi="Arial Narrow"/>
                <w:lang w:val="fr-FR"/>
              </w:rPr>
              <w:t xml:space="preserve">réunion de </w:t>
            </w:r>
            <w:r w:rsidR="00F31730" w:rsidRPr="00663EDB">
              <w:rPr>
                <w:rFonts w:ascii="Arial Narrow" w:hAnsi="Arial Narrow"/>
                <w:lang w:val="fr-FR"/>
              </w:rPr>
              <w:t>mise à jour</w:t>
            </w:r>
            <w:r w:rsidR="004A70E7" w:rsidRPr="00663EDB">
              <w:rPr>
                <w:rFonts w:ascii="Arial Narrow" w:hAnsi="Arial Narrow"/>
                <w:lang w:val="fr-FR"/>
              </w:rPr>
              <w:t>. Tout</w:t>
            </w:r>
            <w:r w:rsidR="00AC73B4" w:rsidRPr="00663EDB">
              <w:rPr>
                <w:rFonts w:ascii="Arial Narrow" w:hAnsi="Arial Narrow"/>
                <w:lang w:val="fr-FR"/>
              </w:rPr>
              <w:t xml:space="preserve"> en faisant action de suivi de tous les outils </w:t>
            </w:r>
            <w:r w:rsidR="00F31730" w:rsidRPr="00663EDB">
              <w:rPr>
                <w:rFonts w:ascii="Arial Narrow" w:hAnsi="Arial Narrow"/>
                <w:lang w:val="fr-FR"/>
              </w:rPr>
              <w:t xml:space="preserve">et </w:t>
            </w:r>
            <w:r w:rsidR="00AC73B4" w:rsidRPr="00663EDB">
              <w:rPr>
                <w:rFonts w:ascii="Arial Narrow" w:hAnsi="Arial Narrow"/>
                <w:lang w:val="fr-FR"/>
              </w:rPr>
              <w:t>en présentant l’approche à la fin de la réunion concernant le partage de l’approche développée par les IM</w:t>
            </w:r>
            <w:r w:rsidR="00A06E7B" w:rsidRPr="00663EDB">
              <w:rPr>
                <w:rFonts w:ascii="Arial Narrow" w:hAnsi="Arial Narrow"/>
                <w:lang w:val="fr-FR"/>
              </w:rPr>
              <w:t>.</w:t>
            </w:r>
          </w:p>
          <w:p w14:paraId="226BD309" w14:textId="77777777" w:rsidR="008C6071" w:rsidRPr="00663EDB" w:rsidRDefault="00A06E7B" w:rsidP="008C6071">
            <w:pPr>
              <w:rPr>
                <w:rFonts w:ascii="Arial Narrow" w:hAnsi="Arial Narrow"/>
                <w:lang w:val="fr-FR"/>
              </w:rPr>
            </w:pPr>
            <w:r w:rsidRPr="00663EDB">
              <w:rPr>
                <w:rFonts w:ascii="Arial Narrow" w:hAnsi="Arial Narrow"/>
                <w:lang w:val="fr-FR"/>
              </w:rPr>
              <w:t>Le</w:t>
            </w:r>
            <w:r w:rsidRPr="00663EDB">
              <w:rPr>
                <w:rFonts w:ascii="Arial Narrow" w:hAnsi="Arial Narrow"/>
                <w:lang w:val="fr-FR"/>
              </w:rPr>
              <w:t xml:space="preserve"> suivi d</w:t>
            </w:r>
            <w:r w:rsidR="00630175" w:rsidRPr="00663EDB">
              <w:rPr>
                <w:rFonts w:ascii="Arial Narrow" w:hAnsi="Arial Narrow"/>
                <w:lang w:val="fr-FR"/>
              </w:rPr>
              <w:t>e</w:t>
            </w:r>
            <w:r w:rsidR="00877253" w:rsidRPr="00663EDB">
              <w:rPr>
                <w:rFonts w:ascii="Arial Narrow" w:hAnsi="Arial Narrow"/>
                <w:lang w:val="fr-FR"/>
              </w:rPr>
              <w:t xml:space="preserve"> </w:t>
            </w:r>
            <w:r w:rsidRPr="00663EDB">
              <w:rPr>
                <w:rFonts w:ascii="Arial Narrow" w:hAnsi="Arial Narrow"/>
                <w:lang w:val="fr-FR"/>
              </w:rPr>
              <w:t xml:space="preserve">financement HRP 2022 </w:t>
            </w:r>
            <w:r w:rsidR="00626FE6" w:rsidRPr="00663EDB">
              <w:rPr>
                <w:rFonts w:ascii="Arial Narrow" w:hAnsi="Arial Narrow"/>
                <w:lang w:val="fr-FR"/>
              </w:rPr>
              <w:t>nécessite également que</w:t>
            </w:r>
            <w:r w:rsidRPr="00663EDB">
              <w:rPr>
                <w:rFonts w:ascii="Arial Narrow" w:hAnsi="Arial Narrow"/>
                <w:lang w:val="fr-FR"/>
              </w:rPr>
              <w:t xml:space="preserve"> les partenaires</w:t>
            </w:r>
            <w:r w:rsidR="00626FE6" w:rsidRPr="00663EDB">
              <w:rPr>
                <w:rFonts w:ascii="Arial Narrow" w:hAnsi="Arial Narrow"/>
                <w:lang w:val="fr-FR"/>
              </w:rPr>
              <w:t xml:space="preserve"> partagent leur </w:t>
            </w:r>
            <w:r w:rsidR="00CC2483" w:rsidRPr="00663EDB">
              <w:rPr>
                <w:rFonts w:ascii="Arial Narrow" w:hAnsi="Arial Narrow"/>
                <w:lang w:val="fr-FR"/>
              </w:rPr>
              <w:t>situation des fonds reçus.</w:t>
            </w:r>
          </w:p>
          <w:p w14:paraId="7DEBA8EC" w14:textId="0B616279" w:rsidR="009C5292" w:rsidRPr="009C5292" w:rsidRDefault="008C6071" w:rsidP="008C6071">
            <w:pPr>
              <w:rPr>
                <w:rFonts w:ascii="Arial Narrow" w:hAnsi="Arial Narrow"/>
                <w:lang w:val="fr-FR"/>
              </w:rPr>
            </w:pPr>
            <w:r w:rsidRPr="00663EDB">
              <w:rPr>
                <w:rFonts w:ascii="Arial Narrow" w:hAnsi="Arial Narrow"/>
                <w:lang w:val="fr-FR"/>
              </w:rPr>
              <w:t>Les travaux de la co</w:t>
            </w:r>
            <w:r w:rsidR="006067A0" w:rsidRPr="00663EDB">
              <w:rPr>
                <w:rFonts w:ascii="Arial Narrow" w:hAnsi="Arial Narrow"/>
                <w:lang w:val="fr-FR"/>
              </w:rPr>
              <w:t xml:space="preserve">llecte des données sur la </w:t>
            </w:r>
            <w:r w:rsidR="009C5292" w:rsidRPr="009C5292">
              <w:rPr>
                <w:rFonts w:ascii="Arial Narrow" w:hAnsi="Arial Narrow"/>
                <w:lang w:val="fr-FR"/>
              </w:rPr>
              <w:t>composition de kits et spécificité</w:t>
            </w:r>
            <w:r w:rsidR="00FC43BE" w:rsidRPr="00663EDB">
              <w:rPr>
                <w:rFonts w:ascii="Arial Narrow" w:hAnsi="Arial Narrow"/>
                <w:lang w:val="fr-FR"/>
              </w:rPr>
              <w:t>s d</w:t>
            </w:r>
            <w:r w:rsidR="009C5292" w:rsidRPr="009C5292">
              <w:rPr>
                <w:rFonts w:ascii="Arial Narrow" w:hAnsi="Arial Narrow"/>
                <w:lang w:val="fr-FR"/>
              </w:rPr>
              <w:t>es coûts par agences</w:t>
            </w:r>
            <w:r w:rsidR="00FC43BE" w:rsidRPr="00663EDB">
              <w:rPr>
                <w:rFonts w:ascii="Arial Narrow" w:hAnsi="Arial Narrow"/>
                <w:lang w:val="fr-FR"/>
              </w:rPr>
              <w:t xml:space="preserve"> ont été faits et l</w:t>
            </w:r>
            <w:r w:rsidR="00BC62B3" w:rsidRPr="00663EDB">
              <w:rPr>
                <w:rFonts w:ascii="Arial Narrow" w:hAnsi="Arial Narrow"/>
                <w:lang w:val="fr-FR"/>
              </w:rPr>
              <w:t>a projection des coûts par activité est faite sur cette base</w:t>
            </w:r>
            <w:r w:rsidR="00F61EBE" w:rsidRPr="00663EDB">
              <w:rPr>
                <w:rFonts w:ascii="Arial Narrow" w:hAnsi="Arial Narrow"/>
                <w:lang w:val="fr-FR"/>
              </w:rPr>
              <w:t>.</w:t>
            </w:r>
          </w:p>
          <w:p w14:paraId="5A74F05A" w14:textId="0CC1371C" w:rsidR="00A06E7B" w:rsidRDefault="00877253" w:rsidP="00A06E7B">
            <w:pPr>
              <w:rPr>
                <w:lang w:val="fr-FR"/>
              </w:rPr>
            </w:pPr>
            <w:r>
              <w:rPr>
                <w:lang w:val="fr-FR"/>
              </w:rPr>
              <w:t xml:space="preserve"> </w:t>
            </w:r>
          </w:p>
          <w:p w14:paraId="6B6BF40D" w14:textId="77777777" w:rsidR="00C7172F" w:rsidRPr="00A06E7B" w:rsidRDefault="00C7172F" w:rsidP="00A06E7B">
            <w:pPr>
              <w:rPr>
                <w:lang w:val="fr-FR"/>
              </w:rPr>
            </w:pPr>
          </w:p>
          <w:p w14:paraId="1A99010D" w14:textId="77777777" w:rsidR="00F51FF5" w:rsidRDefault="00F51FF5" w:rsidP="0006656B">
            <w:pPr>
              <w:rPr>
                <w:rFonts w:ascii="Arial Narrow" w:eastAsia="Calibri" w:hAnsi="Arial Narrow" w:cs="Calibri"/>
                <w:lang w:val="fr-FR"/>
              </w:rPr>
            </w:pPr>
          </w:p>
          <w:p w14:paraId="7ACA133B" w14:textId="55FF763F" w:rsidR="00F51FF5" w:rsidRDefault="00154197" w:rsidP="0006656B">
            <w:pPr>
              <w:rPr>
                <w:rFonts w:ascii="Arial Narrow" w:eastAsia="Calibri" w:hAnsi="Arial Narrow" w:cs="Calibri"/>
                <w:b/>
                <w:bCs/>
                <w:lang w:val="fr-FR"/>
              </w:rPr>
            </w:pPr>
            <w:r>
              <w:rPr>
                <w:rFonts w:ascii="Arial Narrow" w:eastAsia="Calibri" w:hAnsi="Arial Narrow" w:cs="Calibri"/>
                <w:lang w:val="fr-FR"/>
              </w:rPr>
              <w:t xml:space="preserve">La situation </w:t>
            </w:r>
            <w:r w:rsidR="007004BA">
              <w:rPr>
                <w:rFonts w:ascii="Arial Narrow" w:eastAsia="Calibri" w:hAnsi="Arial Narrow" w:cs="Calibri"/>
                <w:lang w:val="fr-FR"/>
              </w:rPr>
              <w:t>de positionnements</w:t>
            </w:r>
            <w:r>
              <w:rPr>
                <w:rFonts w:ascii="Arial Narrow" w:eastAsia="Calibri" w:hAnsi="Arial Narrow" w:cs="Calibri"/>
                <w:lang w:val="fr-FR"/>
              </w:rPr>
              <w:t xml:space="preserve"> </w:t>
            </w:r>
            <w:r w:rsidR="007004BA">
              <w:rPr>
                <w:rFonts w:ascii="Arial Narrow" w:eastAsia="Calibri" w:hAnsi="Arial Narrow" w:cs="Calibri"/>
                <w:lang w:val="fr-FR"/>
              </w:rPr>
              <w:t>du</w:t>
            </w:r>
            <w:r>
              <w:rPr>
                <w:rFonts w:ascii="Arial Narrow" w:eastAsia="Calibri" w:hAnsi="Arial Narrow" w:cs="Calibri"/>
                <w:lang w:val="fr-FR"/>
              </w:rPr>
              <w:t xml:space="preserve"> Mécanisme</w:t>
            </w:r>
            <w:r w:rsidR="002A2B89">
              <w:rPr>
                <w:rFonts w:ascii="Arial Narrow" w:eastAsia="Calibri" w:hAnsi="Arial Narrow" w:cs="Calibri"/>
                <w:lang w:val="fr-FR"/>
              </w:rPr>
              <w:t xml:space="preserve"> de Réponse Rapide (</w:t>
            </w:r>
            <w:r>
              <w:rPr>
                <w:rFonts w:ascii="Arial Narrow" w:eastAsia="Calibri" w:hAnsi="Arial Narrow" w:cs="Calibri"/>
                <w:lang w:val="fr-FR"/>
              </w:rPr>
              <w:t>RRM</w:t>
            </w:r>
            <w:r w:rsidR="007004BA">
              <w:rPr>
                <w:rFonts w:ascii="Arial Narrow" w:eastAsia="Calibri" w:hAnsi="Arial Narrow" w:cs="Calibri"/>
                <w:lang w:val="fr-FR"/>
              </w:rPr>
              <w:t>)</w:t>
            </w:r>
            <w:r>
              <w:rPr>
                <w:rFonts w:ascii="Arial Narrow" w:eastAsia="Calibri" w:hAnsi="Arial Narrow" w:cs="Calibri"/>
                <w:lang w:val="fr-FR"/>
              </w:rPr>
              <w:t xml:space="preserve"> couvre 26</w:t>
            </w:r>
            <w:r w:rsidR="002A2B89">
              <w:rPr>
                <w:rFonts w:ascii="Arial Narrow" w:eastAsia="Calibri" w:hAnsi="Arial Narrow" w:cs="Calibri"/>
                <w:lang w:val="fr-FR"/>
              </w:rPr>
              <w:t xml:space="preserve"> évaluations effectuées </w:t>
            </w:r>
            <w:r w:rsidR="007004BA">
              <w:rPr>
                <w:rFonts w:ascii="Arial Narrow" w:eastAsia="Calibri" w:hAnsi="Arial Narrow" w:cs="Calibri"/>
                <w:lang w:val="fr-FR"/>
              </w:rPr>
              <w:t>durant</w:t>
            </w:r>
            <w:r w:rsidR="002A2B89">
              <w:rPr>
                <w:rFonts w:ascii="Arial Narrow" w:eastAsia="Calibri" w:hAnsi="Arial Narrow" w:cs="Calibri"/>
                <w:lang w:val="fr-FR"/>
              </w:rPr>
              <w:t xml:space="preserve"> la période de septembre à octobre</w:t>
            </w:r>
            <w:r w:rsidR="003D2FBD">
              <w:rPr>
                <w:rFonts w:ascii="Arial Narrow" w:eastAsia="Calibri" w:hAnsi="Arial Narrow" w:cs="Calibri"/>
                <w:lang w:val="fr-FR"/>
              </w:rPr>
              <w:t xml:space="preserve"> 2022 et touchant</w:t>
            </w:r>
            <w:r w:rsidR="003E4FF6">
              <w:rPr>
                <w:rFonts w:ascii="Arial Narrow" w:eastAsia="Calibri" w:hAnsi="Arial Narrow" w:cs="Calibri"/>
                <w:lang w:val="fr-FR"/>
              </w:rPr>
              <w:t xml:space="preserve"> 7 régions, notamment, Gao, Kidal, Koulikoro, Mopti,</w:t>
            </w:r>
            <w:r w:rsidR="005222AB">
              <w:rPr>
                <w:rFonts w:ascii="Arial Narrow" w:eastAsia="Calibri" w:hAnsi="Arial Narrow" w:cs="Calibri"/>
                <w:lang w:val="fr-FR"/>
              </w:rPr>
              <w:t xml:space="preserve"> </w:t>
            </w:r>
            <w:r w:rsidR="008743F2">
              <w:rPr>
                <w:rFonts w:ascii="Arial Narrow" w:eastAsia="Calibri" w:hAnsi="Arial Narrow" w:cs="Calibri"/>
                <w:lang w:val="fr-FR"/>
              </w:rPr>
              <w:t>Ségou</w:t>
            </w:r>
            <w:r w:rsidR="005222AB">
              <w:rPr>
                <w:rFonts w:ascii="Arial Narrow" w:eastAsia="Calibri" w:hAnsi="Arial Narrow" w:cs="Calibri"/>
                <w:lang w:val="fr-FR"/>
              </w:rPr>
              <w:t xml:space="preserve">, </w:t>
            </w:r>
            <w:r w:rsidR="008743F2">
              <w:rPr>
                <w:rFonts w:ascii="Arial Narrow" w:eastAsia="Calibri" w:hAnsi="Arial Narrow" w:cs="Calibri"/>
                <w:lang w:val="fr-FR"/>
              </w:rPr>
              <w:t>Tombouctou et Ménaka.</w:t>
            </w:r>
            <w:r w:rsidR="004A5E65">
              <w:rPr>
                <w:rFonts w:ascii="Arial Narrow" w:eastAsia="Calibri" w:hAnsi="Arial Narrow" w:cs="Calibri"/>
                <w:lang w:val="fr-FR"/>
              </w:rPr>
              <w:t xml:space="preserve"> En termes de la répartition spatiale par cercle</w:t>
            </w:r>
            <w:r w:rsidR="00032442">
              <w:rPr>
                <w:rFonts w:ascii="Arial Narrow" w:eastAsia="Calibri" w:hAnsi="Arial Narrow" w:cs="Calibri"/>
                <w:lang w:val="fr-FR"/>
              </w:rPr>
              <w:t>, elle couvre les cercles de Gao, Kidal, Koulikoro</w:t>
            </w:r>
            <w:r w:rsidR="0035607D">
              <w:rPr>
                <w:rFonts w:ascii="Arial Narrow" w:eastAsia="Calibri" w:hAnsi="Arial Narrow" w:cs="Calibri"/>
                <w:lang w:val="fr-FR"/>
              </w:rPr>
              <w:t>, Bankass, Djenné, Koro, Mopti, Tominian, San</w:t>
            </w:r>
            <w:r w:rsidR="00526EA2">
              <w:rPr>
                <w:rFonts w:ascii="Arial Narrow" w:eastAsia="Calibri" w:hAnsi="Arial Narrow" w:cs="Calibri"/>
                <w:lang w:val="fr-FR"/>
              </w:rPr>
              <w:t>, Ségou, Gourma-Rharous et Ménaka.</w:t>
            </w:r>
            <w:r w:rsidR="009066F6">
              <w:rPr>
                <w:rFonts w:ascii="Arial Narrow" w:eastAsia="Calibri" w:hAnsi="Arial Narrow" w:cs="Calibri"/>
                <w:lang w:val="fr-FR"/>
              </w:rPr>
              <w:t xml:space="preserve"> Ces évaluations du RRM ont pu identifier </w:t>
            </w:r>
            <w:r w:rsidR="009066F6" w:rsidRPr="009066F6">
              <w:rPr>
                <w:rFonts w:ascii="Arial Narrow" w:eastAsia="Calibri" w:hAnsi="Arial Narrow" w:cs="Calibri"/>
                <w:b/>
                <w:bCs/>
                <w:lang w:val="fr-FR"/>
              </w:rPr>
              <w:t>9,103</w:t>
            </w:r>
            <w:r w:rsidR="009066F6">
              <w:rPr>
                <w:rFonts w:ascii="Arial Narrow" w:eastAsia="Calibri" w:hAnsi="Arial Narrow" w:cs="Calibri"/>
                <w:b/>
                <w:bCs/>
                <w:lang w:val="fr-FR"/>
              </w:rPr>
              <w:t xml:space="preserve"> ménages</w:t>
            </w:r>
            <w:r w:rsidR="00F67DF5">
              <w:rPr>
                <w:rFonts w:ascii="Arial Narrow" w:eastAsia="Calibri" w:hAnsi="Arial Narrow" w:cs="Calibri"/>
                <w:b/>
                <w:bCs/>
                <w:lang w:val="fr-FR"/>
              </w:rPr>
              <w:t xml:space="preserve"> </w:t>
            </w:r>
            <w:r w:rsidR="00F67DF5">
              <w:rPr>
                <w:rFonts w:ascii="Arial Narrow" w:eastAsia="Calibri" w:hAnsi="Arial Narrow" w:cs="Calibri"/>
                <w:lang w:val="fr-FR"/>
              </w:rPr>
              <w:t xml:space="preserve">de </w:t>
            </w:r>
            <w:r w:rsidR="00F67DF5">
              <w:rPr>
                <w:rFonts w:ascii="Arial Narrow" w:eastAsia="Calibri" w:hAnsi="Arial Narrow" w:cs="Calibri"/>
                <w:b/>
                <w:bCs/>
                <w:lang w:val="fr-FR"/>
              </w:rPr>
              <w:t>52,889 personnes.</w:t>
            </w:r>
          </w:p>
          <w:p w14:paraId="44682069" w14:textId="0DB0DCF9" w:rsidR="00D828D4" w:rsidRPr="00C66B76" w:rsidRDefault="00D828D4" w:rsidP="0006656B">
            <w:pPr>
              <w:rPr>
                <w:rFonts w:ascii="Arial Narrow" w:eastAsia="Calibri" w:hAnsi="Arial Narrow" w:cs="Calibri"/>
                <w:b/>
                <w:bCs/>
                <w:lang w:val="fr-FR"/>
              </w:rPr>
            </w:pPr>
            <w:r>
              <w:rPr>
                <w:rFonts w:ascii="Arial Narrow" w:eastAsia="Calibri" w:hAnsi="Arial Narrow" w:cs="Calibri"/>
                <w:lang w:val="fr-FR"/>
              </w:rPr>
              <w:t>Le</w:t>
            </w:r>
            <w:r w:rsidR="006F1819">
              <w:rPr>
                <w:rFonts w:ascii="Arial Narrow" w:eastAsia="Calibri" w:hAnsi="Arial Narrow" w:cs="Calibri"/>
                <w:lang w:val="fr-FR"/>
              </w:rPr>
              <w:t xml:space="preserve"> RRM </w:t>
            </w:r>
            <w:r w:rsidR="00BE4C28">
              <w:rPr>
                <w:rFonts w:ascii="Arial Narrow" w:eastAsia="Calibri" w:hAnsi="Arial Narrow" w:cs="Calibri"/>
                <w:lang w:val="fr-FR"/>
              </w:rPr>
              <w:t xml:space="preserve">a pu </w:t>
            </w:r>
            <w:r w:rsidR="0081769A">
              <w:rPr>
                <w:rFonts w:ascii="Arial Narrow" w:eastAsia="Calibri" w:hAnsi="Arial Narrow" w:cs="Calibri"/>
                <w:lang w:val="fr-FR"/>
              </w:rPr>
              <w:t>se positionner</w:t>
            </w:r>
            <w:r w:rsidR="006B29A9">
              <w:rPr>
                <w:rFonts w:ascii="Arial Narrow" w:eastAsia="Calibri" w:hAnsi="Arial Narrow" w:cs="Calibri"/>
                <w:lang w:val="fr-FR"/>
              </w:rPr>
              <w:t>, en terme</w:t>
            </w:r>
            <w:r w:rsidR="0081769A">
              <w:rPr>
                <w:rFonts w:ascii="Arial Narrow" w:eastAsia="Calibri" w:hAnsi="Arial Narrow" w:cs="Calibri"/>
                <w:lang w:val="fr-FR"/>
              </w:rPr>
              <w:t>s</w:t>
            </w:r>
            <w:r w:rsidR="006B29A9">
              <w:rPr>
                <w:rFonts w:ascii="Arial Narrow" w:eastAsia="Calibri" w:hAnsi="Arial Narrow" w:cs="Calibri"/>
                <w:lang w:val="fr-FR"/>
              </w:rPr>
              <w:t xml:space="preserve"> d’assistance </w:t>
            </w:r>
            <w:r w:rsidR="00BE4C28">
              <w:rPr>
                <w:rFonts w:ascii="Arial Narrow" w:eastAsia="Calibri" w:hAnsi="Arial Narrow" w:cs="Calibri"/>
                <w:lang w:val="fr-FR"/>
              </w:rPr>
              <w:t>en Biens Non Alimentaires (BNA)</w:t>
            </w:r>
            <w:r w:rsidR="006B29A9">
              <w:rPr>
                <w:rFonts w:ascii="Arial Narrow" w:eastAsia="Calibri" w:hAnsi="Arial Narrow" w:cs="Calibri"/>
                <w:lang w:val="fr-FR"/>
              </w:rPr>
              <w:t>,</w:t>
            </w:r>
            <w:r w:rsidR="00BE4C28">
              <w:rPr>
                <w:rFonts w:ascii="Arial Narrow" w:eastAsia="Calibri" w:hAnsi="Arial Narrow" w:cs="Calibri"/>
                <w:lang w:val="fr-FR"/>
              </w:rPr>
              <w:t xml:space="preserve"> </w:t>
            </w:r>
            <w:r w:rsidR="0081769A">
              <w:rPr>
                <w:rFonts w:ascii="Arial Narrow" w:eastAsia="Calibri" w:hAnsi="Arial Narrow" w:cs="Calibri"/>
                <w:lang w:val="fr-FR"/>
              </w:rPr>
              <w:t>à travers 2</w:t>
            </w:r>
            <w:r w:rsidR="00654CC4">
              <w:rPr>
                <w:rFonts w:ascii="Arial Narrow" w:eastAsia="Calibri" w:hAnsi="Arial Narrow" w:cs="Calibri"/>
                <w:lang w:val="fr-FR"/>
              </w:rPr>
              <w:t xml:space="preserve">4 interventions dans les cercles de Gao, Ansongo, </w:t>
            </w:r>
            <w:r w:rsidR="00BF788B">
              <w:rPr>
                <w:rFonts w:ascii="Arial Narrow" w:eastAsia="Calibri" w:hAnsi="Arial Narrow" w:cs="Calibri"/>
                <w:lang w:val="fr-FR"/>
              </w:rPr>
              <w:t>Kidal, Koulikoro, Bankass, Djenné, Koro, Mopti, Bandiagara, Youwarou</w:t>
            </w:r>
            <w:r w:rsidR="00212413">
              <w:rPr>
                <w:rFonts w:ascii="Arial Narrow" w:eastAsia="Calibri" w:hAnsi="Arial Narrow" w:cs="Calibri"/>
                <w:lang w:val="fr-FR"/>
              </w:rPr>
              <w:t xml:space="preserve">, Tominian, San, Ségou, </w:t>
            </w:r>
            <w:r w:rsidR="0087221C">
              <w:rPr>
                <w:rFonts w:ascii="Arial Narrow" w:eastAsia="Calibri" w:hAnsi="Arial Narrow" w:cs="Calibri"/>
                <w:lang w:val="fr-FR"/>
              </w:rPr>
              <w:t>Gourma-Rharous et Ménaka</w:t>
            </w:r>
            <w:r w:rsidR="00B56A59">
              <w:rPr>
                <w:rFonts w:ascii="Arial Narrow" w:eastAsia="Calibri" w:hAnsi="Arial Narrow" w:cs="Calibri"/>
                <w:lang w:val="fr-FR"/>
              </w:rPr>
              <w:t xml:space="preserve">. Ces réponses ont pu atteindre </w:t>
            </w:r>
            <w:r w:rsidR="00C66B76">
              <w:rPr>
                <w:rFonts w:ascii="Arial Narrow" w:eastAsia="Calibri" w:hAnsi="Arial Narrow" w:cs="Calibri"/>
                <w:b/>
                <w:bCs/>
                <w:lang w:val="fr-FR"/>
              </w:rPr>
              <w:t xml:space="preserve">8,189 ménages </w:t>
            </w:r>
            <w:r w:rsidR="00C66B76">
              <w:rPr>
                <w:rFonts w:ascii="Arial Narrow" w:eastAsia="Calibri" w:hAnsi="Arial Narrow" w:cs="Calibri"/>
                <w:lang w:val="fr-FR"/>
              </w:rPr>
              <w:t xml:space="preserve">de </w:t>
            </w:r>
            <w:r w:rsidR="00C66B76">
              <w:rPr>
                <w:rFonts w:ascii="Arial Narrow" w:eastAsia="Calibri" w:hAnsi="Arial Narrow" w:cs="Calibri"/>
                <w:b/>
                <w:bCs/>
                <w:lang w:val="fr-FR"/>
              </w:rPr>
              <w:t>46,255 personnes</w:t>
            </w:r>
            <w:r w:rsidR="00663EDB">
              <w:rPr>
                <w:rFonts w:ascii="Arial Narrow" w:eastAsia="Calibri" w:hAnsi="Arial Narrow" w:cs="Calibri"/>
                <w:b/>
                <w:bCs/>
                <w:lang w:val="fr-FR"/>
              </w:rPr>
              <w:t>.</w:t>
            </w:r>
          </w:p>
          <w:p w14:paraId="73B73B84" w14:textId="053A2811" w:rsidR="00F51FF5" w:rsidRDefault="00C8668E" w:rsidP="00793BAD">
            <w:pPr>
              <w:rPr>
                <w:rFonts w:ascii="Arial Narrow" w:eastAsia="Calibri" w:hAnsi="Arial Narrow" w:cs="Calibri"/>
                <w:lang w:val="fr-FR"/>
              </w:rPr>
            </w:pPr>
            <w:r>
              <w:rPr>
                <w:rFonts w:ascii="Arial Narrow" w:eastAsia="Calibri" w:hAnsi="Arial Narrow" w:cs="Calibri"/>
                <w:lang w:val="fr-FR"/>
              </w:rPr>
              <w:t>Les évaluations en cours de planification</w:t>
            </w:r>
            <w:r w:rsidR="00105A72">
              <w:rPr>
                <w:rFonts w:ascii="Arial Narrow" w:eastAsia="Calibri" w:hAnsi="Arial Narrow" w:cs="Calibri"/>
                <w:lang w:val="fr-FR"/>
              </w:rPr>
              <w:t xml:space="preserve"> concernent</w:t>
            </w:r>
            <w:r w:rsidR="00D45D90">
              <w:rPr>
                <w:rFonts w:ascii="Arial Narrow" w:eastAsia="Calibri" w:hAnsi="Arial Narrow" w:cs="Calibri"/>
                <w:lang w:val="fr-FR"/>
              </w:rPr>
              <w:t xml:space="preserve"> les communes de Socoura (Mopti)</w:t>
            </w:r>
            <w:r w:rsidR="006B59BC">
              <w:rPr>
                <w:rFonts w:ascii="Arial Narrow" w:eastAsia="Calibri" w:hAnsi="Arial Narrow" w:cs="Calibri"/>
                <w:lang w:val="fr-FR"/>
              </w:rPr>
              <w:t xml:space="preserve">, </w:t>
            </w:r>
            <w:r w:rsidR="00A917E3">
              <w:rPr>
                <w:rFonts w:ascii="Arial Narrow" w:eastAsia="Calibri" w:hAnsi="Arial Narrow" w:cs="Calibri"/>
                <w:lang w:val="fr-FR"/>
              </w:rPr>
              <w:t>Haribomo</w:t>
            </w:r>
            <w:r w:rsidR="00847AA4">
              <w:rPr>
                <w:rFonts w:ascii="Arial Narrow" w:eastAsia="Calibri" w:hAnsi="Arial Narrow" w:cs="Calibri"/>
                <w:lang w:val="fr-FR"/>
              </w:rPr>
              <w:t xml:space="preserve"> (Gourma-Rharous à Tombouctou)</w:t>
            </w:r>
            <w:r w:rsidR="00A936A9" w:rsidRPr="007856CD">
              <w:rPr>
                <w:rFonts w:ascii="Arial Narrow" w:eastAsia="Calibri" w:hAnsi="Arial Narrow" w:cs="Calibri"/>
                <w:lang w:val="fr-FR"/>
              </w:rPr>
              <w:t>, Ansong</w:t>
            </w:r>
            <w:r w:rsidR="00EC73E2" w:rsidRPr="007856CD">
              <w:rPr>
                <w:rFonts w:ascii="Arial Narrow" w:eastAsia="Calibri" w:hAnsi="Arial Narrow" w:cs="Calibri"/>
                <w:lang w:val="fr-FR"/>
              </w:rPr>
              <w:t>o (Gao)</w:t>
            </w:r>
            <w:r w:rsidR="008630AC" w:rsidRPr="007856CD">
              <w:rPr>
                <w:rFonts w:ascii="Arial Narrow" w:eastAsia="Calibri" w:hAnsi="Arial Narrow" w:cs="Calibri"/>
                <w:lang w:val="fr-FR"/>
              </w:rPr>
              <w:t xml:space="preserve">, </w:t>
            </w:r>
            <w:r w:rsidR="007F09D2" w:rsidRPr="007856CD">
              <w:rPr>
                <w:rFonts w:ascii="Arial Narrow" w:eastAsia="Calibri" w:hAnsi="Arial Narrow" w:cs="Calibri"/>
                <w:lang w:val="fr-FR"/>
              </w:rPr>
              <w:t>Gounzoureye (Gao)</w:t>
            </w:r>
            <w:r w:rsidR="004E31C5" w:rsidRPr="007856CD">
              <w:rPr>
                <w:rFonts w:ascii="Arial Narrow" w:eastAsia="Calibri" w:hAnsi="Arial Narrow" w:cs="Calibri"/>
                <w:lang w:val="fr-FR"/>
              </w:rPr>
              <w:t>, Anchawadi (Edang</w:t>
            </w:r>
            <w:r w:rsidR="00E8445C" w:rsidRPr="007856CD">
              <w:rPr>
                <w:rFonts w:ascii="Arial Narrow" w:eastAsia="Calibri" w:hAnsi="Arial Narrow" w:cs="Calibri"/>
                <w:lang w:val="fr-FR"/>
              </w:rPr>
              <w:t xml:space="preserve"> à Gao), Bourem (Moudet à Gao), Ménaka</w:t>
            </w:r>
            <w:r w:rsidR="007856CD" w:rsidRPr="007856CD">
              <w:rPr>
                <w:rFonts w:ascii="Arial Narrow" w:eastAsia="Calibri" w:hAnsi="Arial Narrow" w:cs="Calibri"/>
                <w:lang w:val="fr-FR"/>
              </w:rPr>
              <w:t xml:space="preserve"> et le site de Faladié (Bamako).</w:t>
            </w:r>
          </w:p>
          <w:p w14:paraId="231FD870" w14:textId="1E2B7AD4" w:rsidR="007856CD" w:rsidRDefault="0056751F" w:rsidP="00793BAD">
            <w:pPr>
              <w:rPr>
                <w:rFonts w:ascii="Arial Narrow" w:eastAsia="Calibri" w:hAnsi="Arial Narrow" w:cs="Calibri"/>
                <w:lang w:val="fr-FR"/>
              </w:rPr>
            </w:pPr>
            <w:r>
              <w:rPr>
                <w:rFonts w:ascii="Arial Narrow" w:eastAsia="Calibri" w:hAnsi="Arial Narrow" w:cs="Calibri"/>
                <w:lang w:val="fr-FR"/>
              </w:rPr>
              <w:t>Les interventions en cours du RRM</w:t>
            </w:r>
            <w:r w:rsidR="000B0054">
              <w:rPr>
                <w:rFonts w:ascii="Arial Narrow" w:eastAsia="Calibri" w:hAnsi="Arial Narrow" w:cs="Calibri"/>
                <w:lang w:val="fr-FR"/>
              </w:rPr>
              <w:t xml:space="preserve"> concernent les communes de Ménaka (</w:t>
            </w:r>
            <w:r w:rsidR="003334FC">
              <w:rPr>
                <w:rFonts w:ascii="Arial Narrow" w:eastAsia="Calibri" w:hAnsi="Arial Narrow" w:cs="Calibri"/>
                <w:lang w:val="fr-FR"/>
              </w:rPr>
              <w:t xml:space="preserve">en BNA et abris pour </w:t>
            </w:r>
            <w:r w:rsidR="003334FC" w:rsidRPr="003334FC">
              <w:rPr>
                <w:rFonts w:ascii="Arial Narrow" w:eastAsia="Calibri" w:hAnsi="Arial Narrow" w:cs="Calibri"/>
                <w:b/>
                <w:bCs/>
                <w:lang w:val="fr-FR"/>
              </w:rPr>
              <w:t>3,518 personnes</w:t>
            </w:r>
            <w:r w:rsidR="003C16A4">
              <w:rPr>
                <w:rFonts w:ascii="Arial Narrow" w:eastAsia="Calibri" w:hAnsi="Arial Narrow" w:cs="Calibri"/>
                <w:b/>
                <w:bCs/>
                <w:lang w:val="fr-FR"/>
              </w:rPr>
              <w:t xml:space="preserve"> </w:t>
            </w:r>
            <w:r w:rsidR="003C16A4">
              <w:rPr>
                <w:rFonts w:ascii="Arial Narrow" w:eastAsia="Calibri" w:hAnsi="Arial Narrow" w:cs="Calibri"/>
                <w:lang w:val="fr-FR"/>
              </w:rPr>
              <w:t xml:space="preserve">par </w:t>
            </w:r>
            <w:r w:rsidR="003C16A4">
              <w:rPr>
                <w:rFonts w:ascii="Arial Narrow" w:eastAsia="Calibri" w:hAnsi="Arial Narrow" w:cs="Calibri"/>
                <w:b/>
                <w:bCs/>
                <w:lang w:val="fr-FR"/>
              </w:rPr>
              <w:t>CRS</w:t>
            </w:r>
            <w:r w:rsidR="009E0FD8">
              <w:rPr>
                <w:rFonts w:ascii="Arial Narrow" w:eastAsia="Calibri" w:hAnsi="Arial Narrow" w:cs="Calibri"/>
                <w:lang w:val="fr-FR"/>
              </w:rPr>
              <w:t>), Ségue (à Bankass en BNA</w:t>
            </w:r>
            <w:r w:rsidR="0004456D">
              <w:rPr>
                <w:rFonts w:ascii="Arial Narrow" w:eastAsia="Calibri" w:hAnsi="Arial Narrow" w:cs="Calibri"/>
                <w:lang w:val="fr-FR"/>
              </w:rPr>
              <w:t xml:space="preserve"> par </w:t>
            </w:r>
            <w:r w:rsidR="0004456D" w:rsidRPr="0004456D">
              <w:rPr>
                <w:rFonts w:ascii="Arial Narrow" w:eastAsia="Calibri" w:hAnsi="Arial Narrow" w:cs="Calibri"/>
                <w:b/>
                <w:bCs/>
                <w:lang w:val="fr-FR"/>
              </w:rPr>
              <w:t>ACTED</w:t>
            </w:r>
            <w:r w:rsidR="00A63B2A">
              <w:rPr>
                <w:rFonts w:ascii="Arial Narrow" w:eastAsia="Calibri" w:hAnsi="Arial Narrow" w:cs="Calibri"/>
                <w:lang w:val="fr-FR"/>
              </w:rPr>
              <w:t>), N’Tilit (à Gao en BNA</w:t>
            </w:r>
            <w:r w:rsidR="008E59C5">
              <w:rPr>
                <w:rFonts w:ascii="Arial Narrow" w:eastAsia="Calibri" w:hAnsi="Arial Narrow" w:cs="Calibri"/>
                <w:lang w:val="fr-FR"/>
              </w:rPr>
              <w:t xml:space="preserve"> et abris pour </w:t>
            </w:r>
            <w:r w:rsidR="00AC0086" w:rsidRPr="00AC0086">
              <w:rPr>
                <w:rFonts w:ascii="Arial Narrow" w:eastAsia="Calibri" w:hAnsi="Arial Narrow" w:cs="Calibri"/>
                <w:b/>
                <w:bCs/>
                <w:lang w:val="fr-FR"/>
              </w:rPr>
              <w:t>1,838</w:t>
            </w:r>
            <w:r w:rsidR="00AC0086">
              <w:rPr>
                <w:rFonts w:ascii="Arial Narrow" w:eastAsia="Calibri" w:hAnsi="Arial Narrow" w:cs="Calibri"/>
                <w:b/>
                <w:bCs/>
                <w:lang w:val="fr-FR"/>
              </w:rPr>
              <w:t xml:space="preserve"> personnes </w:t>
            </w:r>
            <w:r w:rsidR="00AC0086">
              <w:rPr>
                <w:rFonts w:ascii="Arial Narrow" w:eastAsia="Calibri" w:hAnsi="Arial Narrow" w:cs="Calibri"/>
                <w:lang w:val="fr-FR"/>
              </w:rPr>
              <w:t xml:space="preserve">par </w:t>
            </w:r>
            <w:r w:rsidR="00AC0086">
              <w:rPr>
                <w:rFonts w:ascii="Arial Narrow" w:eastAsia="Calibri" w:hAnsi="Arial Narrow" w:cs="Calibri"/>
                <w:b/>
                <w:bCs/>
                <w:lang w:val="fr-FR"/>
              </w:rPr>
              <w:t>CRS</w:t>
            </w:r>
            <w:r w:rsidR="00AC0086">
              <w:rPr>
                <w:rFonts w:ascii="Arial Narrow" w:eastAsia="Calibri" w:hAnsi="Arial Narrow" w:cs="Calibri"/>
                <w:lang w:val="fr-FR"/>
              </w:rPr>
              <w:t>)</w:t>
            </w:r>
            <w:r w:rsidR="005A0BA4">
              <w:rPr>
                <w:rFonts w:ascii="Arial Narrow" w:eastAsia="Calibri" w:hAnsi="Arial Narrow" w:cs="Calibri"/>
                <w:lang w:val="fr-FR"/>
              </w:rPr>
              <w:t>, Anchawadji (à Gao</w:t>
            </w:r>
            <w:r w:rsidR="001F51D4">
              <w:rPr>
                <w:rFonts w:ascii="Arial Narrow" w:eastAsia="Calibri" w:hAnsi="Arial Narrow" w:cs="Calibri"/>
                <w:lang w:val="fr-FR"/>
              </w:rPr>
              <w:t xml:space="preserve"> en </w:t>
            </w:r>
            <w:r w:rsidR="00B7451B">
              <w:rPr>
                <w:rFonts w:ascii="Arial Narrow" w:eastAsia="Calibri" w:hAnsi="Arial Narrow" w:cs="Calibri"/>
                <w:lang w:val="fr-FR"/>
              </w:rPr>
              <w:t xml:space="preserve">BNA et abris </w:t>
            </w:r>
            <w:r w:rsidR="005A0BA4">
              <w:rPr>
                <w:rFonts w:ascii="Arial Narrow" w:eastAsia="Calibri" w:hAnsi="Arial Narrow" w:cs="Calibri"/>
                <w:lang w:val="fr-FR"/>
              </w:rPr>
              <w:t xml:space="preserve">pour </w:t>
            </w:r>
            <w:r w:rsidR="005A0BA4">
              <w:rPr>
                <w:rFonts w:ascii="Arial Narrow" w:eastAsia="Calibri" w:hAnsi="Arial Narrow" w:cs="Calibri"/>
                <w:b/>
                <w:bCs/>
                <w:lang w:val="fr-FR"/>
              </w:rPr>
              <w:t>946 personnes</w:t>
            </w:r>
            <w:r w:rsidR="009B2D7F">
              <w:rPr>
                <w:rFonts w:ascii="Arial Narrow" w:eastAsia="Calibri" w:hAnsi="Arial Narrow" w:cs="Calibri"/>
                <w:b/>
                <w:bCs/>
                <w:lang w:val="fr-FR"/>
              </w:rPr>
              <w:t xml:space="preserve"> </w:t>
            </w:r>
            <w:r w:rsidR="009B2D7F">
              <w:rPr>
                <w:rFonts w:ascii="Arial Narrow" w:eastAsia="Calibri" w:hAnsi="Arial Narrow" w:cs="Calibri"/>
                <w:lang w:val="fr-FR"/>
              </w:rPr>
              <w:t xml:space="preserve">par </w:t>
            </w:r>
            <w:r w:rsidR="009B2D7F" w:rsidRPr="009B2D7F">
              <w:rPr>
                <w:rFonts w:ascii="Arial Narrow" w:eastAsia="Calibri" w:hAnsi="Arial Narrow" w:cs="Calibri"/>
                <w:b/>
                <w:bCs/>
                <w:lang w:val="fr-FR"/>
              </w:rPr>
              <w:t>CRS</w:t>
            </w:r>
            <w:r w:rsidR="009B2D7F">
              <w:rPr>
                <w:rFonts w:ascii="Arial Narrow" w:eastAsia="Calibri" w:hAnsi="Arial Narrow" w:cs="Calibri"/>
                <w:lang w:val="fr-FR"/>
              </w:rPr>
              <w:t xml:space="preserve">), </w:t>
            </w:r>
            <w:r w:rsidR="00056D50">
              <w:rPr>
                <w:rFonts w:ascii="Arial Narrow" w:eastAsia="Calibri" w:hAnsi="Arial Narrow" w:cs="Calibri"/>
                <w:lang w:val="fr-FR"/>
              </w:rPr>
              <w:t xml:space="preserve">Timissa (à Ségou en BNA et abris pour </w:t>
            </w:r>
            <w:r w:rsidR="00056D50">
              <w:rPr>
                <w:rFonts w:ascii="Arial Narrow" w:eastAsia="Calibri" w:hAnsi="Arial Narrow" w:cs="Calibri"/>
                <w:b/>
                <w:bCs/>
                <w:lang w:val="fr-FR"/>
              </w:rPr>
              <w:t>1,068 personnes</w:t>
            </w:r>
            <w:r w:rsidR="00707DCF">
              <w:rPr>
                <w:rFonts w:ascii="Arial Narrow" w:eastAsia="Calibri" w:hAnsi="Arial Narrow" w:cs="Calibri"/>
                <w:b/>
                <w:bCs/>
                <w:lang w:val="fr-FR"/>
              </w:rPr>
              <w:t xml:space="preserve"> </w:t>
            </w:r>
            <w:r w:rsidR="00707DCF">
              <w:rPr>
                <w:rFonts w:ascii="Arial Narrow" w:eastAsia="Calibri" w:hAnsi="Arial Narrow" w:cs="Calibri"/>
                <w:lang w:val="fr-FR"/>
              </w:rPr>
              <w:t xml:space="preserve">par </w:t>
            </w:r>
            <w:r w:rsidR="00707DCF" w:rsidRPr="00707DCF">
              <w:rPr>
                <w:rFonts w:ascii="Arial Narrow" w:eastAsia="Calibri" w:hAnsi="Arial Narrow" w:cs="Calibri"/>
                <w:b/>
                <w:bCs/>
                <w:lang w:val="fr-FR"/>
              </w:rPr>
              <w:t>Solidarités Internationales</w:t>
            </w:r>
            <w:r w:rsidR="00707DCF">
              <w:rPr>
                <w:rFonts w:ascii="Arial Narrow" w:eastAsia="Calibri" w:hAnsi="Arial Narrow" w:cs="Calibri"/>
                <w:lang w:val="fr-FR"/>
              </w:rPr>
              <w:t>)</w:t>
            </w:r>
            <w:r w:rsidR="00596172">
              <w:rPr>
                <w:rFonts w:ascii="Arial Narrow" w:eastAsia="Calibri" w:hAnsi="Arial Narrow" w:cs="Calibri"/>
                <w:lang w:val="fr-FR"/>
              </w:rPr>
              <w:t xml:space="preserve"> et Ansongo (à Gao en BNA</w:t>
            </w:r>
            <w:r w:rsidR="004118EA">
              <w:rPr>
                <w:rFonts w:ascii="Arial Narrow" w:eastAsia="Calibri" w:hAnsi="Arial Narrow" w:cs="Calibri"/>
                <w:lang w:val="fr-FR"/>
              </w:rPr>
              <w:t xml:space="preserve"> pour </w:t>
            </w:r>
            <w:r w:rsidR="004118EA">
              <w:rPr>
                <w:rFonts w:ascii="Arial Narrow" w:eastAsia="Calibri" w:hAnsi="Arial Narrow" w:cs="Calibri"/>
                <w:b/>
                <w:bCs/>
                <w:lang w:val="fr-FR"/>
              </w:rPr>
              <w:t xml:space="preserve">329 personnes </w:t>
            </w:r>
            <w:r w:rsidR="004118EA">
              <w:rPr>
                <w:rFonts w:ascii="Arial Narrow" w:eastAsia="Calibri" w:hAnsi="Arial Narrow" w:cs="Calibri"/>
                <w:lang w:val="fr-FR"/>
              </w:rPr>
              <w:t>par ACF).</w:t>
            </w:r>
          </w:p>
          <w:p w14:paraId="0513DECD" w14:textId="579D63D2" w:rsidR="004118EA" w:rsidRDefault="00A36740" w:rsidP="00793BAD">
            <w:pPr>
              <w:rPr>
                <w:rFonts w:ascii="Arial Narrow" w:eastAsia="Calibri" w:hAnsi="Arial Narrow" w:cs="Calibri"/>
                <w:lang w:val="fr-FR"/>
              </w:rPr>
            </w:pPr>
            <w:r>
              <w:rPr>
                <w:rFonts w:ascii="Arial Narrow" w:eastAsia="Calibri" w:hAnsi="Arial Narrow" w:cs="Calibri"/>
                <w:lang w:val="fr-FR"/>
              </w:rPr>
              <w:t>Les gaps en abris rapportés par le RRM</w:t>
            </w:r>
            <w:r w:rsidR="00C27888">
              <w:rPr>
                <w:rFonts w:ascii="Arial Narrow" w:eastAsia="Calibri" w:hAnsi="Arial Narrow" w:cs="Calibri"/>
                <w:lang w:val="fr-FR"/>
              </w:rPr>
              <w:t xml:space="preserve"> concernent </w:t>
            </w:r>
            <w:r w:rsidR="00C27888">
              <w:rPr>
                <w:rFonts w:ascii="Arial Narrow" w:eastAsia="Calibri" w:hAnsi="Arial Narrow" w:cs="Calibri"/>
                <w:b/>
                <w:bCs/>
                <w:lang w:val="fr-FR"/>
              </w:rPr>
              <w:t>5,530</w:t>
            </w:r>
            <w:r w:rsidR="00803628">
              <w:rPr>
                <w:rFonts w:ascii="Arial Narrow" w:eastAsia="Calibri" w:hAnsi="Arial Narrow" w:cs="Calibri"/>
                <w:b/>
                <w:bCs/>
                <w:lang w:val="fr-FR"/>
              </w:rPr>
              <w:t xml:space="preserve"> ménages </w:t>
            </w:r>
            <w:r w:rsidR="00803628" w:rsidRPr="00774C71">
              <w:rPr>
                <w:rFonts w:ascii="Arial Narrow" w:eastAsia="Calibri" w:hAnsi="Arial Narrow" w:cs="Calibri"/>
                <w:lang w:val="fr-FR"/>
              </w:rPr>
              <w:t>de</w:t>
            </w:r>
            <w:r w:rsidR="00803628">
              <w:rPr>
                <w:rFonts w:ascii="Arial Narrow" w:eastAsia="Calibri" w:hAnsi="Arial Narrow" w:cs="Calibri"/>
                <w:b/>
                <w:bCs/>
                <w:lang w:val="fr-FR"/>
              </w:rPr>
              <w:t xml:space="preserve"> 25,891 personnes </w:t>
            </w:r>
            <w:r w:rsidR="00803628" w:rsidRPr="00774C71">
              <w:rPr>
                <w:rFonts w:ascii="Arial Narrow" w:eastAsia="Calibri" w:hAnsi="Arial Narrow" w:cs="Calibri"/>
                <w:lang w:val="fr-FR"/>
              </w:rPr>
              <w:t>n’a</w:t>
            </w:r>
            <w:r w:rsidR="00774C71" w:rsidRPr="00774C71">
              <w:rPr>
                <w:rFonts w:ascii="Arial Narrow" w:eastAsia="Calibri" w:hAnsi="Arial Narrow" w:cs="Calibri"/>
                <w:lang w:val="fr-FR"/>
              </w:rPr>
              <w:t>yant</w:t>
            </w:r>
            <w:r w:rsidR="006D77ED">
              <w:rPr>
                <w:rFonts w:ascii="Arial Narrow" w:eastAsia="Calibri" w:hAnsi="Arial Narrow" w:cs="Calibri"/>
                <w:lang w:val="fr-FR"/>
              </w:rPr>
              <w:t xml:space="preserve"> pas reçu l’assistance et se trouvant dans les cercles de Ansongo</w:t>
            </w:r>
            <w:r w:rsidR="00136095">
              <w:rPr>
                <w:rFonts w:ascii="Arial Narrow" w:eastAsia="Calibri" w:hAnsi="Arial Narrow" w:cs="Calibri"/>
                <w:lang w:val="fr-FR"/>
              </w:rPr>
              <w:t xml:space="preserve"> (</w:t>
            </w:r>
            <w:r w:rsidR="00136095" w:rsidRPr="00136095">
              <w:rPr>
                <w:rFonts w:ascii="Arial Narrow" w:eastAsia="Calibri" w:hAnsi="Arial Narrow" w:cs="Calibri"/>
                <w:b/>
                <w:bCs/>
                <w:lang w:val="fr-FR"/>
              </w:rPr>
              <w:t xml:space="preserve">189 ménages </w:t>
            </w:r>
            <w:r w:rsidR="00136095" w:rsidRPr="00136095">
              <w:rPr>
                <w:rFonts w:ascii="Arial Narrow" w:eastAsia="Calibri" w:hAnsi="Arial Narrow" w:cs="Calibri"/>
                <w:lang w:val="fr-FR"/>
              </w:rPr>
              <w:t>de</w:t>
            </w:r>
            <w:r w:rsidR="00136095" w:rsidRPr="00136095">
              <w:rPr>
                <w:rFonts w:ascii="Arial Narrow" w:eastAsia="Calibri" w:hAnsi="Arial Narrow" w:cs="Calibri"/>
                <w:b/>
                <w:bCs/>
                <w:lang w:val="fr-FR"/>
              </w:rPr>
              <w:t xml:space="preserve"> 1,034 personnes</w:t>
            </w:r>
            <w:r w:rsidR="00136095">
              <w:rPr>
                <w:rFonts w:ascii="Arial Narrow" w:eastAsia="Calibri" w:hAnsi="Arial Narrow" w:cs="Calibri"/>
                <w:lang w:val="fr-FR"/>
              </w:rPr>
              <w:t>)</w:t>
            </w:r>
            <w:r w:rsidR="00E27C34">
              <w:rPr>
                <w:rFonts w:ascii="Arial Narrow" w:eastAsia="Calibri" w:hAnsi="Arial Narrow" w:cs="Calibri"/>
                <w:lang w:val="fr-FR"/>
              </w:rPr>
              <w:t>, Koulikoro</w:t>
            </w:r>
            <w:r w:rsidR="00E159FF">
              <w:rPr>
                <w:rFonts w:ascii="Arial Narrow" w:eastAsia="Calibri" w:hAnsi="Arial Narrow" w:cs="Calibri"/>
                <w:lang w:val="fr-FR"/>
              </w:rPr>
              <w:t xml:space="preserve"> (</w:t>
            </w:r>
            <w:r w:rsidR="00E159FF">
              <w:rPr>
                <w:rFonts w:ascii="Arial Narrow" w:eastAsia="Calibri" w:hAnsi="Arial Narrow" w:cs="Calibri"/>
                <w:b/>
                <w:bCs/>
                <w:lang w:val="fr-FR"/>
              </w:rPr>
              <w:t xml:space="preserve">72 ménages </w:t>
            </w:r>
            <w:r w:rsidR="00E159FF">
              <w:rPr>
                <w:rFonts w:ascii="Arial Narrow" w:eastAsia="Calibri" w:hAnsi="Arial Narrow" w:cs="Calibri"/>
                <w:lang w:val="fr-FR"/>
              </w:rPr>
              <w:t xml:space="preserve">de </w:t>
            </w:r>
            <w:r w:rsidR="00E503FF">
              <w:rPr>
                <w:rFonts w:ascii="Arial Narrow" w:eastAsia="Calibri" w:hAnsi="Arial Narrow" w:cs="Calibri"/>
                <w:b/>
                <w:bCs/>
                <w:lang w:val="fr-FR"/>
              </w:rPr>
              <w:t>472 personnes</w:t>
            </w:r>
            <w:r w:rsidR="00E503FF">
              <w:rPr>
                <w:rFonts w:ascii="Arial Narrow" w:eastAsia="Calibri" w:hAnsi="Arial Narrow" w:cs="Calibri"/>
                <w:lang w:val="fr-FR"/>
              </w:rPr>
              <w:t>), Bankass (</w:t>
            </w:r>
            <w:r w:rsidR="00E503FF">
              <w:rPr>
                <w:rFonts w:ascii="Arial Narrow" w:eastAsia="Calibri" w:hAnsi="Arial Narrow" w:cs="Calibri"/>
                <w:b/>
                <w:bCs/>
                <w:lang w:val="fr-FR"/>
              </w:rPr>
              <w:t xml:space="preserve">101 ménages </w:t>
            </w:r>
            <w:r w:rsidR="00E503FF">
              <w:rPr>
                <w:rFonts w:ascii="Arial Narrow" w:eastAsia="Calibri" w:hAnsi="Arial Narrow" w:cs="Calibri"/>
                <w:lang w:val="fr-FR"/>
              </w:rPr>
              <w:t xml:space="preserve">de </w:t>
            </w:r>
            <w:r w:rsidR="008841F7">
              <w:rPr>
                <w:rFonts w:ascii="Arial Narrow" w:eastAsia="Calibri" w:hAnsi="Arial Narrow" w:cs="Calibri"/>
                <w:b/>
                <w:bCs/>
                <w:lang w:val="fr-FR"/>
              </w:rPr>
              <w:t>530 personnes</w:t>
            </w:r>
            <w:r w:rsidR="008841F7">
              <w:rPr>
                <w:rFonts w:ascii="Arial Narrow" w:eastAsia="Calibri" w:hAnsi="Arial Narrow" w:cs="Calibri"/>
                <w:lang w:val="fr-FR"/>
              </w:rPr>
              <w:t>), Koro (</w:t>
            </w:r>
            <w:r w:rsidR="0018711A">
              <w:rPr>
                <w:rFonts w:ascii="Arial Narrow" w:eastAsia="Calibri" w:hAnsi="Arial Narrow" w:cs="Calibri"/>
                <w:b/>
                <w:bCs/>
                <w:lang w:val="fr-FR"/>
              </w:rPr>
              <w:t>10 ménages</w:t>
            </w:r>
            <w:r w:rsidR="00B47267">
              <w:rPr>
                <w:rFonts w:ascii="Arial Narrow" w:eastAsia="Calibri" w:hAnsi="Arial Narrow" w:cs="Calibri"/>
                <w:b/>
                <w:bCs/>
                <w:lang w:val="fr-FR"/>
              </w:rPr>
              <w:t xml:space="preserve"> </w:t>
            </w:r>
            <w:r w:rsidR="00B47267">
              <w:rPr>
                <w:rFonts w:ascii="Arial Narrow" w:eastAsia="Calibri" w:hAnsi="Arial Narrow" w:cs="Calibri"/>
                <w:lang w:val="fr-FR"/>
              </w:rPr>
              <w:t xml:space="preserve">de </w:t>
            </w:r>
            <w:r w:rsidR="00B47267">
              <w:rPr>
                <w:rFonts w:ascii="Arial Narrow" w:eastAsia="Calibri" w:hAnsi="Arial Narrow" w:cs="Calibri"/>
                <w:b/>
                <w:bCs/>
                <w:lang w:val="fr-FR"/>
              </w:rPr>
              <w:t>59 personnes</w:t>
            </w:r>
            <w:r w:rsidR="00CE67C8">
              <w:rPr>
                <w:rFonts w:ascii="Arial Narrow" w:eastAsia="Calibri" w:hAnsi="Arial Narrow" w:cs="Calibri"/>
                <w:lang w:val="fr-FR"/>
              </w:rPr>
              <w:t>), Mopti (</w:t>
            </w:r>
            <w:r w:rsidR="009A00A2">
              <w:rPr>
                <w:rFonts w:ascii="Arial Narrow" w:eastAsia="Calibri" w:hAnsi="Arial Narrow" w:cs="Calibri"/>
                <w:b/>
                <w:bCs/>
                <w:lang w:val="fr-FR"/>
              </w:rPr>
              <w:t xml:space="preserve">251 ménages </w:t>
            </w:r>
            <w:r w:rsidR="009A00A2">
              <w:rPr>
                <w:rFonts w:ascii="Arial Narrow" w:eastAsia="Calibri" w:hAnsi="Arial Narrow" w:cs="Calibri"/>
                <w:lang w:val="fr-FR"/>
              </w:rPr>
              <w:t xml:space="preserve">de </w:t>
            </w:r>
            <w:r w:rsidR="009A00A2">
              <w:rPr>
                <w:rFonts w:ascii="Arial Narrow" w:eastAsia="Calibri" w:hAnsi="Arial Narrow" w:cs="Calibri"/>
                <w:b/>
                <w:bCs/>
                <w:lang w:val="fr-FR"/>
              </w:rPr>
              <w:t>1,571 personnes</w:t>
            </w:r>
            <w:r w:rsidR="009A00A2">
              <w:rPr>
                <w:rFonts w:ascii="Arial Narrow" w:eastAsia="Calibri" w:hAnsi="Arial Narrow" w:cs="Calibri"/>
                <w:lang w:val="fr-FR"/>
              </w:rPr>
              <w:t>), Bandiagara (</w:t>
            </w:r>
            <w:r w:rsidR="00A01152">
              <w:rPr>
                <w:rFonts w:ascii="Arial Narrow" w:eastAsia="Calibri" w:hAnsi="Arial Narrow" w:cs="Calibri"/>
                <w:b/>
                <w:bCs/>
                <w:lang w:val="fr-FR"/>
              </w:rPr>
              <w:t xml:space="preserve">61 ménages </w:t>
            </w:r>
            <w:r w:rsidR="00A01152">
              <w:rPr>
                <w:rFonts w:ascii="Arial Narrow" w:eastAsia="Calibri" w:hAnsi="Arial Narrow" w:cs="Calibri"/>
                <w:lang w:val="fr-FR"/>
              </w:rPr>
              <w:t>de</w:t>
            </w:r>
            <w:r w:rsidR="00847EA1">
              <w:rPr>
                <w:rFonts w:ascii="Arial Narrow" w:eastAsia="Calibri" w:hAnsi="Arial Narrow" w:cs="Calibri"/>
                <w:lang w:val="fr-FR"/>
              </w:rPr>
              <w:t xml:space="preserve"> </w:t>
            </w:r>
            <w:r w:rsidR="00391F10">
              <w:rPr>
                <w:rFonts w:ascii="Arial Narrow" w:eastAsia="Calibri" w:hAnsi="Arial Narrow" w:cs="Calibri"/>
                <w:b/>
                <w:bCs/>
                <w:lang w:val="fr-FR"/>
              </w:rPr>
              <w:t>419 personnes</w:t>
            </w:r>
            <w:r w:rsidR="000049A4">
              <w:rPr>
                <w:rFonts w:ascii="Arial Narrow" w:eastAsia="Calibri" w:hAnsi="Arial Narrow" w:cs="Calibri"/>
                <w:lang w:val="fr-FR"/>
              </w:rPr>
              <w:t>), Youwarou (</w:t>
            </w:r>
            <w:r w:rsidR="000049A4">
              <w:rPr>
                <w:rFonts w:ascii="Arial Narrow" w:eastAsia="Calibri" w:hAnsi="Arial Narrow" w:cs="Calibri"/>
                <w:b/>
                <w:bCs/>
                <w:lang w:val="fr-FR"/>
              </w:rPr>
              <w:t xml:space="preserve">111 ménages </w:t>
            </w:r>
            <w:r w:rsidR="000049A4">
              <w:rPr>
                <w:rFonts w:ascii="Arial Narrow" w:eastAsia="Calibri" w:hAnsi="Arial Narrow" w:cs="Calibri"/>
                <w:lang w:val="fr-FR"/>
              </w:rPr>
              <w:t xml:space="preserve">de </w:t>
            </w:r>
            <w:r w:rsidR="000049A4">
              <w:rPr>
                <w:rFonts w:ascii="Arial Narrow" w:eastAsia="Calibri" w:hAnsi="Arial Narrow" w:cs="Calibri"/>
                <w:b/>
                <w:bCs/>
                <w:lang w:val="fr-FR"/>
              </w:rPr>
              <w:t>530 personnes</w:t>
            </w:r>
            <w:r w:rsidR="000049A4">
              <w:rPr>
                <w:rFonts w:ascii="Arial Narrow" w:eastAsia="Calibri" w:hAnsi="Arial Narrow" w:cs="Calibri"/>
                <w:lang w:val="fr-FR"/>
              </w:rPr>
              <w:t>)</w:t>
            </w:r>
            <w:r w:rsidR="00757425">
              <w:rPr>
                <w:rFonts w:ascii="Arial Narrow" w:eastAsia="Calibri" w:hAnsi="Arial Narrow" w:cs="Calibri"/>
                <w:lang w:val="fr-FR"/>
              </w:rPr>
              <w:t>, Tominian (</w:t>
            </w:r>
            <w:r w:rsidR="00757425">
              <w:rPr>
                <w:rFonts w:ascii="Arial Narrow" w:eastAsia="Calibri" w:hAnsi="Arial Narrow" w:cs="Calibri"/>
                <w:b/>
                <w:bCs/>
                <w:lang w:val="fr-FR"/>
              </w:rPr>
              <w:t xml:space="preserve">273 ménages </w:t>
            </w:r>
            <w:r w:rsidR="00757425">
              <w:rPr>
                <w:rFonts w:ascii="Arial Narrow" w:eastAsia="Calibri" w:hAnsi="Arial Narrow" w:cs="Calibri"/>
                <w:lang w:val="fr-FR"/>
              </w:rPr>
              <w:t xml:space="preserve">de </w:t>
            </w:r>
            <w:r w:rsidR="00612760">
              <w:rPr>
                <w:rFonts w:ascii="Arial Narrow" w:eastAsia="Calibri" w:hAnsi="Arial Narrow" w:cs="Calibri"/>
                <w:b/>
                <w:bCs/>
                <w:lang w:val="fr-FR"/>
              </w:rPr>
              <w:t>1,725 personnes</w:t>
            </w:r>
            <w:r w:rsidR="00612760">
              <w:rPr>
                <w:rFonts w:ascii="Arial Narrow" w:eastAsia="Calibri" w:hAnsi="Arial Narrow" w:cs="Calibri"/>
                <w:lang w:val="fr-FR"/>
              </w:rPr>
              <w:t>), San (</w:t>
            </w:r>
            <w:r w:rsidR="00612760">
              <w:rPr>
                <w:rFonts w:ascii="Arial Narrow" w:eastAsia="Calibri" w:hAnsi="Arial Narrow" w:cs="Calibri"/>
                <w:b/>
                <w:bCs/>
                <w:lang w:val="fr-FR"/>
              </w:rPr>
              <w:t xml:space="preserve">116 </w:t>
            </w:r>
            <w:r w:rsidR="005B38B1">
              <w:rPr>
                <w:rFonts w:ascii="Arial Narrow" w:eastAsia="Calibri" w:hAnsi="Arial Narrow" w:cs="Calibri"/>
                <w:b/>
                <w:bCs/>
                <w:lang w:val="fr-FR"/>
              </w:rPr>
              <w:t>ménages</w:t>
            </w:r>
            <w:r w:rsidR="00612760">
              <w:rPr>
                <w:rFonts w:ascii="Arial Narrow" w:eastAsia="Calibri" w:hAnsi="Arial Narrow" w:cs="Calibri"/>
                <w:lang w:val="fr-FR"/>
              </w:rPr>
              <w:t xml:space="preserve"> de </w:t>
            </w:r>
            <w:r w:rsidR="005B38B1">
              <w:rPr>
                <w:rFonts w:ascii="Arial Narrow" w:eastAsia="Calibri" w:hAnsi="Arial Narrow" w:cs="Calibri"/>
                <w:b/>
                <w:bCs/>
                <w:lang w:val="fr-FR"/>
              </w:rPr>
              <w:t>602 personnes</w:t>
            </w:r>
            <w:r w:rsidR="005B38B1">
              <w:rPr>
                <w:rFonts w:ascii="Arial Narrow" w:eastAsia="Calibri" w:hAnsi="Arial Narrow" w:cs="Calibri"/>
                <w:lang w:val="fr-FR"/>
              </w:rPr>
              <w:t>)</w:t>
            </w:r>
            <w:r w:rsidR="00554B69">
              <w:rPr>
                <w:rFonts w:ascii="Arial Narrow" w:eastAsia="Calibri" w:hAnsi="Arial Narrow" w:cs="Calibri"/>
                <w:lang w:val="fr-FR"/>
              </w:rPr>
              <w:t xml:space="preserve">, Ségou </w:t>
            </w:r>
            <w:r w:rsidR="00554B69">
              <w:rPr>
                <w:rFonts w:ascii="Arial Narrow" w:eastAsia="Calibri" w:hAnsi="Arial Narrow" w:cs="Calibri"/>
                <w:lang w:val="fr-FR"/>
              </w:rPr>
              <w:lastRenderedPageBreak/>
              <w:t>(</w:t>
            </w:r>
            <w:r w:rsidR="00554B69">
              <w:rPr>
                <w:rFonts w:ascii="Arial Narrow" w:eastAsia="Calibri" w:hAnsi="Arial Narrow" w:cs="Calibri"/>
                <w:b/>
                <w:bCs/>
                <w:lang w:val="fr-FR"/>
              </w:rPr>
              <w:t>175</w:t>
            </w:r>
            <w:r w:rsidR="007A17DA">
              <w:rPr>
                <w:rFonts w:ascii="Arial Narrow" w:eastAsia="Calibri" w:hAnsi="Arial Narrow" w:cs="Calibri"/>
                <w:b/>
                <w:bCs/>
                <w:lang w:val="fr-FR"/>
              </w:rPr>
              <w:t xml:space="preserve"> ménages</w:t>
            </w:r>
            <w:r w:rsidR="007A17DA">
              <w:rPr>
                <w:rFonts w:ascii="Arial Narrow" w:eastAsia="Calibri" w:hAnsi="Arial Narrow" w:cs="Calibri"/>
                <w:lang w:val="fr-FR"/>
              </w:rPr>
              <w:t xml:space="preserve"> de </w:t>
            </w:r>
            <w:r w:rsidR="00770DFB">
              <w:rPr>
                <w:rFonts w:ascii="Arial Narrow" w:eastAsia="Calibri" w:hAnsi="Arial Narrow" w:cs="Calibri"/>
                <w:b/>
                <w:bCs/>
                <w:lang w:val="fr-FR"/>
              </w:rPr>
              <w:t>1,151 personnes</w:t>
            </w:r>
            <w:r w:rsidR="00770DFB">
              <w:rPr>
                <w:rFonts w:ascii="Arial Narrow" w:eastAsia="Calibri" w:hAnsi="Arial Narrow" w:cs="Calibri"/>
                <w:lang w:val="fr-FR"/>
              </w:rPr>
              <w:t>), Gourma-Rharous (</w:t>
            </w:r>
            <w:r w:rsidR="00770DFB">
              <w:rPr>
                <w:rFonts w:ascii="Arial Narrow" w:eastAsia="Calibri" w:hAnsi="Arial Narrow" w:cs="Calibri"/>
                <w:b/>
                <w:bCs/>
                <w:lang w:val="fr-FR"/>
              </w:rPr>
              <w:t xml:space="preserve">386 ménages </w:t>
            </w:r>
            <w:r w:rsidR="00770DFB">
              <w:rPr>
                <w:rFonts w:ascii="Arial Narrow" w:eastAsia="Calibri" w:hAnsi="Arial Narrow" w:cs="Calibri"/>
                <w:lang w:val="fr-FR"/>
              </w:rPr>
              <w:t xml:space="preserve">de </w:t>
            </w:r>
            <w:r w:rsidR="00770DFB">
              <w:rPr>
                <w:rFonts w:ascii="Arial Narrow" w:eastAsia="Calibri" w:hAnsi="Arial Narrow" w:cs="Calibri"/>
                <w:b/>
                <w:bCs/>
                <w:lang w:val="fr-FR"/>
              </w:rPr>
              <w:t>1</w:t>
            </w:r>
            <w:r w:rsidR="005D19D7">
              <w:rPr>
                <w:rFonts w:ascii="Arial Narrow" w:eastAsia="Calibri" w:hAnsi="Arial Narrow" w:cs="Calibri"/>
                <w:b/>
                <w:bCs/>
                <w:lang w:val="fr-FR"/>
              </w:rPr>
              <w:t>,946 personnes</w:t>
            </w:r>
            <w:r w:rsidR="005D19D7">
              <w:rPr>
                <w:rFonts w:ascii="Arial Narrow" w:eastAsia="Calibri" w:hAnsi="Arial Narrow" w:cs="Calibri"/>
                <w:lang w:val="fr-FR"/>
              </w:rPr>
              <w:t>) et Ménaka (</w:t>
            </w:r>
            <w:r w:rsidR="00C87288">
              <w:rPr>
                <w:rFonts w:ascii="Arial Narrow" w:eastAsia="Calibri" w:hAnsi="Arial Narrow" w:cs="Calibri"/>
                <w:b/>
                <w:bCs/>
                <w:lang w:val="fr-FR"/>
              </w:rPr>
              <w:t xml:space="preserve">3,785 ménages </w:t>
            </w:r>
            <w:r w:rsidR="00C87288">
              <w:rPr>
                <w:rFonts w:ascii="Arial Narrow" w:eastAsia="Calibri" w:hAnsi="Arial Narrow" w:cs="Calibri"/>
                <w:lang w:val="fr-FR"/>
              </w:rPr>
              <w:t xml:space="preserve">de </w:t>
            </w:r>
            <w:r w:rsidR="00C87288">
              <w:rPr>
                <w:rFonts w:ascii="Arial Narrow" w:eastAsia="Calibri" w:hAnsi="Arial Narrow" w:cs="Calibri"/>
                <w:b/>
                <w:bCs/>
                <w:lang w:val="fr-FR"/>
              </w:rPr>
              <w:t>15,852 personnes</w:t>
            </w:r>
            <w:r w:rsidR="00C87288">
              <w:rPr>
                <w:rFonts w:ascii="Arial Narrow" w:eastAsia="Calibri" w:hAnsi="Arial Narrow" w:cs="Calibri"/>
                <w:lang w:val="fr-FR"/>
              </w:rPr>
              <w:t>).</w:t>
            </w:r>
          </w:p>
          <w:p w14:paraId="4C0B5052" w14:textId="4949FB93" w:rsidR="00430CA2" w:rsidRDefault="00430CA2" w:rsidP="00793BAD">
            <w:pPr>
              <w:rPr>
                <w:rFonts w:ascii="Arial Narrow" w:eastAsia="Calibri" w:hAnsi="Arial Narrow" w:cs="Calibri"/>
                <w:lang w:val="fr-FR"/>
              </w:rPr>
            </w:pPr>
          </w:p>
          <w:p w14:paraId="36450B4C" w14:textId="7FBE069A" w:rsidR="00430CA2" w:rsidRDefault="00430CA2" w:rsidP="00793BAD">
            <w:pPr>
              <w:rPr>
                <w:rFonts w:ascii="Arial Narrow" w:eastAsia="Calibri" w:hAnsi="Arial Narrow" w:cs="Calibri"/>
                <w:lang w:val="fr-FR"/>
              </w:rPr>
            </w:pPr>
            <w:r>
              <w:rPr>
                <w:rFonts w:ascii="Arial Narrow" w:eastAsia="Calibri" w:hAnsi="Arial Narrow" w:cs="Calibri"/>
                <w:lang w:val="fr-FR"/>
              </w:rPr>
              <w:t xml:space="preserve">Les inondations </w:t>
            </w:r>
            <w:r w:rsidR="002C7E8D">
              <w:rPr>
                <w:rFonts w:ascii="Arial Narrow" w:eastAsia="Calibri" w:hAnsi="Arial Narrow" w:cs="Calibri"/>
                <w:lang w:val="fr-FR"/>
              </w:rPr>
              <w:t>touchant</w:t>
            </w:r>
            <w:r w:rsidR="00FD4E3E">
              <w:rPr>
                <w:rFonts w:ascii="Arial Narrow" w:eastAsia="Calibri" w:hAnsi="Arial Narrow" w:cs="Calibri"/>
                <w:lang w:val="fr-FR"/>
              </w:rPr>
              <w:t xml:space="preserve"> </w:t>
            </w:r>
            <w:r w:rsidR="00A061D2">
              <w:rPr>
                <w:rFonts w:ascii="Arial Narrow" w:eastAsia="Calibri" w:hAnsi="Arial Narrow" w:cs="Calibri"/>
                <w:b/>
                <w:bCs/>
                <w:lang w:val="fr-FR"/>
              </w:rPr>
              <w:t>13 localités</w:t>
            </w:r>
            <w:r w:rsidR="002C7E8D">
              <w:rPr>
                <w:rFonts w:ascii="Arial Narrow" w:eastAsia="Calibri" w:hAnsi="Arial Narrow" w:cs="Calibri"/>
                <w:b/>
                <w:bCs/>
                <w:lang w:val="fr-FR"/>
              </w:rPr>
              <w:t xml:space="preserve"> à Djenné</w:t>
            </w:r>
            <w:r w:rsidR="002C7E8D">
              <w:rPr>
                <w:rFonts w:ascii="Arial Narrow" w:eastAsia="Calibri" w:hAnsi="Arial Narrow" w:cs="Calibri"/>
                <w:lang w:val="fr-FR"/>
              </w:rPr>
              <w:t>, ont affecté</w:t>
            </w:r>
            <w:r w:rsidR="002C7E8D">
              <w:rPr>
                <w:rFonts w:ascii="Arial Narrow" w:eastAsia="Calibri" w:hAnsi="Arial Narrow" w:cs="Calibri"/>
                <w:b/>
                <w:bCs/>
                <w:lang w:val="fr-FR"/>
              </w:rPr>
              <w:t xml:space="preserve"> 1,350 ménages</w:t>
            </w:r>
            <w:r w:rsidR="00B83708">
              <w:rPr>
                <w:rFonts w:ascii="Arial Narrow" w:eastAsia="Calibri" w:hAnsi="Arial Narrow" w:cs="Calibri"/>
                <w:b/>
                <w:bCs/>
                <w:lang w:val="fr-FR"/>
              </w:rPr>
              <w:t xml:space="preserve"> </w:t>
            </w:r>
            <w:r w:rsidR="00B83708">
              <w:rPr>
                <w:rFonts w:ascii="Arial Narrow" w:eastAsia="Calibri" w:hAnsi="Arial Narrow" w:cs="Calibri"/>
                <w:lang w:val="fr-FR"/>
              </w:rPr>
              <w:t xml:space="preserve">de </w:t>
            </w:r>
            <w:r w:rsidR="00B83708">
              <w:rPr>
                <w:rFonts w:ascii="Arial Narrow" w:eastAsia="Calibri" w:hAnsi="Arial Narrow" w:cs="Calibri"/>
                <w:b/>
                <w:bCs/>
                <w:lang w:val="fr-FR"/>
              </w:rPr>
              <w:t>9,206 personnes.</w:t>
            </w:r>
            <w:r w:rsidR="00B83708">
              <w:rPr>
                <w:rFonts w:ascii="Arial Narrow" w:eastAsia="Calibri" w:hAnsi="Arial Narrow" w:cs="Calibri"/>
                <w:lang w:val="fr-FR"/>
              </w:rPr>
              <w:t xml:space="preserve"> Elles ont également</w:t>
            </w:r>
            <w:r w:rsidR="00F12210">
              <w:rPr>
                <w:rFonts w:ascii="Arial Narrow" w:eastAsia="Calibri" w:hAnsi="Arial Narrow" w:cs="Calibri"/>
                <w:lang w:val="fr-FR"/>
              </w:rPr>
              <w:t xml:space="preserve"> inondé les écoles et d’autres infrastructures importantes.</w:t>
            </w:r>
          </w:p>
          <w:p w14:paraId="07CCF745" w14:textId="77777777" w:rsidR="004B3A9F" w:rsidRDefault="009F4944" w:rsidP="00793BAD">
            <w:pPr>
              <w:rPr>
                <w:rFonts w:ascii="Arial Narrow" w:eastAsia="Calibri" w:hAnsi="Arial Narrow" w:cs="Calibri"/>
                <w:lang w:val="fr-FR"/>
              </w:rPr>
            </w:pPr>
            <w:r>
              <w:rPr>
                <w:rFonts w:ascii="Arial Narrow" w:eastAsia="Calibri" w:hAnsi="Arial Narrow" w:cs="Calibri"/>
                <w:lang w:val="fr-FR"/>
              </w:rPr>
              <w:t xml:space="preserve">Le Cluster Sous-National de Mopti, a pu </w:t>
            </w:r>
            <w:r w:rsidR="005427C9">
              <w:rPr>
                <w:rFonts w:ascii="Arial Narrow" w:eastAsia="Calibri" w:hAnsi="Arial Narrow" w:cs="Calibri"/>
                <w:lang w:val="fr-FR"/>
              </w:rPr>
              <w:t>collecter</w:t>
            </w:r>
            <w:r w:rsidR="007406F2">
              <w:rPr>
                <w:rFonts w:ascii="Arial Narrow" w:eastAsia="Calibri" w:hAnsi="Arial Narrow" w:cs="Calibri"/>
                <w:lang w:val="fr-FR"/>
              </w:rPr>
              <w:t xml:space="preserve"> une situation de</w:t>
            </w:r>
            <w:r w:rsidR="00426249">
              <w:rPr>
                <w:rFonts w:ascii="Arial Narrow" w:eastAsia="Calibri" w:hAnsi="Arial Narrow" w:cs="Calibri"/>
                <w:lang w:val="fr-FR"/>
              </w:rPr>
              <w:t xml:space="preserve"> réponse</w:t>
            </w:r>
            <w:r w:rsidR="00B248FD">
              <w:rPr>
                <w:rFonts w:ascii="Arial Narrow" w:eastAsia="Calibri" w:hAnsi="Arial Narrow" w:cs="Calibri"/>
                <w:lang w:val="fr-FR"/>
              </w:rPr>
              <w:t>s et de</w:t>
            </w:r>
            <w:r w:rsidR="007406F2">
              <w:rPr>
                <w:rFonts w:ascii="Arial Narrow" w:eastAsia="Calibri" w:hAnsi="Arial Narrow" w:cs="Calibri"/>
                <w:lang w:val="fr-FR"/>
              </w:rPr>
              <w:t xml:space="preserve"> gaps</w:t>
            </w:r>
            <w:r w:rsidR="005427C9">
              <w:rPr>
                <w:rFonts w:ascii="Arial Narrow" w:eastAsia="Calibri" w:hAnsi="Arial Narrow" w:cs="Calibri"/>
                <w:lang w:val="fr-FR"/>
              </w:rPr>
              <w:t xml:space="preserve"> en abris</w:t>
            </w:r>
            <w:r w:rsidR="000C5906">
              <w:rPr>
                <w:rFonts w:ascii="Arial Narrow" w:eastAsia="Calibri" w:hAnsi="Arial Narrow" w:cs="Calibri"/>
                <w:lang w:val="fr-FR"/>
              </w:rPr>
              <w:t xml:space="preserve"> </w:t>
            </w:r>
            <w:r w:rsidR="00B248FD">
              <w:rPr>
                <w:rFonts w:ascii="Arial Narrow" w:eastAsia="Calibri" w:hAnsi="Arial Narrow" w:cs="Calibri"/>
                <w:lang w:val="fr-FR"/>
              </w:rPr>
              <w:t>sur</w:t>
            </w:r>
            <w:r w:rsidR="000C5906">
              <w:rPr>
                <w:rFonts w:ascii="Arial Narrow" w:eastAsia="Calibri" w:hAnsi="Arial Narrow" w:cs="Calibri"/>
                <w:lang w:val="fr-FR"/>
              </w:rPr>
              <w:t xml:space="preserve"> les </w:t>
            </w:r>
            <w:r w:rsidR="00F47FC2">
              <w:rPr>
                <w:rFonts w:ascii="Arial Narrow" w:eastAsia="Calibri" w:hAnsi="Arial Narrow" w:cs="Calibri"/>
                <w:b/>
                <w:bCs/>
                <w:lang w:val="fr-FR"/>
              </w:rPr>
              <w:t>18 sites</w:t>
            </w:r>
            <w:r w:rsidR="00F47FC2">
              <w:rPr>
                <w:rFonts w:ascii="Arial Narrow" w:eastAsia="Calibri" w:hAnsi="Arial Narrow" w:cs="Calibri"/>
                <w:lang w:val="fr-FR"/>
              </w:rPr>
              <w:t xml:space="preserve"> de </w:t>
            </w:r>
            <w:r w:rsidR="00F47FC2">
              <w:rPr>
                <w:rFonts w:ascii="Arial Narrow" w:eastAsia="Calibri" w:hAnsi="Arial Narrow" w:cs="Calibri"/>
                <w:b/>
                <w:bCs/>
                <w:lang w:val="fr-FR"/>
              </w:rPr>
              <w:t>PDIs</w:t>
            </w:r>
            <w:r w:rsidR="00F47FC2">
              <w:rPr>
                <w:rFonts w:ascii="Arial Narrow" w:eastAsia="Calibri" w:hAnsi="Arial Narrow" w:cs="Calibri"/>
                <w:lang w:val="fr-FR"/>
              </w:rPr>
              <w:t xml:space="preserve"> dans la région de </w:t>
            </w:r>
            <w:r w:rsidR="00F47FC2">
              <w:rPr>
                <w:rFonts w:ascii="Arial Narrow" w:eastAsia="Calibri" w:hAnsi="Arial Narrow" w:cs="Calibri"/>
                <w:b/>
                <w:bCs/>
                <w:lang w:val="fr-FR"/>
              </w:rPr>
              <w:t>Mopti</w:t>
            </w:r>
            <w:r w:rsidR="00B248FD">
              <w:rPr>
                <w:rFonts w:ascii="Arial Narrow" w:eastAsia="Calibri" w:hAnsi="Arial Narrow" w:cs="Calibri"/>
                <w:b/>
                <w:bCs/>
                <w:lang w:val="fr-FR"/>
              </w:rPr>
              <w:t xml:space="preserve"> </w:t>
            </w:r>
            <w:r w:rsidR="00B248FD">
              <w:rPr>
                <w:rFonts w:ascii="Arial Narrow" w:eastAsia="Calibri" w:hAnsi="Arial Narrow" w:cs="Calibri"/>
                <w:lang w:val="fr-FR"/>
              </w:rPr>
              <w:t>à travers le</w:t>
            </w:r>
            <w:r w:rsidR="004B3A9F">
              <w:rPr>
                <w:rFonts w:ascii="Arial Narrow" w:eastAsia="Calibri" w:hAnsi="Arial Narrow" w:cs="Calibri"/>
                <w:lang w:val="fr-FR"/>
              </w:rPr>
              <w:t>s</w:t>
            </w:r>
            <w:r w:rsidR="00B248FD">
              <w:rPr>
                <w:rFonts w:ascii="Arial Narrow" w:eastAsia="Calibri" w:hAnsi="Arial Narrow" w:cs="Calibri"/>
                <w:lang w:val="fr-FR"/>
              </w:rPr>
              <w:t xml:space="preserve"> gestionnaires de </w:t>
            </w:r>
            <w:r w:rsidR="004B3A9F">
              <w:rPr>
                <w:rFonts w:ascii="Arial Narrow" w:eastAsia="Calibri" w:hAnsi="Arial Narrow" w:cs="Calibri"/>
                <w:lang w:val="fr-FR"/>
              </w:rPr>
              <w:t xml:space="preserve">ces </w:t>
            </w:r>
            <w:r w:rsidR="00B248FD">
              <w:rPr>
                <w:rFonts w:ascii="Arial Narrow" w:eastAsia="Calibri" w:hAnsi="Arial Narrow" w:cs="Calibri"/>
                <w:lang w:val="fr-FR"/>
              </w:rPr>
              <w:t>sites</w:t>
            </w:r>
            <w:r w:rsidR="004B3A9F">
              <w:rPr>
                <w:rFonts w:ascii="Arial Narrow" w:eastAsia="Calibri" w:hAnsi="Arial Narrow" w:cs="Calibri"/>
                <w:lang w:val="fr-FR"/>
              </w:rPr>
              <w:t>.</w:t>
            </w:r>
          </w:p>
          <w:p w14:paraId="2FE77922" w14:textId="3CE85EEB" w:rsidR="00A77CAE" w:rsidRPr="00324F8F" w:rsidRDefault="00A0685F" w:rsidP="00324F8F">
            <w:pPr>
              <w:rPr>
                <w:lang w:val="fr-FR"/>
              </w:rPr>
            </w:pPr>
            <w:r>
              <w:rPr>
                <w:rFonts w:ascii="Arial Narrow" w:eastAsia="Calibri" w:hAnsi="Arial Narrow" w:cs="Calibri"/>
                <w:lang w:val="fr-FR"/>
              </w:rPr>
              <w:t>Sur les</w:t>
            </w:r>
            <w:r w:rsidR="003C75B5">
              <w:rPr>
                <w:rFonts w:ascii="Arial Narrow" w:eastAsia="Calibri" w:hAnsi="Arial Narrow" w:cs="Calibri"/>
                <w:lang w:val="fr-FR"/>
              </w:rPr>
              <w:t xml:space="preserve"> 741 abris existants sur ces sites, 168 </w:t>
            </w:r>
            <w:r w:rsidR="007A7B63">
              <w:rPr>
                <w:rFonts w:ascii="Arial Narrow" w:eastAsia="Calibri" w:hAnsi="Arial Narrow" w:cs="Calibri"/>
                <w:lang w:val="fr-FR"/>
              </w:rPr>
              <w:t>sont endommagés. En termes de nouvelles</w:t>
            </w:r>
            <w:r w:rsidR="004B3A9F">
              <w:rPr>
                <w:rFonts w:ascii="Arial Narrow" w:eastAsia="Calibri" w:hAnsi="Arial Narrow" w:cs="Calibri"/>
                <w:lang w:val="fr-FR"/>
              </w:rPr>
              <w:t xml:space="preserve"> réponses apportées</w:t>
            </w:r>
            <w:r w:rsidR="000B7DCC">
              <w:rPr>
                <w:rFonts w:ascii="Arial Narrow" w:eastAsia="Calibri" w:hAnsi="Arial Narrow" w:cs="Calibri"/>
                <w:b/>
                <w:bCs/>
                <w:lang w:val="fr-FR"/>
              </w:rPr>
              <w:t xml:space="preserve">, </w:t>
            </w:r>
            <w:r w:rsidR="006014BE">
              <w:rPr>
                <w:rFonts w:ascii="Arial Narrow" w:eastAsia="Calibri" w:hAnsi="Arial Narrow" w:cs="Calibri"/>
                <w:b/>
                <w:bCs/>
                <w:lang w:val="fr-FR"/>
              </w:rPr>
              <w:t xml:space="preserve">30 RHUs </w:t>
            </w:r>
            <w:r w:rsidR="006014BE">
              <w:rPr>
                <w:rFonts w:ascii="Arial Narrow" w:eastAsia="Calibri" w:hAnsi="Arial Narrow" w:cs="Calibri"/>
                <w:lang w:val="fr-FR"/>
              </w:rPr>
              <w:t xml:space="preserve">(Unités de Logement de Réfugiés) ont été </w:t>
            </w:r>
            <w:r w:rsidR="001E1868">
              <w:rPr>
                <w:rFonts w:ascii="Arial Narrow" w:eastAsia="Calibri" w:hAnsi="Arial Narrow" w:cs="Calibri"/>
                <w:lang w:val="fr-FR"/>
              </w:rPr>
              <w:t>implantés par l’UNHCR à travers ses partenaires de mise en œuvre (NRC et Stop Sahel)</w:t>
            </w:r>
            <w:r w:rsidR="00DE6B29">
              <w:rPr>
                <w:rFonts w:ascii="Arial Narrow" w:eastAsia="Calibri" w:hAnsi="Arial Narrow" w:cs="Calibri"/>
                <w:lang w:val="fr-FR"/>
              </w:rPr>
              <w:t xml:space="preserve"> sur le site de Horoguindé</w:t>
            </w:r>
            <w:r w:rsidR="001E1868">
              <w:rPr>
                <w:rFonts w:ascii="Arial Narrow" w:eastAsia="Calibri" w:hAnsi="Arial Narrow" w:cs="Calibri"/>
                <w:lang w:val="fr-FR"/>
              </w:rPr>
              <w:t xml:space="preserve">, </w:t>
            </w:r>
            <w:r w:rsidR="00DE6B29" w:rsidRPr="007D6142">
              <w:rPr>
                <w:rFonts w:ascii="Arial Narrow" w:eastAsia="Calibri" w:hAnsi="Arial Narrow" w:cs="Calibri"/>
                <w:b/>
                <w:bCs/>
                <w:lang w:val="fr-FR"/>
              </w:rPr>
              <w:t>38 cases traditionnelles</w:t>
            </w:r>
            <w:r w:rsidR="00832093">
              <w:rPr>
                <w:rFonts w:ascii="Arial Narrow" w:eastAsia="Calibri" w:hAnsi="Arial Narrow" w:cs="Calibri"/>
                <w:lang w:val="fr-FR"/>
              </w:rPr>
              <w:t xml:space="preserve"> de l’UNHCR à travers </w:t>
            </w:r>
            <w:r w:rsidR="007D6142">
              <w:rPr>
                <w:rFonts w:ascii="Arial Narrow" w:eastAsia="Calibri" w:hAnsi="Arial Narrow" w:cs="Calibri"/>
                <w:lang w:val="fr-FR"/>
              </w:rPr>
              <w:t xml:space="preserve">son partenaire </w:t>
            </w:r>
            <w:r w:rsidR="00832093">
              <w:rPr>
                <w:rFonts w:ascii="Arial Narrow" w:eastAsia="Calibri" w:hAnsi="Arial Narrow" w:cs="Calibri"/>
                <w:lang w:val="fr-FR"/>
              </w:rPr>
              <w:t xml:space="preserve">NRC </w:t>
            </w:r>
            <w:r w:rsidR="007D6142">
              <w:rPr>
                <w:rFonts w:ascii="Arial Narrow" w:eastAsia="Calibri" w:hAnsi="Arial Narrow" w:cs="Calibri"/>
                <w:lang w:val="fr-FR"/>
              </w:rPr>
              <w:t>au site de Takouti</w:t>
            </w:r>
            <w:r w:rsidR="00306867">
              <w:rPr>
                <w:rFonts w:ascii="Arial Narrow" w:eastAsia="Calibri" w:hAnsi="Arial Narrow" w:cs="Calibri"/>
                <w:lang w:val="fr-FR"/>
              </w:rPr>
              <w:t xml:space="preserve">, </w:t>
            </w:r>
            <w:r w:rsidR="00306867">
              <w:rPr>
                <w:rFonts w:ascii="Arial Narrow" w:eastAsia="Calibri" w:hAnsi="Arial Narrow" w:cs="Calibri"/>
                <w:b/>
                <w:bCs/>
                <w:lang w:val="fr-FR"/>
              </w:rPr>
              <w:t xml:space="preserve">4 cases traditionnelles </w:t>
            </w:r>
            <w:r w:rsidR="00306867">
              <w:rPr>
                <w:rFonts w:ascii="Arial Narrow" w:eastAsia="Calibri" w:hAnsi="Arial Narrow" w:cs="Calibri"/>
                <w:lang w:val="fr-FR"/>
              </w:rPr>
              <w:t>de l’UNHCR par</w:t>
            </w:r>
            <w:r w:rsidR="00835EF1">
              <w:rPr>
                <w:rFonts w:ascii="Arial Narrow" w:eastAsia="Calibri" w:hAnsi="Arial Narrow" w:cs="Calibri"/>
                <w:lang w:val="fr-FR"/>
              </w:rPr>
              <w:t xml:space="preserve"> son partenaire NRC sur le site de la famille d’accueil </w:t>
            </w:r>
            <w:r w:rsidR="001B6649">
              <w:rPr>
                <w:rFonts w:ascii="Arial Narrow" w:eastAsia="Calibri" w:hAnsi="Arial Narrow" w:cs="Calibri"/>
                <w:lang w:val="fr-FR"/>
              </w:rPr>
              <w:t xml:space="preserve">Minta, </w:t>
            </w:r>
            <w:r w:rsidR="001B6649">
              <w:rPr>
                <w:rFonts w:ascii="Arial Narrow" w:eastAsia="Calibri" w:hAnsi="Arial Narrow" w:cs="Calibri"/>
                <w:b/>
                <w:bCs/>
                <w:lang w:val="fr-FR"/>
              </w:rPr>
              <w:t>35 cases traditionnelles</w:t>
            </w:r>
            <w:r w:rsidR="001B6649">
              <w:rPr>
                <w:rFonts w:ascii="Arial Narrow" w:eastAsia="Calibri" w:hAnsi="Arial Narrow" w:cs="Calibri"/>
                <w:lang w:val="fr-FR"/>
              </w:rPr>
              <w:t xml:space="preserve"> </w:t>
            </w:r>
            <w:r w:rsidR="000417E5">
              <w:rPr>
                <w:rFonts w:ascii="Arial Narrow" w:eastAsia="Calibri" w:hAnsi="Arial Narrow" w:cs="Calibri"/>
                <w:lang w:val="fr-FR"/>
              </w:rPr>
              <w:t>de l’UNHCR par NRC sur le site de Médina</w:t>
            </w:r>
            <w:r w:rsidR="00BC35F7">
              <w:rPr>
                <w:rFonts w:ascii="Arial Narrow" w:eastAsia="Calibri" w:hAnsi="Arial Narrow" w:cs="Calibri"/>
                <w:lang w:val="fr-FR"/>
              </w:rPr>
              <w:t xml:space="preserve"> Coura, </w:t>
            </w:r>
            <w:r w:rsidR="00BC35F7">
              <w:rPr>
                <w:rFonts w:ascii="Arial Narrow" w:eastAsia="Calibri" w:hAnsi="Arial Narrow" w:cs="Calibri"/>
                <w:b/>
                <w:bCs/>
                <w:lang w:val="fr-FR"/>
              </w:rPr>
              <w:t xml:space="preserve">12 cases traditionnelles de </w:t>
            </w:r>
            <w:r w:rsidR="00BC35F7">
              <w:rPr>
                <w:rFonts w:ascii="Arial Narrow" w:eastAsia="Calibri" w:hAnsi="Arial Narrow" w:cs="Calibri"/>
                <w:lang w:val="fr-FR"/>
              </w:rPr>
              <w:t>l’UNHCR par</w:t>
            </w:r>
            <w:r w:rsidR="00430F42">
              <w:rPr>
                <w:rFonts w:ascii="Arial Narrow" w:eastAsia="Calibri" w:hAnsi="Arial Narrow" w:cs="Calibri"/>
                <w:lang w:val="fr-FR"/>
              </w:rPr>
              <w:t xml:space="preserve"> NRC sur le site de </w:t>
            </w:r>
            <w:r w:rsidR="003D3682">
              <w:rPr>
                <w:rFonts w:ascii="Arial Narrow" w:eastAsia="Calibri" w:hAnsi="Arial Narrow" w:cs="Calibri"/>
                <w:lang w:val="fr-FR"/>
              </w:rPr>
              <w:t>Barb</w:t>
            </w:r>
            <w:r w:rsidR="000A106C">
              <w:rPr>
                <w:rFonts w:ascii="Arial Narrow" w:eastAsia="Calibri" w:hAnsi="Arial Narrow" w:cs="Calibri"/>
                <w:lang w:val="fr-FR"/>
              </w:rPr>
              <w:t>é 2</w:t>
            </w:r>
            <w:r w:rsidR="00430F42">
              <w:rPr>
                <w:rFonts w:ascii="Arial Narrow" w:eastAsia="Calibri" w:hAnsi="Arial Narrow" w:cs="Calibri"/>
                <w:lang w:val="fr-FR"/>
              </w:rPr>
              <w:t xml:space="preserve">, </w:t>
            </w:r>
            <w:r w:rsidR="00430F42">
              <w:rPr>
                <w:rFonts w:ascii="Arial Narrow" w:eastAsia="Calibri" w:hAnsi="Arial Narrow" w:cs="Calibri"/>
                <w:b/>
                <w:bCs/>
                <w:lang w:val="fr-FR"/>
              </w:rPr>
              <w:t>26 cases traditionnelles</w:t>
            </w:r>
            <w:r w:rsidR="00B45B98">
              <w:rPr>
                <w:rFonts w:ascii="Arial Narrow" w:eastAsia="Calibri" w:hAnsi="Arial Narrow" w:cs="Calibri"/>
                <w:b/>
                <w:bCs/>
                <w:lang w:val="fr-FR"/>
              </w:rPr>
              <w:t xml:space="preserve"> </w:t>
            </w:r>
            <w:r w:rsidR="003D3682">
              <w:rPr>
                <w:rFonts w:ascii="Arial Narrow" w:eastAsia="Calibri" w:hAnsi="Arial Narrow" w:cs="Calibri"/>
                <w:lang w:val="fr-FR"/>
              </w:rPr>
              <w:t>de l’UNHCR par NRC s</w:t>
            </w:r>
            <w:r w:rsidR="003D3682" w:rsidRPr="00295243">
              <w:rPr>
                <w:rFonts w:ascii="Arial Narrow" w:eastAsia="Calibri" w:hAnsi="Arial Narrow" w:cs="Calibri"/>
                <w:lang w:val="fr-FR"/>
              </w:rPr>
              <w:t>ur</w:t>
            </w:r>
            <w:r w:rsidR="003613A1" w:rsidRPr="00295243">
              <w:rPr>
                <w:rFonts w:ascii="Arial Narrow" w:eastAsia="Calibri" w:hAnsi="Arial Narrow" w:cs="Calibri"/>
                <w:lang w:val="fr-FR"/>
              </w:rPr>
              <w:t xml:space="preserve"> le site</w:t>
            </w:r>
            <w:r w:rsidR="005A79BB" w:rsidRPr="00295243">
              <w:rPr>
                <w:rFonts w:ascii="Arial Narrow" w:eastAsia="Calibri" w:hAnsi="Arial Narrow" w:cs="Calibri"/>
                <w:lang w:val="fr-FR"/>
              </w:rPr>
              <w:t xml:space="preserve"> de</w:t>
            </w:r>
            <w:r w:rsidR="003613A1" w:rsidRPr="00295243">
              <w:rPr>
                <w:rFonts w:ascii="Arial Narrow" w:eastAsia="Calibri" w:hAnsi="Arial Narrow" w:cs="Calibri"/>
                <w:lang w:val="fr-FR"/>
              </w:rPr>
              <w:t xml:space="preserve"> Walirdé</w:t>
            </w:r>
            <w:r w:rsidR="005A79BB" w:rsidRPr="00295243">
              <w:rPr>
                <w:rFonts w:ascii="Arial Narrow" w:eastAsia="Calibri" w:hAnsi="Arial Narrow" w:cs="Calibri"/>
                <w:lang w:val="fr-FR"/>
              </w:rPr>
              <w:t xml:space="preserve"> et </w:t>
            </w:r>
            <w:r w:rsidR="005A79BB" w:rsidRPr="00295243">
              <w:rPr>
                <w:rFonts w:ascii="Arial Narrow" w:eastAsia="Calibri" w:hAnsi="Arial Narrow" w:cs="Calibri"/>
                <w:b/>
                <w:bCs/>
                <w:lang w:val="fr-FR"/>
              </w:rPr>
              <w:t>10 cases traditionnelles</w:t>
            </w:r>
            <w:r w:rsidR="004948DD" w:rsidRPr="00295243">
              <w:rPr>
                <w:rFonts w:ascii="Arial Narrow" w:eastAsia="Calibri" w:hAnsi="Arial Narrow" w:cs="Calibri"/>
                <w:lang w:val="fr-FR"/>
              </w:rPr>
              <w:t xml:space="preserve"> sur le nouveau site de Sare</w:t>
            </w:r>
            <w:r w:rsidR="00961615" w:rsidRPr="00295243">
              <w:rPr>
                <w:rFonts w:ascii="Arial Narrow" w:eastAsia="Calibri" w:hAnsi="Arial Narrow" w:cs="Calibri"/>
                <w:lang w:val="fr-FR"/>
              </w:rPr>
              <w:t>ma</w:t>
            </w:r>
            <w:r w:rsidR="00FD20F3" w:rsidRPr="00295243">
              <w:rPr>
                <w:rFonts w:ascii="Arial Narrow" w:eastAsia="Calibri" w:hAnsi="Arial Narrow" w:cs="Calibri"/>
                <w:lang w:val="fr-FR"/>
              </w:rPr>
              <w:t>.</w:t>
            </w:r>
            <w:r w:rsidR="00A77CAE" w:rsidRPr="00295243">
              <w:rPr>
                <w:rFonts w:ascii="Arial Narrow" w:eastAsia="Calibri" w:hAnsi="Arial Narrow" w:cs="Calibri"/>
                <w:lang w:val="fr-FR"/>
              </w:rPr>
              <w:t xml:space="preserve"> Cette assistance de l’UNHCR, </w:t>
            </w:r>
            <w:r w:rsidR="00A77CAE" w:rsidRPr="00295243">
              <w:rPr>
                <w:rFonts w:ascii="Arial Narrow" w:hAnsi="Arial Narrow"/>
                <w:lang w:val="fr-FR"/>
              </w:rPr>
              <w:t>relève du</w:t>
            </w:r>
            <w:r w:rsidR="00A77CAE" w:rsidRPr="00295243">
              <w:rPr>
                <w:rFonts w:ascii="Arial Narrow" w:hAnsi="Arial Narrow"/>
                <w:lang w:val="fr-FR"/>
              </w:rPr>
              <w:t xml:space="preserve"> partenariat de l’UNHCR avec le NRC, </w:t>
            </w:r>
            <w:r w:rsidR="00A77CAE" w:rsidRPr="00295243">
              <w:rPr>
                <w:rFonts w:ascii="Arial Narrow" w:hAnsi="Arial Narrow"/>
                <w:lang w:val="fr-FR"/>
              </w:rPr>
              <w:t>qui prévoit</w:t>
            </w:r>
            <w:r w:rsidR="00A77CAE" w:rsidRPr="00295243">
              <w:rPr>
                <w:rFonts w:ascii="Arial Narrow" w:hAnsi="Arial Narrow"/>
                <w:lang w:val="fr-FR"/>
              </w:rPr>
              <w:t xml:space="preserve"> la construction de 175 abris dans les zones de Mopti et environnant</w:t>
            </w:r>
            <w:r w:rsidR="00A77CAE" w:rsidRPr="00295243">
              <w:rPr>
                <w:rFonts w:ascii="Arial Narrow" w:hAnsi="Arial Narrow"/>
                <w:lang w:val="fr-FR"/>
              </w:rPr>
              <w:t>.</w:t>
            </w:r>
            <w:r w:rsidR="00964B4F" w:rsidRPr="00295243">
              <w:rPr>
                <w:rFonts w:ascii="Arial Narrow" w:hAnsi="Arial Narrow"/>
                <w:lang w:val="fr-FR"/>
              </w:rPr>
              <w:t xml:space="preserve"> Sur les</w:t>
            </w:r>
            <w:r w:rsidR="00964B4F" w:rsidRPr="00295243">
              <w:rPr>
                <w:rFonts w:ascii="Arial Narrow" w:hAnsi="Arial Narrow"/>
                <w:lang w:val="fr-FR"/>
              </w:rPr>
              <w:t xml:space="preserve"> 175 cases, 99 sont </w:t>
            </w:r>
            <w:r w:rsidR="00964B4F" w:rsidRPr="00295243">
              <w:rPr>
                <w:rFonts w:ascii="Arial Narrow" w:hAnsi="Arial Narrow"/>
                <w:lang w:val="fr-FR"/>
              </w:rPr>
              <w:t>achevées</w:t>
            </w:r>
            <w:r w:rsidR="00964B4F" w:rsidRPr="00295243">
              <w:rPr>
                <w:rFonts w:ascii="Arial Narrow" w:hAnsi="Arial Narrow"/>
                <w:lang w:val="fr-FR"/>
              </w:rPr>
              <w:t>.</w:t>
            </w:r>
            <w:r w:rsidR="00964B4F" w:rsidRPr="00295243">
              <w:rPr>
                <w:rFonts w:ascii="Arial Narrow" w:hAnsi="Arial Narrow"/>
                <w:lang w:val="fr-FR"/>
              </w:rPr>
              <w:t xml:space="preserve"> NRC prévoit aussi la</w:t>
            </w:r>
            <w:r w:rsidR="00964B4F" w:rsidRPr="00295243">
              <w:rPr>
                <w:rFonts w:ascii="Arial Narrow" w:hAnsi="Arial Narrow"/>
                <w:lang w:val="fr-FR"/>
              </w:rPr>
              <w:t xml:space="preserve"> </w:t>
            </w:r>
            <w:r w:rsidR="00295243" w:rsidRPr="00295243">
              <w:rPr>
                <w:rFonts w:ascii="Arial Narrow" w:hAnsi="Arial Narrow"/>
                <w:lang w:val="fr-FR"/>
              </w:rPr>
              <w:t xml:space="preserve">réalisation </w:t>
            </w:r>
            <w:r w:rsidR="00964B4F" w:rsidRPr="00295243">
              <w:rPr>
                <w:rFonts w:ascii="Arial Narrow" w:hAnsi="Arial Narrow"/>
                <w:lang w:val="fr-FR"/>
              </w:rPr>
              <w:t>de 100 cases trad</w:t>
            </w:r>
            <w:r w:rsidR="00295243" w:rsidRPr="00295243">
              <w:rPr>
                <w:rFonts w:ascii="Arial Narrow" w:hAnsi="Arial Narrow"/>
                <w:lang w:val="fr-FR"/>
              </w:rPr>
              <w:t>itionnelles</w:t>
            </w:r>
            <w:r w:rsidR="00964B4F" w:rsidRPr="00295243">
              <w:rPr>
                <w:rFonts w:ascii="Arial Narrow" w:hAnsi="Arial Narrow"/>
                <w:lang w:val="fr-FR"/>
              </w:rPr>
              <w:t xml:space="preserve"> dans la commune de Gossi pour les réfugiés à Tombouctou </w:t>
            </w:r>
            <w:r w:rsidR="00295243" w:rsidRPr="00295243">
              <w:rPr>
                <w:rFonts w:ascii="Arial Narrow" w:hAnsi="Arial Narrow"/>
                <w:lang w:val="fr-FR"/>
              </w:rPr>
              <w:t>dans le cadre du projet de l’UNHCR.</w:t>
            </w:r>
          </w:p>
          <w:p w14:paraId="5B777AE2" w14:textId="32BB92E9" w:rsidR="00B965A0" w:rsidRPr="00855DF8" w:rsidRDefault="00FD20F3" w:rsidP="00EF0A21">
            <w:pPr>
              <w:rPr>
                <w:rFonts w:ascii="Arial Narrow" w:eastAsia="Calibri" w:hAnsi="Arial Narrow" w:cs="Calibri"/>
                <w:lang w:val="fr-FR"/>
              </w:rPr>
            </w:pPr>
            <w:r w:rsidRPr="00F51CC0">
              <w:rPr>
                <w:rFonts w:ascii="Arial Narrow" w:eastAsia="Calibri" w:hAnsi="Arial Narrow" w:cs="Calibri"/>
                <w:lang w:val="fr-FR"/>
              </w:rPr>
              <w:t xml:space="preserve">Les gaps en </w:t>
            </w:r>
            <w:r w:rsidR="00B76E66" w:rsidRPr="00F51CC0">
              <w:rPr>
                <w:rFonts w:ascii="Arial Narrow" w:eastAsia="Calibri" w:hAnsi="Arial Narrow" w:cs="Calibri"/>
                <w:lang w:val="fr-FR"/>
              </w:rPr>
              <w:t>abris concernent</w:t>
            </w:r>
            <w:r w:rsidR="00DE6B29" w:rsidRPr="00F51CC0">
              <w:rPr>
                <w:rFonts w:ascii="Arial Narrow" w:eastAsia="Calibri" w:hAnsi="Arial Narrow" w:cs="Calibri"/>
                <w:lang w:val="fr-FR"/>
              </w:rPr>
              <w:t xml:space="preserve"> </w:t>
            </w:r>
            <w:r w:rsidR="000B7DCC" w:rsidRPr="00F51CC0">
              <w:rPr>
                <w:rFonts w:ascii="Arial Narrow" w:eastAsia="Calibri" w:hAnsi="Arial Narrow" w:cs="Calibri"/>
                <w:lang w:val="fr-FR"/>
              </w:rPr>
              <w:t>les sites de Socoura (</w:t>
            </w:r>
            <w:r w:rsidR="005427C9" w:rsidRPr="00F51CC0">
              <w:rPr>
                <w:rFonts w:ascii="Arial Narrow" w:eastAsia="Calibri" w:hAnsi="Arial Narrow" w:cs="Calibri"/>
                <w:b/>
                <w:bCs/>
                <w:lang w:val="fr-FR"/>
              </w:rPr>
              <w:t>2</w:t>
            </w:r>
            <w:r w:rsidR="00BF4800" w:rsidRPr="00F51CC0">
              <w:rPr>
                <w:rFonts w:ascii="Arial Narrow" w:eastAsia="Calibri" w:hAnsi="Arial Narrow" w:cs="Calibri"/>
                <w:b/>
                <w:bCs/>
                <w:lang w:val="fr-FR"/>
              </w:rPr>
              <w:t>6 ménages</w:t>
            </w:r>
            <w:r w:rsidR="00BF4800" w:rsidRPr="00F51CC0">
              <w:rPr>
                <w:rFonts w:ascii="Arial Narrow" w:eastAsia="Calibri" w:hAnsi="Arial Narrow" w:cs="Calibri"/>
                <w:lang w:val="fr-FR"/>
              </w:rPr>
              <w:t>), Paré (</w:t>
            </w:r>
            <w:r w:rsidR="00BF4800" w:rsidRPr="00F51CC0">
              <w:rPr>
                <w:rFonts w:ascii="Arial Narrow" w:eastAsia="Calibri" w:hAnsi="Arial Narrow" w:cs="Calibri"/>
                <w:b/>
                <w:bCs/>
                <w:lang w:val="fr-FR"/>
              </w:rPr>
              <w:t>50 ménages</w:t>
            </w:r>
            <w:r w:rsidR="00BF4800" w:rsidRPr="00F51CC0">
              <w:rPr>
                <w:rFonts w:ascii="Arial Narrow" w:eastAsia="Calibri" w:hAnsi="Arial Narrow" w:cs="Calibri"/>
                <w:lang w:val="fr-FR"/>
              </w:rPr>
              <w:t xml:space="preserve">), </w:t>
            </w:r>
            <w:r w:rsidR="00C83048" w:rsidRPr="00F51CC0">
              <w:rPr>
                <w:rFonts w:ascii="Arial Narrow" w:eastAsia="Calibri" w:hAnsi="Arial Narrow" w:cs="Calibri"/>
                <w:lang w:val="fr-FR"/>
              </w:rPr>
              <w:t>Horoguindé (</w:t>
            </w:r>
            <w:r w:rsidR="00C83048" w:rsidRPr="00F51CC0">
              <w:rPr>
                <w:rFonts w:ascii="Arial Narrow" w:eastAsia="Calibri" w:hAnsi="Arial Narrow" w:cs="Calibri"/>
                <w:b/>
                <w:bCs/>
                <w:lang w:val="fr-FR"/>
              </w:rPr>
              <w:t>25 ménages</w:t>
            </w:r>
            <w:r w:rsidR="00C83048" w:rsidRPr="00F51CC0">
              <w:rPr>
                <w:rFonts w:ascii="Arial Narrow" w:eastAsia="Calibri" w:hAnsi="Arial Narrow" w:cs="Calibri"/>
                <w:lang w:val="fr-FR"/>
              </w:rPr>
              <w:t>), Diallango (</w:t>
            </w:r>
            <w:r w:rsidR="00EF0188" w:rsidRPr="00F51CC0">
              <w:rPr>
                <w:rFonts w:ascii="Arial Narrow" w:eastAsia="Calibri" w:hAnsi="Arial Narrow" w:cs="Calibri"/>
                <w:b/>
                <w:bCs/>
                <w:lang w:val="fr-FR"/>
              </w:rPr>
              <w:t>55 ménages</w:t>
            </w:r>
            <w:r w:rsidR="00EF0188" w:rsidRPr="00F51CC0">
              <w:rPr>
                <w:rFonts w:ascii="Arial Narrow" w:eastAsia="Calibri" w:hAnsi="Arial Narrow" w:cs="Calibri"/>
                <w:lang w:val="fr-FR"/>
              </w:rPr>
              <w:t>), Soufroulaye (</w:t>
            </w:r>
            <w:r w:rsidR="00EF0188" w:rsidRPr="00F51CC0">
              <w:rPr>
                <w:rFonts w:ascii="Arial Narrow" w:eastAsia="Calibri" w:hAnsi="Arial Narrow" w:cs="Calibri"/>
                <w:b/>
                <w:bCs/>
                <w:lang w:val="fr-FR"/>
              </w:rPr>
              <w:t>20 ménages</w:t>
            </w:r>
            <w:r w:rsidR="00EF0188" w:rsidRPr="00F51CC0">
              <w:rPr>
                <w:rFonts w:ascii="Arial Narrow" w:eastAsia="Calibri" w:hAnsi="Arial Narrow" w:cs="Calibri"/>
                <w:lang w:val="fr-FR"/>
              </w:rPr>
              <w:t>),</w:t>
            </w:r>
            <w:r w:rsidR="009B13FE" w:rsidRPr="00F51CC0">
              <w:rPr>
                <w:rFonts w:ascii="Arial Narrow" w:eastAsia="Calibri" w:hAnsi="Arial Narrow" w:cs="Calibri"/>
                <w:lang w:val="fr-FR"/>
              </w:rPr>
              <w:t xml:space="preserve"> </w:t>
            </w:r>
            <w:r w:rsidR="007D333F" w:rsidRPr="00F51CC0">
              <w:rPr>
                <w:rFonts w:ascii="Arial Narrow" w:eastAsia="Calibri" w:hAnsi="Arial Narrow" w:cs="Calibri"/>
                <w:lang w:val="fr-FR"/>
              </w:rPr>
              <w:t>Takouti (</w:t>
            </w:r>
            <w:r w:rsidR="007D333F" w:rsidRPr="00F51CC0">
              <w:rPr>
                <w:rFonts w:ascii="Arial Narrow" w:eastAsia="Calibri" w:hAnsi="Arial Narrow" w:cs="Calibri"/>
                <w:b/>
                <w:bCs/>
                <w:lang w:val="fr-FR"/>
              </w:rPr>
              <w:t>18 ménages</w:t>
            </w:r>
            <w:r w:rsidR="007D333F" w:rsidRPr="00F51CC0">
              <w:rPr>
                <w:rFonts w:ascii="Arial Narrow" w:eastAsia="Calibri" w:hAnsi="Arial Narrow" w:cs="Calibri"/>
                <w:lang w:val="fr-FR"/>
              </w:rPr>
              <w:t>), Soco</w:t>
            </w:r>
            <w:r w:rsidR="006143B2" w:rsidRPr="00F51CC0">
              <w:rPr>
                <w:rFonts w:ascii="Arial Narrow" w:eastAsia="Calibri" w:hAnsi="Arial Narrow" w:cs="Calibri"/>
                <w:lang w:val="fr-FR"/>
              </w:rPr>
              <w:t>ura.IFM Annexe (</w:t>
            </w:r>
            <w:r w:rsidR="006143B2" w:rsidRPr="00F51CC0">
              <w:rPr>
                <w:rFonts w:ascii="Arial Narrow" w:eastAsia="Calibri" w:hAnsi="Arial Narrow" w:cs="Calibri"/>
                <w:b/>
                <w:bCs/>
                <w:lang w:val="fr-FR"/>
              </w:rPr>
              <w:t>143 ménages</w:t>
            </w:r>
            <w:r w:rsidR="006143B2" w:rsidRPr="00F51CC0">
              <w:rPr>
                <w:rFonts w:ascii="Arial Narrow" w:eastAsia="Calibri" w:hAnsi="Arial Narrow" w:cs="Calibri"/>
                <w:lang w:val="fr-FR"/>
              </w:rPr>
              <w:t>), Sarema (</w:t>
            </w:r>
            <w:r w:rsidR="00566711" w:rsidRPr="00F51CC0">
              <w:rPr>
                <w:rFonts w:ascii="Arial Narrow" w:eastAsia="Calibri" w:hAnsi="Arial Narrow" w:cs="Calibri"/>
                <w:b/>
                <w:bCs/>
                <w:lang w:val="fr-FR"/>
              </w:rPr>
              <w:t>143 ménages</w:t>
            </w:r>
            <w:r w:rsidR="00566711" w:rsidRPr="00F51CC0">
              <w:rPr>
                <w:rFonts w:ascii="Arial Narrow" w:eastAsia="Calibri" w:hAnsi="Arial Narrow" w:cs="Calibri"/>
                <w:lang w:val="fr-FR"/>
              </w:rPr>
              <w:t>), Médina Coura (</w:t>
            </w:r>
            <w:r w:rsidR="00F579E9" w:rsidRPr="00F51CC0">
              <w:rPr>
                <w:rFonts w:ascii="Arial Narrow" w:eastAsia="Calibri" w:hAnsi="Arial Narrow" w:cs="Calibri"/>
                <w:b/>
                <w:bCs/>
                <w:lang w:val="fr-FR"/>
              </w:rPr>
              <w:t>35 ménages</w:t>
            </w:r>
            <w:r w:rsidR="00F579E9" w:rsidRPr="00F51CC0">
              <w:rPr>
                <w:rFonts w:ascii="Arial Narrow" w:eastAsia="Calibri" w:hAnsi="Arial Narrow" w:cs="Calibri"/>
                <w:lang w:val="fr-FR"/>
              </w:rPr>
              <w:t>)</w:t>
            </w:r>
            <w:r w:rsidR="00F579E9" w:rsidRPr="00855DF8">
              <w:rPr>
                <w:rFonts w:ascii="Arial Narrow" w:eastAsia="Calibri" w:hAnsi="Arial Narrow" w:cs="Calibri"/>
                <w:lang w:val="fr-FR"/>
              </w:rPr>
              <w:t>, Ba</w:t>
            </w:r>
            <w:r w:rsidR="00D226CC" w:rsidRPr="00855DF8">
              <w:rPr>
                <w:rFonts w:ascii="Arial Narrow" w:eastAsia="Calibri" w:hAnsi="Arial Narrow" w:cs="Calibri"/>
                <w:lang w:val="fr-FR"/>
              </w:rPr>
              <w:t>rbé 1 (</w:t>
            </w:r>
            <w:r w:rsidR="00D226CC" w:rsidRPr="00855DF8">
              <w:rPr>
                <w:rFonts w:ascii="Arial Narrow" w:eastAsia="Calibri" w:hAnsi="Arial Narrow" w:cs="Calibri"/>
                <w:b/>
                <w:bCs/>
                <w:lang w:val="fr-FR"/>
              </w:rPr>
              <w:t>17 ménages</w:t>
            </w:r>
            <w:r w:rsidR="00D226CC" w:rsidRPr="00855DF8">
              <w:rPr>
                <w:rFonts w:ascii="Arial Narrow" w:eastAsia="Calibri" w:hAnsi="Arial Narrow" w:cs="Calibri"/>
                <w:lang w:val="fr-FR"/>
              </w:rPr>
              <w:t>), Barbé 2 (</w:t>
            </w:r>
            <w:r w:rsidR="00E86517" w:rsidRPr="00855DF8">
              <w:rPr>
                <w:rFonts w:ascii="Arial Narrow" w:eastAsia="Calibri" w:hAnsi="Arial Narrow" w:cs="Calibri"/>
                <w:b/>
                <w:bCs/>
                <w:lang w:val="fr-FR"/>
              </w:rPr>
              <w:t>9 ménages</w:t>
            </w:r>
            <w:r w:rsidR="00E86517" w:rsidRPr="00855DF8">
              <w:rPr>
                <w:rFonts w:ascii="Arial Narrow" w:eastAsia="Calibri" w:hAnsi="Arial Narrow" w:cs="Calibri"/>
                <w:lang w:val="fr-FR"/>
              </w:rPr>
              <w:t>), Sirifiri 1 (</w:t>
            </w:r>
            <w:r w:rsidR="00E86517" w:rsidRPr="00855DF8">
              <w:rPr>
                <w:rFonts w:ascii="Arial Narrow" w:eastAsia="Calibri" w:hAnsi="Arial Narrow" w:cs="Calibri"/>
                <w:b/>
                <w:bCs/>
                <w:lang w:val="fr-FR"/>
              </w:rPr>
              <w:t>62 ménages</w:t>
            </w:r>
            <w:r w:rsidR="00E86517" w:rsidRPr="00855DF8">
              <w:rPr>
                <w:rFonts w:ascii="Arial Narrow" w:eastAsia="Calibri" w:hAnsi="Arial Narrow" w:cs="Calibri"/>
                <w:lang w:val="fr-FR"/>
              </w:rPr>
              <w:t>), Annexe Lycée H Dicko</w:t>
            </w:r>
            <w:r w:rsidR="00C87565" w:rsidRPr="00855DF8">
              <w:rPr>
                <w:rFonts w:ascii="Arial Narrow" w:eastAsia="Calibri" w:hAnsi="Arial Narrow" w:cs="Calibri"/>
                <w:lang w:val="fr-FR"/>
              </w:rPr>
              <w:t xml:space="preserve"> (</w:t>
            </w:r>
            <w:r w:rsidR="00C87565" w:rsidRPr="00855DF8">
              <w:rPr>
                <w:rFonts w:ascii="Arial Narrow" w:eastAsia="Calibri" w:hAnsi="Arial Narrow" w:cs="Calibri"/>
                <w:b/>
                <w:bCs/>
                <w:lang w:val="fr-FR"/>
              </w:rPr>
              <w:t>45 ménages</w:t>
            </w:r>
            <w:r w:rsidR="00C87565" w:rsidRPr="00855DF8">
              <w:rPr>
                <w:rFonts w:ascii="Arial Narrow" w:eastAsia="Calibri" w:hAnsi="Arial Narrow" w:cs="Calibri"/>
                <w:lang w:val="fr-FR"/>
              </w:rPr>
              <w:t xml:space="preserve">), </w:t>
            </w:r>
            <w:r w:rsidR="00BA16B0" w:rsidRPr="00855DF8">
              <w:rPr>
                <w:rFonts w:ascii="Arial Narrow" w:eastAsia="Calibri" w:hAnsi="Arial Narrow" w:cs="Calibri"/>
                <w:lang w:val="fr-FR"/>
              </w:rPr>
              <w:t>Socoura Village (IFP) (</w:t>
            </w:r>
            <w:r w:rsidR="00BA16B0" w:rsidRPr="00855DF8">
              <w:rPr>
                <w:rFonts w:ascii="Arial Narrow" w:eastAsia="Calibri" w:hAnsi="Arial Narrow" w:cs="Calibri"/>
                <w:b/>
                <w:bCs/>
                <w:lang w:val="fr-FR"/>
              </w:rPr>
              <w:t>70 ménages</w:t>
            </w:r>
            <w:r w:rsidR="00BA16B0" w:rsidRPr="00855DF8">
              <w:rPr>
                <w:rFonts w:ascii="Arial Narrow" w:eastAsia="Calibri" w:hAnsi="Arial Narrow" w:cs="Calibri"/>
                <w:lang w:val="fr-FR"/>
              </w:rPr>
              <w:t>), Site Officiel (</w:t>
            </w:r>
            <w:r w:rsidR="00BA16B0" w:rsidRPr="00855DF8">
              <w:rPr>
                <w:rFonts w:ascii="Arial Narrow" w:eastAsia="Calibri" w:hAnsi="Arial Narrow" w:cs="Calibri"/>
                <w:b/>
                <w:bCs/>
                <w:lang w:val="fr-FR"/>
              </w:rPr>
              <w:t>2 ménages</w:t>
            </w:r>
            <w:r w:rsidR="00EA02DA" w:rsidRPr="00855DF8">
              <w:rPr>
                <w:rFonts w:ascii="Arial Narrow" w:eastAsia="Calibri" w:hAnsi="Arial Narrow" w:cs="Calibri"/>
                <w:lang w:val="fr-FR"/>
              </w:rPr>
              <w:t>)</w:t>
            </w:r>
            <w:r w:rsidR="0035757E" w:rsidRPr="00855DF8">
              <w:rPr>
                <w:rFonts w:ascii="Arial Narrow" w:eastAsia="Calibri" w:hAnsi="Arial Narrow" w:cs="Calibri"/>
                <w:lang w:val="fr-FR"/>
              </w:rPr>
              <w:t xml:space="preserve"> et Sarema nouveau site (</w:t>
            </w:r>
            <w:r w:rsidR="005D4E2A" w:rsidRPr="00855DF8">
              <w:rPr>
                <w:rFonts w:ascii="Arial Narrow" w:eastAsia="Calibri" w:hAnsi="Arial Narrow" w:cs="Calibri"/>
                <w:b/>
                <w:bCs/>
                <w:lang w:val="fr-FR"/>
              </w:rPr>
              <w:t>16 ménages</w:t>
            </w:r>
            <w:r w:rsidR="005D4E2A" w:rsidRPr="00855DF8">
              <w:rPr>
                <w:rFonts w:ascii="Arial Narrow" w:eastAsia="Calibri" w:hAnsi="Arial Narrow" w:cs="Calibri"/>
                <w:lang w:val="fr-FR"/>
              </w:rPr>
              <w:t xml:space="preserve">). Soit au total </w:t>
            </w:r>
            <w:r w:rsidR="005D4E2A" w:rsidRPr="00855DF8">
              <w:rPr>
                <w:rFonts w:ascii="Arial Narrow" w:eastAsia="Calibri" w:hAnsi="Arial Narrow" w:cs="Calibri"/>
                <w:b/>
                <w:bCs/>
                <w:lang w:val="fr-FR"/>
              </w:rPr>
              <w:t>736 ménages non assistés</w:t>
            </w:r>
            <w:r w:rsidR="001D597F" w:rsidRPr="00855DF8">
              <w:rPr>
                <w:rFonts w:ascii="Arial Narrow" w:eastAsia="Calibri" w:hAnsi="Arial Narrow" w:cs="Calibri"/>
                <w:b/>
                <w:bCs/>
                <w:lang w:val="fr-FR"/>
              </w:rPr>
              <w:t xml:space="preserve"> </w:t>
            </w:r>
            <w:r w:rsidR="001D597F" w:rsidRPr="00855DF8">
              <w:rPr>
                <w:rFonts w:ascii="Arial Narrow" w:eastAsia="Calibri" w:hAnsi="Arial Narrow" w:cs="Calibri"/>
                <w:lang w:val="fr-FR"/>
              </w:rPr>
              <w:t>en abris.</w:t>
            </w:r>
          </w:p>
          <w:p w14:paraId="0669F995" w14:textId="77777777" w:rsidR="00136EAE" w:rsidRPr="00855DF8" w:rsidRDefault="00B965A0" w:rsidP="00136EAE">
            <w:pPr>
              <w:rPr>
                <w:rFonts w:ascii="Arial Narrow" w:hAnsi="Arial Narrow"/>
                <w:lang w:val="fr-FR"/>
              </w:rPr>
            </w:pPr>
            <w:r w:rsidRPr="00855DF8">
              <w:rPr>
                <w:rFonts w:ascii="Arial Narrow" w:hAnsi="Arial Narrow"/>
                <w:lang w:val="fr-FR"/>
              </w:rPr>
              <w:t xml:space="preserve">A </w:t>
            </w:r>
            <w:r w:rsidRPr="00855DF8">
              <w:rPr>
                <w:rFonts w:ascii="Arial Narrow" w:hAnsi="Arial Narrow"/>
                <w:lang w:val="fr-FR"/>
              </w:rPr>
              <w:t>Bandiagara : collaboration avec PNUD et OIM en vue de finaliser 60 abris. Gaps à Bankass sans réponse.</w:t>
            </w:r>
          </w:p>
          <w:p w14:paraId="22050E8F" w14:textId="31F2E62E" w:rsidR="002239A8" w:rsidRPr="00855DF8" w:rsidRDefault="00136EAE" w:rsidP="00EF0A21">
            <w:pPr>
              <w:rPr>
                <w:rFonts w:ascii="Arial Narrow" w:hAnsi="Arial Narrow"/>
                <w:lang w:val="fr-FR"/>
              </w:rPr>
            </w:pPr>
            <w:r w:rsidRPr="00855DF8">
              <w:rPr>
                <w:rFonts w:ascii="Arial Narrow" w:hAnsi="Arial Narrow"/>
                <w:lang w:val="fr-FR"/>
              </w:rPr>
              <w:t xml:space="preserve">Les </w:t>
            </w:r>
            <w:r w:rsidR="00E03B10" w:rsidRPr="00855DF8">
              <w:rPr>
                <w:rFonts w:ascii="Arial Narrow" w:hAnsi="Arial Narrow"/>
                <w:lang w:val="fr-FR"/>
              </w:rPr>
              <w:t xml:space="preserve">Gaps de 200 ménages à Niono, </w:t>
            </w:r>
            <w:r w:rsidRPr="00855DF8">
              <w:rPr>
                <w:rFonts w:ascii="Arial Narrow" w:hAnsi="Arial Narrow"/>
                <w:lang w:val="fr-FR"/>
              </w:rPr>
              <w:t xml:space="preserve">concernent </w:t>
            </w:r>
            <w:r w:rsidR="00E03B10" w:rsidRPr="00855DF8">
              <w:rPr>
                <w:rFonts w:ascii="Arial Narrow" w:hAnsi="Arial Narrow"/>
                <w:lang w:val="fr-FR"/>
              </w:rPr>
              <w:t xml:space="preserve">deux </w:t>
            </w:r>
            <w:r w:rsidR="00F51CC0" w:rsidRPr="00855DF8">
              <w:rPr>
                <w:rFonts w:ascii="Arial Narrow" w:hAnsi="Arial Narrow"/>
                <w:lang w:val="fr-FR"/>
              </w:rPr>
              <w:t xml:space="preserve">sites </w:t>
            </w:r>
            <w:r w:rsidR="00E03B10" w:rsidRPr="00855DF8">
              <w:rPr>
                <w:rFonts w:ascii="Arial Narrow" w:hAnsi="Arial Narrow"/>
                <w:lang w:val="fr-FR"/>
              </w:rPr>
              <w:t>de Attetebougou</w:t>
            </w:r>
            <w:r w:rsidR="00F51CC0" w:rsidRPr="00855DF8">
              <w:rPr>
                <w:rFonts w:ascii="Arial Narrow" w:hAnsi="Arial Narrow"/>
                <w:lang w:val="fr-FR"/>
              </w:rPr>
              <w:t xml:space="preserve"> et aucune réponse à Bankass, avec peu de</w:t>
            </w:r>
            <w:r w:rsidR="00F51CC0" w:rsidRPr="00855DF8">
              <w:rPr>
                <w:rFonts w:ascii="Arial Narrow" w:hAnsi="Arial Narrow"/>
                <w:lang w:val="fr-FR"/>
              </w:rPr>
              <w:t xml:space="preserve"> gaps importants à Segou. </w:t>
            </w:r>
            <w:r w:rsidR="00F51CC0" w:rsidRPr="00855DF8">
              <w:rPr>
                <w:rFonts w:ascii="Arial Narrow" w:hAnsi="Arial Narrow"/>
                <w:lang w:val="fr-FR"/>
              </w:rPr>
              <w:t>Les gaps de Ségou concernent les communes de</w:t>
            </w:r>
            <w:r w:rsidR="00F51CC0" w:rsidRPr="00855DF8">
              <w:rPr>
                <w:rFonts w:ascii="Arial Narrow" w:hAnsi="Arial Narrow"/>
                <w:lang w:val="fr-FR"/>
              </w:rPr>
              <w:t xml:space="preserve"> Sibala et Niono</w:t>
            </w:r>
            <w:r w:rsidR="00F51CC0" w:rsidRPr="00855DF8">
              <w:rPr>
                <w:rFonts w:ascii="Arial Narrow" w:hAnsi="Arial Narrow"/>
                <w:lang w:val="fr-FR"/>
              </w:rPr>
              <w:t>.</w:t>
            </w:r>
            <w:r w:rsidR="00E03B10" w:rsidRPr="00855DF8">
              <w:rPr>
                <w:rFonts w:ascii="Arial Narrow" w:hAnsi="Arial Narrow"/>
                <w:lang w:val="fr-FR"/>
              </w:rPr>
              <w:t xml:space="preserve"> </w:t>
            </w:r>
          </w:p>
          <w:p w14:paraId="17405B05" w14:textId="398E2E5F" w:rsidR="002239A8" w:rsidRPr="0039456E" w:rsidRDefault="002239A8" w:rsidP="002239A8">
            <w:pPr>
              <w:rPr>
                <w:rFonts w:ascii="Arial Narrow" w:hAnsi="Arial Narrow"/>
                <w:lang w:val="fr-FR"/>
              </w:rPr>
            </w:pPr>
            <w:r w:rsidRPr="00855DF8">
              <w:rPr>
                <w:rFonts w:ascii="Arial Narrow" w:hAnsi="Arial Narrow"/>
                <w:lang w:val="fr-FR"/>
              </w:rPr>
              <w:t>La réponse du RRM à Ménaka, concerne les communes</w:t>
            </w:r>
            <w:r w:rsidRPr="00855DF8">
              <w:rPr>
                <w:rFonts w:ascii="Arial Narrow" w:hAnsi="Arial Narrow"/>
                <w:lang w:val="fr-FR"/>
              </w:rPr>
              <w:t xml:space="preserve"> Ouinerdene, Gossi et N’tilit pour une assistance en abri</w:t>
            </w:r>
            <w:r w:rsidR="00012FD8" w:rsidRPr="00855DF8">
              <w:rPr>
                <w:rFonts w:ascii="Arial Narrow" w:hAnsi="Arial Narrow"/>
                <w:lang w:val="fr-FR"/>
              </w:rPr>
              <w:t xml:space="preserve">s. Par ailleurs, les </w:t>
            </w:r>
            <w:r w:rsidRPr="00855DF8">
              <w:rPr>
                <w:rFonts w:ascii="Arial Narrow" w:hAnsi="Arial Narrow"/>
                <w:lang w:val="fr-FR"/>
              </w:rPr>
              <w:t>555 ménages évalués</w:t>
            </w:r>
            <w:r w:rsidR="004D73FA" w:rsidRPr="00855DF8">
              <w:rPr>
                <w:rFonts w:ascii="Arial Narrow" w:hAnsi="Arial Narrow"/>
                <w:lang w:val="fr-FR"/>
              </w:rPr>
              <w:t>, CRS les ci</w:t>
            </w:r>
            <w:r w:rsidR="004D73FA" w:rsidRPr="0039456E">
              <w:rPr>
                <w:rFonts w:ascii="Arial Narrow" w:hAnsi="Arial Narrow"/>
                <w:lang w:val="fr-FR"/>
              </w:rPr>
              <w:t>bles</w:t>
            </w:r>
            <w:r w:rsidRPr="0039456E">
              <w:rPr>
                <w:rFonts w:ascii="Arial Narrow" w:hAnsi="Arial Narrow"/>
                <w:lang w:val="fr-FR"/>
              </w:rPr>
              <w:t xml:space="preserve"> pour une assistance en abris à Ménaka ville</w:t>
            </w:r>
            <w:r w:rsidR="004D73FA" w:rsidRPr="0039456E">
              <w:rPr>
                <w:rFonts w:ascii="Arial Narrow" w:hAnsi="Arial Narrow"/>
                <w:lang w:val="fr-FR"/>
              </w:rPr>
              <w:t>.</w:t>
            </w:r>
          </w:p>
          <w:p w14:paraId="1E95B38D" w14:textId="6E533675" w:rsidR="00324F8F" w:rsidRPr="0039456E" w:rsidRDefault="00324F8F" w:rsidP="002239A8">
            <w:pPr>
              <w:rPr>
                <w:rFonts w:ascii="Arial Narrow" w:hAnsi="Arial Narrow"/>
                <w:lang w:val="fr-FR"/>
              </w:rPr>
            </w:pPr>
            <w:r w:rsidRPr="0039456E">
              <w:rPr>
                <w:rFonts w:ascii="Arial Narrow" w:hAnsi="Arial Narrow"/>
                <w:lang w:val="fr-FR"/>
              </w:rPr>
              <w:t xml:space="preserve">Le partenaire </w:t>
            </w:r>
            <w:r w:rsidRPr="0039456E">
              <w:rPr>
                <w:rFonts w:ascii="Arial Narrow" w:hAnsi="Arial Narrow"/>
                <w:lang w:val="fr-FR"/>
              </w:rPr>
              <w:t xml:space="preserve">Plan </w:t>
            </w:r>
            <w:r w:rsidRPr="0039456E">
              <w:rPr>
                <w:rFonts w:ascii="Arial Narrow" w:hAnsi="Arial Narrow"/>
                <w:lang w:val="fr-FR"/>
              </w:rPr>
              <w:t xml:space="preserve">International </w:t>
            </w:r>
            <w:r w:rsidR="00855DF8" w:rsidRPr="0039456E">
              <w:rPr>
                <w:rFonts w:ascii="Arial Narrow" w:hAnsi="Arial Narrow"/>
                <w:lang w:val="fr-FR"/>
              </w:rPr>
              <w:t>prévoit</w:t>
            </w:r>
            <w:r w:rsidRPr="0039456E">
              <w:rPr>
                <w:rFonts w:ascii="Arial Narrow" w:hAnsi="Arial Narrow"/>
                <w:lang w:val="fr-FR"/>
              </w:rPr>
              <w:t xml:space="preserve"> une assistance de </w:t>
            </w:r>
            <w:r w:rsidRPr="0039456E">
              <w:rPr>
                <w:rFonts w:ascii="Arial Narrow" w:hAnsi="Arial Narrow"/>
                <w:b/>
                <w:bCs/>
                <w:lang w:val="fr-FR"/>
              </w:rPr>
              <w:t>1</w:t>
            </w:r>
            <w:r w:rsidR="00855DF8" w:rsidRPr="0039456E">
              <w:rPr>
                <w:rFonts w:ascii="Arial Narrow" w:hAnsi="Arial Narrow"/>
                <w:b/>
                <w:bCs/>
                <w:lang w:val="fr-FR"/>
              </w:rPr>
              <w:t>,</w:t>
            </w:r>
            <w:r w:rsidRPr="0039456E">
              <w:rPr>
                <w:rFonts w:ascii="Arial Narrow" w:hAnsi="Arial Narrow"/>
                <w:b/>
                <w:bCs/>
                <w:lang w:val="fr-FR"/>
              </w:rPr>
              <w:t>500 personnes</w:t>
            </w:r>
            <w:r w:rsidRPr="0039456E">
              <w:rPr>
                <w:rFonts w:ascii="Arial Narrow" w:hAnsi="Arial Narrow"/>
                <w:lang w:val="fr-FR"/>
              </w:rPr>
              <w:t xml:space="preserve"> dans les cercles de Mopti, Bandiagara et Bankass au mois de novembre en BNA</w:t>
            </w:r>
            <w:r w:rsidR="00AB7164" w:rsidRPr="0039456E">
              <w:rPr>
                <w:rFonts w:ascii="Arial Narrow" w:hAnsi="Arial Narrow"/>
                <w:lang w:val="fr-FR"/>
              </w:rPr>
              <w:t>.</w:t>
            </w:r>
          </w:p>
          <w:p w14:paraId="4F40993F" w14:textId="1AF09ED8" w:rsidR="002239A8" w:rsidRPr="0039456E" w:rsidRDefault="002239A8" w:rsidP="00F51CC0">
            <w:pPr>
              <w:rPr>
                <w:rFonts w:ascii="Arial Narrow" w:hAnsi="Arial Narrow"/>
                <w:lang w:val="fr-FR"/>
              </w:rPr>
            </w:pPr>
          </w:p>
          <w:p w14:paraId="5C48062C" w14:textId="77777777" w:rsidR="00AB7164" w:rsidRPr="0039456E" w:rsidRDefault="00AB7164" w:rsidP="00AB7164">
            <w:pPr>
              <w:rPr>
                <w:rFonts w:ascii="Arial Narrow" w:hAnsi="Arial Narrow"/>
                <w:lang w:val="fr-FR"/>
              </w:rPr>
            </w:pPr>
            <w:r w:rsidRPr="0039456E">
              <w:rPr>
                <w:rFonts w:ascii="Arial Narrow" w:hAnsi="Arial Narrow"/>
                <w:lang w:val="fr-FR"/>
              </w:rPr>
              <w:lastRenderedPageBreak/>
              <w:t>Le</w:t>
            </w:r>
            <w:r w:rsidRPr="0039456E">
              <w:rPr>
                <w:rFonts w:ascii="Arial Narrow" w:hAnsi="Arial Narrow"/>
                <w:lang w:val="fr-FR"/>
              </w:rPr>
              <w:t xml:space="preserve"> référent technique qui couvre les bureaux de ECHO au niveau de la sous-région</w:t>
            </w:r>
            <w:r w:rsidRPr="0039456E">
              <w:rPr>
                <w:rFonts w:ascii="Arial Narrow" w:hAnsi="Arial Narrow"/>
                <w:lang w:val="fr-FR"/>
              </w:rPr>
              <w:t xml:space="preserve"> a expliqué</w:t>
            </w:r>
            <w:r w:rsidRPr="0039456E">
              <w:rPr>
                <w:rFonts w:ascii="Arial Narrow" w:hAnsi="Arial Narrow"/>
                <w:lang w:val="fr-FR"/>
              </w:rPr>
              <w:t xml:space="preserve"> </w:t>
            </w:r>
            <w:r w:rsidRPr="0039456E">
              <w:rPr>
                <w:rFonts w:ascii="Arial Narrow" w:hAnsi="Arial Narrow"/>
                <w:lang w:val="fr-FR"/>
              </w:rPr>
              <w:t>la</w:t>
            </w:r>
            <w:r w:rsidRPr="0039456E">
              <w:rPr>
                <w:rFonts w:ascii="Arial Narrow" w:hAnsi="Arial Narrow"/>
                <w:lang w:val="fr-FR"/>
              </w:rPr>
              <w:t xml:space="preserve"> volonté du côté ECHO pour soutenir le domaine des abris. Pour l’instant, ECHO est impliqué dans le financement de </w:t>
            </w:r>
            <w:r w:rsidRPr="0039456E">
              <w:rPr>
                <w:rFonts w:ascii="Arial Narrow" w:hAnsi="Arial Narrow"/>
                <w:lang w:val="fr-FR"/>
              </w:rPr>
              <w:t>l’Aide Internationale de la Croix Rouge Luxembourgeoise (AICRL)</w:t>
            </w:r>
            <w:r w:rsidRPr="0039456E">
              <w:rPr>
                <w:rFonts w:ascii="Arial Narrow" w:hAnsi="Arial Narrow"/>
                <w:lang w:val="fr-FR"/>
              </w:rPr>
              <w:t xml:space="preserve"> et le RRM.</w:t>
            </w:r>
          </w:p>
          <w:p w14:paraId="095D27C2" w14:textId="5AF843EA" w:rsidR="00AB7164" w:rsidRPr="0039456E" w:rsidRDefault="00AB7164" w:rsidP="00AB7164">
            <w:pPr>
              <w:rPr>
                <w:rFonts w:ascii="Arial Narrow" w:hAnsi="Arial Narrow"/>
                <w:lang w:val="fr-FR"/>
              </w:rPr>
            </w:pPr>
            <w:r w:rsidRPr="0039456E">
              <w:rPr>
                <w:rFonts w:ascii="Arial Narrow" w:hAnsi="Arial Narrow"/>
                <w:lang w:val="fr-FR"/>
              </w:rPr>
              <w:t>L</w:t>
            </w:r>
            <w:r w:rsidRPr="0039456E">
              <w:rPr>
                <w:rFonts w:ascii="Arial Narrow" w:hAnsi="Arial Narrow"/>
                <w:lang w:val="fr-FR"/>
              </w:rPr>
              <w:t xml:space="preserve">a réponse abri du RRM </w:t>
            </w:r>
            <w:r w:rsidRPr="0039456E">
              <w:rPr>
                <w:rFonts w:ascii="Arial Narrow" w:hAnsi="Arial Narrow"/>
                <w:lang w:val="fr-FR"/>
              </w:rPr>
              <w:t>étant</w:t>
            </w:r>
            <w:r w:rsidRPr="0039456E">
              <w:rPr>
                <w:rFonts w:ascii="Arial Narrow" w:hAnsi="Arial Narrow"/>
                <w:lang w:val="fr-FR"/>
              </w:rPr>
              <w:t xml:space="preserve"> insuffisante, ECHO envisage de s’impliquer </w:t>
            </w:r>
            <w:r w:rsidRPr="0039456E">
              <w:rPr>
                <w:rFonts w:ascii="Arial Narrow" w:hAnsi="Arial Narrow"/>
                <w:lang w:val="fr-FR"/>
              </w:rPr>
              <w:t>en</w:t>
            </w:r>
            <w:r w:rsidRPr="0039456E">
              <w:rPr>
                <w:rFonts w:ascii="Arial Narrow" w:hAnsi="Arial Narrow"/>
                <w:lang w:val="fr-FR"/>
              </w:rPr>
              <w:t xml:space="preserve"> abris dans </w:t>
            </w:r>
            <w:r w:rsidRPr="0039456E">
              <w:rPr>
                <w:rFonts w:ascii="Arial Narrow" w:hAnsi="Arial Narrow"/>
                <w:lang w:val="fr-FR"/>
              </w:rPr>
              <w:t>le cadre du</w:t>
            </w:r>
            <w:r w:rsidRPr="0039456E">
              <w:rPr>
                <w:rFonts w:ascii="Arial Narrow" w:hAnsi="Arial Narrow"/>
                <w:lang w:val="fr-FR"/>
              </w:rPr>
              <w:t xml:space="preserve"> HIP</w:t>
            </w:r>
            <w:r w:rsidRPr="0039456E">
              <w:rPr>
                <w:rFonts w:ascii="Arial Narrow" w:hAnsi="Arial Narrow"/>
                <w:lang w:val="fr-FR"/>
              </w:rPr>
              <w:t xml:space="preserve"> (Humanitarian Implementation Plan) 2023</w:t>
            </w:r>
            <w:r w:rsidRPr="0039456E">
              <w:rPr>
                <w:rFonts w:ascii="Arial Narrow" w:hAnsi="Arial Narrow"/>
                <w:lang w:val="fr-FR"/>
              </w:rPr>
              <w:t xml:space="preserve"> annuel. </w:t>
            </w:r>
            <w:r w:rsidR="001F4CE1" w:rsidRPr="0039456E">
              <w:rPr>
                <w:rFonts w:ascii="Arial Narrow" w:hAnsi="Arial Narrow"/>
                <w:lang w:val="fr-FR"/>
              </w:rPr>
              <w:t>Les soumissions de propositions</w:t>
            </w:r>
            <w:r w:rsidR="00EB0C30" w:rsidRPr="0039456E">
              <w:rPr>
                <w:rFonts w:ascii="Arial Narrow" w:hAnsi="Arial Narrow"/>
                <w:lang w:val="fr-FR"/>
              </w:rPr>
              <w:t xml:space="preserve"> se font</w:t>
            </w:r>
            <w:r w:rsidRPr="0039456E">
              <w:rPr>
                <w:rFonts w:ascii="Arial Narrow" w:hAnsi="Arial Narrow"/>
                <w:lang w:val="fr-FR"/>
              </w:rPr>
              <w:t xml:space="preserve"> </w:t>
            </w:r>
            <w:r w:rsidR="00EB0C30" w:rsidRPr="0039456E">
              <w:rPr>
                <w:rFonts w:ascii="Arial Narrow" w:hAnsi="Arial Narrow"/>
                <w:lang w:val="fr-FR"/>
              </w:rPr>
              <w:t>t</w:t>
            </w:r>
            <w:r w:rsidRPr="0039456E">
              <w:rPr>
                <w:rFonts w:ascii="Arial Narrow" w:hAnsi="Arial Narrow"/>
                <w:lang w:val="fr-FR"/>
              </w:rPr>
              <w:t>ous les 10 janvier</w:t>
            </w:r>
            <w:r w:rsidR="008C2925" w:rsidRPr="0039456E">
              <w:rPr>
                <w:rFonts w:ascii="Arial Narrow" w:hAnsi="Arial Narrow"/>
                <w:lang w:val="fr-FR"/>
              </w:rPr>
              <w:t xml:space="preserve"> </w:t>
            </w:r>
            <w:r w:rsidR="007964B4" w:rsidRPr="0039456E">
              <w:rPr>
                <w:rFonts w:ascii="Arial Narrow" w:hAnsi="Arial Narrow"/>
                <w:lang w:val="fr-FR"/>
              </w:rPr>
              <w:t xml:space="preserve">et les organisations désireuses doivent </w:t>
            </w:r>
            <w:r w:rsidR="008C2925" w:rsidRPr="0039456E">
              <w:rPr>
                <w:rFonts w:ascii="Arial Narrow" w:hAnsi="Arial Narrow"/>
                <w:lang w:val="fr-FR"/>
              </w:rPr>
              <w:t>gard</w:t>
            </w:r>
            <w:r w:rsidR="007964B4" w:rsidRPr="0039456E">
              <w:rPr>
                <w:rFonts w:ascii="Arial Narrow" w:hAnsi="Arial Narrow"/>
                <w:lang w:val="fr-FR"/>
              </w:rPr>
              <w:t xml:space="preserve">er </w:t>
            </w:r>
            <w:r w:rsidR="008C2925" w:rsidRPr="0039456E">
              <w:rPr>
                <w:rFonts w:ascii="Arial Narrow" w:hAnsi="Arial Narrow"/>
                <w:lang w:val="fr-FR"/>
              </w:rPr>
              <w:t>le</w:t>
            </w:r>
            <w:r w:rsidRPr="0039456E">
              <w:rPr>
                <w:rFonts w:ascii="Arial Narrow" w:hAnsi="Arial Narrow"/>
                <w:lang w:val="fr-FR"/>
              </w:rPr>
              <w:t xml:space="preserve"> contact avec les </w:t>
            </w:r>
            <w:r w:rsidR="0013463B" w:rsidRPr="0039456E">
              <w:rPr>
                <w:rFonts w:ascii="Arial Narrow" w:hAnsi="Arial Narrow"/>
                <w:lang w:val="fr-FR"/>
              </w:rPr>
              <w:t>G</w:t>
            </w:r>
            <w:r w:rsidRPr="0039456E">
              <w:rPr>
                <w:rFonts w:ascii="Arial Narrow" w:hAnsi="Arial Narrow"/>
                <w:lang w:val="fr-FR"/>
              </w:rPr>
              <w:t xml:space="preserve">rant </w:t>
            </w:r>
            <w:r w:rsidR="0013463B" w:rsidRPr="0039456E">
              <w:rPr>
                <w:rFonts w:ascii="Arial Narrow" w:hAnsi="Arial Narrow"/>
                <w:lang w:val="fr-FR"/>
              </w:rPr>
              <w:t>M</w:t>
            </w:r>
            <w:r w:rsidRPr="0039456E">
              <w:rPr>
                <w:rFonts w:ascii="Arial Narrow" w:hAnsi="Arial Narrow"/>
                <w:lang w:val="fr-FR"/>
              </w:rPr>
              <w:t>anagers des institutions pour ne rater l’échéance.</w:t>
            </w:r>
          </w:p>
          <w:p w14:paraId="4ADE31DD" w14:textId="710BDEF9" w:rsidR="00AB7164" w:rsidRPr="0039456E" w:rsidRDefault="00AB7164" w:rsidP="005F4EC0">
            <w:pPr>
              <w:rPr>
                <w:rFonts w:ascii="Arial Narrow" w:hAnsi="Arial Narrow"/>
                <w:lang w:val="fr-FR"/>
              </w:rPr>
            </w:pPr>
            <w:r w:rsidRPr="0039456E">
              <w:rPr>
                <w:rFonts w:ascii="Arial Narrow" w:hAnsi="Arial Narrow"/>
                <w:lang w:val="fr-FR"/>
              </w:rPr>
              <w:t>ECHO procède à une phase de sélection pour les projets les plus en phase. La stratégie du point de vue ECHO pour les projets qu’ils souhaitent financer avec des informations plus précises sur le Mali.</w:t>
            </w:r>
            <w:r w:rsidR="0013463B" w:rsidRPr="0039456E">
              <w:rPr>
                <w:rFonts w:ascii="Arial Narrow" w:hAnsi="Arial Narrow"/>
                <w:lang w:val="fr-FR"/>
              </w:rPr>
              <w:t xml:space="preserve"> E</w:t>
            </w:r>
            <w:r w:rsidRPr="0039456E">
              <w:rPr>
                <w:rFonts w:ascii="Arial Narrow" w:hAnsi="Arial Narrow"/>
                <w:lang w:val="fr-FR"/>
              </w:rPr>
              <w:t>tant</w:t>
            </w:r>
            <w:r w:rsidR="0013463B" w:rsidRPr="0039456E">
              <w:rPr>
                <w:rFonts w:ascii="Arial Narrow" w:hAnsi="Arial Narrow"/>
                <w:lang w:val="fr-FR"/>
              </w:rPr>
              <w:t xml:space="preserve"> </w:t>
            </w:r>
            <w:r w:rsidRPr="0039456E">
              <w:rPr>
                <w:rFonts w:ascii="Arial Narrow" w:hAnsi="Arial Narrow"/>
                <w:lang w:val="fr-FR"/>
              </w:rPr>
              <w:t xml:space="preserve">un bailleur de fonds humanitaire, se concentre uniquement sur les urgences, en prenant en compte les besoins les plus urgents du </w:t>
            </w:r>
            <w:r w:rsidR="0039456E" w:rsidRPr="0039456E">
              <w:rPr>
                <w:rFonts w:ascii="Arial Narrow" w:hAnsi="Arial Narrow"/>
                <w:lang w:val="fr-FR"/>
              </w:rPr>
              <w:t>L</w:t>
            </w:r>
            <w:r w:rsidRPr="0039456E">
              <w:rPr>
                <w:rFonts w:ascii="Arial Narrow" w:hAnsi="Arial Narrow"/>
                <w:lang w:val="fr-FR"/>
              </w:rPr>
              <w:t>ifesaving, avec une absence de réponse qui s’applique à leurs domaines d’interventions. Les réponses peuvent varier entre l’urgence pure, et la réhabilitation adaptée mais un peu large, pas seulement à la fourniture de bâches ou de cordes mais peu</w:t>
            </w:r>
            <w:r w:rsidR="004A00F4" w:rsidRPr="0039456E">
              <w:rPr>
                <w:rFonts w:ascii="Arial Narrow" w:hAnsi="Arial Narrow"/>
                <w:lang w:val="fr-FR"/>
              </w:rPr>
              <w:t>ven</w:t>
            </w:r>
            <w:r w:rsidRPr="0039456E">
              <w:rPr>
                <w:rFonts w:ascii="Arial Narrow" w:hAnsi="Arial Narrow"/>
                <w:lang w:val="fr-FR"/>
              </w:rPr>
              <w:t>t couvrir en quantifi</w:t>
            </w:r>
            <w:r w:rsidR="004A00F4" w:rsidRPr="0039456E">
              <w:rPr>
                <w:rFonts w:ascii="Arial Narrow" w:hAnsi="Arial Narrow"/>
                <w:lang w:val="fr-FR"/>
              </w:rPr>
              <w:t>ant</w:t>
            </w:r>
            <w:r w:rsidRPr="0039456E">
              <w:rPr>
                <w:rFonts w:ascii="Arial Narrow" w:hAnsi="Arial Narrow"/>
                <w:lang w:val="fr-FR"/>
              </w:rPr>
              <w:t xml:space="preserve"> l’analyse </w:t>
            </w:r>
            <w:r w:rsidR="004A00F4" w:rsidRPr="0039456E">
              <w:rPr>
                <w:rFonts w:ascii="Arial Narrow" w:hAnsi="Arial Narrow"/>
                <w:lang w:val="fr-FR"/>
              </w:rPr>
              <w:t>à</w:t>
            </w:r>
            <w:r w:rsidRPr="0039456E">
              <w:rPr>
                <w:rFonts w:ascii="Arial Narrow" w:hAnsi="Arial Narrow"/>
                <w:lang w:val="fr-FR"/>
              </w:rPr>
              <w:t xml:space="preserve"> 60% de l’urgence pure avec un petit accompagnement de transfert monétaire à pourvoir selon les besoins et réponses adaptées à ces besoins. La période d’éligibilité de fonds </w:t>
            </w:r>
            <w:r w:rsidR="005450C4" w:rsidRPr="0039456E">
              <w:rPr>
                <w:rFonts w:ascii="Arial Narrow" w:hAnsi="Arial Narrow"/>
                <w:lang w:val="fr-FR"/>
              </w:rPr>
              <w:t>commence en</w:t>
            </w:r>
            <w:r w:rsidRPr="0039456E">
              <w:rPr>
                <w:rFonts w:ascii="Arial Narrow" w:hAnsi="Arial Narrow"/>
                <w:lang w:val="fr-FR"/>
              </w:rPr>
              <w:t xml:space="preserve"> janvier pour 12 mois et </w:t>
            </w:r>
            <w:r w:rsidR="008D1429" w:rsidRPr="0039456E">
              <w:rPr>
                <w:rFonts w:ascii="Arial Narrow" w:hAnsi="Arial Narrow"/>
                <w:lang w:val="fr-FR"/>
              </w:rPr>
              <w:t>ne dépasse pas</w:t>
            </w:r>
            <w:r w:rsidRPr="0039456E">
              <w:rPr>
                <w:rFonts w:ascii="Arial Narrow" w:hAnsi="Arial Narrow"/>
                <w:lang w:val="fr-FR"/>
              </w:rPr>
              <w:t xml:space="preserve"> 24 mois.</w:t>
            </w:r>
          </w:p>
          <w:p w14:paraId="492BD2D6" w14:textId="77777777" w:rsidR="00AB7164" w:rsidRPr="0039456E" w:rsidRDefault="00AB7164" w:rsidP="00AB7164">
            <w:pPr>
              <w:rPr>
                <w:rFonts w:ascii="Arial Narrow" w:hAnsi="Arial Narrow"/>
                <w:lang w:val="fr-FR"/>
              </w:rPr>
            </w:pPr>
            <w:r w:rsidRPr="0039456E">
              <w:rPr>
                <w:rFonts w:ascii="Arial Narrow" w:hAnsi="Arial Narrow"/>
                <w:lang w:val="fr-FR"/>
              </w:rPr>
              <w:t>Il n’ya pas de limite budgétaire proprement dite lorsque les propositions sont étudiées, Comment où, pour qui, quelle raison ?</w:t>
            </w:r>
          </w:p>
          <w:p w14:paraId="314436A2" w14:textId="44480D36" w:rsidR="00AB7164" w:rsidRPr="0039456E" w:rsidRDefault="00AB7164" w:rsidP="00AB7164">
            <w:pPr>
              <w:rPr>
                <w:rFonts w:ascii="Arial Narrow" w:hAnsi="Arial Narrow"/>
                <w:lang w:val="fr-FR"/>
              </w:rPr>
            </w:pPr>
            <w:r w:rsidRPr="0039456E">
              <w:rPr>
                <w:rFonts w:ascii="Arial Narrow" w:hAnsi="Arial Narrow"/>
                <w:lang w:val="fr-FR"/>
              </w:rPr>
              <w:t>L’enveloppe nationale est d’ordre de 19 ou 20 millions de dollar</w:t>
            </w:r>
            <w:r w:rsidR="008D1429" w:rsidRPr="0039456E">
              <w:rPr>
                <w:rFonts w:ascii="Arial Narrow" w:hAnsi="Arial Narrow"/>
                <w:lang w:val="fr-FR"/>
              </w:rPr>
              <w:t>s</w:t>
            </w:r>
            <w:r w:rsidRPr="0039456E">
              <w:rPr>
                <w:rFonts w:ascii="Arial Narrow" w:hAnsi="Arial Narrow"/>
                <w:lang w:val="fr-FR"/>
              </w:rPr>
              <w:t>. Ne pas penser pour des solutions ou de budget à priori mais c’est de voir en fonction les moyens de capacités de financement de ECHO en révisant les objectifs et propositions possibles dans les révisions qui conviennent aux parties.</w:t>
            </w:r>
          </w:p>
          <w:p w14:paraId="57732EFD" w14:textId="357E244A" w:rsidR="00F51FF5" w:rsidRPr="0039456E" w:rsidRDefault="00AB7164" w:rsidP="008D1429">
            <w:pPr>
              <w:rPr>
                <w:rFonts w:ascii="Arial Narrow" w:eastAsia="Calibri" w:hAnsi="Arial Narrow" w:cs="Calibri"/>
                <w:lang w:val="fr-FR"/>
              </w:rPr>
            </w:pPr>
            <w:r w:rsidRPr="0039456E">
              <w:rPr>
                <w:rFonts w:ascii="Arial Narrow" w:hAnsi="Arial Narrow"/>
                <w:lang w:val="fr-FR"/>
              </w:rPr>
              <w:t>Du côté ECHO, il y’a cette volonté de travailler sur la localisation,</w:t>
            </w:r>
            <w:r w:rsidR="0039456E" w:rsidRPr="0039456E">
              <w:rPr>
                <w:rFonts w:ascii="Arial Narrow" w:hAnsi="Arial Narrow"/>
                <w:lang w:val="fr-FR"/>
              </w:rPr>
              <w:t xml:space="preserve"> en travaillant avec les</w:t>
            </w:r>
            <w:r w:rsidRPr="0039456E">
              <w:rPr>
                <w:rFonts w:ascii="Arial Narrow" w:hAnsi="Arial Narrow"/>
                <w:lang w:val="fr-FR"/>
              </w:rPr>
              <w:t xml:space="preserve"> ONG internationales représentées en Europe avec qui ECHO a déjà un partenariat (les Agences UN, les Croix Rouges)</w:t>
            </w:r>
            <w:r w:rsidR="008D1429" w:rsidRPr="0039456E">
              <w:rPr>
                <w:rFonts w:ascii="Arial Narrow" w:hAnsi="Arial Narrow"/>
                <w:lang w:val="fr-FR"/>
              </w:rPr>
              <w:t xml:space="preserve"> </w:t>
            </w:r>
            <w:r w:rsidR="0039456E" w:rsidRPr="0039456E">
              <w:rPr>
                <w:rFonts w:ascii="Arial Narrow" w:hAnsi="Arial Narrow"/>
                <w:lang w:val="fr-FR"/>
              </w:rPr>
              <w:t>ou</w:t>
            </w:r>
            <w:r w:rsidR="008D1429" w:rsidRPr="0039456E">
              <w:rPr>
                <w:rFonts w:ascii="Arial Narrow" w:hAnsi="Arial Narrow"/>
                <w:lang w:val="fr-FR"/>
              </w:rPr>
              <w:t xml:space="preserve"> les Agences UN</w:t>
            </w:r>
            <w:r w:rsidR="0039456E" w:rsidRPr="0039456E">
              <w:rPr>
                <w:rFonts w:ascii="Arial Narrow" w:hAnsi="Arial Narrow"/>
                <w:lang w:val="fr-FR"/>
              </w:rPr>
              <w:t>.</w:t>
            </w:r>
            <w:r w:rsidRPr="0039456E">
              <w:rPr>
                <w:rFonts w:ascii="Arial Narrow" w:hAnsi="Arial Narrow"/>
                <w:lang w:val="fr-FR"/>
              </w:rPr>
              <w:t xml:space="preserve"> </w:t>
            </w:r>
            <w:r w:rsidR="0039456E" w:rsidRPr="0039456E">
              <w:rPr>
                <w:rFonts w:ascii="Arial Narrow" w:hAnsi="Arial Narrow"/>
                <w:lang w:val="fr-FR"/>
              </w:rPr>
              <w:t>E</w:t>
            </w:r>
            <w:r w:rsidRPr="0039456E">
              <w:rPr>
                <w:rFonts w:ascii="Arial Narrow" w:hAnsi="Arial Narrow"/>
                <w:lang w:val="fr-FR"/>
              </w:rPr>
              <w:t>n faisant des propositions en consortium, le contracté sera une ONG internationale</w:t>
            </w:r>
            <w:r w:rsidR="0039456E" w:rsidRPr="0039456E">
              <w:rPr>
                <w:rFonts w:ascii="Arial Narrow" w:hAnsi="Arial Narrow"/>
                <w:lang w:val="fr-FR"/>
              </w:rPr>
              <w:t xml:space="preserve"> (ou Agence UN)</w:t>
            </w:r>
            <w:r w:rsidRPr="0039456E">
              <w:rPr>
                <w:rFonts w:ascii="Arial Narrow" w:hAnsi="Arial Narrow"/>
                <w:lang w:val="fr-FR"/>
              </w:rPr>
              <w:t xml:space="preserve"> qui travaille avec une organisation locale.</w:t>
            </w:r>
          </w:p>
          <w:p w14:paraId="78DE7972" w14:textId="77777777" w:rsidR="00F51FF5" w:rsidRDefault="00F51FF5" w:rsidP="0006656B">
            <w:pPr>
              <w:rPr>
                <w:rFonts w:ascii="Arial Narrow" w:eastAsia="Calibri" w:hAnsi="Arial Narrow" w:cs="Calibri"/>
                <w:lang w:val="fr-FR"/>
              </w:rPr>
            </w:pPr>
          </w:p>
          <w:p w14:paraId="09E60CF1" w14:textId="77777777" w:rsidR="00F51FF5" w:rsidRDefault="00F51FF5" w:rsidP="0006656B">
            <w:pPr>
              <w:rPr>
                <w:rFonts w:ascii="Arial Narrow" w:eastAsia="Calibri" w:hAnsi="Arial Narrow" w:cs="Calibri"/>
                <w:lang w:val="fr-FR"/>
              </w:rPr>
            </w:pPr>
          </w:p>
          <w:p w14:paraId="5BB368DC" w14:textId="77777777" w:rsidR="00F51FF5" w:rsidRDefault="00F51FF5" w:rsidP="0006656B">
            <w:pPr>
              <w:rPr>
                <w:rFonts w:ascii="Arial Narrow" w:hAnsi="Arial Narrow"/>
                <w:lang w:val="fr-FR"/>
              </w:rPr>
            </w:pPr>
            <w:r w:rsidRPr="004B20AB">
              <w:rPr>
                <w:rFonts w:ascii="Arial Narrow" w:hAnsi="Arial Narrow"/>
                <w:lang w:val="fr-FR"/>
              </w:rPr>
              <w:t xml:space="preserve"> </w:t>
            </w:r>
          </w:p>
          <w:p w14:paraId="1839B33E" w14:textId="77777777" w:rsidR="00B96A71" w:rsidRDefault="008155BB" w:rsidP="0006656B">
            <w:pPr>
              <w:rPr>
                <w:rFonts w:ascii="Arial Narrow" w:hAnsi="Arial Narrow"/>
                <w:lang w:val="fr-FR"/>
              </w:rPr>
            </w:pPr>
            <w:r>
              <w:rPr>
                <w:rFonts w:ascii="Arial Narrow" w:hAnsi="Arial Narrow"/>
                <w:lang w:val="fr-FR"/>
              </w:rPr>
              <w:t>Les produits visuels, qui sont les résultats de la cartographie de réalisations de</w:t>
            </w:r>
            <w:r w:rsidR="00AD4B58">
              <w:rPr>
                <w:rFonts w:ascii="Arial Narrow" w:hAnsi="Arial Narrow"/>
                <w:lang w:val="fr-FR"/>
              </w:rPr>
              <w:t xml:space="preserve">s partenaires, collectés à travers la Matrice 5W, indiquent un faible niveau de réalisations par rapport aux cibles du Cluster ABNA en 2022. Sur les données rapportées à cette date, </w:t>
            </w:r>
            <w:r w:rsidR="00395964">
              <w:rPr>
                <w:rFonts w:ascii="Arial Narrow" w:hAnsi="Arial Narrow"/>
                <w:lang w:val="fr-FR"/>
              </w:rPr>
              <w:t xml:space="preserve">les réponses capitalisées indiquent seulement </w:t>
            </w:r>
            <w:r w:rsidR="00395964">
              <w:rPr>
                <w:rFonts w:ascii="Arial Narrow" w:hAnsi="Arial Narrow"/>
                <w:b/>
                <w:bCs/>
                <w:lang w:val="fr-FR"/>
              </w:rPr>
              <w:t>65,480 personnes assistées</w:t>
            </w:r>
            <w:r w:rsidR="00A61F48">
              <w:rPr>
                <w:rFonts w:ascii="Arial Narrow" w:hAnsi="Arial Narrow"/>
                <w:lang w:val="fr-FR"/>
              </w:rPr>
              <w:t xml:space="preserve"> en ABNA.</w:t>
            </w:r>
            <w:r w:rsidR="00394A48">
              <w:rPr>
                <w:rFonts w:ascii="Arial Narrow" w:hAnsi="Arial Narrow"/>
                <w:lang w:val="fr-FR"/>
              </w:rPr>
              <w:t xml:space="preserve"> Les ménages assistés durant cette période sont estimés à </w:t>
            </w:r>
            <w:r w:rsidR="00394A48" w:rsidRPr="00394A48">
              <w:rPr>
                <w:rFonts w:ascii="Arial Narrow" w:hAnsi="Arial Narrow"/>
                <w:b/>
                <w:bCs/>
                <w:lang w:val="fr-FR"/>
              </w:rPr>
              <w:t>10,913</w:t>
            </w:r>
            <w:r w:rsidR="00ED50F6">
              <w:rPr>
                <w:rFonts w:ascii="Arial Narrow" w:hAnsi="Arial Narrow"/>
                <w:lang w:val="fr-FR"/>
              </w:rPr>
              <w:t>. Les kits distribués sont à hauteur de</w:t>
            </w:r>
            <w:r w:rsidR="00EC2753">
              <w:rPr>
                <w:rFonts w:ascii="Arial Narrow" w:hAnsi="Arial Narrow"/>
                <w:lang w:val="fr-FR"/>
              </w:rPr>
              <w:t xml:space="preserve"> </w:t>
            </w:r>
            <w:r w:rsidR="00EC2753" w:rsidRPr="00EC2753">
              <w:rPr>
                <w:rFonts w:ascii="Arial Narrow" w:hAnsi="Arial Narrow"/>
                <w:b/>
                <w:bCs/>
                <w:lang w:val="fr-FR"/>
              </w:rPr>
              <w:t>64,077 kits en BNA</w:t>
            </w:r>
            <w:r w:rsidR="00EC2753">
              <w:rPr>
                <w:rFonts w:ascii="Arial Narrow" w:hAnsi="Arial Narrow"/>
                <w:lang w:val="fr-FR"/>
              </w:rPr>
              <w:t xml:space="preserve"> et </w:t>
            </w:r>
            <w:r w:rsidR="00EC2753">
              <w:rPr>
                <w:rFonts w:ascii="Arial Narrow" w:hAnsi="Arial Narrow"/>
                <w:b/>
                <w:bCs/>
                <w:lang w:val="fr-FR"/>
              </w:rPr>
              <w:t>1,403 abris.</w:t>
            </w:r>
            <w:r w:rsidR="00DB5B69">
              <w:rPr>
                <w:rFonts w:ascii="Arial Narrow" w:hAnsi="Arial Narrow"/>
                <w:lang w:val="fr-FR"/>
              </w:rPr>
              <w:t xml:space="preserve"> Ce faible niveau de réalisations est lié au faible rapportage de certains partenaires du Cluster ABNA qui n’ont pas intégrés leurs données</w:t>
            </w:r>
            <w:r w:rsidR="005B48C5">
              <w:rPr>
                <w:rFonts w:ascii="Arial Narrow" w:hAnsi="Arial Narrow"/>
                <w:lang w:val="fr-FR"/>
              </w:rPr>
              <w:t>.</w:t>
            </w:r>
          </w:p>
          <w:p w14:paraId="621B7832" w14:textId="77777777" w:rsidR="007B7B9B" w:rsidRDefault="007B7B9B" w:rsidP="0006656B">
            <w:pPr>
              <w:rPr>
                <w:rFonts w:ascii="Arial Narrow" w:hAnsi="Arial Narrow"/>
                <w:lang w:val="fr-FR"/>
              </w:rPr>
            </w:pPr>
          </w:p>
          <w:p w14:paraId="0D203443" w14:textId="77777777" w:rsidR="007B7B9B" w:rsidRDefault="00D971C3" w:rsidP="00D971C3">
            <w:pPr>
              <w:rPr>
                <w:rFonts w:ascii="Arial Narrow" w:hAnsi="Arial Narrow"/>
                <w:lang w:val="fr-FR"/>
              </w:rPr>
            </w:pPr>
            <w:r w:rsidRPr="00D971C3">
              <w:rPr>
                <w:rFonts w:ascii="Arial Narrow" w:hAnsi="Arial Narrow"/>
                <w:lang w:val="fr-FR"/>
              </w:rPr>
              <w:t>La méthodologie du PiN utilise le scenario B du JIAF (Joint Intersectoral Analysis Framework)</w:t>
            </w:r>
            <w:r>
              <w:rPr>
                <w:rFonts w:ascii="Arial Narrow" w:hAnsi="Arial Narrow"/>
                <w:lang w:val="fr-FR"/>
              </w:rPr>
              <w:t xml:space="preserve"> en intégrant dans l’analyse les sources des données secondaires</w:t>
            </w:r>
            <w:r w:rsidR="00B32B7F">
              <w:rPr>
                <w:rFonts w:ascii="Arial Narrow" w:hAnsi="Arial Narrow"/>
                <w:lang w:val="fr-FR"/>
              </w:rPr>
              <w:t>, l’analyse croisée des indicateurs de besoin, le score de gravité</w:t>
            </w:r>
            <w:r w:rsidR="001F2179">
              <w:rPr>
                <w:rFonts w:ascii="Arial Narrow" w:hAnsi="Arial Narrow"/>
                <w:lang w:val="fr-FR"/>
              </w:rPr>
              <w:t xml:space="preserve"> au niveau cercle, l’échelle de sévérité définie lors des ateliers </w:t>
            </w:r>
            <w:r w:rsidR="00F626AA">
              <w:rPr>
                <w:rFonts w:ascii="Arial Narrow" w:hAnsi="Arial Narrow"/>
                <w:lang w:val="fr-FR"/>
              </w:rPr>
              <w:t>régionaux du HPC 2023, l’utilisation des enquêtes MSNA</w:t>
            </w:r>
            <w:r w:rsidR="00EF5BF6">
              <w:rPr>
                <w:rFonts w:ascii="Arial Narrow" w:hAnsi="Arial Narrow"/>
                <w:lang w:val="fr-FR"/>
              </w:rPr>
              <w:t xml:space="preserve"> et les critères d’appréciation qui permettent de pondérer la projection avec les </w:t>
            </w:r>
            <w:r w:rsidR="00EE00DD">
              <w:rPr>
                <w:rFonts w:ascii="Arial Narrow" w:hAnsi="Arial Narrow"/>
                <w:lang w:val="fr-FR"/>
              </w:rPr>
              <w:t>données du MSNA. Les personnes affectées</w:t>
            </w:r>
            <w:r w:rsidR="00035E33">
              <w:rPr>
                <w:rFonts w:ascii="Arial Narrow" w:hAnsi="Arial Narrow"/>
                <w:lang w:val="fr-FR"/>
              </w:rPr>
              <w:t xml:space="preserve"> sont celles qui sont situées dans la plage</w:t>
            </w:r>
            <w:r w:rsidR="00554E23">
              <w:rPr>
                <w:rFonts w:ascii="Arial Narrow" w:hAnsi="Arial Narrow"/>
                <w:lang w:val="fr-FR"/>
              </w:rPr>
              <w:t xml:space="preserve"> de sévérité 2 à 5. Tandis que les Personnes dans le Besoin (PiN) se trouvent dans les plages de sévérité 3 à 5.</w:t>
            </w:r>
          </w:p>
          <w:p w14:paraId="3AECFC13" w14:textId="77777777" w:rsidR="00C63C67" w:rsidRDefault="00AB784B" w:rsidP="00C63C67">
            <w:pPr>
              <w:rPr>
                <w:rFonts w:ascii="Arial Narrow" w:hAnsi="Arial Narrow"/>
                <w:lang w:val="fr-FR"/>
              </w:rPr>
            </w:pPr>
            <w:r>
              <w:rPr>
                <w:rFonts w:ascii="Arial Narrow" w:hAnsi="Arial Narrow"/>
                <w:lang w:val="fr-FR"/>
              </w:rPr>
              <w:t xml:space="preserve">Quant à la méthodologie des Coûts par activités, </w:t>
            </w:r>
            <w:r w:rsidR="00253271">
              <w:rPr>
                <w:rFonts w:ascii="Arial Narrow" w:hAnsi="Arial Narrow"/>
                <w:lang w:val="fr-FR"/>
              </w:rPr>
              <w:t>celle-ci considère l’analyse croisée par phase. Dans la première phase</w:t>
            </w:r>
            <w:r w:rsidR="00D14645">
              <w:rPr>
                <w:rFonts w:ascii="Arial Narrow" w:hAnsi="Arial Narrow"/>
                <w:lang w:val="fr-FR"/>
              </w:rPr>
              <w:t xml:space="preserve">, elle procède par la séléction </w:t>
            </w:r>
            <w:r w:rsidR="0067302B">
              <w:rPr>
                <w:rFonts w:ascii="Arial Narrow" w:hAnsi="Arial Narrow"/>
                <w:lang w:val="fr-FR"/>
              </w:rPr>
              <w:t>des activités avec les spécificités régionales</w:t>
            </w:r>
            <w:r w:rsidR="009D55A1">
              <w:rPr>
                <w:rFonts w:ascii="Arial Narrow" w:hAnsi="Arial Narrow"/>
                <w:lang w:val="fr-FR"/>
              </w:rPr>
              <w:t xml:space="preserve"> et l’élaboration des coûts opérationnels induits pour chaque région.</w:t>
            </w:r>
            <w:r w:rsidR="0034090D">
              <w:rPr>
                <w:rFonts w:ascii="Arial Narrow" w:hAnsi="Arial Narrow"/>
                <w:lang w:val="fr-FR"/>
              </w:rPr>
              <w:t xml:space="preserve"> La seconde phase, traite les données collectées </w:t>
            </w:r>
            <w:r w:rsidR="008317B1">
              <w:rPr>
                <w:rFonts w:ascii="Arial Narrow" w:hAnsi="Arial Narrow"/>
                <w:lang w:val="fr-FR"/>
              </w:rPr>
              <w:t>et ventilées des prix unitaires des partenaires dans ces régions et leur triangulation</w:t>
            </w:r>
            <w:r w:rsidR="005511DB">
              <w:rPr>
                <w:rFonts w:ascii="Arial Narrow" w:hAnsi="Arial Narrow"/>
                <w:lang w:val="fr-FR"/>
              </w:rPr>
              <w:t xml:space="preserve"> avec les informations reçues à travers la section CBI (Cash Based Interventions) des Leads</w:t>
            </w:r>
            <w:r w:rsidR="00CB64CD">
              <w:rPr>
                <w:rFonts w:ascii="Arial Narrow" w:hAnsi="Arial Narrow"/>
                <w:lang w:val="fr-FR"/>
              </w:rPr>
              <w:t xml:space="preserve"> du Cluster ABNA.</w:t>
            </w:r>
            <w:r w:rsidR="00C63C67">
              <w:rPr>
                <w:rFonts w:ascii="Arial Narrow" w:hAnsi="Arial Narrow"/>
                <w:lang w:val="fr-FR"/>
              </w:rPr>
              <w:t xml:space="preserve"> </w:t>
            </w:r>
            <w:r w:rsidR="00FA5F5B">
              <w:rPr>
                <w:rFonts w:ascii="Arial Narrow" w:hAnsi="Arial Narrow"/>
                <w:lang w:val="fr-FR"/>
              </w:rPr>
              <w:t>L</w:t>
            </w:r>
            <w:r w:rsidR="00C63C67">
              <w:rPr>
                <w:rFonts w:ascii="Arial Narrow" w:hAnsi="Arial Narrow"/>
                <w:lang w:val="fr-FR"/>
              </w:rPr>
              <w:t>a dernière phase</w:t>
            </w:r>
            <w:r w:rsidR="00FA5F5B">
              <w:rPr>
                <w:rFonts w:ascii="Arial Narrow" w:hAnsi="Arial Narrow"/>
                <w:lang w:val="fr-FR"/>
              </w:rPr>
              <w:t xml:space="preserve"> permet d’en déduire le coût global par paquet d’activités</w:t>
            </w:r>
            <w:r w:rsidR="00993376">
              <w:rPr>
                <w:rFonts w:ascii="Arial Narrow" w:hAnsi="Arial Narrow"/>
                <w:lang w:val="fr-FR"/>
              </w:rPr>
              <w:t>.</w:t>
            </w:r>
          </w:p>
          <w:p w14:paraId="0291EEC2" w14:textId="77777777" w:rsidR="00993376" w:rsidRDefault="00993376" w:rsidP="00C63C67">
            <w:pPr>
              <w:rPr>
                <w:rFonts w:ascii="Arial Narrow" w:hAnsi="Arial Narrow"/>
                <w:lang w:val="fr-FR"/>
              </w:rPr>
            </w:pPr>
          </w:p>
          <w:p w14:paraId="0210985C" w14:textId="77777777" w:rsidR="00993376" w:rsidRDefault="00993376" w:rsidP="00C63C67">
            <w:pPr>
              <w:rPr>
                <w:rFonts w:ascii="Arial Narrow" w:hAnsi="Arial Narrow"/>
                <w:lang w:val="fr-FR"/>
              </w:rPr>
            </w:pPr>
          </w:p>
          <w:p w14:paraId="28A0F6CD" w14:textId="77777777" w:rsidR="00993376" w:rsidRDefault="00993376" w:rsidP="00C63C67">
            <w:pPr>
              <w:rPr>
                <w:rFonts w:ascii="Arial Narrow" w:hAnsi="Arial Narrow"/>
                <w:lang w:val="fr-FR"/>
              </w:rPr>
            </w:pPr>
          </w:p>
          <w:p w14:paraId="6E2BCCD3" w14:textId="77777777" w:rsidR="00993376" w:rsidRPr="00E61525" w:rsidRDefault="00884D70" w:rsidP="00C63C67">
            <w:pPr>
              <w:rPr>
                <w:rFonts w:ascii="Arial Narrow" w:hAnsi="Arial Narrow"/>
                <w:lang w:val="fr-FR"/>
              </w:rPr>
            </w:pPr>
            <w:r>
              <w:rPr>
                <w:rFonts w:ascii="Arial Narrow" w:hAnsi="Arial Narrow"/>
                <w:lang w:val="fr-FR"/>
              </w:rPr>
              <w:t>La Matrice d’activité des abris, est un outil qui</w:t>
            </w:r>
            <w:r w:rsidR="0072631E">
              <w:rPr>
                <w:rFonts w:ascii="Arial Narrow" w:hAnsi="Arial Narrow"/>
                <w:lang w:val="fr-FR"/>
              </w:rPr>
              <w:t xml:space="preserve"> permet de connaître et suivre les activités prioritaire</w:t>
            </w:r>
            <w:r w:rsidR="00E77F47">
              <w:rPr>
                <w:rFonts w:ascii="Arial Narrow" w:hAnsi="Arial Narrow"/>
                <w:lang w:val="fr-FR"/>
              </w:rPr>
              <w:t>s pour le Cluster ABNA recapitulant toutes les infor</w:t>
            </w:r>
            <w:r w:rsidR="00E77F47" w:rsidRPr="00E61525">
              <w:rPr>
                <w:rFonts w:ascii="Arial Narrow" w:hAnsi="Arial Narrow"/>
                <w:lang w:val="fr-FR"/>
              </w:rPr>
              <w:t>mations nécessaires</w:t>
            </w:r>
            <w:r w:rsidR="009278A6" w:rsidRPr="00E61525">
              <w:rPr>
                <w:rFonts w:ascii="Arial Narrow" w:hAnsi="Arial Narrow"/>
                <w:lang w:val="fr-FR"/>
              </w:rPr>
              <w:t xml:space="preserve"> sur les groupes de populations prioritaires dans le cadre du HRP, les paquets d’activités pour chaque cible et les coûts </w:t>
            </w:r>
            <w:r w:rsidR="00426031" w:rsidRPr="00E61525">
              <w:rPr>
                <w:rFonts w:ascii="Arial Narrow" w:hAnsi="Arial Narrow"/>
                <w:lang w:val="fr-FR"/>
              </w:rPr>
              <w:t xml:space="preserve">proportionnels pour chaque rubrique. Il </w:t>
            </w:r>
            <w:r w:rsidR="0051270A" w:rsidRPr="00E61525">
              <w:rPr>
                <w:rFonts w:ascii="Arial Narrow" w:hAnsi="Arial Narrow"/>
                <w:lang w:val="fr-FR"/>
              </w:rPr>
              <w:t xml:space="preserve">constitue également un référentiel pour </w:t>
            </w:r>
            <w:r w:rsidR="00074D70" w:rsidRPr="00E61525">
              <w:rPr>
                <w:rFonts w:ascii="Arial Narrow" w:hAnsi="Arial Narrow"/>
                <w:lang w:val="fr-FR"/>
              </w:rPr>
              <w:t xml:space="preserve">les partenaires du Cluster de suivre et aligner </w:t>
            </w:r>
            <w:r w:rsidR="009B798E" w:rsidRPr="00E61525">
              <w:rPr>
                <w:rFonts w:ascii="Arial Narrow" w:hAnsi="Arial Narrow"/>
                <w:lang w:val="fr-FR"/>
              </w:rPr>
              <w:t>leurs projets futurs.</w:t>
            </w:r>
          </w:p>
          <w:p w14:paraId="08B87588" w14:textId="77777777" w:rsidR="00BE2052" w:rsidRPr="00E61525" w:rsidRDefault="00BE2052" w:rsidP="00C63C67">
            <w:pPr>
              <w:rPr>
                <w:rFonts w:ascii="Arial Narrow" w:hAnsi="Arial Narrow"/>
                <w:lang w:val="fr-FR"/>
              </w:rPr>
            </w:pPr>
          </w:p>
          <w:p w14:paraId="1D7C95C5" w14:textId="77777777" w:rsidR="00302892" w:rsidRPr="00E61525" w:rsidRDefault="00302892" w:rsidP="00C63C67">
            <w:pPr>
              <w:rPr>
                <w:rFonts w:ascii="Arial Narrow" w:hAnsi="Arial Narrow"/>
                <w:lang w:val="fr-FR"/>
              </w:rPr>
            </w:pPr>
          </w:p>
          <w:p w14:paraId="4AD8C3DB" w14:textId="77777777" w:rsidR="005242F4" w:rsidRPr="00E61525" w:rsidRDefault="00BE2052" w:rsidP="00BE2052">
            <w:pPr>
              <w:rPr>
                <w:rFonts w:ascii="Arial Narrow" w:hAnsi="Arial Narrow"/>
                <w:lang w:val="fr-FR"/>
              </w:rPr>
            </w:pPr>
            <w:r w:rsidRPr="00E61525">
              <w:rPr>
                <w:rFonts w:ascii="Arial Narrow" w:hAnsi="Arial Narrow"/>
                <w:lang w:val="fr-FR"/>
              </w:rPr>
              <w:t>Un Consultant va être déployé par le G</w:t>
            </w:r>
            <w:r w:rsidRPr="00E61525">
              <w:rPr>
                <w:rFonts w:ascii="Arial Narrow" w:hAnsi="Arial Narrow"/>
                <w:lang w:val="fr-FR"/>
              </w:rPr>
              <w:t>lobal Shelter Cluster (G</w:t>
            </w:r>
            <w:r w:rsidRPr="00E61525">
              <w:rPr>
                <w:rFonts w:ascii="Arial Narrow" w:hAnsi="Arial Narrow"/>
                <w:lang w:val="fr-FR"/>
              </w:rPr>
              <w:t>SC</w:t>
            </w:r>
            <w:r w:rsidRPr="00E61525">
              <w:rPr>
                <w:rFonts w:ascii="Arial Narrow" w:hAnsi="Arial Narrow"/>
                <w:lang w:val="fr-FR"/>
              </w:rPr>
              <w:t>)</w:t>
            </w:r>
            <w:r w:rsidRPr="00E61525">
              <w:rPr>
                <w:rFonts w:ascii="Arial Narrow" w:hAnsi="Arial Narrow"/>
                <w:lang w:val="fr-FR"/>
              </w:rPr>
              <w:t xml:space="preserve"> </w:t>
            </w:r>
            <w:r w:rsidRPr="00E61525">
              <w:rPr>
                <w:rFonts w:ascii="Arial Narrow" w:hAnsi="Arial Narrow"/>
                <w:lang w:val="fr-FR"/>
              </w:rPr>
              <w:t>en vue de</w:t>
            </w:r>
            <w:r w:rsidRPr="00E61525">
              <w:rPr>
                <w:rFonts w:ascii="Arial Narrow" w:hAnsi="Arial Narrow"/>
                <w:lang w:val="fr-FR"/>
              </w:rPr>
              <w:t xml:space="preserve"> déterminer le profil environnemental pour que le HRP 2023 prenne beaucoup plus d’action sur les changements climatiques qui vont servir à baliser </w:t>
            </w:r>
            <w:r w:rsidR="005242F4" w:rsidRPr="00E61525">
              <w:rPr>
                <w:rFonts w:ascii="Arial Narrow" w:hAnsi="Arial Narrow"/>
                <w:lang w:val="fr-FR"/>
              </w:rPr>
              <w:t>les</w:t>
            </w:r>
            <w:r w:rsidRPr="00E61525">
              <w:rPr>
                <w:rFonts w:ascii="Arial Narrow" w:hAnsi="Arial Narrow"/>
                <w:lang w:val="fr-FR"/>
              </w:rPr>
              <w:t xml:space="preserve"> interventions</w:t>
            </w:r>
            <w:r w:rsidR="005242F4" w:rsidRPr="00E61525">
              <w:rPr>
                <w:rFonts w:ascii="Arial Narrow" w:hAnsi="Arial Narrow"/>
                <w:lang w:val="fr-FR"/>
              </w:rPr>
              <w:t xml:space="preserve"> et m</w:t>
            </w:r>
            <w:r w:rsidRPr="00E61525">
              <w:rPr>
                <w:rFonts w:ascii="Arial Narrow" w:hAnsi="Arial Narrow"/>
                <w:lang w:val="fr-FR"/>
              </w:rPr>
              <w:t>ettre l’accent sur les aspects environnementaux.</w:t>
            </w:r>
          </w:p>
          <w:p w14:paraId="1D27CB85" w14:textId="78DE95BA" w:rsidR="00BE2052" w:rsidRPr="00E61525" w:rsidRDefault="00BE2052" w:rsidP="00BE2052">
            <w:pPr>
              <w:rPr>
                <w:rFonts w:ascii="Arial Narrow" w:hAnsi="Arial Narrow"/>
                <w:lang w:val="fr-FR"/>
              </w:rPr>
            </w:pPr>
            <w:r w:rsidRPr="00E61525">
              <w:rPr>
                <w:rFonts w:ascii="Arial Narrow" w:hAnsi="Arial Narrow"/>
                <w:lang w:val="fr-FR"/>
              </w:rPr>
              <w:t>Faut-il combiner avec la retraite pour avoir deux jours ? Ou organiser deux évènements séparés qui peuvent être coûtés ?</w:t>
            </w:r>
          </w:p>
          <w:p w14:paraId="1F52B923" w14:textId="5D36AEA0" w:rsidR="00581127" w:rsidRPr="00DB5B69" w:rsidRDefault="005242F4" w:rsidP="00581127">
            <w:pPr>
              <w:rPr>
                <w:rFonts w:ascii="Arial Narrow" w:hAnsi="Arial Narrow"/>
                <w:lang w:val="fr-FR"/>
              </w:rPr>
            </w:pPr>
            <w:r w:rsidRPr="00E61525">
              <w:rPr>
                <w:rFonts w:ascii="Arial Narrow" w:hAnsi="Arial Narrow"/>
                <w:lang w:val="fr-FR"/>
              </w:rPr>
              <w:t xml:space="preserve">L’option combinée serait meilleure pour l’organisation de ces deux forums. Organiser deux ateliers au même moment serait un </w:t>
            </w:r>
            <w:r w:rsidRPr="00E61525">
              <w:rPr>
                <w:rFonts w:ascii="Arial Narrow" w:hAnsi="Arial Narrow"/>
                <w:lang w:val="fr-FR"/>
              </w:rPr>
              <w:t xml:space="preserve">peu </w:t>
            </w:r>
            <w:r w:rsidRPr="00E61525">
              <w:rPr>
                <w:rFonts w:ascii="Arial Narrow" w:hAnsi="Arial Narrow"/>
                <w:lang w:val="fr-FR"/>
              </w:rPr>
              <w:t>plus compliqué</w:t>
            </w:r>
            <w:r w:rsidRPr="00E61525">
              <w:rPr>
                <w:rFonts w:ascii="Arial Narrow" w:hAnsi="Arial Narrow"/>
                <w:lang w:val="fr-FR"/>
              </w:rPr>
              <w:t xml:space="preserve"> s</w:t>
            </w:r>
            <w:r w:rsidRPr="00E61525">
              <w:rPr>
                <w:rFonts w:ascii="Arial Narrow" w:hAnsi="Arial Narrow"/>
                <w:lang w:val="fr-FR"/>
              </w:rPr>
              <w:t>i le consultant envisage de rencontrer les membres du groupe et organiser des échanges bilatéraux avec les participants.</w:t>
            </w:r>
          </w:p>
        </w:tc>
      </w:tr>
      <w:tr w:rsidR="00F51FF5" w:rsidRPr="00C14630" w14:paraId="5150DB13" w14:textId="77777777" w:rsidTr="0006656B">
        <w:trPr>
          <w:trHeight w:val="55"/>
          <w:jc w:val="center"/>
        </w:trPr>
        <w:tc>
          <w:tcPr>
            <w:tcW w:w="350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BA2F942" w14:textId="77777777" w:rsidR="00F51FF5" w:rsidRPr="00712D7F" w:rsidRDefault="00F51FF5" w:rsidP="00F51FF5">
            <w:pPr>
              <w:pStyle w:val="ListParagraph"/>
              <w:numPr>
                <w:ilvl w:val="0"/>
                <w:numId w:val="3"/>
              </w:numPr>
              <w:spacing w:after="160" w:line="259" w:lineRule="auto"/>
              <w:jc w:val="left"/>
              <w:rPr>
                <w:b/>
                <w:bCs/>
                <w:color w:val="7F1416"/>
                <w:lang w:val="fr-FR"/>
              </w:rPr>
            </w:pPr>
            <w:r>
              <w:rPr>
                <w:b/>
                <w:bCs/>
                <w:color w:val="7F1416"/>
                <w:lang w:val="fr-FR"/>
              </w:rPr>
              <w:lastRenderedPageBreak/>
              <w:t>Actions</w:t>
            </w:r>
          </w:p>
          <w:p w14:paraId="46413164" w14:textId="77777777" w:rsidR="00F51FF5" w:rsidRPr="00712D7F" w:rsidRDefault="00F51FF5" w:rsidP="0006656B">
            <w:pPr>
              <w:rPr>
                <w:rFonts w:ascii="Arial Narrow" w:eastAsia="Calibri" w:hAnsi="Arial Narrow" w:cs="Calibri"/>
                <w:b/>
                <w:bCs/>
                <w:color w:val="7F1416"/>
                <w:lang w:val="fr-FR"/>
              </w:rPr>
            </w:pPr>
          </w:p>
        </w:tc>
        <w:tc>
          <w:tcPr>
            <w:tcW w:w="1166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4538FA9E" w14:textId="7EF47039" w:rsidR="00BE2A69" w:rsidRPr="00E32414" w:rsidRDefault="00F51FF5" w:rsidP="00E32414">
            <w:pPr>
              <w:pStyle w:val="ListParagraph"/>
              <w:numPr>
                <w:ilvl w:val="0"/>
                <w:numId w:val="5"/>
              </w:numPr>
              <w:rPr>
                <w:rFonts w:ascii="Arial Narrow" w:eastAsiaTheme="minorHAnsi" w:hAnsi="Arial Narrow" w:cstheme="minorBidi"/>
                <w:sz w:val="22"/>
                <w:szCs w:val="22"/>
                <w:lang w:val="fr-FR" w:eastAsia="en-US"/>
              </w:rPr>
            </w:pPr>
            <w:r w:rsidRPr="00125ECE">
              <w:rPr>
                <w:rFonts w:ascii="Arial Narrow" w:eastAsiaTheme="minorHAnsi" w:hAnsi="Arial Narrow" w:cstheme="minorBidi"/>
                <w:sz w:val="22"/>
                <w:szCs w:val="22"/>
                <w:lang w:val="fr-FR" w:eastAsia="en-US"/>
              </w:rPr>
              <w:lastRenderedPageBreak/>
              <w:t>P</w:t>
            </w:r>
            <w:r w:rsidR="00BE2A69" w:rsidRPr="00E32414">
              <w:rPr>
                <w:rFonts w:ascii="Arial Narrow" w:eastAsiaTheme="minorHAnsi" w:hAnsi="Arial Narrow" w:cstheme="minorBidi"/>
                <w:sz w:val="22"/>
                <w:szCs w:val="22"/>
                <w:lang w:val="fr-FR" w:eastAsia="en-US"/>
              </w:rPr>
              <w:t>artager l’adresse de la plateforme</w:t>
            </w:r>
            <w:r w:rsidR="009A62E1" w:rsidRPr="00E32414">
              <w:rPr>
                <w:rFonts w:ascii="Arial Narrow" w:eastAsiaTheme="minorHAnsi" w:hAnsi="Arial Narrow" w:cstheme="minorBidi"/>
                <w:sz w:val="22"/>
                <w:szCs w:val="22"/>
                <w:lang w:val="fr-FR" w:eastAsia="en-US"/>
              </w:rPr>
              <w:t xml:space="preserve"> des Matrices</w:t>
            </w:r>
          </w:p>
          <w:p w14:paraId="0282355E" w14:textId="13EF1A1C" w:rsidR="004C1E35" w:rsidRPr="00E32414" w:rsidRDefault="004C1E35"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lastRenderedPageBreak/>
              <w:t>P</w:t>
            </w:r>
            <w:r w:rsidRPr="00E32414">
              <w:rPr>
                <w:rFonts w:ascii="Arial Narrow" w:eastAsiaTheme="minorHAnsi" w:hAnsi="Arial Narrow" w:cstheme="minorBidi"/>
                <w:sz w:val="22"/>
                <w:szCs w:val="22"/>
                <w:lang w:val="fr-FR" w:eastAsia="en-US"/>
              </w:rPr>
              <w:t xml:space="preserve">artage </w:t>
            </w:r>
            <w:r w:rsidRPr="00E32414">
              <w:rPr>
                <w:rFonts w:ascii="Arial Narrow" w:eastAsiaTheme="minorHAnsi" w:hAnsi="Arial Narrow" w:cstheme="minorBidi"/>
                <w:sz w:val="22"/>
                <w:szCs w:val="22"/>
                <w:lang w:val="fr-FR" w:eastAsia="en-US"/>
              </w:rPr>
              <w:t>les</w:t>
            </w:r>
            <w:r w:rsidRPr="00E32414">
              <w:rPr>
                <w:rFonts w:ascii="Arial Narrow" w:eastAsiaTheme="minorHAnsi" w:hAnsi="Arial Narrow" w:cstheme="minorBidi"/>
                <w:sz w:val="22"/>
                <w:szCs w:val="22"/>
                <w:lang w:val="fr-FR" w:eastAsia="en-US"/>
              </w:rPr>
              <w:t xml:space="preserve"> données </w:t>
            </w:r>
            <w:r w:rsidRPr="00E32414">
              <w:rPr>
                <w:rFonts w:ascii="Arial Narrow" w:eastAsiaTheme="minorHAnsi" w:hAnsi="Arial Narrow" w:cstheme="minorBidi"/>
                <w:sz w:val="22"/>
                <w:szCs w:val="22"/>
                <w:lang w:val="fr-FR" w:eastAsia="en-US"/>
              </w:rPr>
              <w:t>et cibles du RRM à Ménaka</w:t>
            </w:r>
            <w:r w:rsidR="00AE3F30" w:rsidRPr="00E32414">
              <w:rPr>
                <w:rFonts w:ascii="Arial Narrow" w:eastAsiaTheme="minorHAnsi" w:hAnsi="Arial Narrow" w:cstheme="minorBidi"/>
                <w:sz w:val="22"/>
                <w:szCs w:val="22"/>
                <w:lang w:val="fr-FR" w:eastAsia="en-US"/>
              </w:rPr>
              <w:t xml:space="preserve"> pour</w:t>
            </w:r>
            <w:r w:rsidRPr="00E32414">
              <w:rPr>
                <w:rFonts w:ascii="Arial Narrow" w:eastAsiaTheme="minorHAnsi" w:hAnsi="Arial Narrow" w:cstheme="minorBidi"/>
                <w:sz w:val="22"/>
                <w:szCs w:val="22"/>
                <w:lang w:val="fr-FR" w:eastAsia="en-US"/>
              </w:rPr>
              <w:t xml:space="preserve"> éviter les duplications</w:t>
            </w:r>
            <w:r w:rsidR="00AE3F30" w:rsidRPr="00E32414">
              <w:rPr>
                <w:rFonts w:ascii="Arial Narrow" w:eastAsiaTheme="minorHAnsi" w:hAnsi="Arial Narrow" w:cstheme="minorBidi"/>
                <w:sz w:val="22"/>
                <w:szCs w:val="22"/>
                <w:lang w:val="fr-FR" w:eastAsia="en-US"/>
              </w:rPr>
              <w:t xml:space="preserve"> avec les autres acteurs</w:t>
            </w:r>
          </w:p>
          <w:p w14:paraId="6CE049F0" w14:textId="430D9850" w:rsidR="00547EE8" w:rsidRPr="00E32414" w:rsidRDefault="00AE3F30"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Renforcer la coordination des</w:t>
            </w:r>
            <w:r w:rsidR="00547EE8" w:rsidRPr="00E32414">
              <w:rPr>
                <w:rFonts w:ascii="Arial Narrow" w:eastAsiaTheme="minorHAnsi" w:hAnsi="Arial Narrow" w:cstheme="minorBidi"/>
                <w:sz w:val="22"/>
                <w:szCs w:val="22"/>
                <w:lang w:val="fr-FR" w:eastAsia="en-US"/>
              </w:rPr>
              <w:t xml:space="preserve"> projet</w:t>
            </w:r>
            <w:r w:rsidRPr="00E32414">
              <w:rPr>
                <w:rFonts w:ascii="Arial Narrow" w:eastAsiaTheme="minorHAnsi" w:hAnsi="Arial Narrow" w:cstheme="minorBidi"/>
                <w:sz w:val="22"/>
                <w:szCs w:val="22"/>
                <w:lang w:val="fr-FR" w:eastAsia="en-US"/>
              </w:rPr>
              <w:t>s</w:t>
            </w:r>
            <w:r w:rsidR="00547EE8" w:rsidRPr="00E32414">
              <w:rPr>
                <w:rFonts w:ascii="Arial Narrow" w:eastAsiaTheme="minorHAnsi" w:hAnsi="Arial Narrow" w:cstheme="minorBidi"/>
                <w:sz w:val="22"/>
                <w:szCs w:val="22"/>
                <w:lang w:val="fr-FR" w:eastAsia="en-US"/>
              </w:rPr>
              <w:t xml:space="preserve"> OIM et </w:t>
            </w:r>
            <w:r w:rsidRPr="00E32414">
              <w:rPr>
                <w:rFonts w:ascii="Arial Narrow" w:eastAsiaTheme="minorHAnsi" w:hAnsi="Arial Narrow" w:cstheme="minorBidi"/>
                <w:sz w:val="22"/>
                <w:szCs w:val="22"/>
                <w:lang w:val="fr-FR" w:eastAsia="en-US"/>
              </w:rPr>
              <w:t>UN</w:t>
            </w:r>
            <w:r w:rsidR="00547EE8" w:rsidRPr="00E32414">
              <w:rPr>
                <w:rFonts w:ascii="Arial Narrow" w:eastAsiaTheme="minorHAnsi" w:hAnsi="Arial Narrow" w:cstheme="minorBidi"/>
                <w:sz w:val="22"/>
                <w:szCs w:val="22"/>
                <w:lang w:val="fr-FR" w:eastAsia="en-US"/>
              </w:rPr>
              <w:t>HCR</w:t>
            </w:r>
            <w:r w:rsidR="00E863DC" w:rsidRPr="00E32414">
              <w:rPr>
                <w:rFonts w:ascii="Arial Narrow" w:eastAsiaTheme="minorHAnsi" w:hAnsi="Arial Narrow" w:cstheme="minorBidi"/>
                <w:sz w:val="22"/>
                <w:szCs w:val="22"/>
                <w:lang w:val="fr-FR" w:eastAsia="en-US"/>
              </w:rPr>
              <w:t xml:space="preserve"> du CERF avec les partenaires</w:t>
            </w:r>
          </w:p>
          <w:p w14:paraId="7B991677" w14:textId="4FA0A068" w:rsidR="00E863DC" w:rsidRPr="00E32414" w:rsidRDefault="00E863DC"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Renforcer la coordination entre le RRM et le Cluster ABNA à Mopti</w:t>
            </w:r>
          </w:p>
          <w:p w14:paraId="52684C44" w14:textId="77777777" w:rsidR="0053215B" w:rsidRPr="00E32414" w:rsidRDefault="0053215B"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Pousser les équipes terrain à se communiquer avec le RRM</w:t>
            </w:r>
          </w:p>
          <w:p w14:paraId="284D5724" w14:textId="2D2C863D" w:rsidR="0053215B" w:rsidRPr="00E32414" w:rsidRDefault="0053215B"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 xml:space="preserve">Planifier une réunion </w:t>
            </w:r>
            <w:r w:rsidRPr="00E32414">
              <w:rPr>
                <w:rFonts w:ascii="Arial Narrow" w:eastAsiaTheme="minorHAnsi" w:hAnsi="Arial Narrow" w:cstheme="minorBidi"/>
                <w:sz w:val="22"/>
                <w:szCs w:val="22"/>
                <w:lang w:val="fr-FR" w:eastAsia="en-US"/>
              </w:rPr>
              <w:t>au</w:t>
            </w:r>
            <w:r w:rsidRPr="00E32414">
              <w:rPr>
                <w:rFonts w:ascii="Arial Narrow" w:eastAsiaTheme="minorHAnsi" w:hAnsi="Arial Narrow" w:cstheme="minorBidi"/>
                <w:sz w:val="22"/>
                <w:szCs w:val="22"/>
                <w:lang w:val="fr-FR" w:eastAsia="en-US"/>
              </w:rPr>
              <w:t xml:space="preserve"> retour du </w:t>
            </w:r>
            <w:r w:rsidR="005B48C5" w:rsidRPr="00E32414">
              <w:rPr>
                <w:rFonts w:ascii="Arial Narrow" w:eastAsiaTheme="minorHAnsi" w:hAnsi="Arial Narrow" w:cstheme="minorBidi"/>
                <w:sz w:val="22"/>
                <w:szCs w:val="22"/>
                <w:lang w:val="fr-FR" w:eastAsia="en-US"/>
              </w:rPr>
              <w:t>S</w:t>
            </w:r>
            <w:r w:rsidRPr="00E32414">
              <w:rPr>
                <w:rFonts w:ascii="Arial Narrow" w:eastAsiaTheme="minorHAnsi" w:hAnsi="Arial Narrow" w:cstheme="minorBidi"/>
                <w:sz w:val="22"/>
                <w:szCs w:val="22"/>
                <w:lang w:val="fr-FR" w:eastAsia="en-US"/>
              </w:rPr>
              <w:t xml:space="preserve">helter </w:t>
            </w:r>
            <w:r w:rsidR="005B48C5" w:rsidRPr="00E32414">
              <w:rPr>
                <w:rFonts w:ascii="Arial Narrow" w:eastAsiaTheme="minorHAnsi" w:hAnsi="Arial Narrow" w:cstheme="minorBidi"/>
                <w:sz w:val="22"/>
                <w:szCs w:val="22"/>
                <w:lang w:val="fr-FR" w:eastAsia="en-US"/>
              </w:rPr>
              <w:t>A</w:t>
            </w:r>
            <w:r w:rsidRPr="00E32414">
              <w:rPr>
                <w:rFonts w:ascii="Arial Narrow" w:eastAsiaTheme="minorHAnsi" w:hAnsi="Arial Narrow" w:cstheme="minorBidi"/>
                <w:sz w:val="22"/>
                <w:szCs w:val="22"/>
                <w:lang w:val="fr-FR" w:eastAsia="en-US"/>
              </w:rPr>
              <w:t xml:space="preserve">ssociate </w:t>
            </w:r>
            <w:r w:rsidRPr="00E32414">
              <w:rPr>
                <w:rFonts w:ascii="Arial Narrow" w:eastAsiaTheme="minorHAnsi" w:hAnsi="Arial Narrow" w:cstheme="minorBidi"/>
                <w:sz w:val="22"/>
                <w:szCs w:val="22"/>
                <w:lang w:val="fr-FR" w:eastAsia="en-US"/>
              </w:rPr>
              <w:t>de Mopti</w:t>
            </w:r>
            <w:r w:rsidRPr="00E32414">
              <w:rPr>
                <w:rFonts w:ascii="Arial Narrow" w:eastAsiaTheme="minorHAnsi" w:hAnsi="Arial Narrow" w:cstheme="minorBidi"/>
                <w:sz w:val="22"/>
                <w:szCs w:val="22"/>
                <w:lang w:val="fr-FR" w:eastAsia="en-US"/>
              </w:rPr>
              <w:t xml:space="preserve"> pour le partage des info</w:t>
            </w:r>
            <w:r w:rsidR="00E61525">
              <w:rPr>
                <w:rFonts w:ascii="Arial Narrow" w:eastAsiaTheme="minorHAnsi" w:hAnsi="Arial Narrow" w:cstheme="minorBidi"/>
                <w:sz w:val="22"/>
                <w:szCs w:val="22"/>
                <w:lang w:val="fr-FR" w:eastAsia="en-US"/>
              </w:rPr>
              <w:t>rmations</w:t>
            </w:r>
          </w:p>
          <w:p w14:paraId="6036905E" w14:textId="157B5BA7" w:rsidR="0053215B" w:rsidRPr="00E32414" w:rsidRDefault="0053215B"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R</w:t>
            </w:r>
            <w:r w:rsidRPr="00E32414">
              <w:rPr>
                <w:rFonts w:ascii="Arial Narrow" w:eastAsiaTheme="minorHAnsi" w:hAnsi="Arial Narrow" w:cstheme="minorBidi"/>
                <w:sz w:val="22"/>
                <w:szCs w:val="22"/>
                <w:lang w:val="fr-FR" w:eastAsia="en-US"/>
              </w:rPr>
              <w:t xml:space="preserve">encontrer </w:t>
            </w:r>
            <w:r w:rsidRPr="00E32414">
              <w:rPr>
                <w:rFonts w:ascii="Arial Narrow" w:eastAsiaTheme="minorHAnsi" w:hAnsi="Arial Narrow" w:cstheme="minorBidi"/>
                <w:sz w:val="22"/>
                <w:szCs w:val="22"/>
                <w:lang w:val="fr-FR" w:eastAsia="en-US"/>
              </w:rPr>
              <w:t xml:space="preserve">Help Sahel </w:t>
            </w:r>
            <w:r w:rsidR="009155A1" w:rsidRPr="00E32414">
              <w:rPr>
                <w:rFonts w:ascii="Arial Narrow" w:eastAsiaTheme="minorHAnsi" w:hAnsi="Arial Narrow" w:cstheme="minorBidi"/>
                <w:sz w:val="22"/>
                <w:szCs w:val="22"/>
                <w:lang w:val="fr-FR" w:eastAsia="en-US"/>
              </w:rPr>
              <w:t xml:space="preserve">à Ménaka </w:t>
            </w:r>
            <w:r w:rsidRPr="00E32414">
              <w:rPr>
                <w:rFonts w:ascii="Arial Narrow" w:eastAsiaTheme="minorHAnsi" w:hAnsi="Arial Narrow" w:cstheme="minorBidi"/>
                <w:sz w:val="22"/>
                <w:szCs w:val="22"/>
                <w:lang w:val="fr-FR" w:eastAsia="en-US"/>
              </w:rPr>
              <w:t>pour plus de collaboration</w:t>
            </w:r>
          </w:p>
          <w:p w14:paraId="42E9849A" w14:textId="4D4F2944" w:rsidR="00AE4180" w:rsidRPr="00E32414" w:rsidRDefault="00AE4180"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Mission de l</w:t>
            </w:r>
            <w:r w:rsidRPr="00E32414">
              <w:rPr>
                <w:rFonts w:ascii="Arial Narrow" w:eastAsiaTheme="minorHAnsi" w:hAnsi="Arial Narrow" w:cstheme="minorBidi"/>
                <w:sz w:val="22"/>
                <w:szCs w:val="22"/>
                <w:lang w:val="fr-FR" w:eastAsia="en-US"/>
              </w:rPr>
              <w:t xml:space="preserve">’équipe de coordination nationale avec le Cluster Wash </w:t>
            </w:r>
            <w:r w:rsidRPr="00E32414">
              <w:rPr>
                <w:rFonts w:ascii="Arial Narrow" w:eastAsiaTheme="minorHAnsi" w:hAnsi="Arial Narrow" w:cstheme="minorBidi"/>
                <w:sz w:val="22"/>
                <w:szCs w:val="22"/>
                <w:lang w:val="fr-FR" w:eastAsia="en-US"/>
              </w:rPr>
              <w:t>pour le</w:t>
            </w:r>
            <w:r w:rsidRPr="00E32414">
              <w:rPr>
                <w:rFonts w:ascii="Arial Narrow" w:eastAsiaTheme="minorHAnsi" w:hAnsi="Arial Narrow" w:cstheme="minorBidi"/>
                <w:sz w:val="22"/>
                <w:szCs w:val="22"/>
                <w:lang w:val="fr-FR" w:eastAsia="en-US"/>
              </w:rPr>
              <w:t xml:space="preserve"> renforcement des capacités de </w:t>
            </w:r>
            <w:r w:rsidRPr="00E32414">
              <w:rPr>
                <w:rFonts w:ascii="Arial Narrow" w:eastAsiaTheme="minorHAnsi" w:hAnsi="Arial Narrow" w:cstheme="minorBidi"/>
                <w:sz w:val="22"/>
                <w:szCs w:val="22"/>
                <w:lang w:val="fr-FR" w:eastAsia="en-US"/>
              </w:rPr>
              <w:t>coordination à Ménaka</w:t>
            </w:r>
          </w:p>
          <w:p w14:paraId="70EEF443" w14:textId="487B3603" w:rsidR="005B48C5" w:rsidRPr="00E32414" w:rsidRDefault="005B48C5"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Saisir les partenaires n’ayant pas renseignés les Matrices pour avoir leurs réalisations</w:t>
            </w:r>
          </w:p>
          <w:p w14:paraId="1369ACCE" w14:textId="77777777" w:rsidR="00786634" w:rsidRPr="00E32414" w:rsidRDefault="0078663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Pousser la réflexion sur les cibles et gaps dans la projection du HRP</w:t>
            </w:r>
          </w:p>
          <w:p w14:paraId="39D3F4F8" w14:textId="631A2B05" w:rsidR="0078663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Drafter le TDR et le faire circuler à la coordination en vue de recueillir leur input</w:t>
            </w:r>
          </w:p>
          <w:p w14:paraId="2D6A306D" w14:textId="2F9500DC" w:rsidR="005242F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Partager le draft du budget sectoriel aux membres pour leur input jusqu’à la fin du cycle HPC 2023</w:t>
            </w:r>
          </w:p>
          <w:p w14:paraId="024EC541" w14:textId="22F1ED1C" w:rsidR="005242F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Prendre des mesures pour rapporter les réalisations de partenaires en vue de connaitre leur réalisation</w:t>
            </w:r>
          </w:p>
          <w:p w14:paraId="783DC8BE" w14:textId="77777777" w:rsidR="005242F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Relancer les partenaires du HCR et autres pour les relayer au niveau national.</w:t>
            </w:r>
          </w:p>
          <w:p w14:paraId="73BE5625" w14:textId="77777777" w:rsidR="005242F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Apporter l’appui technique dans la coordination (coordonnateurs régionaux)</w:t>
            </w:r>
          </w:p>
          <w:p w14:paraId="7DF14ED5" w14:textId="50EBE6C4" w:rsidR="005242F4" w:rsidRPr="00E32414" w:rsidRDefault="005242F4" w:rsidP="00E32414">
            <w:pPr>
              <w:pStyle w:val="ListParagraph"/>
              <w:numPr>
                <w:ilvl w:val="0"/>
                <w:numId w:val="5"/>
              </w:numPr>
              <w:rPr>
                <w:rFonts w:ascii="Arial Narrow" w:eastAsiaTheme="minorHAnsi" w:hAnsi="Arial Narrow" w:cstheme="minorBidi"/>
                <w:sz w:val="22"/>
                <w:szCs w:val="22"/>
                <w:lang w:val="fr-FR" w:eastAsia="en-US"/>
              </w:rPr>
            </w:pPr>
            <w:r w:rsidRPr="00E32414">
              <w:rPr>
                <w:rFonts w:ascii="Arial Narrow" w:eastAsiaTheme="minorHAnsi" w:hAnsi="Arial Narrow" w:cstheme="minorBidi"/>
                <w:sz w:val="22"/>
                <w:szCs w:val="22"/>
                <w:lang w:val="fr-FR" w:eastAsia="en-US"/>
              </w:rPr>
              <w:t>Explorer avec OCHA sur l’utilisation des IMMAP dans la collecte et partage des données</w:t>
            </w:r>
          </w:p>
          <w:p w14:paraId="0E9A5238" w14:textId="368F3E17" w:rsidR="00F51FF5" w:rsidRPr="00E61525" w:rsidRDefault="00E32414" w:rsidP="00E61525">
            <w:pPr>
              <w:pStyle w:val="ListParagraph"/>
              <w:numPr>
                <w:ilvl w:val="0"/>
                <w:numId w:val="5"/>
              </w:numPr>
              <w:rPr>
                <w:lang w:val="fr-FR"/>
              </w:rPr>
            </w:pPr>
            <w:r w:rsidRPr="00E32414">
              <w:rPr>
                <w:rFonts w:ascii="Arial Narrow" w:eastAsiaTheme="minorHAnsi" w:hAnsi="Arial Narrow" w:cstheme="minorBidi"/>
                <w:sz w:val="22"/>
                <w:szCs w:val="22"/>
                <w:lang w:val="fr-FR" w:eastAsia="en-US"/>
              </w:rPr>
              <w:t>Partager le Shelter Activity Matrix aux parten</w:t>
            </w:r>
            <w:r>
              <w:rPr>
                <w:rFonts w:ascii="Arial Narrow" w:eastAsiaTheme="minorHAnsi" w:hAnsi="Arial Narrow" w:cstheme="minorBidi"/>
                <w:sz w:val="22"/>
                <w:szCs w:val="22"/>
                <w:lang w:val="fr-FR" w:eastAsia="en-US"/>
              </w:rPr>
              <w:t>aires</w:t>
            </w:r>
            <w:r w:rsidR="00E61525">
              <w:rPr>
                <w:rFonts w:ascii="Arial Narrow" w:eastAsiaTheme="minorHAnsi" w:hAnsi="Arial Narrow" w:cstheme="minorBidi"/>
                <w:sz w:val="22"/>
                <w:szCs w:val="22"/>
                <w:lang w:val="fr-FR" w:eastAsia="en-US"/>
              </w:rPr>
              <w:t>.</w:t>
            </w:r>
          </w:p>
        </w:tc>
      </w:tr>
    </w:tbl>
    <w:p w14:paraId="67AB1CED" w14:textId="77777777" w:rsidR="00F51FF5" w:rsidRDefault="00F51FF5" w:rsidP="00205CA2">
      <w:pPr>
        <w:rPr>
          <w:rFonts w:ascii="Arial Narrow" w:hAnsi="Arial Narrow"/>
          <w:lang w:val="fr-FR"/>
        </w:rPr>
      </w:pPr>
    </w:p>
    <w:p w14:paraId="55AF1E05" w14:textId="410C1558" w:rsidR="007B35AD" w:rsidRDefault="007B35AD">
      <w:pPr>
        <w:rPr>
          <w:lang w:val="fr-FR"/>
        </w:rPr>
      </w:pPr>
    </w:p>
    <w:sectPr w:rsidR="007B35AD" w:rsidSect="00E6152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10pt;height:10pt" o:bullet="t">
        <v:imagedata r:id="rId1" o:title="BD21298_"/>
      </v:shape>
    </w:pict>
  </w:numPicBullet>
  <w:abstractNum w:abstractNumId="0" w15:restartNumberingAfterBreak="0">
    <w:nsid w:val="13247300"/>
    <w:multiLevelType w:val="hybridMultilevel"/>
    <w:tmpl w:val="3FF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7E1E"/>
    <w:multiLevelType w:val="hybridMultilevel"/>
    <w:tmpl w:val="7C8EF78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4873B6"/>
    <w:multiLevelType w:val="hybridMultilevel"/>
    <w:tmpl w:val="A43C3E12"/>
    <w:lvl w:ilvl="0" w:tplc="C448702E">
      <w:start w:val="1"/>
      <w:numFmt w:val="bullet"/>
      <w:lvlText w:val="•"/>
      <w:lvlJc w:val="left"/>
      <w:pPr>
        <w:tabs>
          <w:tab w:val="num" w:pos="720"/>
        </w:tabs>
        <w:ind w:left="720" w:hanging="360"/>
      </w:pPr>
      <w:rPr>
        <w:rFonts w:ascii="Arial" w:hAnsi="Arial" w:hint="default"/>
      </w:rPr>
    </w:lvl>
    <w:lvl w:ilvl="1" w:tplc="19C4E034">
      <w:start w:val="1"/>
      <w:numFmt w:val="bullet"/>
      <w:lvlText w:val="•"/>
      <w:lvlJc w:val="left"/>
      <w:pPr>
        <w:tabs>
          <w:tab w:val="num" w:pos="1440"/>
        </w:tabs>
        <w:ind w:left="1440" w:hanging="360"/>
      </w:pPr>
      <w:rPr>
        <w:rFonts w:ascii="Arial" w:hAnsi="Arial" w:hint="default"/>
      </w:rPr>
    </w:lvl>
    <w:lvl w:ilvl="2" w:tplc="C9D47BD6" w:tentative="1">
      <w:start w:val="1"/>
      <w:numFmt w:val="bullet"/>
      <w:lvlText w:val="•"/>
      <w:lvlJc w:val="left"/>
      <w:pPr>
        <w:tabs>
          <w:tab w:val="num" w:pos="2160"/>
        </w:tabs>
        <w:ind w:left="2160" w:hanging="360"/>
      </w:pPr>
      <w:rPr>
        <w:rFonts w:ascii="Arial" w:hAnsi="Arial" w:hint="default"/>
      </w:rPr>
    </w:lvl>
    <w:lvl w:ilvl="3" w:tplc="5C6C1B70" w:tentative="1">
      <w:start w:val="1"/>
      <w:numFmt w:val="bullet"/>
      <w:lvlText w:val="•"/>
      <w:lvlJc w:val="left"/>
      <w:pPr>
        <w:tabs>
          <w:tab w:val="num" w:pos="2880"/>
        </w:tabs>
        <w:ind w:left="2880" w:hanging="360"/>
      </w:pPr>
      <w:rPr>
        <w:rFonts w:ascii="Arial" w:hAnsi="Arial" w:hint="default"/>
      </w:rPr>
    </w:lvl>
    <w:lvl w:ilvl="4" w:tplc="01F0BA2A" w:tentative="1">
      <w:start w:val="1"/>
      <w:numFmt w:val="bullet"/>
      <w:lvlText w:val="•"/>
      <w:lvlJc w:val="left"/>
      <w:pPr>
        <w:tabs>
          <w:tab w:val="num" w:pos="3600"/>
        </w:tabs>
        <w:ind w:left="3600" w:hanging="360"/>
      </w:pPr>
      <w:rPr>
        <w:rFonts w:ascii="Arial" w:hAnsi="Arial" w:hint="default"/>
      </w:rPr>
    </w:lvl>
    <w:lvl w:ilvl="5" w:tplc="7E261280" w:tentative="1">
      <w:start w:val="1"/>
      <w:numFmt w:val="bullet"/>
      <w:lvlText w:val="•"/>
      <w:lvlJc w:val="left"/>
      <w:pPr>
        <w:tabs>
          <w:tab w:val="num" w:pos="4320"/>
        </w:tabs>
        <w:ind w:left="4320" w:hanging="360"/>
      </w:pPr>
      <w:rPr>
        <w:rFonts w:ascii="Arial" w:hAnsi="Arial" w:hint="default"/>
      </w:rPr>
    </w:lvl>
    <w:lvl w:ilvl="6" w:tplc="0C80F26C" w:tentative="1">
      <w:start w:val="1"/>
      <w:numFmt w:val="bullet"/>
      <w:lvlText w:val="•"/>
      <w:lvlJc w:val="left"/>
      <w:pPr>
        <w:tabs>
          <w:tab w:val="num" w:pos="5040"/>
        </w:tabs>
        <w:ind w:left="5040" w:hanging="360"/>
      </w:pPr>
      <w:rPr>
        <w:rFonts w:ascii="Arial" w:hAnsi="Arial" w:hint="default"/>
      </w:rPr>
    </w:lvl>
    <w:lvl w:ilvl="7" w:tplc="DDDE18DC" w:tentative="1">
      <w:start w:val="1"/>
      <w:numFmt w:val="bullet"/>
      <w:lvlText w:val="•"/>
      <w:lvlJc w:val="left"/>
      <w:pPr>
        <w:tabs>
          <w:tab w:val="num" w:pos="5760"/>
        </w:tabs>
        <w:ind w:left="5760" w:hanging="360"/>
      </w:pPr>
      <w:rPr>
        <w:rFonts w:ascii="Arial" w:hAnsi="Arial" w:hint="default"/>
      </w:rPr>
    </w:lvl>
    <w:lvl w:ilvl="8" w:tplc="F0C2E2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AB2B92"/>
    <w:multiLevelType w:val="hybridMultilevel"/>
    <w:tmpl w:val="84005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842481"/>
    <w:multiLevelType w:val="hybridMultilevel"/>
    <w:tmpl w:val="4F3ADB22"/>
    <w:lvl w:ilvl="0" w:tplc="16FAF5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6102A"/>
    <w:multiLevelType w:val="hybridMultilevel"/>
    <w:tmpl w:val="B7CA75F2"/>
    <w:lvl w:ilvl="0" w:tplc="16FAF5B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D32441"/>
    <w:multiLevelType w:val="hybridMultilevel"/>
    <w:tmpl w:val="07721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23621"/>
    <w:multiLevelType w:val="hybridMultilevel"/>
    <w:tmpl w:val="8680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CE"/>
    <w:rsid w:val="000049A4"/>
    <w:rsid w:val="00012FD8"/>
    <w:rsid w:val="0002354E"/>
    <w:rsid w:val="00031F81"/>
    <w:rsid w:val="00032442"/>
    <w:rsid w:val="00035E33"/>
    <w:rsid w:val="000417E5"/>
    <w:rsid w:val="0004456D"/>
    <w:rsid w:val="00047D9B"/>
    <w:rsid w:val="00056D50"/>
    <w:rsid w:val="00062EF3"/>
    <w:rsid w:val="000741C0"/>
    <w:rsid w:val="00074D70"/>
    <w:rsid w:val="00084F30"/>
    <w:rsid w:val="0009651B"/>
    <w:rsid w:val="000A106C"/>
    <w:rsid w:val="000A3840"/>
    <w:rsid w:val="000B0054"/>
    <w:rsid w:val="000B7DCC"/>
    <w:rsid w:val="000C5906"/>
    <w:rsid w:val="000F16A1"/>
    <w:rsid w:val="00105A72"/>
    <w:rsid w:val="001211CE"/>
    <w:rsid w:val="001226C7"/>
    <w:rsid w:val="001335EF"/>
    <w:rsid w:val="0013463B"/>
    <w:rsid w:val="00136095"/>
    <w:rsid w:val="00136EAE"/>
    <w:rsid w:val="00154197"/>
    <w:rsid w:val="00170CE3"/>
    <w:rsid w:val="0018711A"/>
    <w:rsid w:val="001B6649"/>
    <w:rsid w:val="001D597F"/>
    <w:rsid w:val="001E1868"/>
    <w:rsid w:val="001F2179"/>
    <w:rsid w:val="001F4CE1"/>
    <w:rsid w:val="001F51D4"/>
    <w:rsid w:val="00205CA2"/>
    <w:rsid w:val="00212413"/>
    <w:rsid w:val="002239A8"/>
    <w:rsid w:val="002257ED"/>
    <w:rsid w:val="00227BE4"/>
    <w:rsid w:val="00245539"/>
    <w:rsid w:val="00253271"/>
    <w:rsid w:val="0028397B"/>
    <w:rsid w:val="00295243"/>
    <w:rsid w:val="002A2B89"/>
    <w:rsid w:val="002A5460"/>
    <w:rsid w:val="002C7E8D"/>
    <w:rsid w:val="0030130F"/>
    <w:rsid w:val="00302892"/>
    <w:rsid w:val="00306867"/>
    <w:rsid w:val="00316846"/>
    <w:rsid w:val="00321A78"/>
    <w:rsid w:val="00324F8F"/>
    <w:rsid w:val="00327BF3"/>
    <w:rsid w:val="003334FC"/>
    <w:rsid w:val="00334F3D"/>
    <w:rsid w:val="0034090D"/>
    <w:rsid w:val="00351B57"/>
    <w:rsid w:val="0035607D"/>
    <w:rsid w:val="0035757E"/>
    <w:rsid w:val="003613A1"/>
    <w:rsid w:val="00391F10"/>
    <w:rsid w:val="0039456E"/>
    <w:rsid w:val="00394A48"/>
    <w:rsid w:val="00395964"/>
    <w:rsid w:val="003B3B6A"/>
    <w:rsid w:val="003B6455"/>
    <w:rsid w:val="003C16A4"/>
    <w:rsid w:val="003C75B5"/>
    <w:rsid w:val="003D2979"/>
    <w:rsid w:val="003D2FBD"/>
    <w:rsid w:val="003D3682"/>
    <w:rsid w:val="003E4FF6"/>
    <w:rsid w:val="004118EA"/>
    <w:rsid w:val="004147C4"/>
    <w:rsid w:val="00425E7A"/>
    <w:rsid w:val="00426031"/>
    <w:rsid w:val="00426171"/>
    <w:rsid w:val="00426249"/>
    <w:rsid w:val="00430CA2"/>
    <w:rsid w:val="00430F42"/>
    <w:rsid w:val="004948DD"/>
    <w:rsid w:val="004A00F4"/>
    <w:rsid w:val="004A5E65"/>
    <w:rsid w:val="004A70E7"/>
    <w:rsid w:val="004B3A9F"/>
    <w:rsid w:val="004C1E35"/>
    <w:rsid w:val="004C4F37"/>
    <w:rsid w:val="004D73FA"/>
    <w:rsid w:val="004E31C5"/>
    <w:rsid w:val="0051270A"/>
    <w:rsid w:val="005222AB"/>
    <w:rsid w:val="005242F4"/>
    <w:rsid w:val="00526EA2"/>
    <w:rsid w:val="0053215B"/>
    <w:rsid w:val="005345AA"/>
    <w:rsid w:val="005427C9"/>
    <w:rsid w:val="00544B31"/>
    <w:rsid w:val="005450C4"/>
    <w:rsid w:val="00547EE8"/>
    <w:rsid w:val="005511DB"/>
    <w:rsid w:val="00554B69"/>
    <w:rsid w:val="00554E23"/>
    <w:rsid w:val="005554B4"/>
    <w:rsid w:val="00566711"/>
    <w:rsid w:val="0056751F"/>
    <w:rsid w:val="00571736"/>
    <w:rsid w:val="0057643D"/>
    <w:rsid w:val="00581127"/>
    <w:rsid w:val="00587A03"/>
    <w:rsid w:val="00596172"/>
    <w:rsid w:val="005A0BA4"/>
    <w:rsid w:val="005A79BB"/>
    <w:rsid w:val="005B38B1"/>
    <w:rsid w:val="005B48C5"/>
    <w:rsid w:val="005D19D7"/>
    <w:rsid w:val="005D4E2A"/>
    <w:rsid w:val="005E4A3A"/>
    <w:rsid w:val="005F4EC0"/>
    <w:rsid w:val="005F7A7B"/>
    <w:rsid w:val="006014BE"/>
    <w:rsid w:val="006067A0"/>
    <w:rsid w:val="00607EDB"/>
    <w:rsid w:val="00612760"/>
    <w:rsid w:val="006143B2"/>
    <w:rsid w:val="00626FE6"/>
    <w:rsid w:val="00630175"/>
    <w:rsid w:val="006541D3"/>
    <w:rsid w:val="00654CC4"/>
    <w:rsid w:val="00663EDB"/>
    <w:rsid w:val="0067302B"/>
    <w:rsid w:val="006761C5"/>
    <w:rsid w:val="006B29A9"/>
    <w:rsid w:val="006B59BC"/>
    <w:rsid w:val="006C219F"/>
    <w:rsid w:val="006C38AE"/>
    <w:rsid w:val="006C7750"/>
    <w:rsid w:val="006D77ED"/>
    <w:rsid w:val="006F1819"/>
    <w:rsid w:val="006F7ACD"/>
    <w:rsid w:val="007004BA"/>
    <w:rsid w:val="00706ECB"/>
    <w:rsid w:val="00707DCF"/>
    <w:rsid w:val="00717FF6"/>
    <w:rsid w:val="00722FDC"/>
    <w:rsid w:val="0072631E"/>
    <w:rsid w:val="007356F8"/>
    <w:rsid w:val="007406F2"/>
    <w:rsid w:val="007533DD"/>
    <w:rsid w:val="00757425"/>
    <w:rsid w:val="00770DFB"/>
    <w:rsid w:val="00773FD5"/>
    <w:rsid w:val="00774C71"/>
    <w:rsid w:val="007856CD"/>
    <w:rsid w:val="00786634"/>
    <w:rsid w:val="00793BAD"/>
    <w:rsid w:val="007964B4"/>
    <w:rsid w:val="007A17DA"/>
    <w:rsid w:val="007A6B6B"/>
    <w:rsid w:val="007A7B63"/>
    <w:rsid w:val="007B35AD"/>
    <w:rsid w:val="007B7B9B"/>
    <w:rsid w:val="007D333F"/>
    <w:rsid w:val="007D6142"/>
    <w:rsid w:val="007F09D2"/>
    <w:rsid w:val="007F28AC"/>
    <w:rsid w:val="00803628"/>
    <w:rsid w:val="0080371E"/>
    <w:rsid w:val="008155BB"/>
    <w:rsid w:val="0081769A"/>
    <w:rsid w:val="008317B1"/>
    <w:rsid w:val="00832093"/>
    <w:rsid w:val="00835EF1"/>
    <w:rsid w:val="00840621"/>
    <w:rsid w:val="00847AA4"/>
    <w:rsid w:val="00847EA1"/>
    <w:rsid w:val="00855DF8"/>
    <w:rsid w:val="008630AC"/>
    <w:rsid w:val="0087221C"/>
    <w:rsid w:val="008743F2"/>
    <w:rsid w:val="00875132"/>
    <w:rsid w:val="00877253"/>
    <w:rsid w:val="008841F7"/>
    <w:rsid w:val="00884D70"/>
    <w:rsid w:val="008A4FFF"/>
    <w:rsid w:val="008C2925"/>
    <w:rsid w:val="008C33F3"/>
    <w:rsid w:val="008C6071"/>
    <w:rsid w:val="008D1429"/>
    <w:rsid w:val="008E59C5"/>
    <w:rsid w:val="009066F6"/>
    <w:rsid w:val="009155A1"/>
    <w:rsid w:val="009278A6"/>
    <w:rsid w:val="009416CE"/>
    <w:rsid w:val="00955C81"/>
    <w:rsid w:val="00961615"/>
    <w:rsid w:val="00964B4F"/>
    <w:rsid w:val="009662C8"/>
    <w:rsid w:val="009678BC"/>
    <w:rsid w:val="00993376"/>
    <w:rsid w:val="00997E98"/>
    <w:rsid w:val="009A00A2"/>
    <w:rsid w:val="009A62E1"/>
    <w:rsid w:val="009B13FE"/>
    <w:rsid w:val="009B19C4"/>
    <w:rsid w:val="009B24C9"/>
    <w:rsid w:val="009B2D7F"/>
    <w:rsid w:val="009B798E"/>
    <w:rsid w:val="009C5292"/>
    <w:rsid w:val="009C5BD5"/>
    <w:rsid w:val="009D55A1"/>
    <w:rsid w:val="009E0FD8"/>
    <w:rsid w:val="009F4944"/>
    <w:rsid w:val="00A01152"/>
    <w:rsid w:val="00A03928"/>
    <w:rsid w:val="00A061D2"/>
    <w:rsid w:val="00A0685F"/>
    <w:rsid w:val="00A06E7B"/>
    <w:rsid w:val="00A26242"/>
    <w:rsid w:val="00A36740"/>
    <w:rsid w:val="00A61F48"/>
    <w:rsid w:val="00A63B2A"/>
    <w:rsid w:val="00A77CAE"/>
    <w:rsid w:val="00A9092C"/>
    <w:rsid w:val="00A917E3"/>
    <w:rsid w:val="00A936A9"/>
    <w:rsid w:val="00AB7164"/>
    <w:rsid w:val="00AB784B"/>
    <w:rsid w:val="00AC0086"/>
    <w:rsid w:val="00AC73B4"/>
    <w:rsid w:val="00AD4B58"/>
    <w:rsid w:val="00AE3F30"/>
    <w:rsid w:val="00AE4180"/>
    <w:rsid w:val="00AF4E91"/>
    <w:rsid w:val="00B103BA"/>
    <w:rsid w:val="00B248FD"/>
    <w:rsid w:val="00B32B7F"/>
    <w:rsid w:val="00B45B98"/>
    <w:rsid w:val="00B47267"/>
    <w:rsid w:val="00B51894"/>
    <w:rsid w:val="00B52E03"/>
    <w:rsid w:val="00B53282"/>
    <w:rsid w:val="00B56A59"/>
    <w:rsid w:val="00B7451B"/>
    <w:rsid w:val="00B76E66"/>
    <w:rsid w:val="00B83708"/>
    <w:rsid w:val="00B847A3"/>
    <w:rsid w:val="00B965A0"/>
    <w:rsid w:val="00B96A71"/>
    <w:rsid w:val="00BA16B0"/>
    <w:rsid w:val="00BC35F7"/>
    <w:rsid w:val="00BC62B3"/>
    <w:rsid w:val="00BE2052"/>
    <w:rsid w:val="00BE2A69"/>
    <w:rsid w:val="00BE4C28"/>
    <w:rsid w:val="00BF238D"/>
    <w:rsid w:val="00BF4800"/>
    <w:rsid w:val="00BF788B"/>
    <w:rsid w:val="00C015CD"/>
    <w:rsid w:val="00C14630"/>
    <w:rsid w:val="00C1570F"/>
    <w:rsid w:val="00C25BEC"/>
    <w:rsid w:val="00C27888"/>
    <w:rsid w:val="00C63C67"/>
    <w:rsid w:val="00C66B76"/>
    <w:rsid w:val="00C7172F"/>
    <w:rsid w:val="00C83048"/>
    <w:rsid w:val="00C855B0"/>
    <w:rsid w:val="00C8668E"/>
    <w:rsid w:val="00C87288"/>
    <w:rsid w:val="00C87565"/>
    <w:rsid w:val="00CB64CD"/>
    <w:rsid w:val="00CC2483"/>
    <w:rsid w:val="00CE14C7"/>
    <w:rsid w:val="00CE67C8"/>
    <w:rsid w:val="00CF0996"/>
    <w:rsid w:val="00CF3B07"/>
    <w:rsid w:val="00D06690"/>
    <w:rsid w:val="00D14645"/>
    <w:rsid w:val="00D15DDC"/>
    <w:rsid w:val="00D226CC"/>
    <w:rsid w:val="00D458C5"/>
    <w:rsid w:val="00D45D90"/>
    <w:rsid w:val="00D828D4"/>
    <w:rsid w:val="00D83998"/>
    <w:rsid w:val="00D971C3"/>
    <w:rsid w:val="00DB5B69"/>
    <w:rsid w:val="00DD30D8"/>
    <w:rsid w:val="00DD56D5"/>
    <w:rsid w:val="00DE6B29"/>
    <w:rsid w:val="00E03B10"/>
    <w:rsid w:val="00E159FF"/>
    <w:rsid w:val="00E24043"/>
    <w:rsid w:val="00E27C34"/>
    <w:rsid w:val="00E32414"/>
    <w:rsid w:val="00E503FF"/>
    <w:rsid w:val="00E61525"/>
    <w:rsid w:val="00E6207E"/>
    <w:rsid w:val="00E77F47"/>
    <w:rsid w:val="00E8445C"/>
    <w:rsid w:val="00E863DC"/>
    <w:rsid w:val="00E86517"/>
    <w:rsid w:val="00EA02DA"/>
    <w:rsid w:val="00EA14A8"/>
    <w:rsid w:val="00EB0C30"/>
    <w:rsid w:val="00EC2753"/>
    <w:rsid w:val="00EC73E2"/>
    <w:rsid w:val="00ED50F6"/>
    <w:rsid w:val="00EE00DD"/>
    <w:rsid w:val="00EF0188"/>
    <w:rsid w:val="00EF0A21"/>
    <w:rsid w:val="00EF5BF6"/>
    <w:rsid w:val="00F12210"/>
    <w:rsid w:val="00F31730"/>
    <w:rsid w:val="00F47FC2"/>
    <w:rsid w:val="00F51CC0"/>
    <w:rsid w:val="00F51FF5"/>
    <w:rsid w:val="00F56EFD"/>
    <w:rsid w:val="00F579E9"/>
    <w:rsid w:val="00F61EBE"/>
    <w:rsid w:val="00F626AA"/>
    <w:rsid w:val="00F67DF5"/>
    <w:rsid w:val="00FA5F5B"/>
    <w:rsid w:val="00FB22EA"/>
    <w:rsid w:val="00FC22BD"/>
    <w:rsid w:val="00FC43BE"/>
    <w:rsid w:val="00FD20F3"/>
    <w:rsid w:val="00FD4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C9BA"/>
  <w15:chartTrackingRefBased/>
  <w15:docId w15:val="{CB9CCA5A-96F6-4035-B742-E5CB80E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FF5"/>
    <w:pPr>
      <w:spacing w:after="0" w:line="240" w:lineRule="auto"/>
      <w:ind w:left="720"/>
      <w:contextualSpacing/>
      <w:jc w:val="both"/>
    </w:pPr>
    <w:rPr>
      <w:rFonts w:ascii="Times New Roman" w:eastAsia="MS Mincho" w:hAnsi="Times New Roman" w:cs="Times New Roman"/>
      <w:sz w:val="24"/>
      <w:szCs w:val="24"/>
      <w:lang w:eastAsia="ja-JP"/>
    </w:rPr>
  </w:style>
  <w:style w:type="paragraph" w:styleId="NormalWeb">
    <w:name w:val="Normal (Web)"/>
    <w:basedOn w:val="Normal"/>
    <w:uiPriority w:val="99"/>
    <w:semiHidden/>
    <w:unhideWhenUsed/>
    <w:rsid w:val="00CF3B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967">
      <w:bodyDiv w:val="1"/>
      <w:marLeft w:val="0"/>
      <w:marRight w:val="0"/>
      <w:marTop w:val="0"/>
      <w:marBottom w:val="0"/>
      <w:divBdr>
        <w:top w:val="none" w:sz="0" w:space="0" w:color="auto"/>
        <w:left w:val="none" w:sz="0" w:space="0" w:color="auto"/>
        <w:bottom w:val="none" w:sz="0" w:space="0" w:color="auto"/>
        <w:right w:val="none" w:sz="0" w:space="0" w:color="auto"/>
      </w:divBdr>
    </w:div>
    <w:div w:id="15774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Bichara Haggar Zakaria</dc:creator>
  <cp:keywords/>
  <dc:description/>
  <cp:lastModifiedBy>Bichara Haggar Zakaria</cp:lastModifiedBy>
  <cp:revision>329</cp:revision>
  <dcterms:created xsi:type="dcterms:W3CDTF">2022-10-28T09:39:00Z</dcterms:created>
  <dcterms:modified xsi:type="dcterms:W3CDTF">2022-11-14T11:19:00Z</dcterms:modified>
</cp:coreProperties>
</file>