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0A8" w:rsidRPr="00C86C2C" w:rsidRDefault="002E0887" w:rsidP="00181010">
      <w:pPr>
        <w:pStyle w:val="Title"/>
        <w:jc w:val="both"/>
        <w:rPr>
          <w:rFonts w:ascii="Arial" w:hAnsi="Arial" w:cs="Arial"/>
          <w:sz w:val="36"/>
          <w:szCs w:val="36"/>
        </w:rPr>
      </w:pPr>
      <w:bookmarkStart w:id="0" w:name="_GoBack"/>
      <w:bookmarkEnd w:id="0"/>
      <w:r w:rsidRPr="00C86C2C">
        <w:rPr>
          <w:rFonts w:ascii="Arial" w:hAnsi="Arial" w:cs="Arial"/>
          <w:sz w:val="36"/>
          <w:szCs w:val="36"/>
        </w:rPr>
        <w:t>Enhancing the response capacity of the Shelter Cluster</w:t>
      </w:r>
    </w:p>
    <w:p w:rsidR="005024D2" w:rsidRDefault="005024D2" w:rsidP="00181010">
      <w:pPr>
        <w:pStyle w:val="Heading1"/>
        <w:jc w:val="both"/>
      </w:pPr>
      <w:r>
        <w:t>Introduction</w:t>
      </w:r>
    </w:p>
    <w:p w:rsidR="00766253" w:rsidRDefault="00410C65" w:rsidP="00181010">
      <w:pPr>
        <w:pStyle w:val="indent"/>
        <w:ind w:left="0"/>
        <w:jc w:val="both"/>
      </w:pPr>
      <w:r>
        <w:t xml:space="preserve">The </w:t>
      </w:r>
      <w:r w:rsidR="007025B8">
        <w:t>Global Shelter C</w:t>
      </w:r>
      <w:r>
        <w:t xml:space="preserve">luster is </w:t>
      </w:r>
      <w:r w:rsidR="002E0887">
        <w:t>an open platform with around 30 partners participating consistently</w:t>
      </w:r>
      <w:r>
        <w:rPr>
          <w:rStyle w:val="FootnoteReference"/>
        </w:rPr>
        <w:footnoteReference w:id="1"/>
      </w:r>
      <w:r w:rsidR="006227D2">
        <w:t xml:space="preserve"> at the global level</w:t>
      </w:r>
      <w:r w:rsidR="0020086B">
        <w:t xml:space="preserve">. Country level shelter clusters are currently active </w:t>
      </w:r>
      <w:r w:rsidR="006227D2">
        <w:t xml:space="preserve">in </w:t>
      </w:r>
      <w:r w:rsidR="002E0887">
        <w:t>some 20</w:t>
      </w:r>
      <w:r w:rsidR="0020086B">
        <w:t xml:space="preserve"> countries, with an additional number of countries with active shelter working groups supported by the cluster </w:t>
      </w:r>
      <w:r>
        <w:t>co-</w:t>
      </w:r>
      <w:r w:rsidR="0020086B">
        <w:t xml:space="preserve">leads. Agency participation in each of these clusters and working groups </w:t>
      </w:r>
      <w:r w:rsidR="0013760D">
        <w:t xml:space="preserve">usually </w:t>
      </w:r>
      <w:r w:rsidR="0020086B">
        <w:t xml:space="preserve">ranges from 4 to </w:t>
      </w:r>
      <w:r w:rsidR="0020086B" w:rsidRPr="007025B8">
        <w:t>30</w:t>
      </w:r>
      <w:r w:rsidR="0020086B">
        <w:t xml:space="preserve"> agencies. </w:t>
      </w:r>
      <w:r w:rsidR="007025B8">
        <w:t>In large emergencies the number of agencies benefiting from Shelter Cluster services can be as high a</w:t>
      </w:r>
      <w:r w:rsidR="002014A2">
        <w:t>s</w:t>
      </w:r>
      <w:r w:rsidR="007025B8">
        <w:t xml:space="preserve"> 600 agencies as in </w:t>
      </w:r>
      <w:r>
        <w:t xml:space="preserve">Haiti </w:t>
      </w:r>
      <w:r w:rsidR="007025B8">
        <w:t>or 1</w:t>
      </w:r>
      <w:r>
        <w:t>00</w:t>
      </w:r>
      <w:r w:rsidR="007025B8">
        <w:t xml:space="preserve"> in Pakistan.</w:t>
      </w:r>
    </w:p>
    <w:p w:rsidR="0007279A" w:rsidRDefault="002E0887" w:rsidP="002E0887">
      <w:pPr>
        <w:pStyle w:val="indent"/>
        <w:ind w:left="0"/>
        <w:jc w:val="both"/>
      </w:pPr>
      <w:r>
        <w:t xml:space="preserve">The leadership of the Global Shelter Cluster is provided by two co-lead agencies: IFRC as convenor in natural disasters and UNHCR as lead in conflict situations. IFRC has been the convener of the Global Shelter Cluster for natural disasters since 2006 and has coordinated country level clusters in 23 emergencies, </w:t>
      </w:r>
      <w:r w:rsidRPr="007025B8">
        <w:t>with a primary focus on coordinating the emergency and transitional phase of a response, at the request of government and national partners.</w:t>
      </w:r>
      <w:r>
        <w:t xml:space="preserve"> </w:t>
      </w:r>
      <w:r w:rsidRPr="004E1A87">
        <w:t xml:space="preserve">UNHCR assumed the lead of the Global Shelter Cluster for conflict in 2005 and since then has coordinated </w:t>
      </w:r>
      <w:r>
        <w:t>21</w:t>
      </w:r>
      <w:r w:rsidRPr="004E1A87">
        <w:t xml:space="preserve"> country-level shelter clusters, some of which are protracted emergencies that have lasted for years such as in Somalia, Afghanistan or Sudan. </w:t>
      </w:r>
      <w:r w:rsidR="006227D2">
        <w:t xml:space="preserve">As per the IASC guidance other organisations lead the Shelter Cluster at country level when they are best placed to do so. This is the case of IOM, </w:t>
      </w:r>
      <w:r w:rsidRPr="008151EB">
        <w:t>UN-HABITAT</w:t>
      </w:r>
      <w:r w:rsidR="006227D2">
        <w:t xml:space="preserve">, </w:t>
      </w:r>
      <w:proofErr w:type="gramStart"/>
      <w:r w:rsidR="006227D2">
        <w:t>Habitat</w:t>
      </w:r>
      <w:proofErr w:type="gramEnd"/>
      <w:r w:rsidR="006227D2">
        <w:t xml:space="preserve"> for Humanity, UNICEF, UNDP, and others. UNHABITAT</w:t>
      </w:r>
      <w:r w:rsidRPr="008151EB">
        <w:t xml:space="preserve"> coordinated the shelter cluster for the first time after the 2005 Pakistan earthquake and IOM has since coordinated the cluster, sometimes for multiple emergencies, in 19 countries while UN-HABITAT has since coordinated the </w:t>
      </w:r>
      <w:r w:rsidR="006227D2" w:rsidRPr="008151EB">
        <w:t>cluster</w:t>
      </w:r>
      <w:r w:rsidRPr="008151EB">
        <w:t xml:space="preserve"> in 7 coun</w:t>
      </w:r>
      <w:r>
        <w:t xml:space="preserve">tries and provides recovery and reconstruction related advice to the cluster. </w:t>
      </w:r>
    </w:p>
    <w:p w:rsidR="002E0887" w:rsidRDefault="0007279A" w:rsidP="002E0887">
      <w:pPr>
        <w:pStyle w:val="indent"/>
        <w:ind w:left="0"/>
        <w:jc w:val="both"/>
      </w:pPr>
      <w:r>
        <w:t xml:space="preserve">In terms of cluster activation, 2012 has been an average year so it can serve as an example of the activities that the Global Shelter Cluster does in support of country level clusters. </w:t>
      </w:r>
      <w:r w:rsidR="00930276">
        <w:t xml:space="preserve">As of December 2012 the Shelter Cluster is activated in 19 countries. This year </w:t>
      </w:r>
      <w:r>
        <w:t>5</w:t>
      </w:r>
      <w:r w:rsidR="00930276">
        <w:t xml:space="preserve"> new clusters were activated (Peru, </w:t>
      </w:r>
      <w:r>
        <w:t xml:space="preserve">Pacific, </w:t>
      </w:r>
      <w:r w:rsidR="00930276">
        <w:t xml:space="preserve">Mali, Philippines, and Myanmar), and two have been handed over to the Government (Sri Lanka and Cote d’Ivoire). </w:t>
      </w:r>
      <w:r w:rsidR="00684F8F">
        <w:t xml:space="preserve">A total of </w:t>
      </w:r>
      <w:r w:rsidR="00FD640F">
        <w:t xml:space="preserve">21 </w:t>
      </w:r>
      <w:r w:rsidR="00684F8F">
        <w:t xml:space="preserve">dedicated specialists </w:t>
      </w:r>
      <w:r>
        <w:t>have been deployed to support country level clusters in 2012</w:t>
      </w:r>
      <w:r w:rsidR="00723B56">
        <w:t xml:space="preserve"> both in new clusters and as a replacement in existing clusters</w:t>
      </w:r>
      <w:r w:rsidR="00684F8F">
        <w:t>. The following table shows the details</w:t>
      </w:r>
      <w:r>
        <w:t>:</w:t>
      </w:r>
    </w:p>
    <w:tbl>
      <w:tblPr>
        <w:tblStyle w:val="TableGrid"/>
        <w:tblW w:w="0" w:type="auto"/>
        <w:tblLayout w:type="fixed"/>
        <w:tblLook w:val="04A0" w:firstRow="1" w:lastRow="0" w:firstColumn="1" w:lastColumn="0" w:noHBand="0" w:noVBand="1"/>
      </w:tblPr>
      <w:tblGrid>
        <w:gridCol w:w="1526"/>
        <w:gridCol w:w="1559"/>
        <w:gridCol w:w="1276"/>
        <w:gridCol w:w="4927"/>
      </w:tblGrid>
      <w:tr w:rsidR="0007279A" w:rsidTr="00684F8F">
        <w:tc>
          <w:tcPr>
            <w:tcW w:w="1526" w:type="dxa"/>
          </w:tcPr>
          <w:p w:rsidR="0007279A" w:rsidRDefault="0007279A" w:rsidP="002E0887">
            <w:pPr>
              <w:pStyle w:val="indent"/>
              <w:ind w:left="0"/>
              <w:jc w:val="both"/>
            </w:pPr>
            <w:r>
              <w:t>Country</w:t>
            </w:r>
          </w:p>
        </w:tc>
        <w:tc>
          <w:tcPr>
            <w:tcW w:w="1559" w:type="dxa"/>
          </w:tcPr>
          <w:p w:rsidR="0007279A" w:rsidRDefault="00684F8F" w:rsidP="002E0887">
            <w:pPr>
              <w:pStyle w:val="indent"/>
              <w:ind w:left="0"/>
              <w:jc w:val="both"/>
            </w:pPr>
            <w:r>
              <w:t>Cluster lead/ co-lead</w:t>
            </w:r>
          </w:p>
        </w:tc>
        <w:tc>
          <w:tcPr>
            <w:tcW w:w="1276" w:type="dxa"/>
          </w:tcPr>
          <w:p w:rsidR="0007279A" w:rsidRDefault="00684F8F" w:rsidP="002E0887">
            <w:pPr>
              <w:pStyle w:val="indent"/>
              <w:ind w:left="0"/>
              <w:jc w:val="both"/>
            </w:pPr>
            <w:r>
              <w:t>P</w:t>
            </w:r>
            <w:r w:rsidR="0007279A">
              <w:t>eople deployed</w:t>
            </w:r>
          </w:p>
        </w:tc>
        <w:tc>
          <w:tcPr>
            <w:tcW w:w="4927" w:type="dxa"/>
          </w:tcPr>
          <w:p w:rsidR="0007279A" w:rsidRDefault="00723B56" w:rsidP="002E0887">
            <w:pPr>
              <w:pStyle w:val="indent"/>
              <w:ind w:left="0"/>
              <w:jc w:val="both"/>
            </w:pPr>
            <w:r>
              <w:t>Detail of people deployed</w:t>
            </w:r>
          </w:p>
        </w:tc>
      </w:tr>
      <w:tr w:rsidR="0007279A" w:rsidTr="00684F8F">
        <w:tc>
          <w:tcPr>
            <w:tcW w:w="1526" w:type="dxa"/>
          </w:tcPr>
          <w:p w:rsidR="0007279A" w:rsidRDefault="0007279A" w:rsidP="002E0887">
            <w:pPr>
              <w:pStyle w:val="indent"/>
              <w:ind w:left="0"/>
              <w:jc w:val="both"/>
            </w:pPr>
            <w:r>
              <w:t>Peru</w:t>
            </w:r>
            <w:r w:rsidR="00723B56">
              <w:t xml:space="preserve"> Floods</w:t>
            </w:r>
          </w:p>
        </w:tc>
        <w:tc>
          <w:tcPr>
            <w:tcW w:w="1559" w:type="dxa"/>
          </w:tcPr>
          <w:p w:rsidR="0007279A" w:rsidRDefault="00723B56" w:rsidP="002E0887">
            <w:pPr>
              <w:pStyle w:val="indent"/>
              <w:ind w:left="0"/>
              <w:jc w:val="both"/>
            </w:pPr>
            <w:r>
              <w:t>IFRC</w:t>
            </w:r>
          </w:p>
        </w:tc>
        <w:tc>
          <w:tcPr>
            <w:tcW w:w="1276" w:type="dxa"/>
          </w:tcPr>
          <w:p w:rsidR="0007279A" w:rsidRDefault="00FD640F" w:rsidP="002E0887">
            <w:pPr>
              <w:pStyle w:val="indent"/>
              <w:ind w:left="0"/>
              <w:jc w:val="both"/>
            </w:pPr>
            <w:r>
              <w:t>3</w:t>
            </w:r>
          </w:p>
        </w:tc>
        <w:tc>
          <w:tcPr>
            <w:tcW w:w="4927" w:type="dxa"/>
          </w:tcPr>
          <w:p w:rsidR="0007279A" w:rsidRDefault="00723B56" w:rsidP="00FD640F">
            <w:pPr>
              <w:pStyle w:val="indent"/>
              <w:ind w:left="0"/>
              <w:jc w:val="both"/>
            </w:pPr>
            <w:r>
              <w:t>1 Cluster Coordinator (British RC), 2 Assessment Advisors (REACH)</w:t>
            </w:r>
          </w:p>
        </w:tc>
      </w:tr>
      <w:tr w:rsidR="0007279A" w:rsidTr="00684F8F">
        <w:tc>
          <w:tcPr>
            <w:tcW w:w="1526" w:type="dxa"/>
          </w:tcPr>
          <w:p w:rsidR="0007279A" w:rsidRDefault="0007279A" w:rsidP="002E0887">
            <w:pPr>
              <w:pStyle w:val="indent"/>
              <w:ind w:left="0"/>
              <w:jc w:val="both"/>
            </w:pPr>
            <w:r>
              <w:t>Pacific</w:t>
            </w:r>
          </w:p>
        </w:tc>
        <w:tc>
          <w:tcPr>
            <w:tcW w:w="1559" w:type="dxa"/>
          </w:tcPr>
          <w:p w:rsidR="0007279A" w:rsidRDefault="00723B56" w:rsidP="002E0887">
            <w:pPr>
              <w:pStyle w:val="indent"/>
              <w:ind w:left="0"/>
              <w:jc w:val="both"/>
            </w:pPr>
            <w:r>
              <w:t>IFRC</w:t>
            </w:r>
          </w:p>
        </w:tc>
        <w:tc>
          <w:tcPr>
            <w:tcW w:w="1276" w:type="dxa"/>
          </w:tcPr>
          <w:p w:rsidR="0007279A" w:rsidRDefault="00723B56" w:rsidP="002E0887">
            <w:pPr>
              <w:pStyle w:val="indent"/>
              <w:ind w:left="0"/>
              <w:jc w:val="both"/>
            </w:pPr>
            <w:r>
              <w:t>1</w:t>
            </w:r>
          </w:p>
        </w:tc>
        <w:tc>
          <w:tcPr>
            <w:tcW w:w="4927" w:type="dxa"/>
          </w:tcPr>
          <w:p w:rsidR="0007279A" w:rsidRDefault="00723B56" w:rsidP="00723B56">
            <w:pPr>
              <w:pStyle w:val="indent"/>
              <w:ind w:left="0"/>
              <w:jc w:val="both"/>
            </w:pPr>
            <w:r>
              <w:t>1 Cluster Coordinator (Australian RC)</w:t>
            </w:r>
          </w:p>
        </w:tc>
      </w:tr>
      <w:tr w:rsidR="0007279A" w:rsidTr="00684F8F">
        <w:tc>
          <w:tcPr>
            <w:tcW w:w="1526" w:type="dxa"/>
          </w:tcPr>
          <w:p w:rsidR="0007279A" w:rsidRDefault="0007279A" w:rsidP="002E0887">
            <w:pPr>
              <w:pStyle w:val="indent"/>
              <w:ind w:left="0"/>
              <w:jc w:val="both"/>
            </w:pPr>
            <w:r>
              <w:t>Mali</w:t>
            </w:r>
            <w:r w:rsidR="00723B56">
              <w:t xml:space="preserve"> conflict</w:t>
            </w:r>
          </w:p>
        </w:tc>
        <w:tc>
          <w:tcPr>
            <w:tcW w:w="1559" w:type="dxa"/>
          </w:tcPr>
          <w:p w:rsidR="00684F8F" w:rsidRDefault="00723B56" w:rsidP="002E0887">
            <w:pPr>
              <w:pStyle w:val="indent"/>
              <w:ind w:left="0"/>
              <w:jc w:val="both"/>
            </w:pPr>
            <w:r>
              <w:t>UNHCR</w:t>
            </w:r>
            <w:r w:rsidR="00684F8F">
              <w:t>/</w:t>
            </w:r>
          </w:p>
          <w:p w:rsidR="0007279A" w:rsidRDefault="00684F8F" w:rsidP="002E0887">
            <w:pPr>
              <w:pStyle w:val="indent"/>
              <w:ind w:left="0"/>
              <w:jc w:val="both"/>
            </w:pPr>
            <w:r>
              <w:t>IOM</w:t>
            </w:r>
          </w:p>
        </w:tc>
        <w:tc>
          <w:tcPr>
            <w:tcW w:w="1276" w:type="dxa"/>
          </w:tcPr>
          <w:p w:rsidR="0007279A" w:rsidRDefault="00723B56" w:rsidP="002E0887">
            <w:pPr>
              <w:pStyle w:val="indent"/>
              <w:ind w:left="0"/>
              <w:jc w:val="both"/>
            </w:pPr>
            <w:r>
              <w:t>5</w:t>
            </w:r>
          </w:p>
        </w:tc>
        <w:tc>
          <w:tcPr>
            <w:tcW w:w="4927" w:type="dxa"/>
          </w:tcPr>
          <w:p w:rsidR="0007279A" w:rsidRDefault="00723B56" w:rsidP="002E0887">
            <w:pPr>
              <w:pStyle w:val="indent"/>
              <w:ind w:left="0"/>
              <w:jc w:val="both"/>
            </w:pPr>
            <w:r>
              <w:t>1 Cluster Coordinator (UNHCR), 1 Technical Coordinator (IOM), 1 Information Manager (IOM), 2 Assessment Advisors (REACH)</w:t>
            </w:r>
          </w:p>
        </w:tc>
      </w:tr>
      <w:tr w:rsidR="0007279A" w:rsidTr="00684F8F">
        <w:tc>
          <w:tcPr>
            <w:tcW w:w="1526" w:type="dxa"/>
          </w:tcPr>
          <w:p w:rsidR="0007279A" w:rsidRDefault="0007279A" w:rsidP="002E0887">
            <w:pPr>
              <w:pStyle w:val="indent"/>
              <w:ind w:left="0"/>
              <w:jc w:val="both"/>
            </w:pPr>
            <w:r>
              <w:t>Philippines</w:t>
            </w:r>
            <w:r w:rsidR="00723B56">
              <w:t xml:space="preserve"> Cyclone Pablo</w:t>
            </w:r>
          </w:p>
        </w:tc>
        <w:tc>
          <w:tcPr>
            <w:tcW w:w="1559" w:type="dxa"/>
          </w:tcPr>
          <w:p w:rsidR="0007279A" w:rsidRDefault="00723B56" w:rsidP="002E0887">
            <w:pPr>
              <w:pStyle w:val="indent"/>
              <w:ind w:left="0"/>
              <w:jc w:val="both"/>
            </w:pPr>
            <w:r>
              <w:t>IFRC</w:t>
            </w:r>
          </w:p>
        </w:tc>
        <w:tc>
          <w:tcPr>
            <w:tcW w:w="1276" w:type="dxa"/>
          </w:tcPr>
          <w:p w:rsidR="0007279A" w:rsidRDefault="00723B56" w:rsidP="002E0887">
            <w:pPr>
              <w:pStyle w:val="indent"/>
              <w:ind w:left="0"/>
              <w:jc w:val="both"/>
            </w:pPr>
            <w:r>
              <w:t>5</w:t>
            </w:r>
          </w:p>
        </w:tc>
        <w:tc>
          <w:tcPr>
            <w:tcW w:w="4927" w:type="dxa"/>
          </w:tcPr>
          <w:p w:rsidR="0007279A" w:rsidRDefault="00723B56" w:rsidP="00723B56">
            <w:pPr>
              <w:pStyle w:val="indent"/>
              <w:ind w:left="0"/>
              <w:jc w:val="both"/>
            </w:pPr>
            <w:r>
              <w:t xml:space="preserve">1 Cluster Coordinator (British RC), 1 Technical Coordinator (IFRC), 1 Information Manager (Canadian RC), 2 Assessment Advisors </w:t>
            </w:r>
            <w:r>
              <w:lastRenderedPageBreak/>
              <w:t>(REACH)</w:t>
            </w:r>
          </w:p>
        </w:tc>
      </w:tr>
      <w:tr w:rsidR="0007279A" w:rsidTr="00684F8F">
        <w:tc>
          <w:tcPr>
            <w:tcW w:w="1526" w:type="dxa"/>
          </w:tcPr>
          <w:p w:rsidR="0007279A" w:rsidRDefault="0007279A" w:rsidP="002E0887">
            <w:pPr>
              <w:pStyle w:val="indent"/>
              <w:ind w:left="0"/>
              <w:jc w:val="both"/>
            </w:pPr>
            <w:r>
              <w:lastRenderedPageBreak/>
              <w:t>Myanmar</w:t>
            </w:r>
          </w:p>
        </w:tc>
        <w:tc>
          <w:tcPr>
            <w:tcW w:w="1559" w:type="dxa"/>
          </w:tcPr>
          <w:p w:rsidR="0007279A" w:rsidRDefault="00723B56" w:rsidP="002E0887">
            <w:pPr>
              <w:pStyle w:val="indent"/>
              <w:ind w:left="0"/>
              <w:jc w:val="both"/>
            </w:pPr>
            <w:r>
              <w:t>UNHCR</w:t>
            </w:r>
          </w:p>
        </w:tc>
        <w:tc>
          <w:tcPr>
            <w:tcW w:w="1276" w:type="dxa"/>
          </w:tcPr>
          <w:p w:rsidR="0007279A" w:rsidRDefault="00723B56" w:rsidP="002E0887">
            <w:pPr>
              <w:pStyle w:val="indent"/>
              <w:ind w:left="0"/>
              <w:jc w:val="both"/>
            </w:pPr>
            <w:r>
              <w:t>1</w:t>
            </w:r>
          </w:p>
        </w:tc>
        <w:tc>
          <w:tcPr>
            <w:tcW w:w="4927" w:type="dxa"/>
          </w:tcPr>
          <w:p w:rsidR="0007279A" w:rsidRDefault="00723B56" w:rsidP="002E0887">
            <w:pPr>
              <w:pStyle w:val="indent"/>
              <w:ind w:left="0"/>
              <w:jc w:val="both"/>
            </w:pPr>
            <w:r>
              <w:t>Cluster Coordinator (UNHCR)</w:t>
            </w:r>
          </w:p>
        </w:tc>
      </w:tr>
      <w:tr w:rsidR="00723B56" w:rsidTr="00684F8F">
        <w:tc>
          <w:tcPr>
            <w:tcW w:w="1526" w:type="dxa"/>
          </w:tcPr>
          <w:p w:rsidR="00723B56" w:rsidRDefault="00723B56" w:rsidP="002E0887">
            <w:pPr>
              <w:pStyle w:val="indent"/>
              <w:ind w:left="0"/>
              <w:jc w:val="both"/>
            </w:pPr>
            <w:r>
              <w:t>CAR</w:t>
            </w:r>
          </w:p>
        </w:tc>
        <w:tc>
          <w:tcPr>
            <w:tcW w:w="1559" w:type="dxa"/>
          </w:tcPr>
          <w:p w:rsidR="00684F8F" w:rsidRDefault="00723B56" w:rsidP="00723B56">
            <w:pPr>
              <w:pStyle w:val="indent"/>
              <w:ind w:left="0"/>
              <w:jc w:val="both"/>
            </w:pPr>
            <w:r>
              <w:t>UNHCR</w:t>
            </w:r>
            <w:r w:rsidR="00684F8F">
              <w:t>/</w:t>
            </w:r>
          </w:p>
          <w:p w:rsidR="00723B56" w:rsidRDefault="00684F8F" w:rsidP="00723B56">
            <w:pPr>
              <w:pStyle w:val="indent"/>
              <w:ind w:left="0"/>
              <w:jc w:val="both"/>
            </w:pPr>
            <w:r>
              <w:t>ACTED</w:t>
            </w:r>
          </w:p>
        </w:tc>
        <w:tc>
          <w:tcPr>
            <w:tcW w:w="1276" w:type="dxa"/>
          </w:tcPr>
          <w:p w:rsidR="00723B56" w:rsidRDefault="00684F8F" w:rsidP="00723B56">
            <w:pPr>
              <w:pStyle w:val="indent"/>
              <w:ind w:left="0"/>
              <w:jc w:val="both"/>
            </w:pPr>
            <w:r>
              <w:t>3</w:t>
            </w:r>
          </w:p>
        </w:tc>
        <w:tc>
          <w:tcPr>
            <w:tcW w:w="4927" w:type="dxa"/>
          </w:tcPr>
          <w:p w:rsidR="00723B56" w:rsidRDefault="00684F8F" w:rsidP="00723B56">
            <w:pPr>
              <w:pStyle w:val="indent"/>
              <w:ind w:left="0"/>
              <w:jc w:val="both"/>
            </w:pPr>
            <w:r>
              <w:t xml:space="preserve">1 </w:t>
            </w:r>
            <w:r w:rsidR="00723B56">
              <w:t>Cluster Coordinator (UNHCR)</w:t>
            </w:r>
            <w:r>
              <w:t>, 2 Assessment Advisors (REACH)</w:t>
            </w:r>
          </w:p>
        </w:tc>
      </w:tr>
      <w:tr w:rsidR="00723B56" w:rsidTr="00684F8F">
        <w:tc>
          <w:tcPr>
            <w:tcW w:w="1526" w:type="dxa"/>
          </w:tcPr>
          <w:p w:rsidR="00723B56" w:rsidRDefault="00723B56" w:rsidP="002E0887">
            <w:pPr>
              <w:pStyle w:val="indent"/>
              <w:ind w:left="0"/>
              <w:jc w:val="both"/>
            </w:pPr>
            <w:r>
              <w:t>Yemen</w:t>
            </w:r>
          </w:p>
        </w:tc>
        <w:tc>
          <w:tcPr>
            <w:tcW w:w="1559" w:type="dxa"/>
          </w:tcPr>
          <w:p w:rsidR="00723B56" w:rsidRDefault="00723B56" w:rsidP="00723B56">
            <w:pPr>
              <w:pStyle w:val="indent"/>
              <w:ind w:left="0"/>
              <w:jc w:val="both"/>
            </w:pPr>
            <w:r>
              <w:t>UNHCR</w:t>
            </w:r>
          </w:p>
        </w:tc>
        <w:tc>
          <w:tcPr>
            <w:tcW w:w="1276" w:type="dxa"/>
          </w:tcPr>
          <w:p w:rsidR="00723B56" w:rsidRDefault="00723B56" w:rsidP="00723B56">
            <w:pPr>
              <w:pStyle w:val="indent"/>
              <w:ind w:left="0"/>
              <w:jc w:val="both"/>
            </w:pPr>
            <w:r>
              <w:t>1</w:t>
            </w:r>
          </w:p>
        </w:tc>
        <w:tc>
          <w:tcPr>
            <w:tcW w:w="4927" w:type="dxa"/>
          </w:tcPr>
          <w:p w:rsidR="00723B56" w:rsidRDefault="00684F8F" w:rsidP="00723B56">
            <w:pPr>
              <w:pStyle w:val="indent"/>
              <w:ind w:left="0"/>
              <w:jc w:val="both"/>
            </w:pPr>
            <w:r>
              <w:t>Cluster Coordinator (NRC</w:t>
            </w:r>
            <w:r w:rsidR="00723B56">
              <w:t>)</w:t>
            </w:r>
          </w:p>
        </w:tc>
      </w:tr>
      <w:tr w:rsidR="00723B56" w:rsidTr="00684F8F">
        <w:tc>
          <w:tcPr>
            <w:tcW w:w="1526" w:type="dxa"/>
          </w:tcPr>
          <w:p w:rsidR="00723B56" w:rsidRDefault="00723B56" w:rsidP="002E0887">
            <w:pPr>
              <w:pStyle w:val="indent"/>
              <w:ind w:left="0"/>
              <w:jc w:val="both"/>
            </w:pPr>
            <w:r>
              <w:t>Somalia</w:t>
            </w:r>
          </w:p>
        </w:tc>
        <w:tc>
          <w:tcPr>
            <w:tcW w:w="1559" w:type="dxa"/>
          </w:tcPr>
          <w:p w:rsidR="00723B56" w:rsidRDefault="00723B56" w:rsidP="00723B56">
            <w:pPr>
              <w:pStyle w:val="indent"/>
              <w:ind w:left="0"/>
              <w:jc w:val="both"/>
            </w:pPr>
            <w:r>
              <w:t>UNHCR</w:t>
            </w:r>
          </w:p>
        </w:tc>
        <w:tc>
          <w:tcPr>
            <w:tcW w:w="1276" w:type="dxa"/>
          </w:tcPr>
          <w:p w:rsidR="00723B56" w:rsidRDefault="00684F8F" w:rsidP="00723B56">
            <w:pPr>
              <w:pStyle w:val="indent"/>
              <w:ind w:left="0"/>
              <w:jc w:val="both"/>
            </w:pPr>
            <w:r>
              <w:t>2</w:t>
            </w:r>
          </w:p>
        </w:tc>
        <w:tc>
          <w:tcPr>
            <w:tcW w:w="4927" w:type="dxa"/>
          </w:tcPr>
          <w:p w:rsidR="00723B56" w:rsidRDefault="00684F8F" w:rsidP="00723B56">
            <w:pPr>
              <w:pStyle w:val="indent"/>
              <w:ind w:left="0"/>
              <w:jc w:val="both"/>
            </w:pPr>
            <w:r>
              <w:t>2 Assessment Advisors (REACH)</w:t>
            </w:r>
          </w:p>
        </w:tc>
      </w:tr>
      <w:tr w:rsidR="00723B56" w:rsidTr="00684F8F">
        <w:tc>
          <w:tcPr>
            <w:tcW w:w="1526" w:type="dxa"/>
            <w:tcBorders>
              <w:bottom w:val="single" w:sz="4" w:space="0" w:color="auto"/>
            </w:tcBorders>
          </w:tcPr>
          <w:p w:rsidR="00723B56" w:rsidRDefault="00723B56" w:rsidP="002E0887">
            <w:pPr>
              <w:pStyle w:val="indent"/>
              <w:ind w:left="0"/>
              <w:jc w:val="both"/>
            </w:pPr>
            <w:commentRangeStart w:id="1"/>
            <w:r>
              <w:t>Pakistan</w:t>
            </w:r>
            <w:commentRangeEnd w:id="1"/>
            <w:r w:rsidR="00C3583A">
              <w:rPr>
                <w:rStyle w:val="CommentReference"/>
              </w:rPr>
              <w:commentReference w:id="1"/>
            </w:r>
          </w:p>
        </w:tc>
        <w:tc>
          <w:tcPr>
            <w:tcW w:w="1559" w:type="dxa"/>
            <w:tcBorders>
              <w:bottom w:val="single" w:sz="4" w:space="0" w:color="auto"/>
            </w:tcBorders>
          </w:tcPr>
          <w:p w:rsidR="00723B56" w:rsidRDefault="00723B56" w:rsidP="002E0887">
            <w:pPr>
              <w:pStyle w:val="indent"/>
              <w:ind w:left="0"/>
              <w:jc w:val="both"/>
            </w:pPr>
          </w:p>
        </w:tc>
        <w:tc>
          <w:tcPr>
            <w:tcW w:w="1276" w:type="dxa"/>
            <w:tcBorders>
              <w:bottom w:val="single" w:sz="4" w:space="0" w:color="auto"/>
            </w:tcBorders>
          </w:tcPr>
          <w:p w:rsidR="00723B56" w:rsidRDefault="00723B56" w:rsidP="002E0887">
            <w:pPr>
              <w:pStyle w:val="indent"/>
              <w:ind w:left="0"/>
              <w:jc w:val="both"/>
            </w:pPr>
          </w:p>
        </w:tc>
        <w:tc>
          <w:tcPr>
            <w:tcW w:w="4927" w:type="dxa"/>
            <w:tcBorders>
              <w:bottom w:val="single" w:sz="4" w:space="0" w:color="auto"/>
            </w:tcBorders>
          </w:tcPr>
          <w:p w:rsidR="00723B56" w:rsidRDefault="00723B56" w:rsidP="002E0887">
            <w:pPr>
              <w:pStyle w:val="indent"/>
              <w:ind w:left="0"/>
              <w:jc w:val="both"/>
            </w:pPr>
          </w:p>
        </w:tc>
      </w:tr>
      <w:tr w:rsidR="00684F8F" w:rsidRPr="00684F8F" w:rsidTr="00684F8F">
        <w:tc>
          <w:tcPr>
            <w:tcW w:w="3085" w:type="dxa"/>
            <w:gridSpan w:val="2"/>
            <w:tcBorders>
              <w:left w:val="nil"/>
              <w:bottom w:val="nil"/>
              <w:right w:val="nil"/>
            </w:tcBorders>
          </w:tcPr>
          <w:p w:rsidR="00684F8F" w:rsidRPr="00684F8F" w:rsidRDefault="00684F8F" w:rsidP="00684F8F">
            <w:pPr>
              <w:pStyle w:val="indent"/>
              <w:ind w:left="0"/>
              <w:jc w:val="right"/>
              <w:rPr>
                <w:b/>
              </w:rPr>
            </w:pPr>
            <w:r w:rsidRPr="00684F8F">
              <w:rPr>
                <w:b/>
              </w:rPr>
              <w:t>TOTAL</w:t>
            </w:r>
            <w:r>
              <w:rPr>
                <w:b/>
              </w:rPr>
              <w:t>:</w:t>
            </w:r>
          </w:p>
        </w:tc>
        <w:tc>
          <w:tcPr>
            <w:tcW w:w="6203" w:type="dxa"/>
            <w:gridSpan w:val="2"/>
            <w:tcBorders>
              <w:left w:val="nil"/>
              <w:bottom w:val="nil"/>
              <w:right w:val="nil"/>
            </w:tcBorders>
          </w:tcPr>
          <w:p w:rsidR="00684F8F" w:rsidRPr="00684F8F" w:rsidRDefault="00684F8F" w:rsidP="00CE5FFB">
            <w:pPr>
              <w:pStyle w:val="indent"/>
              <w:ind w:left="0"/>
              <w:jc w:val="both"/>
              <w:rPr>
                <w:b/>
              </w:rPr>
            </w:pPr>
            <w:r w:rsidRPr="00684F8F">
              <w:rPr>
                <w:rStyle w:val="CommentReference"/>
                <w:b/>
                <w:sz w:val="22"/>
                <w:szCs w:val="22"/>
              </w:rPr>
              <w:t>2</w:t>
            </w:r>
            <w:r w:rsidR="00CE5FFB">
              <w:rPr>
                <w:rStyle w:val="CommentReference"/>
                <w:b/>
                <w:sz w:val="22"/>
                <w:szCs w:val="22"/>
              </w:rPr>
              <w:t>1</w:t>
            </w:r>
            <w:r>
              <w:rPr>
                <w:rStyle w:val="CommentReference"/>
                <w:b/>
                <w:sz w:val="22"/>
                <w:szCs w:val="22"/>
              </w:rPr>
              <w:t xml:space="preserve"> persons deployed in 2012</w:t>
            </w:r>
          </w:p>
        </w:tc>
      </w:tr>
    </w:tbl>
    <w:p w:rsidR="00C86C2C" w:rsidRPr="00A5002F" w:rsidRDefault="00C86C2C" w:rsidP="00A5002F">
      <w:pPr>
        <w:autoSpaceDE w:val="0"/>
        <w:autoSpaceDN w:val="0"/>
        <w:adjustRightInd w:val="0"/>
        <w:spacing w:after="0"/>
        <w:rPr>
          <w:i/>
        </w:rPr>
      </w:pPr>
      <w:r>
        <w:t>It is recognised that the Global Shelter Cluster is one of the least funded clusters at the global level. During the last five years the Shelter Cluster consistently coordinates over 100 million USD per annum</w:t>
      </w:r>
      <w:r>
        <w:rPr>
          <w:rStyle w:val="FootnoteReference"/>
        </w:rPr>
        <w:footnoteReference w:id="2"/>
      </w:r>
      <w:r>
        <w:t xml:space="preserve"> worth of shelter interventions and yet receives less than 1% of this amount for the coordination of these services and </w:t>
      </w:r>
      <w:r w:rsidR="008E489D">
        <w:t>activities</w:t>
      </w:r>
      <w:r>
        <w:t>. A recent OCHA study confirmed this trend</w:t>
      </w:r>
      <w:r w:rsidR="00A5002F">
        <w:t>: at the global level in 2011 “</w:t>
      </w:r>
      <w:r w:rsidR="00A5002F" w:rsidRPr="00A5002F">
        <w:rPr>
          <w:i/>
        </w:rPr>
        <w:t>the Emergency Shelter Cluster was least funded,</w:t>
      </w:r>
      <w:r w:rsidR="00A5002F">
        <w:rPr>
          <w:i/>
        </w:rPr>
        <w:t xml:space="preserve"> </w:t>
      </w:r>
      <w:r w:rsidR="00A5002F" w:rsidRPr="00A5002F">
        <w:rPr>
          <w:i/>
        </w:rPr>
        <w:t>with 29% of requirements covered</w:t>
      </w:r>
      <w:proofErr w:type="gramStart"/>
      <w:r w:rsidR="00A5002F">
        <w:t>”</w:t>
      </w:r>
      <w:r w:rsidR="00A5002F" w:rsidRPr="00A5002F">
        <w:t xml:space="preserve"> </w:t>
      </w:r>
      <w:proofErr w:type="gramEnd"/>
      <w:r w:rsidR="00A5002F">
        <w:rPr>
          <w:rStyle w:val="FootnoteReference"/>
        </w:rPr>
        <w:footnoteReference w:id="3"/>
      </w:r>
      <w:r>
        <w:t>.</w:t>
      </w:r>
    </w:p>
    <w:p w:rsidR="002E0887" w:rsidRDefault="002E0887" w:rsidP="00181010">
      <w:pPr>
        <w:pStyle w:val="indent"/>
        <w:ind w:left="0"/>
        <w:jc w:val="both"/>
      </w:pPr>
    </w:p>
    <w:p w:rsidR="000C66D8" w:rsidRDefault="000C66D8" w:rsidP="00181010">
      <w:pPr>
        <w:pStyle w:val="indent"/>
        <w:ind w:left="0"/>
        <w:jc w:val="both"/>
      </w:pPr>
      <w:r>
        <w:t>The Global Shelter Cluster is structured as follows:</w:t>
      </w:r>
    </w:p>
    <w:p w:rsidR="000C66D8" w:rsidRDefault="000C66D8" w:rsidP="000C66D8">
      <w:pPr>
        <w:numPr>
          <w:ilvl w:val="0"/>
          <w:numId w:val="31"/>
        </w:numPr>
        <w:autoSpaceDE w:val="0"/>
        <w:autoSpaceDN w:val="0"/>
        <w:adjustRightInd w:val="0"/>
        <w:spacing w:after="0" w:line="276" w:lineRule="auto"/>
        <w:jc w:val="both"/>
        <w:rPr>
          <w:rFonts w:cs="Calibri"/>
        </w:rPr>
      </w:pPr>
      <w:r>
        <w:rPr>
          <w:rFonts w:cs="Calibri"/>
          <w:b/>
        </w:rPr>
        <w:t>Strategic Advisory Group (SAG)</w:t>
      </w:r>
      <w:r>
        <w:rPr>
          <w:rFonts w:cs="Calibri"/>
        </w:rPr>
        <w:t xml:space="preserve">: permanent body that </w:t>
      </w:r>
      <w:r>
        <w:t>works to advance the cluster strategic direction, overall work plan, and advocacy</w:t>
      </w:r>
      <w:r>
        <w:rPr>
          <w:rFonts w:cs="Calibri"/>
        </w:rPr>
        <w:t>. The SAG is composed of self-selecting agencies and institutions of the Global Shelter Cluster based on agreed criteria, and reports to the Global Shelter Cluster</w:t>
      </w:r>
      <w:r w:rsidR="00314AE9">
        <w:rPr>
          <w:rStyle w:val="FootnoteReference"/>
          <w:rFonts w:cs="Calibri"/>
        </w:rPr>
        <w:footnoteReference w:id="4"/>
      </w:r>
      <w:r>
        <w:rPr>
          <w:rFonts w:cs="Calibri"/>
        </w:rPr>
        <w:t>.</w:t>
      </w:r>
      <w:r w:rsidR="004E3015">
        <w:rPr>
          <w:rFonts w:cs="Calibri"/>
        </w:rPr>
        <w:t xml:space="preserve"> More information on the SAG can be found </w:t>
      </w:r>
      <w:hyperlink r:id="rId10" w:history="1">
        <w:r w:rsidR="004E3015" w:rsidRPr="004E3015">
          <w:rPr>
            <w:rStyle w:val="Hyperlink"/>
            <w:rFonts w:cs="Calibri"/>
          </w:rPr>
          <w:t>here</w:t>
        </w:r>
      </w:hyperlink>
      <w:r w:rsidR="004E3015">
        <w:rPr>
          <w:rFonts w:cs="Calibri"/>
        </w:rPr>
        <w:t>.</w:t>
      </w:r>
    </w:p>
    <w:p w:rsidR="000C66D8" w:rsidRDefault="000C66D8" w:rsidP="000C66D8">
      <w:pPr>
        <w:numPr>
          <w:ilvl w:val="0"/>
          <w:numId w:val="31"/>
        </w:numPr>
        <w:autoSpaceDE w:val="0"/>
        <w:autoSpaceDN w:val="0"/>
        <w:adjustRightInd w:val="0"/>
        <w:spacing w:after="0" w:line="276" w:lineRule="auto"/>
        <w:jc w:val="both"/>
        <w:rPr>
          <w:rFonts w:cs="Calibri"/>
        </w:rPr>
      </w:pPr>
      <w:r>
        <w:rPr>
          <w:rFonts w:cs="Calibri"/>
          <w:b/>
        </w:rPr>
        <w:t>Working Groups</w:t>
      </w:r>
      <w:r>
        <w:rPr>
          <w:rFonts w:cs="Calibri"/>
        </w:rPr>
        <w:t>: task-oriented and temporary structure with clear executable deliverables that are established by the SAG to address particular identified needs.</w:t>
      </w:r>
      <w:r w:rsidR="004E3015">
        <w:rPr>
          <w:rFonts w:cs="Calibri"/>
        </w:rPr>
        <w:t xml:space="preserve"> More information on the Working Groups can be found </w:t>
      </w:r>
      <w:hyperlink r:id="rId11" w:history="1">
        <w:r w:rsidR="004E3015" w:rsidRPr="004E3015">
          <w:rPr>
            <w:rStyle w:val="Hyperlink"/>
            <w:rFonts w:cs="Calibri"/>
          </w:rPr>
          <w:t>here</w:t>
        </w:r>
      </w:hyperlink>
      <w:r w:rsidR="004E3015">
        <w:rPr>
          <w:rFonts w:cs="Calibri"/>
        </w:rPr>
        <w:t>.</w:t>
      </w:r>
    </w:p>
    <w:p w:rsidR="000C66D8" w:rsidRDefault="000C66D8" w:rsidP="000C66D8">
      <w:pPr>
        <w:numPr>
          <w:ilvl w:val="0"/>
          <w:numId w:val="31"/>
        </w:numPr>
        <w:autoSpaceDE w:val="0"/>
        <w:autoSpaceDN w:val="0"/>
        <w:adjustRightInd w:val="0"/>
        <w:spacing w:after="0" w:line="276" w:lineRule="auto"/>
        <w:jc w:val="both"/>
        <w:rPr>
          <w:rFonts w:cs="Calibri"/>
        </w:rPr>
      </w:pPr>
      <w:r>
        <w:rPr>
          <w:rFonts w:cs="Calibri"/>
          <w:b/>
        </w:rPr>
        <w:t>Communities of Practice</w:t>
      </w:r>
      <w:r>
        <w:rPr>
          <w:rFonts w:cs="Calibri"/>
        </w:rPr>
        <w:t>: thematic groups of professional/expert individuals that provide technical and surge support to Global or Country-level clusters, develop "good practices", and address critical issues within their areas of expertise. Their work is not time-bound as they typically support core ongoing cluster functions.</w:t>
      </w:r>
      <w:r w:rsidR="00314AE9">
        <w:rPr>
          <w:rFonts w:cs="Calibri"/>
        </w:rPr>
        <w:t xml:space="preserve"> There are currently three communities of practice in the Global Shelter Cluster: coordinators, information managers</w:t>
      </w:r>
      <w:r w:rsidR="00546F79">
        <w:rPr>
          <w:rFonts w:cs="Calibri"/>
        </w:rPr>
        <w:t>,</w:t>
      </w:r>
      <w:r w:rsidR="00314AE9">
        <w:rPr>
          <w:rFonts w:cs="Calibri"/>
        </w:rPr>
        <w:t xml:space="preserve"> and environmental advisors.</w:t>
      </w:r>
    </w:p>
    <w:p w:rsidR="000C66D8" w:rsidRDefault="000C66D8" w:rsidP="000C66D8">
      <w:pPr>
        <w:numPr>
          <w:ilvl w:val="0"/>
          <w:numId w:val="31"/>
        </w:numPr>
        <w:autoSpaceDE w:val="0"/>
        <w:autoSpaceDN w:val="0"/>
        <w:adjustRightInd w:val="0"/>
        <w:spacing w:after="0" w:line="276" w:lineRule="auto"/>
        <w:jc w:val="both"/>
        <w:rPr>
          <w:rFonts w:cs="Calibri"/>
        </w:rPr>
      </w:pPr>
      <w:r>
        <w:rPr>
          <w:rFonts w:cs="Calibri"/>
          <w:b/>
        </w:rPr>
        <w:t>Support Team</w:t>
      </w:r>
      <w:r>
        <w:rPr>
          <w:rFonts w:cs="Calibri"/>
        </w:rPr>
        <w:t xml:space="preserve">: a team of </w:t>
      </w:r>
      <w:r w:rsidR="00A34A31">
        <w:rPr>
          <w:rFonts w:cs="Calibri"/>
        </w:rPr>
        <w:t xml:space="preserve">6 </w:t>
      </w:r>
      <w:r>
        <w:rPr>
          <w:rFonts w:cs="Calibri"/>
        </w:rPr>
        <w:t xml:space="preserve">dedicated personnel seconded by different cluster partners. This team is the support cell or secretariat of the GSC and is responsible for the day to day running of the GSC. It provides technical and surge support to country level shelter clusters and facilitates the work of the SAG, Working Groups, and Communities of Practice of the Global Shelter Cluster. It also provides inputs to inter-agency discussions and inter-cluster coordination at the global level, and contributes to building capacity and enhancing preparedness. </w:t>
      </w:r>
      <w:r w:rsidR="00546F79">
        <w:rPr>
          <w:rFonts w:cs="Calibri"/>
        </w:rPr>
        <w:t xml:space="preserve">The list of the Support Team can be found </w:t>
      </w:r>
      <w:hyperlink r:id="rId12" w:history="1">
        <w:r w:rsidR="00546F79" w:rsidRPr="00546F79">
          <w:rPr>
            <w:rStyle w:val="Hyperlink"/>
            <w:rFonts w:cs="Calibri"/>
          </w:rPr>
          <w:t>here</w:t>
        </w:r>
      </w:hyperlink>
      <w:r w:rsidR="00546F79">
        <w:rPr>
          <w:rFonts w:cs="Calibri"/>
        </w:rPr>
        <w:t>.</w:t>
      </w:r>
    </w:p>
    <w:p w:rsidR="000C66D8" w:rsidRDefault="000C66D8" w:rsidP="00181010">
      <w:pPr>
        <w:pStyle w:val="indent"/>
        <w:ind w:left="0"/>
        <w:jc w:val="both"/>
      </w:pPr>
    </w:p>
    <w:p w:rsidR="00C86C2C" w:rsidRDefault="006227D2" w:rsidP="00181010">
      <w:pPr>
        <w:pStyle w:val="indent"/>
        <w:ind w:left="0"/>
        <w:jc w:val="both"/>
      </w:pPr>
      <w:r>
        <w:t xml:space="preserve">The Global Shelter Cluster as a whole has a yearly meeting in November where the activities of the cluster are reviewed, particularly at the field level, and the cluster collectively plans on a number of priorities to improve its way of working. </w:t>
      </w:r>
      <w:r w:rsidR="00C86C2C">
        <w:t xml:space="preserve">Apart from this meeting a mid-year teleconference is organised in June and ad hoc meetings are organised as needed. The different Working Groups and the SAG have regular meetings and working sessions to address their work plans and priorities. </w:t>
      </w:r>
    </w:p>
    <w:p w:rsidR="00C86C2C" w:rsidRDefault="00C86C2C" w:rsidP="00181010">
      <w:pPr>
        <w:pStyle w:val="indent"/>
        <w:ind w:left="0"/>
        <w:jc w:val="both"/>
      </w:pPr>
    </w:p>
    <w:p w:rsidR="00A459A6" w:rsidRDefault="00A34A31" w:rsidP="00181010">
      <w:pPr>
        <w:pStyle w:val="indent"/>
        <w:ind w:left="0"/>
        <w:jc w:val="both"/>
      </w:pPr>
      <w:r>
        <w:t>T</w:t>
      </w:r>
      <w:r w:rsidR="006227D2">
        <w:t>he 2012 Global Shelter Cluster meeting</w:t>
      </w:r>
      <w:r>
        <w:t xml:space="preserve"> took place in Geneva on the 1</w:t>
      </w:r>
      <w:r w:rsidRPr="00A34A31">
        <w:rPr>
          <w:vertAlign w:val="superscript"/>
        </w:rPr>
        <w:t>st</w:t>
      </w:r>
      <w:r>
        <w:t xml:space="preserve"> and 2</w:t>
      </w:r>
      <w:r w:rsidRPr="00A34A31">
        <w:rPr>
          <w:vertAlign w:val="superscript"/>
        </w:rPr>
        <w:t>nd</w:t>
      </w:r>
      <w:r>
        <w:t xml:space="preserve"> of November. This yearly meeting is open to all the cluster members, an invitation was published in the cluster website six months before the date of the meeting and in the different updates sent to the entire cluster mailing list. The meeting was attended by </w:t>
      </w:r>
      <w:r w:rsidR="00CE5FFB">
        <w:t>64</w:t>
      </w:r>
      <w:r>
        <w:t xml:space="preserve"> participants from </w:t>
      </w:r>
      <w:r w:rsidR="00CE5FFB">
        <w:t>31</w:t>
      </w:r>
      <w:r>
        <w:t xml:space="preserve"> organisations including </w:t>
      </w:r>
      <w:r w:rsidR="006C0EAA">
        <w:t xml:space="preserve">the actual cluster coordinators of most of the country level shelter clusters, </w:t>
      </w:r>
      <w:r w:rsidR="00CE5FFB">
        <w:t xml:space="preserve">shelter </w:t>
      </w:r>
      <w:r w:rsidR="006C0EAA">
        <w:t xml:space="preserve">partners, </w:t>
      </w:r>
      <w:r w:rsidR="00CE5FFB">
        <w:t xml:space="preserve">donors (including </w:t>
      </w:r>
      <w:r>
        <w:t>ECHO</w:t>
      </w:r>
      <w:r w:rsidR="00CE5FFB">
        <w:t>) and other clusters</w:t>
      </w:r>
      <w:r>
        <w:t>. During this meeting</w:t>
      </w:r>
      <w:r w:rsidR="006227D2">
        <w:t xml:space="preserve">, </w:t>
      </w:r>
      <w:r w:rsidR="0048112E">
        <w:t xml:space="preserve">the cluster partners </w:t>
      </w:r>
      <w:r>
        <w:t xml:space="preserve">identified the main challenges to be addressed at the country and global levels, reviewed the work done during the year, and </w:t>
      </w:r>
      <w:r w:rsidR="0048112E">
        <w:t>provided strategic directions</w:t>
      </w:r>
      <w:r>
        <w:t xml:space="preserve"> for the next five years. These </w:t>
      </w:r>
      <w:r w:rsidR="0048112E">
        <w:t xml:space="preserve">were later elaborated by the SAG to form the </w:t>
      </w:r>
      <w:r w:rsidR="006227D2">
        <w:t>201</w:t>
      </w:r>
      <w:r w:rsidR="00A459A6">
        <w:t xml:space="preserve">3-2017 </w:t>
      </w:r>
      <w:r w:rsidR="0048112E" w:rsidRPr="00D35AC0">
        <w:rPr>
          <w:b/>
        </w:rPr>
        <w:t xml:space="preserve">Global Shelter Cluster </w:t>
      </w:r>
      <w:r w:rsidR="00A459A6" w:rsidRPr="00D35AC0">
        <w:rPr>
          <w:b/>
        </w:rPr>
        <w:t>Strategy</w:t>
      </w:r>
      <w:r>
        <w:t xml:space="preserve">. </w:t>
      </w:r>
      <w:r w:rsidR="00C86C2C">
        <w:t>Th</w:t>
      </w:r>
      <w:r w:rsidR="00A459A6">
        <w:t>is</w:t>
      </w:r>
      <w:r w:rsidR="00C86C2C">
        <w:t xml:space="preserve"> strategy </w:t>
      </w:r>
      <w:r w:rsidR="0048112E">
        <w:t xml:space="preserve">has the following </w:t>
      </w:r>
      <w:r w:rsidR="00A459A6" w:rsidRPr="00D35AC0">
        <w:rPr>
          <w:b/>
        </w:rPr>
        <w:t>3 Strategic Aims</w:t>
      </w:r>
      <w:r w:rsidR="00A459A6">
        <w:t>:</w:t>
      </w:r>
    </w:p>
    <w:p w:rsidR="00A459A6" w:rsidRDefault="00A459A6" w:rsidP="00181010">
      <w:pPr>
        <w:pStyle w:val="indent"/>
        <w:ind w:left="0"/>
        <w:jc w:val="both"/>
      </w:pPr>
    </w:p>
    <w:p w:rsidR="00A459A6" w:rsidRDefault="006D3471" w:rsidP="00A459A6">
      <w:pPr>
        <w:pStyle w:val="indent"/>
        <w:numPr>
          <w:ilvl w:val="0"/>
          <w:numId w:val="38"/>
        </w:numPr>
        <w:jc w:val="both"/>
      </w:pPr>
      <w:r>
        <w:t>Responsive and flexible support to country-level shelter coordination mechanisms.</w:t>
      </w:r>
    </w:p>
    <w:p w:rsidR="00A459A6" w:rsidRDefault="006D3471" w:rsidP="00A459A6">
      <w:pPr>
        <w:pStyle w:val="indent"/>
        <w:numPr>
          <w:ilvl w:val="0"/>
          <w:numId w:val="38"/>
        </w:numPr>
        <w:jc w:val="both"/>
      </w:pPr>
      <w:r>
        <w:t>An effective and well-functioning Global Shelter Cluster.</w:t>
      </w:r>
    </w:p>
    <w:p w:rsidR="00A459A6" w:rsidRDefault="00A459A6" w:rsidP="00A459A6">
      <w:pPr>
        <w:pStyle w:val="indent"/>
        <w:numPr>
          <w:ilvl w:val="0"/>
          <w:numId w:val="38"/>
        </w:numPr>
        <w:jc w:val="both"/>
      </w:pPr>
      <w:r>
        <w:t>Increased recognition of the shelter and settlements sector as an essential component of the humanitarian response, through enhanced advocacy and communication.</w:t>
      </w:r>
    </w:p>
    <w:p w:rsidR="00A459A6" w:rsidRDefault="00A459A6" w:rsidP="00181010">
      <w:pPr>
        <w:pStyle w:val="indent"/>
        <w:ind w:left="0"/>
        <w:jc w:val="both"/>
      </w:pPr>
    </w:p>
    <w:p w:rsidR="00CE5FFB" w:rsidRDefault="00A459A6" w:rsidP="00181010">
      <w:pPr>
        <w:pStyle w:val="indent"/>
        <w:ind w:left="0"/>
        <w:jc w:val="both"/>
      </w:pPr>
      <w:r>
        <w:t xml:space="preserve">Additionally, </w:t>
      </w:r>
      <w:r w:rsidR="0048112E">
        <w:t xml:space="preserve">during the 2012 Global Shelter Cluster meeting, the cluster partners identified </w:t>
      </w:r>
      <w:r>
        <w:t>a number of priorities to start implementing th</w:t>
      </w:r>
      <w:r w:rsidR="0048112E">
        <w:t>e</w:t>
      </w:r>
      <w:r>
        <w:t xml:space="preserve"> strategy in 2013. These priorities build on the work done by the Global Shelter Cluster in previous years</w:t>
      </w:r>
      <w:r w:rsidR="00D35AC0">
        <w:t xml:space="preserve">. The </w:t>
      </w:r>
      <w:r w:rsidR="00D35AC0" w:rsidRPr="006D3471">
        <w:rPr>
          <w:b/>
        </w:rPr>
        <w:t xml:space="preserve">GSC </w:t>
      </w:r>
      <w:r w:rsidR="00D35AC0" w:rsidRPr="00D35AC0">
        <w:rPr>
          <w:b/>
        </w:rPr>
        <w:t>priorities for 2013</w:t>
      </w:r>
      <w:r w:rsidR="00CE5FFB">
        <w:t xml:space="preserve"> are the following:</w:t>
      </w:r>
    </w:p>
    <w:p w:rsidR="00CE5FFB" w:rsidRDefault="00CE5FFB" w:rsidP="00CE5FFB">
      <w:pPr>
        <w:pStyle w:val="indent"/>
        <w:numPr>
          <w:ilvl w:val="0"/>
          <w:numId w:val="49"/>
        </w:numPr>
        <w:jc w:val="both"/>
      </w:pPr>
      <w:r>
        <w:t>Enhanced Shelter Cluster Coherence</w:t>
      </w:r>
    </w:p>
    <w:p w:rsidR="00CE5FFB" w:rsidRDefault="00CE5FFB" w:rsidP="00CE5FFB">
      <w:pPr>
        <w:pStyle w:val="indent"/>
        <w:numPr>
          <w:ilvl w:val="0"/>
          <w:numId w:val="49"/>
        </w:numPr>
        <w:jc w:val="both"/>
      </w:pPr>
      <w:r>
        <w:t>Engagement with local and national actors</w:t>
      </w:r>
    </w:p>
    <w:p w:rsidR="00CE5FFB" w:rsidRDefault="00CE5FFB" w:rsidP="00CE5FFB">
      <w:pPr>
        <w:pStyle w:val="indent"/>
        <w:numPr>
          <w:ilvl w:val="0"/>
          <w:numId w:val="49"/>
        </w:numPr>
        <w:jc w:val="both"/>
      </w:pPr>
      <w:r>
        <w:t>Accountability</w:t>
      </w:r>
    </w:p>
    <w:p w:rsidR="00CE5FFB" w:rsidRDefault="00CE5FFB" w:rsidP="00CE5FFB">
      <w:pPr>
        <w:pStyle w:val="indent"/>
        <w:numPr>
          <w:ilvl w:val="0"/>
          <w:numId w:val="49"/>
        </w:numPr>
        <w:jc w:val="both"/>
      </w:pPr>
      <w:r>
        <w:t>Shelter in Recovery</w:t>
      </w:r>
    </w:p>
    <w:p w:rsidR="00CE5FFB" w:rsidRDefault="00CE5FFB" w:rsidP="00CE5FFB">
      <w:pPr>
        <w:pStyle w:val="indent"/>
        <w:numPr>
          <w:ilvl w:val="0"/>
          <w:numId w:val="49"/>
        </w:numPr>
        <w:jc w:val="both"/>
      </w:pPr>
      <w:r>
        <w:t>Regulatory barriers to the provision of shelter</w:t>
      </w:r>
    </w:p>
    <w:p w:rsidR="002C68BD" w:rsidRDefault="00A459A6" w:rsidP="00181010">
      <w:pPr>
        <w:pStyle w:val="indent"/>
        <w:ind w:left="0"/>
        <w:jc w:val="both"/>
      </w:pPr>
      <w:r>
        <w:t xml:space="preserve">Working groups </w:t>
      </w:r>
      <w:r w:rsidR="0048112E">
        <w:t>will be created to address the 2013</w:t>
      </w:r>
      <w:r>
        <w:t xml:space="preserve"> priorities. </w:t>
      </w:r>
      <w:r w:rsidR="0048112E">
        <w:t>Cluster partners will be invited to participate in the working groups in three different ways: by leading them, by being a member, or by reviewing and commenting the outputs. The</w:t>
      </w:r>
      <w:r>
        <w:t xml:space="preserve"> working groups will prepare a work plan to address the</w:t>
      </w:r>
      <w:r w:rsidR="0048112E">
        <w:t>ir</w:t>
      </w:r>
      <w:r>
        <w:t xml:space="preserve"> priorities in line with the strategy. The </w:t>
      </w:r>
      <w:r w:rsidR="0048112E">
        <w:t>SAG will revise the work plans and ensure that they are indeed implementing the strategy according to the priorities identified.</w:t>
      </w:r>
    </w:p>
    <w:p w:rsidR="006515E8" w:rsidRDefault="006515E8" w:rsidP="006515E8">
      <w:pPr>
        <w:jc w:val="both"/>
      </w:pPr>
    </w:p>
    <w:p w:rsidR="002C68BD" w:rsidRDefault="002C68BD">
      <w:pPr>
        <w:spacing w:after="0"/>
        <w:sectPr w:rsidR="002C68BD" w:rsidSect="0040258C">
          <w:pgSz w:w="11906" w:h="16838"/>
          <w:pgMar w:top="1417" w:right="1417" w:bottom="1417" w:left="1417" w:header="708" w:footer="708" w:gutter="0"/>
          <w:cols w:space="708"/>
          <w:docGrid w:linePitch="360"/>
        </w:sectPr>
      </w:pPr>
    </w:p>
    <w:p w:rsidR="002C68BD" w:rsidRDefault="002C68BD" w:rsidP="00181010">
      <w:pPr>
        <w:pStyle w:val="indent"/>
        <w:ind w:left="0"/>
        <w:jc w:val="both"/>
      </w:pPr>
    </w:p>
    <w:p w:rsidR="00513D12" w:rsidRPr="00513D12" w:rsidRDefault="00513D12" w:rsidP="006C0EAA">
      <w:pPr>
        <w:pStyle w:val="Heading1"/>
        <w:jc w:val="both"/>
      </w:pPr>
      <w:r>
        <w:t>Summary of the o</w:t>
      </w:r>
      <w:r w:rsidR="002C68BD">
        <w:t>bjective, results and indicators of the proposal</w:t>
      </w:r>
    </w:p>
    <w:tbl>
      <w:tblPr>
        <w:tblStyle w:val="TableGrid"/>
        <w:tblW w:w="0" w:type="auto"/>
        <w:jc w:val="center"/>
        <w:tblInd w:w="-4433" w:type="dxa"/>
        <w:tblLook w:val="04A0" w:firstRow="1" w:lastRow="0" w:firstColumn="1" w:lastColumn="0" w:noHBand="0" w:noVBand="1"/>
      </w:tblPr>
      <w:tblGrid>
        <w:gridCol w:w="5246"/>
        <w:gridCol w:w="5103"/>
        <w:gridCol w:w="3372"/>
      </w:tblGrid>
      <w:tr w:rsidR="002C68BD" w:rsidTr="002C68BD">
        <w:trPr>
          <w:jc w:val="center"/>
        </w:trPr>
        <w:tc>
          <w:tcPr>
            <w:tcW w:w="13721" w:type="dxa"/>
            <w:gridSpan w:val="3"/>
            <w:tcBorders>
              <w:top w:val="single" w:sz="4" w:space="0" w:color="auto"/>
              <w:left w:val="single" w:sz="4" w:space="0" w:color="auto"/>
              <w:bottom w:val="single" w:sz="4" w:space="0" w:color="auto"/>
              <w:right w:val="single" w:sz="4" w:space="0" w:color="auto"/>
            </w:tcBorders>
            <w:hideMark/>
          </w:tcPr>
          <w:p w:rsidR="002C68BD" w:rsidRDefault="00975234">
            <w:pPr>
              <w:spacing w:after="0"/>
            </w:pPr>
            <w:r w:rsidRPr="00975234">
              <w:rPr>
                <w:rFonts w:cs="Arial"/>
                <w:b/>
                <w:szCs w:val="22"/>
              </w:rPr>
              <w:t>Principal Objective</w:t>
            </w:r>
            <w:r w:rsidR="002C68BD">
              <w:t xml:space="preserve">: </w:t>
            </w:r>
            <w:r w:rsidRPr="005F3111">
              <w:rPr>
                <w:rFonts w:cs="Arial"/>
                <w:szCs w:val="22"/>
                <w:lang w:val="en-US" w:eastAsia="en-US"/>
              </w:rPr>
              <w:t>To improve the delivery of humanitarian aid by strengthening the humanitarian response system</w:t>
            </w:r>
            <w:r w:rsidR="002C68BD">
              <w:t>.</w:t>
            </w:r>
          </w:p>
          <w:p w:rsidR="00D35AC0" w:rsidRPr="006C0EAA" w:rsidRDefault="00D35AC0">
            <w:pPr>
              <w:spacing w:after="0"/>
            </w:pPr>
          </w:p>
        </w:tc>
      </w:tr>
      <w:tr w:rsidR="00975234" w:rsidTr="002C68BD">
        <w:trPr>
          <w:jc w:val="center"/>
        </w:trPr>
        <w:tc>
          <w:tcPr>
            <w:tcW w:w="13721" w:type="dxa"/>
            <w:gridSpan w:val="3"/>
            <w:tcBorders>
              <w:top w:val="single" w:sz="4" w:space="0" w:color="auto"/>
              <w:left w:val="single" w:sz="4" w:space="0" w:color="auto"/>
              <w:bottom w:val="single" w:sz="4" w:space="0" w:color="auto"/>
              <w:right w:val="single" w:sz="4" w:space="0" w:color="auto"/>
            </w:tcBorders>
          </w:tcPr>
          <w:p w:rsidR="00975234" w:rsidRDefault="00975234" w:rsidP="00975234">
            <w:pPr>
              <w:spacing w:after="0"/>
              <w:rPr>
                <w:rFonts w:cs="Arial"/>
                <w:szCs w:val="22"/>
              </w:rPr>
            </w:pPr>
            <w:r w:rsidRPr="006C0EAA">
              <w:rPr>
                <w:rFonts w:cs="Arial"/>
                <w:b/>
                <w:szCs w:val="22"/>
              </w:rPr>
              <w:t>Specific Objective</w:t>
            </w:r>
            <w:r w:rsidRPr="006C0EAA">
              <w:rPr>
                <w:rFonts w:cs="Arial"/>
                <w:szCs w:val="22"/>
              </w:rPr>
              <w:t>: To enhance the effective coordination and delivery of shelter responses in emergencies.</w:t>
            </w:r>
          </w:p>
          <w:p w:rsidR="00D35AC0" w:rsidRPr="006C0EAA" w:rsidRDefault="00D35AC0" w:rsidP="00975234">
            <w:pPr>
              <w:spacing w:after="0"/>
              <w:rPr>
                <w:b/>
                <w:szCs w:val="22"/>
              </w:rPr>
            </w:pPr>
          </w:p>
        </w:tc>
      </w:tr>
      <w:tr w:rsidR="002C68BD" w:rsidTr="006D3471">
        <w:trPr>
          <w:jc w:val="center"/>
        </w:trPr>
        <w:tc>
          <w:tcPr>
            <w:tcW w:w="5246" w:type="dxa"/>
            <w:tcBorders>
              <w:top w:val="single" w:sz="4" w:space="0" w:color="auto"/>
              <w:left w:val="single" w:sz="4" w:space="0" w:color="auto"/>
              <w:bottom w:val="single" w:sz="4" w:space="0" w:color="auto"/>
              <w:right w:val="single" w:sz="4" w:space="0" w:color="auto"/>
            </w:tcBorders>
          </w:tcPr>
          <w:p w:rsidR="006D3471" w:rsidRPr="00933D6A" w:rsidRDefault="006D3471" w:rsidP="006D3471">
            <w:pPr>
              <w:rPr>
                <w:rFonts w:cs="Arial"/>
                <w:bCs/>
                <w:szCs w:val="22"/>
              </w:rPr>
            </w:pPr>
            <w:r>
              <w:rPr>
                <w:b/>
              </w:rPr>
              <w:t>Result 2</w:t>
            </w:r>
            <w:r>
              <w:t xml:space="preserve">: </w:t>
            </w:r>
            <w:r w:rsidRPr="00933D6A">
              <w:rPr>
                <w:rFonts w:cs="Arial"/>
                <w:szCs w:val="22"/>
              </w:rPr>
              <w:t xml:space="preserve">Global level shelter cluster coordination capacity and resources are strengthened to provide </w:t>
            </w:r>
            <w:r>
              <w:rPr>
                <w:rFonts w:cs="Arial"/>
                <w:szCs w:val="22"/>
              </w:rPr>
              <w:t>responsive and flexible</w:t>
            </w:r>
            <w:r w:rsidRPr="00933D6A">
              <w:rPr>
                <w:rFonts w:cs="Arial"/>
                <w:szCs w:val="22"/>
              </w:rPr>
              <w:t xml:space="preserve"> </w:t>
            </w:r>
            <w:r w:rsidRPr="006C0EAA">
              <w:rPr>
                <w:rFonts w:cs="Arial"/>
                <w:b/>
                <w:szCs w:val="22"/>
              </w:rPr>
              <w:t>support to country level coordination mechanisms</w:t>
            </w:r>
            <w:r w:rsidRPr="00933D6A">
              <w:rPr>
                <w:rFonts w:cs="Arial"/>
                <w:bCs/>
                <w:szCs w:val="22"/>
              </w:rPr>
              <w:t xml:space="preserve">. </w:t>
            </w:r>
          </w:p>
          <w:p w:rsidR="006D3471" w:rsidRDefault="006D3471" w:rsidP="006D3471">
            <w:pPr>
              <w:pStyle w:val="ListParagraph"/>
              <w:numPr>
                <w:ilvl w:val="0"/>
                <w:numId w:val="41"/>
              </w:numPr>
              <w:spacing w:after="0"/>
              <w:ind w:left="318" w:hanging="425"/>
            </w:pPr>
            <w:r>
              <w:t>Six experienced and trained full-time Global Focal Points are available for deployment as surge capacity at the global level hosted by the lead agencies. Between deployments they support existing clusters, training, preparedness and the global cluster.</w:t>
            </w:r>
          </w:p>
          <w:p w:rsidR="006D3471" w:rsidRDefault="006D3471" w:rsidP="006D3471">
            <w:pPr>
              <w:pStyle w:val="ListParagraph"/>
              <w:numPr>
                <w:ilvl w:val="0"/>
                <w:numId w:val="41"/>
              </w:numPr>
              <w:spacing w:after="0"/>
              <w:ind w:left="318" w:hanging="425"/>
            </w:pPr>
            <w:r>
              <w:t>Four experienced and trained Regional Focal Points are available for deployment as surge capacity at the regional level hosted by cluster partners. Between deployments they support existing clusters, and contingency planning.</w:t>
            </w:r>
          </w:p>
          <w:p w:rsidR="006D3471" w:rsidRDefault="006D3471" w:rsidP="006D3471">
            <w:pPr>
              <w:pStyle w:val="ListParagraph"/>
              <w:numPr>
                <w:ilvl w:val="0"/>
                <w:numId w:val="41"/>
              </w:numPr>
              <w:spacing w:after="0"/>
              <w:ind w:left="318" w:hanging="425"/>
            </w:pPr>
            <w:r>
              <w:t xml:space="preserve">One </w:t>
            </w:r>
            <w:r w:rsidRPr="001D5AA6">
              <w:t>Global Shelter Coordination Fund</w:t>
            </w:r>
            <w:r w:rsidRPr="00CD6D19">
              <w:t xml:space="preserve"> </w:t>
            </w:r>
            <w:r>
              <w:t xml:space="preserve">is established </w:t>
            </w:r>
            <w:r w:rsidRPr="00CD6D19">
              <w:t>to enable the rapid and predictable deployment of trained shelter coordination personnel from lead and partner agencies.</w:t>
            </w:r>
          </w:p>
          <w:p w:rsidR="006D3471" w:rsidRPr="00C95DB8" w:rsidRDefault="006D3471" w:rsidP="006D3471">
            <w:pPr>
              <w:pStyle w:val="ListParagraph"/>
              <w:numPr>
                <w:ilvl w:val="0"/>
                <w:numId w:val="41"/>
              </w:numPr>
              <w:spacing w:after="0"/>
              <w:ind w:left="318" w:hanging="425"/>
            </w:pPr>
            <w:r>
              <w:t>External reviews capturing learning are undertaken for each activated shelter cluster.</w:t>
            </w:r>
          </w:p>
        </w:tc>
        <w:tc>
          <w:tcPr>
            <w:tcW w:w="5103" w:type="dxa"/>
            <w:tcBorders>
              <w:top w:val="single" w:sz="4" w:space="0" w:color="auto"/>
              <w:left w:val="single" w:sz="4" w:space="0" w:color="auto"/>
              <w:bottom w:val="single" w:sz="4" w:space="0" w:color="auto"/>
              <w:right w:val="single" w:sz="4" w:space="0" w:color="auto"/>
            </w:tcBorders>
          </w:tcPr>
          <w:p w:rsidR="006D3471" w:rsidRPr="00C95DB8" w:rsidRDefault="006D3471" w:rsidP="006D3471">
            <w:pPr>
              <w:spacing w:after="0"/>
            </w:pPr>
            <w:r w:rsidRPr="00C95DB8">
              <w:rPr>
                <w:b/>
              </w:rPr>
              <w:t>Result 1</w:t>
            </w:r>
            <w:r w:rsidRPr="00C95DB8">
              <w:t xml:space="preserve">: An </w:t>
            </w:r>
            <w:r w:rsidRPr="00C95DB8">
              <w:rPr>
                <w:b/>
              </w:rPr>
              <w:t>effective and well-functioning Global Shelter Cluster</w:t>
            </w:r>
            <w:r w:rsidRPr="00C95DB8">
              <w:t xml:space="preserve"> enhances the preparedness and predictability of shelter coordination and responses.</w:t>
            </w:r>
          </w:p>
          <w:p w:rsidR="006D3471" w:rsidRPr="00C95DB8" w:rsidRDefault="006D3471" w:rsidP="006D3471">
            <w:pPr>
              <w:spacing w:after="0"/>
            </w:pPr>
          </w:p>
          <w:p w:rsidR="006D3471" w:rsidRPr="00C95DB8" w:rsidRDefault="006D3471" w:rsidP="006D3471">
            <w:pPr>
              <w:spacing w:after="0"/>
              <w:ind w:left="459" w:hanging="425"/>
            </w:pPr>
            <w:r>
              <w:t xml:space="preserve">2.1 </w:t>
            </w:r>
            <w:r w:rsidRPr="00C95DB8">
              <w:t>The priorities identified for 2013 and 2014 by cluster partners are implemented in line with the 2013-2017 GSC Strategy.</w:t>
            </w:r>
          </w:p>
          <w:p w:rsidR="006D3471" w:rsidRPr="00C95DB8" w:rsidRDefault="006D3471" w:rsidP="006D3471">
            <w:pPr>
              <w:spacing w:after="0"/>
              <w:ind w:left="459" w:hanging="425"/>
            </w:pPr>
            <w:r>
              <w:t xml:space="preserve">2.2 </w:t>
            </w:r>
            <w:r w:rsidRPr="00C95DB8">
              <w:t xml:space="preserve">The Shelter Cluster website </w:t>
            </w:r>
            <w:hyperlink r:id="rId13" w:history="1">
              <w:r w:rsidRPr="00C95DB8">
                <w:rPr>
                  <w:rStyle w:val="Hyperlink"/>
                </w:rPr>
                <w:t>www.sheltercluster.org</w:t>
              </w:r>
            </w:hyperlink>
            <w:r w:rsidRPr="00C95DB8">
              <w:t xml:space="preserve"> provides accurate, updated and useful information for 100% of the activated country level shelter clusters and the global shelter cluster.</w:t>
            </w:r>
          </w:p>
          <w:p w:rsidR="006D3471" w:rsidRPr="00C95DB8" w:rsidRDefault="006D3471" w:rsidP="006D3471">
            <w:pPr>
              <w:spacing w:after="0"/>
              <w:ind w:left="459" w:hanging="425"/>
            </w:pPr>
            <w:r>
              <w:t xml:space="preserve">2.3 </w:t>
            </w:r>
            <w:r w:rsidRPr="00C95DB8">
              <w:t>Self-learning e-modules on shelter cluster coordination are produced and completed by at least 50 members of the coordination teams and shelter practitioners.</w:t>
            </w:r>
          </w:p>
          <w:p w:rsidR="006D3471" w:rsidRDefault="006D3471" w:rsidP="006D3471">
            <w:pPr>
              <w:spacing w:after="0"/>
              <w:ind w:left="459" w:hanging="425"/>
            </w:pPr>
            <w:r>
              <w:t xml:space="preserve">2.4 </w:t>
            </w:r>
            <w:r w:rsidRPr="00C95DB8">
              <w:t xml:space="preserve">Two global and three regional coordination workshops held involving coordination personnel from lead and partner agencies to review and revise coordination methodologies, tools and strategies, lessons learnt and areas of improvement. </w:t>
            </w:r>
          </w:p>
          <w:p w:rsidR="00522024" w:rsidRDefault="00522024" w:rsidP="006D3471">
            <w:pPr>
              <w:spacing w:after="0"/>
            </w:pPr>
          </w:p>
        </w:tc>
        <w:tc>
          <w:tcPr>
            <w:tcW w:w="3372" w:type="dxa"/>
            <w:tcBorders>
              <w:top w:val="single" w:sz="4" w:space="0" w:color="auto"/>
              <w:left w:val="single" w:sz="4" w:space="0" w:color="auto"/>
              <w:bottom w:val="single" w:sz="4" w:space="0" w:color="auto"/>
              <w:right w:val="single" w:sz="4" w:space="0" w:color="auto"/>
            </w:tcBorders>
          </w:tcPr>
          <w:p w:rsidR="002C68BD" w:rsidRDefault="0008790B">
            <w:pPr>
              <w:spacing w:after="0"/>
            </w:pPr>
            <w:r>
              <w:rPr>
                <w:b/>
              </w:rPr>
              <w:t>Result</w:t>
            </w:r>
            <w:r w:rsidR="002C68BD">
              <w:rPr>
                <w:b/>
              </w:rPr>
              <w:t xml:space="preserve"> 3</w:t>
            </w:r>
            <w:r w:rsidR="002C68BD">
              <w:t xml:space="preserve">: </w:t>
            </w:r>
            <w:r w:rsidR="004A1CDD">
              <w:t xml:space="preserve">Enhanced </w:t>
            </w:r>
            <w:r w:rsidR="004A1CDD" w:rsidRPr="006C0EAA">
              <w:rPr>
                <w:b/>
              </w:rPr>
              <w:t>advocacy and communication</w:t>
            </w:r>
            <w:r w:rsidR="004A1CDD">
              <w:t xml:space="preserve"> increase the</w:t>
            </w:r>
            <w:r w:rsidR="002C68BD">
              <w:t xml:space="preserve"> recognition of the shelter and settlements sector as an essential component of th</w:t>
            </w:r>
            <w:r w:rsidR="004A1CDD">
              <w:t>e humanitarian response</w:t>
            </w:r>
            <w:r w:rsidR="002C68BD">
              <w:t>.</w:t>
            </w:r>
          </w:p>
          <w:p w:rsidR="002C68BD" w:rsidRDefault="002C68BD">
            <w:pPr>
              <w:spacing w:after="0"/>
            </w:pPr>
          </w:p>
          <w:p w:rsidR="00FB2926" w:rsidRDefault="00FB2926" w:rsidP="00FB2926">
            <w:pPr>
              <w:pStyle w:val="ListParagraph"/>
              <w:numPr>
                <w:ilvl w:val="0"/>
                <w:numId w:val="43"/>
              </w:numPr>
              <w:spacing w:after="0"/>
              <w:ind w:left="493" w:hanging="425"/>
              <w:rPr>
                <w:szCs w:val="22"/>
              </w:rPr>
            </w:pPr>
            <w:r>
              <w:rPr>
                <w:szCs w:val="22"/>
              </w:rPr>
              <w:t xml:space="preserve">Public communication products are produced for advocating on behalf of the sector </w:t>
            </w:r>
            <w:r>
              <w:t>at country and global level</w:t>
            </w:r>
            <w:r>
              <w:rPr>
                <w:szCs w:val="22"/>
              </w:rPr>
              <w:t>.</w:t>
            </w:r>
          </w:p>
          <w:p w:rsidR="00FB2926" w:rsidRPr="00FB2926" w:rsidRDefault="00B532D9" w:rsidP="00FB2926">
            <w:pPr>
              <w:pStyle w:val="ListParagraph"/>
              <w:numPr>
                <w:ilvl w:val="0"/>
                <w:numId w:val="43"/>
              </w:numPr>
              <w:spacing w:after="0"/>
              <w:ind w:left="493" w:hanging="425"/>
              <w:rPr>
                <w:szCs w:val="22"/>
              </w:rPr>
            </w:pPr>
            <w:r w:rsidRPr="00AE30F7">
              <w:rPr>
                <w:szCs w:val="22"/>
              </w:rPr>
              <w:t>A document outlining the state of the humanitarian shelter sector is published consolidating data from country level shelter clusters and other coordination mechanisms to provide an overview of the sector.</w:t>
            </w:r>
          </w:p>
        </w:tc>
      </w:tr>
    </w:tbl>
    <w:p w:rsidR="002014A2" w:rsidRPr="00C6340C" w:rsidRDefault="002014A2" w:rsidP="00546F79">
      <w:pPr>
        <w:pStyle w:val="Heading1"/>
        <w:numPr>
          <w:ilvl w:val="0"/>
          <w:numId w:val="0"/>
        </w:numPr>
      </w:pPr>
    </w:p>
    <w:sectPr w:rsidR="002014A2" w:rsidRPr="00C6340C" w:rsidSect="00D35AC0">
      <w:pgSz w:w="16838" w:h="11906" w:orient="landscape"/>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iguel Urquia" w:date="2012-12-21T16:45:00Z" w:initials="MU">
    <w:p w:rsidR="00EE3A7B" w:rsidRDefault="00EE3A7B">
      <w:pPr>
        <w:pStyle w:val="CommentText"/>
      </w:pPr>
      <w:r>
        <w:rPr>
          <w:rStyle w:val="CommentReference"/>
        </w:rPr>
        <w:annotationRef/>
      </w:r>
      <w:proofErr w:type="spellStart"/>
      <w:r>
        <w:t>Nuno</w:t>
      </w:r>
      <w:proofErr w:type="spellEnd"/>
      <w:r w:rsidR="006D3471">
        <w:t xml:space="preserve"> and other colleagues</w:t>
      </w:r>
      <w:r>
        <w:t xml:space="preserve">: any person that has been deployed to </w:t>
      </w:r>
      <w:r w:rsidR="006D3471">
        <w:t>coordinate shelter</w:t>
      </w:r>
      <w:r>
        <w:t xml:space="preserve"> clusters </w:t>
      </w:r>
      <w:r w:rsidR="006D3471">
        <w:t xml:space="preserve">led by other organisations than UNHCR or IFRC </w:t>
      </w:r>
      <w:r>
        <w:t>in 2012?</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08D" w:rsidRDefault="0079008D" w:rsidP="00F200A8">
      <w:pPr>
        <w:spacing w:after="0"/>
      </w:pPr>
      <w:r>
        <w:separator/>
      </w:r>
    </w:p>
  </w:endnote>
  <w:endnote w:type="continuationSeparator" w:id="0">
    <w:p w:rsidR="0079008D" w:rsidRDefault="0079008D" w:rsidP="00F200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font208">
    <w:altName w:val="Arial Unicode MS"/>
    <w:panose1 w:val="00000000000000000000"/>
    <w:charset w:val="00"/>
    <w:family w:val="auto"/>
    <w:notTrueType/>
    <w:pitch w:val="default"/>
    <w:sig w:usb0="0000021D" w:usb1="0000000E" w:usb2="00000021" w:usb3="000004E4" w:csb0="30CAF989" w:csb1="00129B6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08D" w:rsidRDefault="0079008D" w:rsidP="00F200A8">
      <w:pPr>
        <w:spacing w:after="0"/>
      </w:pPr>
      <w:r>
        <w:separator/>
      </w:r>
    </w:p>
  </w:footnote>
  <w:footnote w:type="continuationSeparator" w:id="0">
    <w:p w:rsidR="0079008D" w:rsidRDefault="0079008D" w:rsidP="00F200A8">
      <w:pPr>
        <w:spacing w:after="0"/>
      </w:pPr>
      <w:r>
        <w:continuationSeparator/>
      </w:r>
    </w:p>
  </w:footnote>
  <w:footnote w:id="1">
    <w:p w:rsidR="00EE3A7B" w:rsidRDefault="00EE3A7B" w:rsidP="00FD640F">
      <w:pPr>
        <w:pStyle w:val="FootnoteText"/>
      </w:pPr>
      <w:r>
        <w:rPr>
          <w:rStyle w:val="FootnoteReference"/>
        </w:rPr>
        <w:footnoteRef/>
      </w:r>
      <w:r>
        <w:t xml:space="preserve"> Current cluster partners include </w:t>
      </w:r>
      <w:r w:rsidRPr="0013760D">
        <w:rPr>
          <w:rFonts w:cs="Arial"/>
        </w:rPr>
        <w:t xml:space="preserve">ACTED, </w:t>
      </w:r>
      <w:proofErr w:type="spellStart"/>
      <w:r w:rsidRPr="0013760D">
        <w:rPr>
          <w:rFonts w:cs="Arial"/>
        </w:rPr>
        <w:t>Archi</w:t>
      </w:r>
      <w:proofErr w:type="spellEnd"/>
      <w:r w:rsidRPr="0013760D">
        <w:rPr>
          <w:rFonts w:cs="Arial"/>
        </w:rPr>
        <w:t>-Urgent, Article 25, Care UK, CHF, CRS, Danish Refugee Council, DFID, Habitat for Humanity</w:t>
      </w:r>
      <w:r>
        <w:rPr>
          <w:rFonts w:cs="Arial"/>
        </w:rPr>
        <w:t xml:space="preserve"> International</w:t>
      </w:r>
      <w:r w:rsidRPr="0013760D">
        <w:rPr>
          <w:rFonts w:cs="Arial"/>
        </w:rPr>
        <w:t xml:space="preserve">, </w:t>
      </w:r>
      <w:r>
        <w:rPr>
          <w:rFonts w:cs="Arial"/>
        </w:rPr>
        <w:t xml:space="preserve">IFRC, IMPACT, </w:t>
      </w:r>
      <w:proofErr w:type="spellStart"/>
      <w:r>
        <w:rPr>
          <w:rFonts w:cs="Arial"/>
        </w:rPr>
        <w:t>InterAction</w:t>
      </w:r>
      <w:proofErr w:type="spellEnd"/>
      <w:r>
        <w:rPr>
          <w:rFonts w:cs="Arial"/>
        </w:rPr>
        <w:t xml:space="preserve">, International Rescue Committee, </w:t>
      </w:r>
      <w:r w:rsidRPr="0013760D">
        <w:rPr>
          <w:rFonts w:cs="Arial"/>
        </w:rPr>
        <w:t xml:space="preserve">IOM, </w:t>
      </w:r>
      <w:proofErr w:type="spellStart"/>
      <w:r w:rsidRPr="0013760D">
        <w:rPr>
          <w:rFonts w:cs="Arial"/>
        </w:rPr>
        <w:t>Medair</w:t>
      </w:r>
      <w:proofErr w:type="spellEnd"/>
      <w:r w:rsidRPr="0013760D">
        <w:rPr>
          <w:rFonts w:cs="Arial"/>
        </w:rPr>
        <w:t xml:space="preserve">, NRC, OFDA, Oxfam GB, </w:t>
      </w:r>
      <w:proofErr w:type="spellStart"/>
      <w:r w:rsidRPr="0013760D">
        <w:rPr>
          <w:rFonts w:cs="Arial"/>
        </w:rPr>
        <w:t>ProAct</w:t>
      </w:r>
      <w:proofErr w:type="spellEnd"/>
      <w:r w:rsidRPr="0013760D">
        <w:rPr>
          <w:rFonts w:cs="Arial"/>
        </w:rPr>
        <w:t xml:space="preserve">, </w:t>
      </w:r>
      <w:proofErr w:type="spellStart"/>
      <w:r w:rsidRPr="0013760D">
        <w:rPr>
          <w:rFonts w:cs="Arial"/>
        </w:rPr>
        <w:t>RedR</w:t>
      </w:r>
      <w:proofErr w:type="spellEnd"/>
      <w:r w:rsidRPr="0013760D">
        <w:rPr>
          <w:rFonts w:cs="Arial"/>
        </w:rPr>
        <w:t>, Relief International, RICS, Save The Childr</w:t>
      </w:r>
      <w:r>
        <w:rPr>
          <w:rFonts w:cs="Arial"/>
        </w:rPr>
        <w:t>en UK, Shelter Centre, SKAT, UN-HABITAT</w:t>
      </w:r>
      <w:r w:rsidRPr="0013760D">
        <w:rPr>
          <w:rFonts w:cs="Arial"/>
        </w:rPr>
        <w:t xml:space="preserve">, </w:t>
      </w:r>
      <w:r>
        <w:rPr>
          <w:rFonts w:cs="Arial"/>
        </w:rPr>
        <w:t>UNHCR, UN</w:t>
      </w:r>
      <w:r w:rsidRPr="0013760D">
        <w:rPr>
          <w:rFonts w:cs="Arial"/>
        </w:rPr>
        <w:t>OCHA, UNRWA and World Vision</w:t>
      </w:r>
      <w:r>
        <w:rPr>
          <w:rFonts w:cs="Arial"/>
        </w:rPr>
        <w:t xml:space="preserve"> International</w:t>
      </w:r>
      <w:r w:rsidRPr="0013760D">
        <w:rPr>
          <w:rFonts w:cs="Arial"/>
        </w:rPr>
        <w:t>.</w:t>
      </w:r>
      <w:r>
        <w:t xml:space="preserve"> The Global Shelter Cluster </w:t>
      </w:r>
      <w:r w:rsidRPr="00FD7330">
        <w:t>is open to participation by all not-for-profit agencies and institutions engaged in</w:t>
      </w:r>
      <w:r>
        <w:t xml:space="preserve"> humanitarian shelter.</w:t>
      </w:r>
    </w:p>
    <w:p w:rsidR="00EE3A7B" w:rsidRDefault="00EE3A7B">
      <w:pPr>
        <w:pStyle w:val="FootnoteText"/>
      </w:pPr>
    </w:p>
  </w:footnote>
  <w:footnote w:id="2">
    <w:p w:rsidR="00EE3A7B" w:rsidRDefault="00EE3A7B" w:rsidP="00C86C2C">
      <w:pPr>
        <w:pStyle w:val="FootnoteText"/>
      </w:pPr>
      <w:r>
        <w:rPr>
          <w:rStyle w:val="FootnoteReference"/>
        </w:rPr>
        <w:footnoteRef/>
      </w:r>
      <w:r>
        <w:t xml:space="preserve"> 2011 Shelter and NFI received 199.5 million USD, in 2010 542.5 million USD, in 2009 381 million USD and in 2008 179 million USD. Source: OCHA - FTS</w:t>
      </w:r>
    </w:p>
  </w:footnote>
  <w:footnote w:id="3">
    <w:p w:rsidR="00EE3A7B" w:rsidRPr="002C68BD" w:rsidRDefault="00EE3A7B" w:rsidP="00A5002F">
      <w:pPr>
        <w:pStyle w:val="FootnoteText"/>
        <w:rPr>
          <w:lang w:val="en-US"/>
        </w:rPr>
      </w:pPr>
      <w:r>
        <w:rPr>
          <w:rStyle w:val="FootnoteReference"/>
        </w:rPr>
        <w:footnoteRef/>
      </w:r>
      <w:r>
        <w:t xml:space="preserve"> Source: </w:t>
      </w:r>
      <w:r>
        <w:rPr>
          <w:lang w:val="en-US"/>
        </w:rPr>
        <w:t>“Cluster Coordination Costs: 2011 Requirements and Contributions”, pg. 3, OCHA 28 November 2012</w:t>
      </w:r>
    </w:p>
  </w:footnote>
  <w:footnote w:id="4">
    <w:p w:rsidR="00EE3A7B" w:rsidRPr="00314AE9" w:rsidRDefault="00EE3A7B">
      <w:pPr>
        <w:pStyle w:val="FootnoteText"/>
        <w:rPr>
          <w:lang w:val="en-US"/>
        </w:rPr>
      </w:pPr>
      <w:r>
        <w:rPr>
          <w:rStyle w:val="FootnoteReference"/>
        </w:rPr>
        <w:footnoteRef/>
      </w:r>
      <w:r>
        <w:t xml:space="preserve"> </w:t>
      </w:r>
      <w:r>
        <w:rPr>
          <w:lang w:val="en-US"/>
        </w:rPr>
        <w:t xml:space="preserve">The members of the SAG for 2013 were appointed at the 2012 Global Shelter Cluster meeting with a one-year mandate. These members are: ACTED, CARE Int’l UK, Habitat for Humanity Int’l, Interaction, IOM, Oxfam UK, NRC, World Vision Int’l, UNHABITAT, and the co-leads IFRC and UNHCR.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43EB806"/>
    <w:lvl w:ilvl="0">
      <w:start w:val="1"/>
      <w:numFmt w:val="decimal"/>
      <w:pStyle w:val="ListNumber2"/>
      <w:lvlText w:val="%1."/>
      <w:lvlJc w:val="left"/>
      <w:pPr>
        <w:tabs>
          <w:tab w:val="num" w:pos="643"/>
        </w:tabs>
        <w:ind w:left="643" w:hanging="360"/>
      </w:pPr>
    </w:lvl>
  </w:abstractNum>
  <w:abstractNum w:abstractNumId="1">
    <w:nsid w:val="FFFFFF82"/>
    <w:multiLevelType w:val="singleLevel"/>
    <w:tmpl w:val="1CFEB8EA"/>
    <w:lvl w:ilvl="0">
      <w:start w:val="1"/>
      <w:numFmt w:val="bullet"/>
      <w:lvlText w:val=""/>
      <w:lvlJc w:val="left"/>
      <w:pPr>
        <w:tabs>
          <w:tab w:val="num" w:pos="926"/>
        </w:tabs>
        <w:ind w:left="926" w:hanging="360"/>
      </w:pPr>
      <w:rPr>
        <w:rFonts w:ascii="Symbol" w:hAnsi="Symbol" w:hint="default"/>
      </w:rPr>
    </w:lvl>
  </w:abstractNum>
  <w:abstractNum w:abstractNumId="2">
    <w:nsid w:val="FFFFFF83"/>
    <w:multiLevelType w:val="singleLevel"/>
    <w:tmpl w:val="85324F50"/>
    <w:lvl w:ilvl="0">
      <w:start w:val="1"/>
      <w:numFmt w:val="bullet"/>
      <w:lvlText w:val=""/>
      <w:lvlJc w:val="left"/>
      <w:pPr>
        <w:tabs>
          <w:tab w:val="num" w:pos="643"/>
        </w:tabs>
        <w:ind w:left="643" w:hanging="360"/>
      </w:pPr>
      <w:rPr>
        <w:rFonts w:ascii="Symbol" w:hAnsi="Symbol" w:hint="default"/>
      </w:rPr>
    </w:lvl>
  </w:abstractNum>
  <w:abstractNum w:abstractNumId="3">
    <w:nsid w:val="FFFFFF88"/>
    <w:multiLevelType w:val="singleLevel"/>
    <w:tmpl w:val="E7F2C632"/>
    <w:lvl w:ilvl="0">
      <w:start w:val="1"/>
      <w:numFmt w:val="decimal"/>
      <w:pStyle w:val="ListNumber"/>
      <w:lvlText w:val="%1."/>
      <w:lvlJc w:val="left"/>
      <w:pPr>
        <w:tabs>
          <w:tab w:val="num" w:pos="360"/>
        </w:tabs>
        <w:ind w:left="360" w:hanging="360"/>
      </w:pPr>
    </w:lvl>
  </w:abstractNum>
  <w:abstractNum w:abstractNumId="4">
    <w:nsid w:val="FFFFFF89"/>
    <w:multiLevelType w:val="singleLevel"/>
    <w:tmpl w:val="08086C74"/>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507A9A"/>
    <w:multiLevelType w:val="hybridMultilevel"/>
    <w:tmpl w:val="7D245FC8"/>
    <w:lvl w:ilvl="0" w:tplc="36D63986">
      <w:start w:val="1"/>
      <w:numFmt w:val="decimal"/>
      <w:lvlText w:val="1.%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5333330"/>
    <w:multiLevelType w:val="hybridMultilevel"/>
    <w:tmpl w:val="E9E6D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854308D"/>
    <w:multiLevelType w:val="hybridMultilevel"/>
    <w:tmpl w:val="4A74AEEE"/>
    <w:lvl w:ilvl="0" w:tplc="31DADC3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0D9F37F7"/>
    <w:multiLevelType w:val="multilevel"/>
    <w:tmpl w:val="0F8E278C"/>
    <w:lvl w:ilvl="0">
      <w:start w:val="1"/>
      <w:numFmt w:val="decimal"/>
      <w:lvlText w:val="%1"/>
      <w:lvlJc w:val="left"/>
      <w:pPr>
        <w:tabs>
          <w:tab w:val="num" w:pos="1566"/>
        </w:tabs>
        <w:ind w:left="1566" w:hanging="432"/>
      </w:pPr>
      <w:rPr>
        <w:rFonts w:hint="default"/>
      </w:rPr>
    </w:lvl>
    <w:lvl w:ilvl="1">
      <w:start w:val="1"/>
      <w:numFmt w:val="decimal"/>
      <w:lvlText w:val="%1.%2 "/>
      <w:lvlJc w:val="left"/>
      <w:pPr>
        <w:tabs>
          <w:tab w:val="num" w:pos="1710"/>
        </w:tabs>
        <w:ind w:left="1710" w:hanging="576"/>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bullet"/>
      <w:lvlText w:val="-"/>
      <w:lvlJc w:val="left"/>
      <w:pPr>
        <w:tabs>
          <w:tab w:val="num" w:pos="1531"/>
        </w:tabs>
        <w:ind w:left="2098" w:hanging="964"/>
      </w:pPr>
      <w:rPr>
        <w:rFonts w:ascii="font208" w:hAnsi="font208"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9">
    <w:nsid w:val="104E30C2"/>
    <w:multiLevelType w:val="multilevel"/>
    <w:tmpl w:val="8A6A80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1190E65"/>
    <w:multiLevelType w:val="hybridMultilevel"/>
    <w:tmpl w:val="75F25EF6"/>
    <w:lvl w:ilvl="0" w:tplc="095C6D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13BD7CC4"/>
    <w:multiLevelType w:val="hybridMultilevel"/>
    <w:tmpl w:val="7D245FC8"/>
    <w:lvl w:ilvl="0" w:tplc="36D63986">
      <w:start w:val="1"/>
      <w:numFmt w:val="decimal"/>
      <w:lvlText w:val="1.%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14A352CC"/>
    <w:multiLevelType w:val="hybridMultilevel"/>
    <w:tmpl w:val="B2DC108E"/>
    <w:lvl w:ilvl="0" w:tplc="66D458C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6DC38C6"/>
    <w:multiLevelType w:val="hybridMultilevel"/>
    <w:tmpl w:val="B0C05670"/>
    <w:lvl w:ilvl="0" w:tplc="CDE0C57C">
      <w:start w:val="2013"/>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17444017"/>
    <w:multiLevelType w:val="hybridMultilevel"/>
    <w:tmpl w:val="0D6C5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507B61"/>
    <w:multiLevelType w:val="hybridMultilevel"/>
    <w:tmpl w:val="256050C8"/>
    <w:lvl w:ilvl="0" w:tplc="662C1BC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2B3846"/>
    <w:multiLevelType w:val="hybridMultilevel"/>
    <w:tmpl w:val="0C1E1C8C"/>
    <w:lvl w:ilvl="0" w:tplc="4B30F324">
      <w:start w:val="1"/>
      <w:numFmt w:val="decimal"/>
      <w:lvlText w:val="2.%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20145C61"/>
    <w:multiLevelType w:val="hybridMultilevel"/>
    <w:tmpl w:val="73A278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028439D"/>
    <w:multiLevelType w:val="hybridMultilevel"/>
    <w:tmpl w:val="296808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nsid w:val="20EA691E"/>
    <w:multiLevelType w:val="hybridMultilevel"/>
    <w:tmpl w:val="E1C4D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59035E"/>
    <w:multiLevelType w:val="hybridMultilevel"/>
    <w:tmpl w:val="AB880968"/>
    <w:lvl w:ilvl="0" w:tplc="3376960E">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1B43E3A"/>
    <w:multiLevelType w:val="hybridMultilevel"/>
    <w:tmpl w:val="09BCE442"/>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2947435B"/>
    <w:multiLevelType w:val="hybridMultilevel"/>
    <w:tmpl w:val="7B026730"/>
    <w:lvl w:ilvl="0" w:tplc="09D47F1A">
      <w:start w:val="1"/>
      <w:numFmt w:val="decimal"/>
      <w:lvlText w:val="%1."/>
      <w:lvlJc w:val="left"/>
      <w:pPr>
        <w:ind w:left="1080" w:hanging="360"/>
      </w:pPr>
      <w:rPr>
        <w:rFonts w:ascii="Arial" w:eastAsia="Times New Roman" w:hAnsi="Arial" w:cs="Times New Roman"/>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34CF2094"/>
    <w:multiLevelType w:val="hybridMultilevel"/>
    <w:tmpl w:val="F57675B0"/>
    <w:lvl w:ilvl="0" w:tplc="E94CBB64">
      <w:start w:val="1"/>
      <w:numFmt w:val="decimal"/>
      <w:lvlText w:val="3.%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354550D6"/>
    <w:multiLevelType w:val="hybridMultilevel"/>
    <w:tmpl w:val="4A74AEEE"/>
    <w:lvl w:ilvl="0" w:tplc="31DADC3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36550A04"/>
    <w:multiLevelType w:val="hybridMultilevel"/>
    <w:tmpl w:val="7D245FC8"/>
    <w:lvl w:ilvl="0" w:tplc="36D63986">
      <w:start w:val="1"/>
      <w:numFmt w:val="decimal"/>
      <w:lvlText w:val="1.%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37AA2B9F"/>
    <w:multiLevelType w:val="hybridMultilevel"/>
    <w:tmpl w:val="623AC920"/>
    <w:lvl w:ilvl="0" w:tplc="E94CBB64">
      <w:start w:val="1"/>
      <w:numFmt w:val="decimal"/>
      <w:lvlText w:val="3.%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37B85C6F"/>
    <w:multiLevelType w:val="hybridMultilevel"/>
    <w:tmpl w:val="C064517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380316E8"/>
    <w:multiLevelType w:val="hybridMultilevel"/>
    <w:tmpl w:val="F446DD1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9">
    <w:nsid w:val="389971D8"/>
    <w:multiLevelType w:val="hybridMultilevel"/>
    <w:tmpl w:val="8466E1CE"/>
    <w:lvl w:ilvl="0" w:tplc="0809000F">
      <w:start w:val="1"/>
      <w:numFmt w:val="decimal"/>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0">
    <w:nsid w:val="38E74694"/>
    <w:multiLevelType w:val="hybridMultilevel"/>
    <w:tmpl w:val="42286D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3A3409C8"/>
    <w:multiLevelType w:val="hybridMultilevel"/>
    <w:tmpl w:val="C9C4091C"/>
    <w:lvl w:ilvl="0" w:tplc="CDE0C57C">
      <w:start w:val="20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3CB7A64"/>
    <w:multiLevelType w:val="hybridMultilevel"/>
    <w:tmpl w:val="3BF20C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45B15803"/>
    <w:multiLevelType w:val="multilevel"/>
    <w:tmpl w:val="B5AAD42A"/>
    <w:lvl w:ilvl="0">
      <w:start w:val="1"/>
      <w:numFmt w:val="decimal"/>
      <w:pStyle w:val="Heading1"/>
      <w:lvlText w:val="%1."/>
      <w:lvlJc w:val="left"/>
      <w:pPr>
        <w:tabs>
          <w:tab w:val="num" w:pos="792"/>
        </w:tabs>
        <w:ind w:left="792" w:hanging="432"/>
      </w:pPr>
      <w:rPr>
        <w:rFonts w:hint="default"/>
      </w:rPr>
    </w:lvl>
    <w:lvl w:ilvl="1">
      <w:start w:val="1"/>
      <w:numFmt w:val="decimal"/>
      <w:pStyle w:val="Heading2"/>
      <w:lvlText w:val="%1.%2 "/>
      <w:lvlJc w:val="left"/>
      <w:pPr>
        <w:tabs>
          <w:tab w:val="num" w:pos="576"/>
        </w:tabs>
        <w:ind w:left="576" w:hanging="576"/>
      </w:pPr>
      <w:rPr>
        <w:rFonts w:hint="default"/>
        <w:b/>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1148"/>
        </w:tabs>
        <w:ind w:left="1148" w:hanging="864"/>
      </w:pPr>
      <w:rPr>
        <w:rFonts w:hint="default"/>
      </w:rPr>
    </w:lvl>
    <w:lvl w:ilvl="4">
      <w:start w:val="1"/>
      <w:numFmt w:val="decimal"/>
      <w:pStyle w:val="Heading5"/>
      <w:lvlText w:val="%1.%2.%3.%4.%5"/>
      <w:lvlJc w:val="left"/>
      <w:pPr>
        <w:tabs>
          <w:tab w:val="num" w:pos="1008"/>
        </w:tabs>
        <w:ind w:left="1008" w:hanging="1008"/>
      </w:pPr>
      <w:rPr>
        <w:rFonts w:hint="default"/>
        <w:i/>
      </w:rPr>
    </w:lvl>
    <w:lvl w:ilvl="5">
      <w:start w:val="1"/>
      <w:numFmt w:val="bullet"/>
      <w:pStyle w:val="Heading6"/>
      <w:lvlText w:val="-"/>
      <w:lvlJc w:val="left"/>
      <w:pPr>
        <w:tabs>
          <w:tab w:val="num" w:pos="397"/>
        </w:tabs>
        <w:ind w:left="396" w:hanging="283"/>
      </w:pPr>
      <w:rPr>
        <w:rFonts w:ascii="font208" w:hAnsi="font208"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nsid w:val="46BD066D"/>
    <w:multiLevelType w:val="hybridMultilevel"/>
    <w:tmpl w:val="4A74AEEE"/>
    <w:lvl w:ilvl="0" w:tplc="31DADC3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nsid w:val="48D5652E"/>
    <w:multiLevelType w:val="hybridMultilevel"/>
    <w:tmpl w:val="57B09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F5409A3"/>
    <w:multiLevelType w:val="hybridMultilevel"/>
    <w:tmpl w:val="03D43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513F369A"/>
    <w:multiLevelType w:val="hybridMultilevel"/>
    <w:tmpl w:val="4A74AEEE"/>
    <w:lvl w:ilvl="0" w:tplc="31DADC3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nsid w:val="54CC5A82"/>
    <w:multiLevelType w:val="hybridMultilevel"/>
    <w:tmpl w:val="05C0150C"/>
    <w:lvl w:ilvl="0" w:tplc="4B30F324">
      <w:start w:val="1"/>
      <w:numFmt w:val="decimal"/>
      <w:lvlText w:val="2.%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57F7558D"/>
    <w:multiLevelType w:val="hybridMultilevel"/>
    <w:tmpl w:val="740C7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DF5466A"/>
    <w:multiLevelType w:val="hybridMultilevel"/>
    <w:tmpl w:val="11A2C69A"/>
    <w:lvl w:ilvl="0" w:tplc="0809000F">
      <w:start w:val="1"/>
      <w:numFmt w:val="decimal"/>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41">
    <w:nsid w:val="619C7407"/>
    <w:multiLevelType w:val="hybridMultilevel"/>
    <w:tmpl w:val="0FA6A3A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nsid w:val="6E3405A8"/>
    <w:multiLevelType w:val="hybridMultilevel"/>
    <w:tmpl w:val="4CDAA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9865F58"/>
    <w:multiLevelType w:val="hybridMultilevel"/>
    <w:tmpl w:val="043A61A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nsid w:val="7FEF48E9"/>
    <w:multiLevelType w:val="hybridMultilevel"/>
    <w:tmpl w:val="F3F0F5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20"/>
  </w:num>
  <w:num w:numId="7">
    <w:abstractNumId w:val="17"/>
  </w:num>
  <w:num w:numId="8">
    <w:abstractNumId w:val="33"/>
  </w:num>
  <w:num w:numId="9">
    <w:abstractNumId w:val="18"/>
  </w:num>
  <w:num w:numId="10">
    <w:abstractNumId w:val="41"/>
  </w:num>
  <w:num w:numId="11">
    <w:abstractNumId w:val="10"/>
  </w:num>
  <w:num w:numId="12">
    <w:abstractNumId w:val="22"/>
  </w:num>
  <w:num w:numId="13">
    <w:abstractNumId w:val="29"/>
  </w:num>
  <w:num w:numId="14">
    <w:abstractNumId w:val="32"/>
  </w:num>
  <w:num w:numId="15">
    <w:abstractNumId w:val="44"/>
  </w:num>
  <w:num w:numId="16">
    <w:abstractNumId w:val="34"/>
  </w:num>
  <w:num w:numId="17">
    <w:abstractNumId w:val="21"/>
  </w:num>
  <w:num w:numId="18">
    <w:abstractNumId w:val="24"/>
  </w:num>
  <w:num w:numId="19">
    <w:abstractNumId w:val="8"/>
  </w:num>
  <w:num w:numId="20">
    <w:abstractNumId w:val="35"/>
  </w:num>
  <w:num w:numId="21">
    <w:abstractNumId w:val="28"/>
  </w:num>
  <w:num w:numId="22">
    <w:abstractNumId w:val="36"/>
  </w:num>
  <w:num w:numId="23">
    <w:abstractNumId w:val="9"/>
  </w:num>
  <w:num w:numId="24">
    <w:abstractNumId w:val="37"/>
  </w:num>
  <w:num w:numId="25">
    <w:abstractNumId w:val="7"/>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7">
    <w:abstractNumId w:val="30"/>
  </w:num>
  <w:num w:numId="28">
    <w:abstractNumId w:val="27"/>
  </w:num>
  <w:num w:numId="29">
    <w:abstractNumId w:val="42"/>
  </w:num>
  <w:num w:numId="30">
    <w:abstractNumId w:val="6"/>
  </w:num>
  <w:num w:numId="31">
    <w:abstractNumId w:val="12"/>
  </w:num>
  <w:num w:numId="32">
    <w:abstractNumId w:val="12"/>
  </w:num>
  <w:num w:numId="33">
    <w:abstractNumId w:val="39"/>
  </w:num>
  <w:num w:numId="34">
    <w:abstractNumId w:val="15"/>
  </w:num>
  <w:num w:numId="35">
    <w:abstractNumId w:val="13"/>
  </w:num>
  <w:num w:numId="36">
    <w:abstractNumId w:val="33"/>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8">
    <w:abstractNumId w:val="40"/>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num>
  <w:num w:numId="41">
    <w:abstractNumId w:val="5"/>
  </w:num>
  <w:num w:numId="42">
    <w:abstractNumId w:val="16"/>
  </w:num>
  <w:num w:numId="43">
    <w:abstractNumId w:val="26"/>
  </w:num>
  <w:num w:numId="44">
    <w:abstractNumId w:val="31"/>
  </w:num>
  <w:num w:numId="45">
    <w:abstractNumId w:val="25"/>
  </w:num>
  <w:num w:numId="46">
    <w:abstractNumId w:val="38"/>
  </w:num>
  <w:num w:numId="47">
    <w:abstractNumId w:val="11"/>
  </w:num>
  <w:num w:numId="48">
    <w:abstractNumId w:val="19"/>
  </w:num>
  <w:num w:numId="49">
    <w:abstractNumId w:val="14"/>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14140"/>
    <w:rsid w:val="00003251"/>
    <w:rsid w:val="00014CF0"/>
    <w:rsid w:val="00017A84"/>
    <w:rsid w:val="000212ED"/>
    <w:rsid w:val="00022B26"/>
    <w:rsid w:val="0002646E"/>
    <w:rsid w:val="0007279A"/>
    <w:rsid w:val="00075667"/>
    <w:rsid w:val="0008790B"/>
    <w:rsid w:val="000A4CE6"/>
    <w:rsid w:val="000C11AD"/>
    <w:rsid w:val="000C66D8"/>
    <w:rsid w:val="000D7AAC"/>
    <w:rsid w:val="00114140"/>
    <w:rsid w:val="0013760D"/>
    <w:rsid w:val="001435BF"/>
    <w:rsid w:val="00146E65"/>
    <w:rsid w:val="001529F2"/>
    <w:rsid w:val="00181010"/>
    <w:rsid w:val="001C0295"/>
    <w:rsid w:val="001C1325"/>
    <w:rsid w:val="001C2A9B"/>
    <w:rsid w:val="001D5AA6"/>
    <w:rsid w:val="0020086B"/>
    <w:rsid w:val="002014A2"/>
    <w:rsid w:val="00216ADE"/>
    <w:rsid w:val="002334EE"/>
    <w:rsid w:val="00246156"/>
    <w:rsid w:val="00251265"/>
    <w:rsid w:val="00257473"/>
    <w:rsid w:val="002604CA"/>
    <w:rsid w:val="00262562"/>
    <w:rsid w:val="002728BD"/>
    <w:rsid w:val="00293023"/>
    <w:rsid w:val="002B7045"/>
    <w:rsid w:val="002C3922"/>
    <w:rsid w:val="002C659F"/>
    <w:rsid w:val="002C68BD"/>
    <w:rsid w:val="002D0580"/>
    <w:rsid w:val="002E0887"/>
    <w:rsid w:val="002E3D8D"/>
    <w:rsid w:val="00304888"/>
    <w:rsid w:val="0030690D"/>
    <w:rsid w:val="00314AE9"/>
    <w:rsid w:val="00326F6F"/>
    <w:rsid w:val="00340FE6"/>
    <w:rsid w:val="0034409D"/>
    <w:rsid w:val="0036214E"/>
    <w:rsid w:val="00367A71"/>
    <w:rsid w:val="003704E1"/>
    <w:rsid w:val="0037678E"/>
    <w:rsid w:val="003B3242"/>
    <w:rsid w:val="003B372A"/>
    <w:rsid w:val="003B4C0C"/>
    <w:rsid w:val="003D186C"/>
    <w:rsid w:val="003F558B"/>
    <w:rsid w:val="003F7689"/>
    <w:rsid w:val="004004E8"/>
    <w:rsid w:val="0040258C"/>
    <w:rsid w:val="00410C65"/>
    <w:rsid w:val="004134DD"/>
    <w:rsid w:val="00424120"/>
    <w:rsid w:val="004312C4"/>
    <w:rsid w:val="0044008E"/>
    <w:rsid w:val="00440186"/>
    <w:rsid w:val="004549F7"/>
    <w:rsid w:val="0046193B"/>
    <w:rsid w:val="00462B69"/>
    <w:rsid w:val="00465AE1"/>
    <w:rsid w:val="0046745D"/>
    <w:rsid w:val="004713E7"/>
    <w:rsid w:val="0048112E"/>
    <w:rsid w:val="00481175"/>
    <w:rsid w:val="004842B7"/>
    <w:rsid w:val="00485462"/>
    <w:rsid w:val="004A1CDD"/>
    <w:rsid w:val="004A54E0"/>
    <w:rsid w:val="004B5343"/>
    <w:rsid w:val="004B5FEE"/>
    <w:rsid w:val="004C346C"/>
    <w:rsid w:val="004C3CA5"/>
    <w:rsid w:val="004D022A"/>
    <w:rsid w:val="004D0AC9"/>
    <w:rsid w:val="004E1A87"/>
    <w:rsid w:val="004E3015"/>
    <w:rsid w:val="004F6BFE"/>
    <w:rsid w:val="005024D2"/>
    <w:rsid w:val="00513D12"/>
    <w:rsid w:val="005146DF"/>
    <w:rsid w:val="00522024"/>
    <w:rsid w:val="00546F79"/>
    <w:rsid w:val="00553063"/>
    <w:rsid w:val="00563BBC"/>
    <w:rsid w:val="005747D2"/>
    <w:rsid w:val="00594C23"/>
    <w:rsid w:val="005B1C57"/>
    <w:rsid w:val="005B1D79"/>
    <w:rsid w:val="005B5B6B"/>
    <w:rsid w:val="005B5C8B"/>
    <w:rsid w:val="005C1CB1"/>
    <w:rsid w:val="005E0F24"/>
    <w:rsid w:val="005E2F51"/>
    <w:rsid w:val="00621981"/>
    <w:rsid w:val="006227D2"/>
    <w:rsid w:val="006515E8"/>
    <w:rsid w:val="00671477"/>
    <w:rsid w:val="0067254E"/>
    <w:rsid w:val="00677837"/>
    <w:rsid w:val="00684F8F"/>
    <w:rsid w:val="00685DB1"/>
    <w:rsid w:val="006946DB"/>
    <w:rsid w:val="006B06CE"/>
    <w:rsid w:val="006B29F6"/>
    <w:rsid w:val="006B2B0A"/>
    <w:rsid w:val="006C0EAA"/>
    <w:rsid w:val="006C4BE6"/>
    <w:rsid w:val="006D0A40"/>
    <w:rsid w:val="006D3471"/>
    <w:rsid w:val="007025B8"/>
    <w:rsid w:val="00713118"/>
    <w:rsid w:val="00720C01"/>
    <w:rsid w:val="00723B56"/>
    <w:rsid w:val="00725CDA"/>
    <w:rsid w:val="007476E7"/>
    <w:rsid w:val="00760A37"/>
    <w:rsid w:val="00766253"/>
    <w:rsid w:val="00777773"/>
    <w:rsid w:val="0079008D"/>
    <w:rsid w:val="007A75A5"/>
    <w:rsid w:val="007B19B1"/>
    <w:rsid w:val="007B36B1"/>
    <w:rsid w:val="007B5CDC"/>
    <w:rsid w:val="007B78C6"/>
    <w:rsid w:val="007C29D0"/>
    <w:rsid w:val="007C42A6"/>
    <w:rsid w:val="00810BAE"/>
    <w:rsid w:val="00811732"/>
    <w:rsid w:val="008151EB"/>
    <w:rsid w:val="00816ED7"/>
    <w:rsid w:val="00836384"/>
    <w:rsid w:val="008449C9"/>
    <w:rsid w:val="008449D4"/>
    <w:rsid w:val="0087739E"/>
    <w:rsid w:val="008A4586"/>
    <w:rsid w:val="008A4960"/>
    <w:rsid w:val="008B67CE"/>
    <w:rsid w:val="008C7143"/>
    <w:rsid w:val="008E489D"/>
    <w:rsid w:val="0090778F"/>
    <w:rsid w:val="00930276"/>
    <w:rsid w:val="00933D6A"/>
    <w:rsid w:val="00966F2E"/>
    <w:rsid w:val="00975234"/>
    <w:rsid w:val="00994CE2"/>
    <w:rsid w:val="0099791B"/>
    <w:rsid w:val="009A4301"/>
    <w:rsid w:val="009C4BE2"/>
    <w:rsid w:val="009D7801"/>
    <w:rsid w:val="009F51DD"/>
    <w:rsid w:val="00A02CCA"/>
    <w:rsid w:val="00A27E4E"/>
    <w:rsid w:val="00A32D85"/>
    <w:rsid w:val="00A34A31"/>
    <w:rsid w:val="00A44F46"/>
    <w:rsid w:val="00A459A6"/>
    <w:rsid w:val="00A5002F"/>
    <w:rsid w:val="00A51DDC"/>
    <w:rsid w:val="00A631BD"/>
    <w:rsid w:val="00A67F6C"/>
    <w:rsid w:val="00A73257"/>
    <w:rsid w:val="00A761C4"/>
    <w:rsid w:val="00AA0B30"/>
    <w:rsid w:val="00AA618F"/>
    <w:rsid w:val="00AA7BC0"/>
    <w:rsid w:val="00AB3B9E"/>
    <w:rsid w:val="00AD7639"/>
    <w:rsid w:val="00AE00CF"/>
    <w:rsid w:val="00AE30F7"/>
    <w:rsid w:val="00B05F6D"/>
    <w:rsid w:val="00B10036"/>
    <w:rsid w:val="00B118FD"/>
    <w:rsid w:val="00B3540B"/>
    <w:rsid w:val="00B509EE"/>
    <w:rsid w:val="00B532D9"/>
    <w:rsid w:val="00B55228"/>
    <w:rsid w:val="00B63B82"/>
    <w:rsid w:val="00B742AB"/>
    <w:rsid w:val="00B82FF0"/>
    <w:rsid w:val="00BA581C"/>
    <w:rsid w:val="00BC30BE"/>
    <w:rsid w:val="00BD245D"/>
    <w:rsid w:val="00BF5CCA"/>
    <w:rsid w:val="00C17D2F"/>
    <w:rsid w:val="00C3583A"/>
    <w:rsid w:val="00C3743C"/>
    <w:rsid w:val="00C462C5"/>
    <w:rsid w:val="00C51766"/>
    <w:rsid w:val="00C53364"/>
    <w:rsid w:val="00C6340C"/>
    <w:rsid w:val="00C641DA"/>
    <w:rsid w:val="00C6579B"/>
    <w:rsid w:val="00C86C2C"/>
    <w:rsid w:val="00C937F8"/>
    <w:rsid w:val="00C95DB8"/>
    <w:rsid w:val="00CD3437"/>
    <w:rsid w:val="00CD6D19"/>
    <w:rsid w:val="00CE2E0F"/>
    <w:rsid w:val="00CE5FFB"/>
    <w:rsid w:val="00D35AC0"/>
    <w:rsid w:val="00D77D88"/>
    <w:rsid w:val="00D85C66"/>
    <w:rsid w:val="00D935A8"/>
    <w:rsid w:val="00DC6F9B"/>
    <w:rsid w:val="00DD3A55"/>
    <w:rsid w:val="00DD780B"/>
    <w:rsid w:val="00DF2488"/>
    <w:rsid w:val="00E113F5"/>
    <w:rsid w:val="00E22818"/>
    <w:rsid w:val="00E5498B"/>
    <w:rsid w:val="00E55319"/>
    <w:rsid w:val="00E75D27"/>
    <w:rsid w:val="00E761CA"/>
    <w:rsid w:val="00E84ECC"/>
    <w:rsid w:val="00E9483F"/>
    <w:rsid w:val="00EA30B6"/>
    <w:rsid w:val="00ED737F"/>
    <w:rsid w:val="00EE0BE4"/>
    <w:rsid w:val="00EE3A7B"/>
    <w:rsid w:val="00EF689C"/>
    <w:rsid w:val="00F0314D"/>
    <w:rsid w:val="00F04845"/>
    <w:rsid w:val="00F1134D"/>
    <w:rsid w:val="00F200A8"/>
    <w:rsid w:val="00F23511"/>
    <w:rsid w:val="00F4233D"/>
    <w:rsid w:val="00F50047"/>
    <w:rsid w:val="00F7473E"/>
    <w:rsid w:val="00F8775E"/>
    <w:rsid w:val="00F90BC6"/>
    <w:rsid w:val="00F92DA1"/>
    <w:rsid w:val="00FB2926"/>
    <w:rsid w:val="00FC088F"/>
    <w:rsid w:val="00FC7790"/>
    <w:rsid w:val="00FD6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2926"/>
    <w:pPr>
      <w:spacing w:after="120"/>
    </w:pPr>
    <w:rPr>
      <w:rFonts w:ascii="Arial" w:hAnsi="Arial"/>
      <w:sz w:val="22"/>
      <w:szCs w:val="24"/>
    </w:rPr>
  </w:style>
  <w:style w:type="paragraph" w:styleId="Heading1">
    <w:name w:val="heading 1"/>
    <w:basedOn w:val="Normal"/>
    <w:next w:val="indent"/>
    <w:link w:val="Heading1Char"/>
    <w:qFormat/>
    <w:rsid w:val="00F200A8"/>
    <w:pPr>
      <w:keepNext/>
      <w:numPr>
        <w:numId w:val="8"/>
      </w:numPr>
      <w:tabs>
        <w:tab w:val="left" w:pos="397"/>
      </w:tabs>
      <w:spacing w:before="240" w:after="60"/>
      <w:outlineLvl w:val="0"/>
    </w:pPr>
    <w:rPr>
      <w:rFonts w:cs="Arial"/>
      <w:b/>
      <w:bCs/>
      <w:kern w:val="32"/>
      <w:sz w:val="28"/>
      <w:szCs w:val="32"/>
    </w:rPr>
  </w:style>
  <w:style w:type="paragraph" w:styleId="Heading2">
    <w:name w:val="heading 2"/>
    <w:basedOn w:val="Normal"/>
    <w:next w:val="indent"/>
    <w:link w:val="Heading2Char"/>
    <w:qFormat/>
    <w:rsid w:val="00F200A8"/>
    <w:pPr>
      <w:keepNext/>
      <w:numPr>
        <w:ilvl w:val="1"/>
        <w:numId w:val="8"/>
      </w:numPr>
      <w:spacing w:before="120" w:after="60"/>
      <w:outlineLvl w:val="1"/>
    </w:pPr>
    <w:rPr>
      <w:rFonts w:cs="Arial"/>
      <w:b/>
      <w:bCs/>
      <w:i/>
      <w:iCs/>
      <w:szCs w:val="28"/>
    </w:rPr>
  </w:style>
  <w:style w:type="paragraph" w:styleId="Heading3">
    <w:name w:val="heading 3"/>
    <w:basedOn w:val="Normal"/>
    <w:next w:val="indent"/>
    <w:link w:val="Heading3Char"/>
    <w:qFormat/>
    <w:rsid w:val="00F200A8"/>
    <w:pPr>
      <w:keepNext/>
      <w:numPr>
        <w:ilvl w:val="2"/>
        <w:numId w:val="8"/>
      </w:numPr>
      <w:spacing w:before="120" w:after="60"/>
      <w:outlineLvl w:val="2"/>
    </w:pPr>
    <w:rPr>
      <w:rFonts w:cs="Arial"/>
      <w:b/>
      <w:bCs/>
      <w:szCs w:val="26"/>
    </w:rPr>
  </w:style>
  <w:style w:type="paragraph" w:styleId="Heading4">
    <w:name w:val="heading 4"/>
    <w:basedOn w:val="Normal"/>
    <w:next w:val="indent"/>
    <w:link w:val="Heading4Char"/>
    <w:qFormat/>
    <w:rsid w:val="00F200A8"/>
    <w:pPr>
      <w:keepNext/>
      <w:numPr>
        <w:ilvl w:val="3"/>
        <w:numId w:val="8"/>
      </w:numPr>
      <w:spacing w:before="240" w:after="60"/>
      <w:outlineLvl w:val="3"/>
    </w:pPr>
    <w:rPr>
      <w:b/>
      <w:bCs/>
      <w:sz w:val="24"/>
      <w:szCs w:val="28"/>
    </w:rPr>
  </w:style>
  <w:style w:type="paragraph" w:styleId="Heading5">
    <w:name w:val="heading 5"/>
    <w:basedOn w:val="Normal"/>
    <w:next w:val="Normal"/>
    <w:link w:val="Heading5Char"/>
    <w:qFormat/>
    <w:rsid w:val="00F200A8"/>
    <w:pPr>
      <w:numPr>
        <w:ilvl w:val="4"/>
        <w:numId w:val="8"/>
      </w:numPr>
      <w:tabs>
        <w:tab w:val="left" w:pos="1814"/>
      </w:tabs>
      <w:spacing w:before="120" w:after="60"/>
      <w:outlineLvl w:val="4"/>
    </w:pPr>
    <w:rPr>
      <w:b/>
      <w:bCs/>
      <w:i/>
      <w:iCs/>
      <w:szCs w:val="26"/>
    </w:rPr>
  </w:style>
  <w:style w:type="paragraph" w:styleId="Heading6">
    <w:name w:val="heading 6"/>
    <w:basedOn w:val="Normal"/>
    <w:next w:val="indent"/>
    <w:link w:val="Heading6Char"/>
    <w:qFormat/>
    <w:rsid w:val="00F200A8"/>
    <w:pPr>
      <w:numPr>
        <w:ilvl w:val="5"/>
        <w:numId w:val="8"/>
      </w:numPr>
      <w:spacing w:after="60"/>
      <w:outlineLvl w:val="5"/>
    </w:pPr>
    <w:rPr>
      <w:b/>
      <w:bCs/>
      <w:szCs w:val="22"/>
    </w:rPr>
  </w:style>
  <w:style w:type="paragraph" w:styleId="Heading7">
    <w:name w:val="heading 7"/>
    <w:basedOn w:val="Normal"/>
    <w:next w:val="Normal"/>
    <w:link w:val="Heading7Char"/>
    <w:qFormat/>
    <w:rsid w:val="00F200A8"/>
    <w:pPr>
      <w:numPr>
        <w:ilvl w:val="6"/>
        <w:numId w:val="8"/>
      </w:numPr>
      <w:spacing w:before="240" w:after="60"/>
      <w:outlineLvl w:val="6"/>
    </w:pPr>
  </w:style>
  <w:style w:type="paragraph" w:styleId="Heading8">
    <w:name w:val="heading 8"/>
    <w:basedOn w:val="Normal"/>
    <w:next w:val="Normal"/>
    <w:link w:val="Heading8Char"/>
    <w:qFormat/>
    <w:rsid w:val="00F200A8"/>
    <w:pPr>
      <w:numPr>
        <w:ilvl w:val="7"/>
        <w:numId w:val="8"/>
      </w:numPr>
      <w:spacing w:before="240" w:after="60"/>
      <w:outlineLvl w:val="7"/>
    </w:pPr>
    <w:rPr>
      <w:i/>
      <w:iCs/>
    </w:rPr>
  </w:style>
  <w:style w:type="paragraph" w:styleId="Heading9">
    <w:name w:val="heading 9"/>
    <w:basedOn w:val="Normal"/>
    <w:next w:val="Normal"/>
    <w:link w:val="Heading9Char"/>
    <w:qFormat/>
    <w:rsid w:val="00F200A8"/>
    <w:pPr>
      <w:numPr>
        <w:ilvl w:val="8"/>
        <w:numId w:val="8"/>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00A8"/>
    <w:rPr>
      <w:rFonts w:ascii="Arial" w:hAnsi="Arial" w:cs="Arial"/>
      <w:b/>
      <w:bCs/>
      <w:kern w:val="32"/>
      <w:sz w:val="28"/>
      <w:szCs w:val="32"/>
    </w:rPr>
  </w:style>
  <w:style w:type="paragraph" w:styleId="ListBullet">
    <w:name w:val="List Bullet"/>
    <w:basedOn w:val="Normal"/>
    <w:autoRedefine/>
    <w:rsid w:val="0040258C"/>
    <w:pPr>
      <w:numPr>
        <w:numId w:val="1"/>
      </w:numPr>
      <w:ind w:left="357" w:hanging="357"/>
    </w:pPr>
  </w:style>
  <w:style w:type="paragraph" w:styleId="ListNumber">
    <w:name w:val="List Number"/>
    <w:basedOn w:val="Normal"/>
    <w:rsid w:val="0040258C"/>
    <w:pPr>
      <w:numPr>
        <w:numId w:val="4"/>
      </w:numPr>
      <w:ind w:left="0" w:firstLine="0"/>
    </w:pPr>
  </w:style>
  <w:style w:type="paragraph" w:styleId="ListNumber2">
    <w:name w:val="List Number 2"/>
    <w:basedOn w:val="Normal"/>
    <w:rsid w:val="0040258C"/>
    <w:pPr>
      <w:numPr>
        <w:numId w:val="5"/>
      </w:numPr>
      <w:ind w:left="641" w:hanging="357"/>
    </w:pPr>
  </w:style>
  <w:style w:type="character" w:customStyle="1" w:styleId="Heading2Char">
    <w:name w:val="Heading 2 Char"/>
    <w:basedOn w:val="DefaultParagraphFont"/>
    <w:link w:val="Heading2"/>
    <w:rsid w:val="00F200A8"/>
    <w:rPr>
      <w:rFonts w:ascii="Arial" w:hAnsi="Arial" w:cs="Arial"/>
      <w:b/>
      <w:bCs/>
      <w:i/>
      <w:iCs/>
      <w:sz w:val="22"/>
      <w:szCs w:val="28"/>
    </w:rPr>
  </w:style>
  <w:style w:type="character" w:customStyle="1" w:styleId="Heading3Char">
    <w:name w:val="Heading 3 Char"/>
    <w:basedOn w:val="DefaultParagraphFont"/>
    <w:link w:val="Heading3"/>
    <w:rsid w:val="00F200A8"/>
    <w:rPr>
      <w:rFonts w:ascii="Arial" w:hAnsi="Arial" w:cs="Arial"/>
      <w:b/>
      <w:bCs/>
      <w:sz w:val="22"/>
      <w:szCs w:val="26"/>
    </w:rPr>
  </w:style>
  <w:style w:type="character" w:customStyle="1" w:styleId="Heading4Char">
    <w:name w:val="Heading 4 Char"/>
    <w:basedOn w:val="DefaultParagraphFont"/>
    <w:link w:val="Heading4"/>
    <w:rsid w:val="00F200A8"/>
    <w:rPr>
      <w:rFonts w:ascii="Arial" w:hAnsi="Arial"/>
      <w:b/>
      <w:bCs/>
      <w:sz w:val="24"/>
      <w:szCs w:val="28"/>
    </w:rPr>
  </w:style>
  <w:style w:type="character" w:customStyle="1" w:styleId="Heading5Char">
    <w:name w:val="Heading 5 Char"/>
    <w:basedOn w:val="DefaultParagraphFont"/>
    <w:link w:val="Heading5"/>
    <w:rsid w:val="00F200A8"/>
    <w:rPr>
      <w:rFonts w:ascii="Arial" w:hAnsi="Arial"/>
      <w:b/>
      <w:bCs/>
      <w:i/>
      <w:iCs/>
      <w:sz w:val="22"/>
      <w:szCs w:val="26"/>
    </w:rPr>
  </w:style>
  <w:style w:type="character" w:customStyle="1" w:styleId="Heading6Char">
    <w:name w:val="Heading 6 Char"/>
    <w:basedOn w:val="DefaultParagraphFont"/>
    <w:link w:val="Heading6"/>
    <w:rsid w:val="00F200A8"/>
    <w:rPr>
      <w:rFonts w:ascii="Arial" w:hAnsi="Arial"/>
      <w:b/>
      <w:bCs/>
      <w:sz w:val="22"/>
      <w:szCs w:val="22"/>
    </w:rPr>
  </w:style>
  <w:style w:type="character" w:customStyle="1" w:styleId="Heading7Char">
    <w:name w:val="Heading 7 Char"/>
    <w:basedOn w:val="DefaultParagraphFont"/>
    <w:link w:val="Heading7"/>
    <w:rsid w:val="00F200A8"/>
    <w:rPr>
      <w:rFonts w:ascii="Arial" w:hAnsi="Arial"/>
      <w:sz w:val="22"/>
      <w:szCs w:val="24"/>
    </w:rPr>
  </w:style>
  <w:style w:type="character" w:customStyle="1" w:styleId="Heading8Char">
    <w:name w:val="Heading 8 Char"/>
    <w:basedOn w:val="DefaultParagraphFont"/>
    <w:link w:val="Heading8"/>
    <w:rsid w:val="00F200A8"/>
    <w:rPr>
      <w:rFonts w:ascii="Arial" w:hAnsi="Arial"/>
      <w:i/>
      <w:iCs/>
      <w:sz w:val="22"/>
      <w:szCs w:val="24"/>
    </w:rPr>
  </w:style>
  <w:style w:type="character" w:customStyle="1" w:styleId="Heading9Char">
    <w:name w:val="Heading 9 Char"/>
    <w:basedOn w:val="DefaultParagraphFont"/>
    <w:link w:val="Heading9"/>
    <w:rsid w:val="00F200A8"/>
    <w:rPr>
      <w:rFonts w:ascii="Arial" w:hAnsi="Arial" w:cs="Arial"/>
      <w:sz w:val="22"/>
      <w:szCs w:val="22"/>
    </w:rPr>
  </w:style>
  <w:style w:type="paragraph" w:customStyle="1" w:styleId="indent">
    <w:name w:val="indent"/>
    <w:basedOn w:val="Normal"/>
    <w:rsid w:val="00F200A8"/>
    <w:pPr>
      <w:ind w:left="567"/>
    </w:pPr>
  </w:style>
  <w:style w:type="character" w:styleId="Hyperlink">
    <w:name w:val="Hyperlink"/>
    <w:basedOn w:val="DefaultParagraphFont"/>
    <w:rsid w:val="00F200A8"/>
    <w:rPr>
      <w:color w:val="0000FF"/>
      <w:u w:val="single"/>
    </w:rPr>
  </w:style>
  <w:style w:type="character" w:styleId="Emphasis">
    <w:name w:val="Emphasis"/>
    <w:basedOn w:val="DefaultParagraphFont"/>
    <w:qFormat/>
    <w:rsid w:val="00F200A8"/>
    <w:rPr>
      <w:i/>
      <w:iCs/>
    </w:rPr>
  </w:style>
  <w:style w:type="paragraph" w:styleId="Title">
    <w:name w:val="Title"/>
    <w:basedOn w:val="Normal"/>
    <w:next w:val="Normal"/>
    <w:link w:val="TitleChar"/>
    <w:qFormat/>
    <w:rsid w:val="00F200A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200A8"/>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aliases w:val="Footnote Text Char1,Footnote Text Char Char,Char,Char Char Char Char Char Char Char Char Char,Footnote Text Char Char Char Char Char Char Char Char Char Char Char Char Char Char Char Char Char Char Char Char Char Char Char Char Char"/>
    <w:basedOn w:val="Normal"/>
    <w:link w:val="FootnoteTextChar"/>
    <w:rsid w:val="00F200A8"/>
    <w:pPr>
      <w:spacing w:after="0"/>
    </w:pPr>
    <w:rPr>
      <w:sz w:val="20"/>
      <w:szCs w:val="20"/>
    </w:rPr>
  </w:style>
  <w:style w:type="character" w:customStyle="1" w:styleId="FootnoteTextChar">
    <w:name w:val="Footnote Text Char"/>
    <w:aliases w:val="Footnote Text Char1 Char,Footnote Text Char Char Char,Char Char,Char Char Char Char Char Char Char Char Char Char"/>
    <w:basedOn w:val="DefaultParagraphFont"/>
    <w:link w:val="FootnoteText"/>
    <w:rsid w:val="00F200A8"/>
    <w:rPr>
      <w:rFonts w:ascii="Arial" w:hAnsi="Arial"/>
    </w:rPr>
  </w:style>
  <w:style w:type="character" w:styleId="FootnoteReference">
    <w:name w:val="footnote reference"/>
    <w:aliases w:val="BVI fnr Char,BVI fnr Car Car Char,BVI fnr Car Char,BVI fnr Car Car Car Car Char,BVI fnr Car Car Car Car Char Char"/>
    <w:basedOn w:val="DefaultParagraphFont"/>
    <w:rsid w:val="00F200A8"/>
    <w:rPr>
      <w:vertAlign w:val="superscript"/>
    </w:rPr>
  </w:style>
  <w:style w:type="paragraph" w:styleId="ListParagraph">
    <w:name w:val="List Paragraph"/>
    <w:basedOn w:val="Normal"/>
    <w:uiPriority w:val="34"/>
    <w:qFormat/>
    <w:rsid w:val="005E0F24"/>
    <w:pPr>
      <w:ind w:left="720"/>
      <w:contextualSpacing/>
    </w:pPr>
  </w:style>
  <w:style w:type="paragraph" w:styleId="DocumentMap">
    <w:name w:val="Document Map"/>
    <w:basedOn w:val="Normal"/>
    <w:link w:val="DocumentMapChar"/>
    <w:rsid w:val="00B3540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B3540B"/>
    <w:rPr>
      <w:rFonts w:ascii="Tahoma" w:hAnsi="Tahoma" w:cs="Tahoma"/>
      <w:shd w:val="clear" w:color="auto" w:fill="000080"/>
    </w:rPr>
  </w:style>
  <w:style w:type="table" w:styleId="TableGrid">
    <w:name w:val="Table Grid"/>
    <w:basedOn w:val="TableNormal"/>
    <w:uiPriority w:val="59"/>
    <w:rsid w:val="001810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553063"/>
    <w:rPr>
      <w:sz w:val="16"/>
      <w:szCs w:val="16"/>
    </w:rPr>
  </w:style>
  <w:style w:type="paragraph" w:styleId="CommentText">
    <w:name w:val="annotation text"/>
    <w:basedOn w:val="Normal"/>
    <w:link w:val="CommentTextChar"/>
    <w:uiPriority w:val="99"/>
    <w:rsid w:val="00553063"/>
    <w:rPr>
      <w:sz w:val="20"/>
      <w:szCs w:val="20"/>
    </w:rPr>
  </w:style>
  <w:style w:type="character" w:customStyle="1" w:styleId="CommentTextChar">
    <w:name w:val="Comment Text Char"/>
    <w:basedOn w:val="DefaultParagraphFont"/>
    <w:link w:val="CommentText"/>
    <w:uiPriority w:val="99"/>
    <w:rsid w:val="00553063"/>
    <w:rPr>
      <w:rFonts w:ascii="Arial" w:hAnsi="Arial"/>
    </w:rPr>
  </w:style>
  <w:style w:type="paragraph" w:styleId="CommentSubject">
    <w:name w:val="annotation subject"/>
    <w:basedOn w:val="CommentText"/>
    <w:next w:val="CommentText"/>
    <w:link w:val="CommentSubjectChar"/>
    <w:rsid w:val="00553063"/>
    <w:rPr>
      <w:b/>
      <w:bCs/>
    </w:rPr>
  </w:style>
  <w:style w:type="character" w:customStyle="1" w:styleId="CommentSubjectChar">
    <w:name w:val="Comment Subject Char"/>
    <w:basedOn w:val="CommentTextChar"/>
    <w:link w:val="CommentSubject"/>
    <w:rsid w:val="00553063"/>
    <w:rPr>
      <w:rFonts w:ascii="Arial" w:hAnsi="Arial"/>
      <w:b/>
      <w:bCs/>
    </w:rPr>
  </w:style>
  <w:style w:type="paragraph" w:styleId="BalloonText">
    <w:name w:val="Balloon Text"/>
    <w:basedOn w:val="Normal"/>
    <w:link w:val="BalloonTextChar"/>
    <w:rsid w:val="00553063"/>
    <w:pPr>
      <w:spacing w:after="0"/>
    </w:pPr>
    <w:rPr>
      <w:rFonts w:ascii="Tahoma" w:hAnsi="Tahoma" w:cs="Tahoma"/>
      <w:sz w:val="16"/>
      <w:szCs w:val="16"/>
    </w:rPr>
  </w:style>
  <w:style w:type="character" w:customStyle="1" w:styleId="BalloonTextChar">
    <w:name w:val="Balloon Text Char"/>
    <w:basedOn w:val="DefaultParagraphFont"/>
    <w:link w:val="BalloonText"/>
    <w:rsid w:val="00553063"/>
    <w:rPr>
      <w:rFonts w:ascii="Tahoma" w:hAnsi="Tahoma" w:cs="Tahoma"/>
      <w:sz w:val="16"/>
      <w:szCs w:val="16"/>
    </w:rPr>
  </w:style>
  <w:style w:type="paragraph" w:styleId="Header">
    <w:name w:val="header"/>
    <w:basedOn w:val="Normal"/>
    <w:link w:val="HeaderChar"/>
    <w:rsid w:val="00C86C2C"/>
    <w:pPr>
      <w:tabs>
        <w:tab w:val="center" w:pos="4680"/>
        <w:tab w:val="right" w:pos="9360"/>
      </w:tabs>
      <w:spacing w:after="0"/>
    </w:pPr>
  </w:style>
  <w:style w:type="character" w:customStyle="1" w:styleId="HeaderChar">
    <w:name w:val="Header Char"/>
    <w:basedOn w:val="DefaultParagraphFont"/>
    <w:link w:val="Header"/>
    <w:rsid w:val="00C86C2C"/>
    <w:rPr>
      <w:rFonts w:ascii="Arial" w:hAnsi="Arial"/>
      <w:sz w:val="22"/>
      <w:szCs w:val="24"/>
    </w:rPr>
  </w:style>
  <w:style w:type="paragraph" w:styleId="Footer">
    <w:name w:val="footer"/>
    <w:basedOn w:val="Normal"/>
    <w:link w:val="FooterChar"/>
    <w:rsid w:val="00C86C2C"/>
    <w:pPr>
      <w:tabs>
        <w:tab w:val="center" w:pos="4680"/>
        <w:tab w:val="right" w:pos="9360"/>
      </w:tabs>
      <w:spacing w:after="0"/>
    </w:pPr>
  </w:style>
  <w:style w:type="character" w:customStyle="1" w:styleId="FooterChar">
    <w:name w:val="Footer Char"/>
    <w:basedOn w:val="DefaultParagraphFont"/>
    <w:link w:val="Footer"/>
    <w:rsid w:val="00C86C2C"/>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2926"/>
    <w:pPr>
      <w:spacing w:after="120"/>
    </w:pPr>
    <w:rPr>
      <w:rFonts w:ascii="Arial" w:hAnsi="Arial"/>
      <w:sz w:val="22"/>
      <w:szCs w:val="24"/>
    </w:rPr>
  </w:style>
  <w:style w:type="paragraph" w:styleId="Heading1">
    <w:name w:val="heading 1"/>
    <w:basedOn w:val="Normal"/>
    <w:next w:val="indent"/>
    <w:link w:val="Heading1Char"/>
    <w:qFormat/>
    <w:rsid w:val="00F200A8"/>
    <w:pPr>
      <w:keepNext/>
      <w:numPr>
        <w:numId w:val="8"/>
      </w:numPr>
      <w:tabs>
        <w:tab w:val="left" w:pos="397"/>
      </w:tabs>
      <w:spacing w:before="240" w:after="60"/>
      <w:outlineLvl w:val="0"/>
    </w:pPr>
    <w:rPr>
      <w:rFonts w:cs="Arial"/>
      <w:b/>
      <w:bCs/>
      <w:kern w:val="32"/>
      <w:sz w:val="28"/>
      <w:szCs w:val="32"/>
    </w:rPr>
  </w:style>
  <w:style w:type="paragraph" w:styleId="Heading2">
    <w:name w:val="heading 2"/>
    <w:basedOn w:val="Normal"/>
    <w:next w:val="indent"/>
    <w:link w:val="Heading2Char"/>
    <w:qFormat/>
    <w:rsid w:val="00F200A8"/>
    <w:pPr>
      <w:keepNext/>
      <w:numPr>
        <w:ilvl w:val="1"/>
        <w:numId w:val="8"/>
      </w:numPr>
      <w:spacing w:before="120" w:after="60"/>
      <w:outlineLvl w:val="1"/>
    </w:pPr>
    <w:rPr>
      <w:rFonts w:cs="Arial"/>
      <w:b/>
      <w:bCs/>
      <w:i/>
      <w:iCs/>
      <w:szCs w:val="28"/>
    </w:rPr>
  </w:style>
  <w:style w:type="paragraph" w:styleId="Heading3">
    <w:name w:val="heading 3"/>
    <w:basedOn w:val="Normal"/>
    <w:next w:val="indent"/>
    <w:link w:val="Heading3Char"/>
    <w:qFormat/>
    <w:rsid w:val="00F200A8"/>
    <w:pPr>
      <w:keepNext/>
      <w:numPr>
        <w:ilvl w:val="2"/>
        <w:numId w:val="8"/>
      </w:numPr>
      <w:spacing w:before="120" w:after="60"/>
      <w:outlineLvl w:val="2"/>
    </w:pPr>
    <w:rPr>
      <w:rFonts w:cs="Arial"/>
      <w:b/>
      <w:bCs/>
      <w:szCs w:val="26"/>
    </w:rPr>
  </w:style>
  <w:style w:type="paragraph" w:styleId="Heading4">
    <w:name w:val="heading 4"/>
    <w:basedOn w:val="Normal"/>
    <w:next w:val="indent"/>
    <w:link w:val="Heading4Char"/>
    <w:qFormat/>
    <w:rsid w:val="00F200A8"/>
    <w:pPr>
      <w:keepNext/>
      <w:numPr>
        <w:ilvl w:val="3"/>
        <w:numId w:val="8"/>
      </w:numPr>
      <w:spacing w:before="240" w:after="60"/>
      <w:outlineLvl w:val="3"/>
    </w:pPr>
    <w:rPr>
      <w:b/>
      <w:bCs/>
      <w:sz w:val="24"/>
      <w:szCs w:val="28"/>
    </w:rPr>
  </w:style>
  <w:style w:type="paragraph" w:styleId="Heading5">
    <w:name w:val="heading 5"/>
    <w:basedOn w:val="Normal"/>
    <w:next w:val="Normal"/>
    <w:link w:val="Heading5Char"/>
    <w:qFormat/>
    <w:rsid w:val="00F200A8"/>
    <w:pPr>
      <w:numPr>
        <w:ilvl w:val="4"/>
        <w:numId w:val="8"/>
      </w:numPr>
      <w:tabs>
        <w:tab w:val="left" w:pos="1814"/>
      </w:tabs>
      <w:spacing w:before="120" w:after="60"/>
      <w:outlineLvl w:val="4"/>
    </w:pPr>
    <w:rPr>
      <w:b/>
      <w:bCs/>
      <w:i/>
      <w:iCs/>
      <w:szCs w:val="26"/>
    </w:rPr>
  </w:style>
  <w:style w:type="paragraph" w:styleId="Heading6">
    <w:name w:val="heading 6"/>
    <w:basedOn w:val="Normal"/>
    <w:next w:val="indent"/>
    <w:link w:val="Heading6Char"/>
    <w:qFormat/>
    <w:rsid w:val="00F200A8"/>
    <w:pPr>
      <w:numPr>
        <w:ilvl w:val="5"/>
        <w:numId w:val="8"/>
      </w:numPr>
      <w:spacing w:after="60"/>
      <w:outlineLvl w:val="5"/>
    </w:pPr>
    <w:rPr>
      <w:b/>
      <w:bCs/>
      <w:szCs w:val="22"/>
    </w:rPr>
  </w:style>
  <w:style w:type="paragraph" w:styleId="Heading7">
    <w:name w:val="heading 7"/>
    <w:basedOn w:val="Normal"/>
    <w:next w:val="Normal"/>
    <w:link w:val="Heading7Char"/>
    <w:qFormat/>
    <w:rsid w:val="00F200A8"/>
    <w:pPr>
      <w:numPr>
        <w:ilvl w:val="6"/>
        <w:numId w:val="8"/>
      </w:numPr>
      <w:spacing w:before="240" w:after="60"/>
      <w:outlineLvl w:val="6"/>
    </w:pPr>
  </w:style>
  <w:style w:type="paragraph" w:styleId="Heading8">
    <w:name w:val="heading 8"/>
    <w:basedOn w:val="Normal"/>
    <w:next w:val="Normal"/>
    <w:link w:val="Heading8Char"/>
    <w:qFormat/>
    <w:rsid w:val="00F200A8"/>
    <w:pPr>
      <w:numPr>
        <w:ilvl w:val="7"/>
        <w:numId w:val="8"/>
      </w:numPr>
      <w:spacing w:before="240" w:after="60"/>
      <w:outlineLvl w:val="7"/>
    </w:pPr>
    <w:rPr>
      <w:i/>
      <w:iCs/>
    </w:rPr>
  </w:style>
  <w:style w:type="paragraph" w:styleId="Heading9">
    <w:name w:val="heading 9"/>
    <w:basedOn w:val="Normal"/>
    <w:next w:val="Normal"/>
    <w:link w:val="Heading9Char"/>
    <w:qFormat/>
    <w:rsid w:val="00F200A8"/>
    <w:pPr>
      <w:numPr>
        <w:ilvl w:val="8"/>
        <w:numId w:val="8"/>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00A8"/>
    <w:rPr>
      <w:rFonts w:ascii="Arial" w:hAnsi="Arial" w:cs="Arial"/>
      <w:b/>
      <w:bCs/>
      <w:kern w:val="32"/>
      <w:sz w:val="28"/>
      <w:szCs w:val="32"/>
    </w:rPr>
  </w:style>
  <w:style w:type="paragraph" w:styleId="ListBullet">
    <w:name w:val="List Bullet"/>
    <w:basedOn w:val="Normal"/>
    <w:autoRedefine/>
    <w:rsid w:val="0040258C"/>
    <w:pPr>
      <w:numPr>
        <w:numId w:val="1"/>
      </w:numPr>
      <w:ind w:left="357" w:hanging="357"/>
    </w:pPr>
  </w:style>
  <w:style w:type="paragraph" w:styleId="ListNumber">
    <w:name w:val="List Number"/>
    <w:basedOn w:val="Normal"/>
    <w:rsid w:val="0040258C"/>
    <w:pPr>
      <w:numPr>
        <w:numId w:val="4"/>
      </w:numPr>
      <w:ind w:left="0" w:firstLine="0"/>
    </w:pPr>
  </w:style>
  <w:style w:type="paragraph" w:styleId="ListNumber2">
    <w:name w:val="List Number 2"/>
    <w:basedOn w:val="Normal"/>
    <w:rsid w:val="0040258C"/>
    <w:pPr>
      <w:numPr>
        <w:numId w:val="5"/>
      </w:numPr>
      <w:ind w:left="641" w:hanging="357"/>
    </w:pPr>
  </w:style>
  <w:style w:type="character" w:customStyle="1" w:styleId="Heading2Char">
    <w:name w:val="Heading 2 Char"/>
    <w:basedOn w:val="DefaultParagraphFont"/>
    <w:link w:val="Heading2"/>
    <w:rsid w:val="00F200A8"/>
    <w:rPr>
      <w:rFonts w:ascii="Arial" w:hAnsi="Arial" w:cs="Arial"/>
      <w:b/>
      <w:bCs/>
      <w:i/>
      <w:iCs/>
      <w:sz w:val="22"/>
      <w:szCs w:val="28"/>
    </w:rPr>
  </w:style>
  <w:style w:type="character" w:customStyle="1" w:styleId="Heading3Char">
    <w:name w:val="Heading 3 Char"/>
    <w:basedOn w:val="DefaultParagraphFont"/>
    <w:link w:val="Heading3"/>
    <w:rsid w:val="00F200A8"/>
    <w:rPr>
      <w:rFonts w:ascii="Arial" w:hAnsi="Arial" w:cs="Arial"/>
      <w:b/>
      <w:bCs/>
      <w:sz w:val="22"/>
      <w:szCs w:val="26"/>
    </w:rPr>
  </w:style>
  <w:style w:type="character" w:customStyle="1" w:styleId="Heading4Char">
    <w:name w:val="Heading 4 Char"/>
    <w:basedOn w:val="DefaultParagraphFont"/>
    <w:link w:val="Heading4"/>
    <w:rsid w:val="00F200A8"/>
    <w:rPr>
      <w:rFonts w:ascii="Arial" w:hAnsi="Arial"/>
      <w:b/>
      <w:bCs/>
      <w:sz w:val="24"/>
      <w:szCs w:val="28"/>
    </w:rPr>
  </w:style>
  <w:style w:type="character" w:customStyle="1" w:styleId="Heading5Char">
    <w:name w:val="Heading 5 Char"/>
    <w:basedOn w:val="DefaultParagraphFont"/>
    <w:link w:val="Heading5"/>
    <w:rsid w:val="00F200A8"/>
    <w:rPr>
      <w:rFonts w:ascii="Arial" w:hAnsi="Arial"/>
      <w:b/>
      <w:bCs/>
      <w:i/>
      <w:iCs/>
      <w:sz w:val="22"/>
      <w:szCs w:val="26"/>
    </w:rPr>
  </w:style>
  <w:style w:type="character" w:customStyle="1" w:styleId="Heading6Char">
    <w:name w:val="Heading 6 Char"/>
    <w:basedOn w:val="DefaultParagraphFont"/>
    <w:link w:val="Heading6"/>
    <w:rsid w:val="00F200A8"/>
    <w:rPr>
      <w:rFonts w:ascii="Arial" w:hAnsi="Arial"/>
      <w:b/>
      <w:bCs/>
      <w:sz w:val="22"/>
      <w:szCs w:val="22"/>
    </w:rPr>
  </w:style>
  <w:style w:type="character" w:customStyle="1" w:styleId="Heading7Char">
    <w:name w:val="Heading 7 Char"/>
    <w:basedOn w:val="DefaultParagraphFont"/>
    <w:link w:val="Heading7"/>
    <w:rsid w:val="00F200A8"/>
    <w:rPr>
      <w:rFonts w:ascii="Arial" w:hAnsi="Arial"/>
      <w:sz w:val="22"/>
      <w:szCs w:val="24"/>
    </w:rPr>
  </w:style>
  <w:style w:type="character" w:customStyle="1" w:styleId="Heading8Char">
    <w:name w:val="Heading 8 Char"/>
    <w:basedOn w:val="DefaultParagraphFont"/>
    <w:link w:val="Heading8"/>
    <w:rsid w:val="00F200A8"/>
    <w:rPr>
      <w:rFonts w:ascii="Arial" w:hAnsi="Arial"/>
      <w:i/>
      <w:iCs/>
      <w:sz w:val="22"/>
      <w:szCs w:val="24"/>
    </w:rPr>
  </w:style>
  <w:style w:type="character" w:customStyle="1" w:styleId="Heading9Char">
    <w:name w:val="Heading 9 Char"/>
    <w:basedOn w:val="DefaultParagraphFont"/>
    <w:link w:val="Heading9"/>
    <w:rsid w:val="00F200A8"/>
    <w:rPr>
      <w:rFonts w:ascii="Arial" w:hAnsi="Arial" w:cs="Arial"/>
      <w:sz w:val="22"/>
      <w:szCs w:val="22"/>
    </w:rPr>
  </w:style>
  <w:style w:type="paragraph" w:customStyle="1" w:styleId="indent">
    <w:name w:val="indent"/>
    <w:basedOn w:val="Normal"/>
    <w:rsid w:val="00F200A8"/>
    <w:pPr>
      <w:ind w:left="567"/>
    </w:pPr>
  </w:style>
  <w:style w:type="character" w:styleId="Hyperlink">
    <w:name w:val="Hyperlink"/>
    <w:basedOn w:val="DefaultParagraphFont"/>
    <w:rsid w:val="00F200A8"/>
    <w:rPr>
      <w:color w:val="0000FF"/>
      <w:u w:val="single"/>
    </w:rPr>
  </w:style>
  <w:style w:type="character" w:styleId="Emphasis">
    <w:name w:val="Emphasis"/>
    <w:basedOn w:val="DefaultParagraphFont"/>
    <w:qFormat/>
    <w:rsid w:val="00F200A8"/>
    <w:rPr>
      <w:i/>
      <w:iCs/>
    </w:rPr>
  </w:style>
  <w:style w:type="paragraph" w:styleId="Title">
    <w:name w:val="Title"/>
    <w:basedOn w:val="Normal"/>
    <w:next w:val="Normal"/>
    <w:link w:val="TitleChar"/>
    <w:qFormat/>
    <w:rsid w:val="00F200A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200A8"/>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aliases w:val="Footnote Text Char1,Footnote Text Char Char,Char,Char Char Char Char Char Char Char Char Char,Footnote Text Char Char Char Char Char Char Char Char Char Char Char Char Char Char Char Char Char Char Char Char Char Char Char Char Char"/>
    <w:basedOn w:val="Normal"/>
    <w:link w:val="FootnoteTextChar"/>
    <w:rsid w:val="00F200A8"/>
    <w:pPr>
      <w:spacing w:after="0"/>
    </w:pPr>
    <w:rPr>
      <w:sz w:val="20"/>
      <w:szCs w:val="20"/>
    </w:rPr>
  </w:style>
  <w:style w:type="character" w:customStyle="1" w:styleId="FootnoteTextChar">
    <w:name w:val="Footnote Text Char"/>
    <w:aliases w:val="Footnote Text Char1 Char,Footnote Text Char Char Char,Char Char,Char Char Char Char Char Char Char Char Char Char"/>
    <w:basedOn w:val="DefaultParagraphFont"/>
    <w:link w:val="FootnoteText"/>
    <w:rsid w:val="00F200A8"/>
    <w:rPr>
      <w:rFonts w:ascii="Arial" w:hAnsi="Arial"/>
    </w:rPr>
  </w:style>
  <w:style w:type="character" w:styleId="FootnoteReference">
    <w:name w:val="footnote reference"/>
    <w:aliases w:val="BVI fnr Char,BVI fnr Car Car Char,BVI fnr Car Char,BVI fnr Car Car Car Car Char,BVI fnr Car Car Car Car Char Char"/>
    <w:basedOn w:val="DefaultParagraphFont"/>
    <w:rsid w:val="00F200A8"/>
    <w:rPr>
      <w:vertAlign w:val="superscript"/>
    </w:rPr>
  </w:style>
  <w:style w:type="paragraph" w:styleId="ListParagraph">
    <w:name w:val="List Paragraph"/>
    <w:basedOn w:val="Normal"/>
    <w:uiPriority w:val="34"/>
    <w:qFormat/>
    <w:rsid w:val="005E0F24"/>
    <w:pPr>
      <w:ind w:left="720"/>
      <w:contextualSpacing/>
    </w:pPr>
  </w:style>
  <w:style w:type="paragraph" w:styleId="DocumentMap">
    <w:name w:val="Document Map"/>
    <w:basedOn w:val="Normal"/>
    <w:link w:val="DocumentMapChar"/>
    <w:rsid w:val="00B3540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B3540B"/>
    <w:rPr>
      <w:rFonts w:ascii="Tahoma" w:hAnsi="Tahoma" w:cs="Tahoma"/>
      <w:shd w:val="clear" w:color="auto" w:fill="000080"/>
    </w:rPr>
  </w:style>
  <w:style w:type="table" w:styleId="TableGrid">
    <w:name w:val="Table Grid"/>
    <w:basedOn w:val="TableNormal"/>
    <w:uiPriority w:val="59"/>
    <w:rsid w:val="001810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553063"/>
    <w:rPr>
      <w:sz w:val="16"/>
      <w:szCs w:val="16"/>
    </w:rPr>
  </w:style>
  <w:style w:type="paragraph" w:styleId="CommentText">
    <w:name w:val="annotation text"/>
    <w:basedOn w:val="Normal"/>
    <w:link w:val="CommentTextChar"/>
    <w:uiPriority w:val="99"/>
    <w:rsid w:val="00553063"/>
    <w:rPr>
      <w:sz w:val="20"/>
      <w:szCs w:val="20"/>
    </w:rPr>
  </w:style>
  <w:style w:type="character" w:customStyle="1" w:styleId="CommentTextChar">
    <w:name w:val="Comment Text Char"/>
    <w:basedOn w:val="DefaultParagraphFont"/>
    <w:link w:val="CommentText"/>
    <w:uiPriority w:val="99"/>
    <w:rsid w:val="00553063"/>
    <w:rPr>
      <w:rFonts w:ascii="Arial" w:hAnsi="Arial"/>
    </w:rPr>
  </w:style>
  <w:style w:type="paragraph" w:styleId="CommentSubject">
    <w:name w:val="annotation subject"/>
    <w:basedOn w:val="CommentText"/>
    <w:next w:val="CommentText"/>
    <w:link w:val="CommentSubjectChar"/>
    <w:rsid w:val="00553063"/>
    <w:rPr>
      <w:b/>
      <w:bCs/>
    </w:rPr>
  </w:style>
  <w:style w:type="character" w:customStyle="1" w:styleId="CommentSubjectChar">
    <w:name w:val="Comment Subject Char"/>
    <w:basedOn w:val="CommentTextChar"/>
    <w:link w:val="CommentSubject"/>
    <w:rsid w:val="00553063"/>
    <w:rPr>
      <w:rFonts w:ascii="Arial" w:hAnsi="Arial"/>
      <w:b/>
      <w:bCs/>
    </w:rPr>
  </w:style>
  <w:style w:type="paragraph" w:styleId="BalloonText">
    <w:name w:val="Balloon Text"/>
    <w:basedOn w:val="Normal"/>
    <w:link w:val="BalloonTextChar"/>
    <w:rsid w:val="00553063"/>
    <w:pPr>
      <w:spacing w:after="0"/>
    </w:pPr>
    <w:rPr>
      <w:rFonts w:ascii="Tahoma" w:hAnsi="Tahoma" w:cs="Tahoma"/>
      <w:sz w:val="16"/>
      <w:szCs w:val="16"/>
    </w:rPr>
  </w:style>
  <w:style w:type="character" w:customStyle="1" w:styleId="BalloonTextChar">
    <w:name w:val="Balloon Text Char"/>
    <w:basedOn w:val="DefaultParagraphFont"/>
    <w:link w:val="BalloonText"/>
    <w:rsid w:val="00553063"/>
    <w:rPr>
      <w:rFonts w:ascii="Tahoma" w:hAnsi="Tahoma" w:cs="Tahoma"/>
      <w:sz w:val="16"/>
      <w:szCs w:val="16"/>
    </w:rPr>
  </w:style>
  <w:style w:type="paragraph" w:styleId="Header">
    <w:name w:val="header"/>
    <w:basedOn w:val="Normal"/>
    <w:link w:val="HeaderChar"/>
    <w:rsid w:val="00C86C2C"/>
    <w:pPr>
      <w:tabs>
        <w:tab w:val="center" w:pos="4680"/>
        <w:tab w:val="right" w:pos="9360"/>
      </w:tabs>
      <w:spacing w:after="0"/>
    </w:pPr>
  </w:style>
  <w:style w:type="character" w:customStyle="1" w:styleId="HeaderChar">
    <w:name w:val="Header Char"/>
    <w:basedOn w:val="DefaultParagraphFont"/>
    <w:link w:val="Header"/>
    <w:rsid w:val="00C86C2C"/>
    <w:rPr>
      <w:rFonts w:ascii="Arial" w:hAnsi="Arial"/>
      <w:sz w:val="22"/>
      <w:szCs w:val="24"/>
    </w:rPr>
  </w:style>
  <w:style w:type="paragraph" w:styleId="Footer">
    <w:name w:val="footer"/>
    <w:basedOn w:val="Normal"/>
    <w:link w:val="FooterChar"/>
    <w:rsid w:val="00C86C2C"/>
    <w:pPr>
      <w:tabs>
        <w:tab w:val="center" w:pos="4680"/>
        <w:tab w:val="right" w:pos="9360"/>
      </w:tabs>
      <w:spacing w:after="0"/>
    </w:pPr>
  </w:style>
  <w:style w:type="character" w:customStyle="1" w:styleId="FooterChar">
    <w:name w:val="Footer Char"/>
    <w:basedOn w:val="DefaultParagraphFont"/>
    <w:link w:val="Footer"/>
    <w:rsid w:val="00C86C2C"/>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872556">
      <w:bodyDiv w:val="1"/>
      <w:marLeft w:val="0"/>
      <w:marRight w:val="0"/>
      <w:marTop w:val="0"/>
      <w:marBottom w:val="0"/>
      <w:divBdr>
        <w:top w:val="none" w:sz="0" w:space="0" w:color="auto"/>
        <w:left w:val="none" w:sz="0" w:space="0" w:color="auto"/>
        <w:bottom w:val="none" w:sz="0" w:space="0" w:color="auto"/>
        <w:right w:val="none" w:sz="0" w:space="0" w:color="auto"/>
      </w:divBdr>
    </w:div>
    <w:div w:id="703795473">
      <w:bodyDiv w:val="1"/>
      <w:marLeft w:val="0"/>
      <w:marRight w:val="0"/>
      <w:marTop w:val="0"/>
      <w:marBottom w:val="0"/>
      <w:divBdr>
        <w:top w:val="none" w:sz="0" w:space="0" w:color="auto"/>
        <w:left w:val="none" w:sz="0" w:space="0" w:color="auto"/>
        <w:bottom w:val="none" w:sz="0" w:space="0" w:color="auto"/>
        <w:right w:val="none" w:sz="0" w:space="0" w:color="auto"/>
      </w:divBdr>
    </w:div>
    <w:div w:id="915742133">
      <w:bodyDiv w:val="1"/>
      <w:marLeft w:val="0"/>
      <w:marRight w:val="0"/>
      <w:marTop w:val="0"/>
      <w:marBottom w:val="0"/>
      <w:divBdr>
        <w:top w:val="none" w:sz="0" w:space="0" w:color="auto"/>
        <w:left w:val="none" w:sz="0" w:space="0" w:color="auto"/>
        <w:bottom w:val="none" w:sz="0" w:space="0" w:color="auto"/>
        <w:right w:val="none" w:sz="0" w:space="0" w:color="auto"/>
      </w:divBdr>
    </w:div>
    <w:div w:id="1172337651">
      <w:bodyDiv w:val="1"/>
      <w:marLeft w:val="0"/>
      <w:marRight w:val="0"/>
      <w:marTop w:val="0"/>
      <w:marBottom w:val="0"/>
      <w:divBdr>
        <w:top w:val="none" w:sz="0" w:space="0" w:color="auto"/>
        <w:left w:val="none" w:sz="0" w:space="0" w:color="auto"/>
        <w:bottom w:val="none" w:sz="0" w:space="0" w:color="auto"/>
        <w:right w:val="none" w:sz="0" w:space="0" w:color="auto"/>
      </w:divBdr>
    </w:div>
    <w:div w:id="1222325336">
      <w:bodyDiv w:val="1"/>
      <w:marLeft w:val="0"/>
      <w:marRight w:val="0"/>
      <w:marTop w:val="0"/>
      <w:marBottom w:val="0"/>
      <w:divBdr>
        <w:top w:val="none" w:sz="0" w:space="0" w:color="auto"/>
        <w:left w:val="none" w:sz="0" w:space="0" w:color="auto"/>
        <w:bottom w:val="none" w:sz="0" w:space="0" w:color="auto"/>
        <w:right w:val="none" w:sz="0" w:space="0" w:color="auto"/>
      </w:divBdr>
    </w:div>
    <w:div w:id="1895266757">
      <w:bodyDiv w:val="1"/>
      <w:marLeft w:val="0"/>
      <w:marRight w:val="0"/>
      <w:marTop w:val="0"/>
      <w:marBottom w:val="0"/>
      <w:divBdr>
        <w:top w:val="none" w:sz="0" w:space="0" w:color="auto"/>
        <w:left w:val="none" w:sz="0" w:space="0" w:color="auto"/>
        <w:bottom w:val="none" w:sz="0" w:space="0" w:color="auto"/>
        <w:right w:val="none" w:sz="0" w:space="0" w:color="auto"/>
      </w:divBdr>
    </w:div>
    <w:div w:id="205685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eltercluster.org/"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heltercluster.org/AboutUs/Pages/Contacts.aspx"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heltercluster.org/Global/Pages/Working-Groups-2013.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heltercluster.org/Global/Pages/SAG.aspx"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AA7AFC8FE433CD4B94E991D812AE17EB00F37795F16C02B54FA333B83379F14DC9" ma:contentTypeVersion="77" ma:contentTypeDescription="" ma:contentTypeScope="" ma:versionID="b538bbdbf0b6ae43f63b4c24a2c91651">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0a4868bf48d678714e130991e8c44800"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false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Info xmlns="http://schemas.microsoft.com/office/infopath/2007/PartnerControls">
          <TermName xmlns="http://schemas.microsoft.com/office/infopath/2007/PartnerControls">SAG</TermName>
          <TermId xmlns="http://schemas.microsoft.com/office/infopath/2007/PartnerControls">d22a800b-11e8-4369-bc50-19aadb86db2e</TermId>
        </TermInfo>
      </Term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g2834a0a4b5b445382f80b4d1c20b873>
    <Document_x0020_Description xmlns="96664bca-06c0-4657-b6f9-0a997f5ff9b9">Enhancing the response capacity of the Shelter Cluster</Document_x0020_Description>
    <Websio_x0020_Document_x0020_Preview xmlns="96664bca-06c0-4657-b6f9-0a997f5ff9b9">/Global/_layouts/WebsioPreviewField/preview.aspx?ID=11626648-840b-4321-a5d3-85295e654e48&amp;WebID=30d679d3-1a3d-45e2-8217-3a6e66821850&amp;SiteID=0e29c24b-3e6a-4c7c-8cc1-69b27805b55c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 xsi:nil="true"/>
    <fbbb2add3bda4432ae4dea6625736703 xmlns="96664bca-06c0-4657-b6f9-0a997f5ff9b9">
      <Terms xmlns="http://schemas.microsoft.com/office/infopath/2007/PartnerControls"/>
    </fbbb2add3bda4432ae4dea6625736703>
    <TaxCatchAll xmlns="96664bca-06c0-4657-b6f9-0a997f5ff9b9">
      <Value>335</Value>
      <Value>271</Value>
      <Value>115</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a83348d14d814196bcaad6bde9cb9d0c>
    <RegionTaxHTField0 xmlns="c2760211-3e43-4ff7-a9ea-22e8b7d99117">
      <Terms xmlns="http://schemas.microsoft.com/office/infopath/2007/PartnerControl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2013-01-18T00:00:00+00:00</Report_x0020_Date>
    <Current_x0020_Lead_x0020_AgencyTaxHTField0 xmlns="410da107-b4b9-4416-82f0-a17ea7b4313c">
      <Terms xmlns="http://schemas.microsoft.com/office/infopath/2007/PartnerControls"/>
    </Current_x0020_Lead_x0020_AgencyTaxHTField0>
  </documentManagement>
</p:properties>
</file>

<file path=customXml/itemProps1.xml><?xml version="1.0" encoding="utf-8"?>
<ds:datastoreItem xmlns:ds="http://schemas.openxmlformats.org/officeDocument/2006/customXml" ds:itemID="{B88C6ACD-B467-40C3-ADE8-32055D68A567}"/>
</file>

<file path=customXml/itemProps2.xml><?xml version="1.0" encoding="utf-8"?>
<ds:datastoreItem xmlns:ds="http://schemas.openxmlformats.org/officeDocument/2006/customXml" ds:itemID="{00995FD4-E5C6-484B-852C-CE0A7A520802}"/>
</file>

<file path=customXml/itemProps3.xml><?xml version="1.0" encoding="utf-8"?>
<ds:datastoreItem xmlns:ds="http://schemas.openxmlformats.org/officeDocument/2006/customXml" ds:itemID="{B096B42F-C35D-4FE4-AC4C-5DF04EFA51EB}"/>
</file>

<file path=customXml/itemProps4.xml><?xml version="1.0" encoding="utf-8"?>
<ds:datastoreItem xmlns:ds="http://schemas.openxmlformats.org/officeDocument/2006/customXml" ds:itemID="{55168BDC-A030-4909-A5A6-3F0FBE241496}"/>
</file>

<file path=docProps/app.xml><?xml version="1.0" encoding="utf-8"?>
<Properties xmlns="http://schemas.openxmlformats.org/officeDocument/2006/extended-properties" xmlns:vt="http://schemas.openxmlformats.org/officeDocument/2006/docPropsVTypes">
  <Template>Normal.dotm</Template>
  <TotalTime>1</TotalTime>
  <Pages>4</Pages>
  <Words>1632</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10920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ECHO Concept Note 4</dc:title>
  <dc:creator>anna.pont</dc:creator>
  <cp:keywords>Meeting Minutes; SAG</cp:keywords>
  <cp:lastModifiedBy>Maxime Cianni</cp:lastModifiedBy>
  <cp:revision>2</cp:revision>
  <cp:lastPrinted>2012-10-25T09:26:00Z</cp:lastPrinted>
  <dcterms:created xsi:type="dcterms:W3CDTF">2013-01-18T15:47:00Z</dcterms:created>
  <dcterms:modified xsi:type="dcterms:W3CDTF">2013-01-18T15:47:00Z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0x010100AA7AFC8FE433CD4B94E991D812AE17EB00F37795F16C02B54FA333B83379F14DC9</vt:lpwstr>
  </property>
  <property fmtid="{D5CDD505-2E9C-101B-9397-08002B2CF9AE}" pid="3" name="TaxKeyword">
    <vt:lpwstr>271;#Meeting Minutes|073dd3fd-2ae4-4873-a4a7-3498e6b393b4;#335;#SAG|d22a800b-11e8-4369-bc50-19aadb86db2e</vt:lpwstr>
  </property>
  <property fmtid="{D5CDD505-2E9C-101B-9397-08002B2CF9AE}" pid="6" name="Document Language">
    <vt:lpwstr>115;#English|53eb1c9d-8416-419a-9260-1df8e70b86c2</vt:lpwstr>
  </property>
  <property fmtid="{D5CDD505-2E9C-101B-9397-08002B2CF9AE}" pid="7" name="Document Category">
    <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
  </property>
  <property fmtid="{D5CDD505-2E9C-101B-9397-08002B2CF9AE}" pid="20" name="Cross Cutting1">
    <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