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0265DB" w14:textId="01A7759C" w:rsidR="004F13B5" w:rsidRPr="00F533DA" w:rsidRDefault="00F533DA" w:rsidP="13AD1CA3">
      <w:pPr>
        <w:spacing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13AD1CA3">
        <w:rPr>
          <w:rFonts w:ascii="Arial" w:hAnsi="Arial" w:cs="Arial"/>
          <w:b/>
          <w:bCs/>
          <w:sz w:val="28"/>
          <w:szCs w:val="28"/>
        </w:rPr>
        <w:t>Guidance note: M</w:t>
      </w:r>
      <w:r w:rsidR="000F29BF" w:rsidRPr="13AD1CA3">
        <w:rPr>
          <w:rFonts w:ascii="Arial" w:hAnsi="Arial" w:cs="Arial"/>
          <w:b/>
          <w:bCs/>
          <w:sz w:val="28"/>
          <w:szCs w:val="28"/>
        </w:rPr>
        <w:t xml:space="preserve">onitoring </w:t>
      </w:r>
      <w:r w:rsidRPr="13AD1CA3">
        <w:rPr>
          <w:rFonts w:ascii="Arial" w:hAnsi="Arial" w:cs="Arial"/>
          <w:b/>
          <w:bCs/>
          <w:sz w:val="28"/>
          <w:szCs w:val="28"/>
        </w:rPr>
        <w:t>HRP environment</w:t>
      </w:r>
      <w:r w:rsidR="000F29BF" w:rsidRPr="13AD1CA3">
        <w:rPr>
          <w:rFonts w:ascii="Arial" w:hAnsi="Arial" w:cs="Arial"/>
          <w:b/>
          <w:bCs/>
          <w:sz w:val="28"/>
          <w:szCs w:val="28"/>
        </w:rPr>
        <w:t xml:space="preserve"> indicators </w:t>
      </w:r>
    </w:p>
    <w:p w14:paraId="26B521A8" w14:textId="28AA4A5C" w:rsidR="000B0A44" w:rsidRDefault="002F35FE" w:rsidP="00FA6C99">
      <w:pPr>
        <w:spacing w:line="276" w:lineRule="auto"/>
        <w:rPr>
          <w:rFonts w:ascii="Arial" w:hAnsi="Arial" w:cs="Arial"/>
          <w:sz w:val="20"/>
          <w:szCs w:val="20"/>
        </w:rPr>
      </w:pPr>
      <w:r w:rsidRPr="13AD1CA3">
        <w:rPr>
          <w:rFonts w:ascii="Arial" w:hAnsi="Arial" w:cs="Arial"/>
          <w:sz w:val="20"/>
          <w:szCs w:val="20"/>
        </w:rPr>
        <w:t xml:space="preserve">The purpose of this note is to </w:t>
      </w:r>
      <w:r w:rsidR="00E952B0" w:rsidRPr="13AD1CA3">
        <w:rPr>
          <w:rFonts w:ascii="Arial" w:hAnsi="Arial" w:cs="Arial"/>
          <w:sz w:val="20"/>
          <w:szCs w:val="20"/>
        </w:rPr>
        <w:t>provide guidance</w:t>
      </w:r>
      <w:r w:rsidRPr="13AD1CA3">
        <w:rPr>
          <w:rFonts w:ascii="Arial" w:hAnsi="Arial" w:cs="Arial"/>
          <w:sz w:val="20"/>
          <w:szCs w:val="20"/>
        </w:rPr>
        <w:t xml:space="preserve"> </w:t>
      </w:r>
      <w:r w:rsidR="003D5012" w:rsidRPr="13AD1CA3">
        <w:rPr>
          <w:rFonts w:ascii="Arial" w:hAnsi="Arial" w:cs="Arial"/>
          <w:sz w:val="20"/>
          <w:szCs w:val="20"/>
        </w:rPr>
        <w:t xml:space="preserve">on </w:t>
      </w:r>
      <w:r w:rsidRPr="13AD1CA3">
        <w:rPr>
          <w:rFonts w:ascii="Arial" w:hAnsi="Arial" w:cs="Arial"/>
          <w:sz w:val="20"/>
          <w:szCs w:val="20"/>
        </w:rPr>
        <w:t>how “green”</w:t>
      </w:r>
      <w:r w:rsidR="006D6EBD" w:rsidRPr="13AD1CA3">
        <w:rPr>
          <w:rFonts w:ascii="Arial" w:hAnsi="Arial" w:cs="Arial"/>
          <w:sz w:val="20"/>
          <w:szCs w:val="20"/>
        </w:rPr>
        <w:t xml:space="preserve"> or “green-ed”</w:t>
      </w:r>
      <w:r w:rsidRPr="13AD1CA3">
        <w:rPr>
          <w:rFonts w:ascii="Arial" w:hAnsi="Arial" w:cs="Arial"/>
          <w:sz w:val="20"/>
          <w:szCs w:val="20"/>
        </w:rPr>
        <w:t xml:space="preserve"> indicators in the HRP can be tracked through </w:t>
      </w:r>
      <w:r w:rsidR="006D6EBD" w:rsidRPr="13AD1CA3">
        <w:rPr>
          <w:rFonts w:ascii="Arial" w:hAnsi="Arial" w:cs="Arial"/>
          <w:sz w:val="20"/>
          <w:szCs w:val="20"/>
        </w:rPr>
        <w:t xml:space="preserve">the </w:t>
      </w:r>
      <w:r w:rsidR="00A27753" w:rsidRPr="13AD1CA3">
        <w:rPr>
          <w:rFonts w:ascii="Arial" w:hAnsi="Arial" w:cs="Arial"/>
          <w:sz w:val="20"/>
          <w:szCs w:val="20"/>
        </w:rPr>
        <w:t>IM</w:t>
      </w:r>
      <w:r w:rsidRPr="13AD1CA3">
        <w:rPr>
          <w:rFonts w:ascii="Arial" w:hAnsi="Arial" w:cs="Arial"/>
          <w:sz w:val="20"/>
          <w:szCs w:val="20"/>
        </w:rPr>
        <w:t xml:space="preserve"> tools </w:t>
      </w:r>
      <w:r w:rsidR="003D5012" w:rsidRPr="13AD1CA3">
        <w:rPr>
          <w:rFonts w:ascii="Arial" w:hAnsi="Arial" w:cs="Arial"/>
          <w:sz w:val="20"/>
          <w:szCs w:val="20"/>
        </w:rPr>
        <w:t>(such as the 4W</w:t>
      </w:r>
      <w:r w:rsidR="00A27753" w:rsidRPr="13AD1CA3">
        <w:rPr>
          <w:rFonts w:ascii="Arial" w:hAnsi="Arial" w:cs="Arial"/>
          <w:sz w:val="20"/>
          <w:szCs w:val="20"/>
        </w:rPr>
        <w:t xml:space="preserve"> and the results framework</w:t>
      </w:r>
      <w:r w:rsidR="003D5012" w:rsidRPr="13AD1CA3">
        <w:rPr>
          <w:rFonts w:ascii="Arial" w:hAnsi="Arial" w:cs="Arial"/>
          <w:sz w:val="20"/>
          <w:szCs w:val="20"/>
        </w:rPr>
        <w:t xml:space="preserve">) </w:t>
      </w:r>
      <w:r w:rsidRPr="13AD1CA3">
        <w:rPr>
          <w:rFonts w:ascii="Arial" w:hAnsi="Arial" w:cs="Arial"/>
          <w:sz w:val="20"/>
          <w:szCs w:val="20"/>
        </w:rPr>
        <w:t xml:space="preserve">of the </w:t>
      </w:r>
      <w:r w:rsidR="003D5012" w:rsidRPr="13AD1CA3">
        <w:rPr>
          <w:rFonts w:ascii="Arial" w:hAnsi="Arial" w:cs="Arial"/>
          <w:sz w:val="20"/>
          <w:szCs w:val="20"/>
        </w:rPr>
        <w:t>cluster</w:t>
      </w:r>
      <w:r w:rsidRPr="13AD1CA3">
        <w:rPr>
          <w:rFonts w:ascii="Arial" w:hAnsi="Arial" w:cs="Arial"/>
          <w:sz w:val="20"/>
          <w:szCs w:val="20"/>
        </w:rPr>
        <w:t xml:space="preserve">. </w:t>
      </w:r>
      <w:r w:rsidR="003D5012" w:rsidRPr="13AD1CA3">
        <w:rPr>
          <w:rFonts w:ascii="Arial" w:hAnsi="Arial" w:cs="Arial"/>
          <w:sz w:val="20"/>
          <w:szCs w:val="20"/>
        </w:rPr>
        <w:t xml:space="preserve">The process is </w:t>
      </w:r>
      <w:r w:rsidR="00A27753" w:rsidRPr="13AD1CA3">
        <w:rPr>
          <w:rFonts w:ascii="Arial" w:hAnsi="Arial" w:cs="Arial"/>
          <w:sz w:val="20"/>
          <w:szCs w:val="20"/>
        </w:rPr>
        <w:t>illustrated</w:t>
      </w:r>
      <w:r w:rsidR="003D5012" w:rsidRPr="13AD1CA3">
        <w:rPr>
          <w:rFonts w:ascii="Arial" w:hAnsi="Arial" w:cs="Arial"/>
          <w:sz w:val="20"/>
          <w:szCs w:val="20"/>
        </w:rPr>
        <w:t xml:space="preserve"> through an example.</w:t>
      </w:r>
    </w:p>
    <w:p w14:paraId="6E1C2C91" w14:textId="247DCD12" w:rsidR="000B0A44" w:rsidRPr="00123E5A" w:rsidRDefault="000B0A44" w:rsidP="13AD1CA3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13AD1CA3">
        <w:rPr>
          <w:rFonts w:ascii="Arial" w:hAnsi="Arial" w:cs="Arial"/>
          <w:b/>
          <w:bCs/>
          <w:sz w:val="24"/>
          <w:szCs w:val="24"/>
        </w:rPr>
        <w:t>Step 1. Include all “green” or “green</w:t>
      </w:r>
      <w:r w:rsidR="00850589" w:rsidRPr="13AD1CA3">
        <w:rPr>
          <w:rFonts w:ascii="Arial" w:hAnsi="Arial" w:cs="Arial"/>
          <w:b/>
          <w:bCs/>
          <w:sz w:val="24"/>
          <w:szCs w:val="24"/>
        </w:rPr>
        <w:t>-</w:t>
      </w:r>
      <w:r w:rsidRPr="13AD1CA3">
        <w:rPr>
          <w:rFonts w:ascii="Arial" w:hAnsi="Arial" w:cs="Arial"/>
          <w:b/>
          <w:bCs/>
          <w:sz w:val="24"/>
          <w:szCs w:val="24"/>
        </w:rPr>
        <w:t xml:space="preserve">ed” HRP indicators in </w:t>
      </w:r>
      <w:r w:rsidR="00A27753" w:rsidRPr="13AD1CA3">
        <w:rPr>
          <w:rFonts w:ascii="Arial" w:hAnsi="Arial" w:cs="Arial"/>
          <w:b/>
          <w:bCs/>
          <w:sz w:val="24"/>
          <w:szCs w:val="24"/>
        </w:rPr>
        <w:t>your</w:t>
      </w:r>
      <w:r w:rsidRPr="13AD1CA3">
        <w:rPr>
          <w:rFonts w:ascii="Arial" w:hAnsi="Arial" w:cs="Arial"/>
          <w:b/>
          <w:bCs/>
          <w:sz w:val="24"/>
          <w:szCs w:val="24"/>
        </w:rPr>
        <w:t xml:space="preserve"> results framework </w:t>
      </w:r>
    </w:p>
    <w:p w14:paraId="6C588042" w14:textId="43BD137A" w:rsidR="00EA4519" w:rsidRPr="00CC6669" w:rsidRDefault="00EA4519" w:rsidP="13AD1CA3">
      <w:pPr>
        <w:spacing w:line="276" w:lineRule="auto"/>
        <w:rPr>
          <w:rFonts w:ascii="Arial" w:hAnsi="Arial" w:cs="Arial"/>
          <w:i/>
          <w:iCs/>
          <w:sz w:val="20"/>
          <w:szCs w:val="20"/>
          <w:u w:val="single"/>
        </w:rPr>
      </w:pPr>
      <w:r w:rsidRPr="13AD1CA3">
        <w:rPr>
          <w:rFonts w:ascii="Arial" w:hAnsi="Arial" w:cs="Arial"/>
          <w:i/>
          <w:iCs/>
          <w:sz w:val="20"/>
          <w:szCs w:val="20"/>
          <w:u w:val="single"/>
        </w:rPr>
        <w:t xml:space="preserve">Results framework: </w:t>
      </w:r>
    </w:p>
    <w:tbl>
      <w:tblPr>
        <w:tblW w:w="10467" w:type="dxa"/>
        <w:tblInd w:w="-5" w:type="dxa"/>
        <w:tblLook w:val="04A0" w:firstRow="1" w:lastRow="0" w:firstColumn="1" w:lastColumn="0" w:noHBand="0" w:noVBand="1"/>
      </w:tblPr>
      <w:tblGrid>
        <w:gridCol w:w="3893"/>
        <w:gridCol w:w="938"/>
        <w:gridCol w:w="1756"/>
        <w:gridCol w:w="3880"/>
      </w:tblGrid>
      <w:tr w:rsidR="00EA4519" w:rsidRPr="00E3274B" w14:paraId="2A7EE2E8" w14:textId="77777777" w:rsidTr="13AD1CA3">
        <w:trPr>
          <w:trHeight w:val="250"/>
        </w:trPr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6FBA1" w14:textId="77777777" w:rsidR="00EA4519" w:rsidRPr="00E3274B" w:rsidRDefault="00EA4519" w:rsidP="00FA6C99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13AD1CA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HRP Indicator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01ACA" w14:textId="77777777" w:rsidR="00EA4519" w:rsidRPr="00E3274B" w:rsidRDefault="00EA4519" w:rsidP="00FA6C99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13AD1CA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Target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0A648" w14:textId="77777777" w:rsidR="00EA4519" w:rsidRPr="00E3274B" w:rsidRDefault="00EA4519" w:rsidP="00FA6C99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13AD1CA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# Total households reached</w:t>
            </w:r>
          </w:p>
        </w:tc>
        <w:tc>
          <w:tcPr>
            <w:tcW w:w="3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7C509" w14:textId="27D4C960" w:rsidR="00EA4519" w:rsidRPr="00E3274B" w:rsidRDefault="00EA4519" w:rsidP="00FA6C99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13AD1CA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% households reached</w:t>
            </w:r>
            <w:r w:rsidR="006A6F55" w:rsidRPr="13AD1CA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D5189D" w:rsidRPr="13AD1CA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with environment-friendly activities, among reached households</w:t>
            </w:r>
          </w:p>
        </w:tc>
      </w:tr>
      <w:tr w:rsidR="00EA4519" w:rsidRPr="00E3274B" w14:paraId="6FF17D9F" w14:textId="77777777" w:rsidTr="13AD1CA3">
        <w:trPr>
          <w:trHeight w:val="183"/>
        </w:trPr>
        <w:tc>
          <w:tcPr>
            <w:tcW w:w="3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3A2B0" w14:textId="3873274F" w:rsidR="00EA4519" w:rsidRPr="00E3274B" w:rsidRDefault="00EA4519" w:rsidP="00FA6C99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13AD1CA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# of households reached with NFI distributions (% households reached with NFI kits that are environment-friendly)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533EC" w14:textId="77777777" w:rsidR="00EA4519" w:rsidRPr="00E3274B" w:rsidRDefault="00EA4519" w:rsidP="00FA6C99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13AD1CA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47,933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5B37B" w14:textId="422FC553" w:rsidR="00EA4519" w:rsidRPr="00E3274B" w:rsidRDefault="006D6EBD" w:rsidP="00FA6C99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13AD1CA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XX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37237" w14:textId="6C3947C9" w:rsidR="00EA4519" w:rsidRPr="00E3274B" w:rsidRDefault="006D6EBD" w:rsidP="00FA6C99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13AD1CA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XX</w:t>
            </w:r>
          </w:p>
        </w:tc>
      </w:tr>
    </w:tbl>
    <w:p w14:paraId="1CDAB8F9" w14:textId="77777777" w:rsidR="00EA4519" w:rsidRDefault="00EA4519" w:rsidP="00FA6C99">
      <w:pPr>
        <w:spacing w:line="276" w:lineRule="auto"/>
        <w:rPr>
          <w:rFonts w:ascii="Arial" w:hAnsi="Arial" w:cs="Arial"/>
          <w:sz w:val="20"/>
          <w:szCs w:val="20"/>
        </w:rPr>
      </w:pPr>
    </w:p>
    <w:p w14:paraId="0656CDAD" w14:textId="1E8BCB4F" w:rsidR="00EA4519" w:rsidRPr="00123E5A" w:rsidRDefault="000B0A44" w:rsidP="13AD1CA3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13AD1CA3">
        <w:rPr>
          <w:rFonts w:ascii="Arial" w:hAnsi="Arial" w:cs="Arial"/>
          <w:b/>
          <w:bCs/>
          <w:sz w:val="24"/>
          <w:szCs w:val="24"/>
        </w:rPr>
        <w:t xml:space="preserve">Step 2. </w:t>
      </w:r>
      <w:r w:rsidR="004C72CE" w:rsidRPr="13AD1CA3">
        <w:rPr>
          <w:rFonts w:ascii="Arial" w:hAnsi="Arial" w:cs="Arial"/>
          <w:b/>
          <w:bCs/>
          <w:sz w:val="24"/>
          <w:szCs w:val="24"/>
        </w:rPr>
        <w:t>U</w:t>
      </w:r>
      <w:r w:rsidRPr="13AD1CA3">
        <w:rPr>
          <w:rFonts w:ascii="Arial" w:hAnsi="Arial" w:cs="Arial"/>
          <w:b/>
          <w:bCs/>
          <w:sz w:val="24"/>
          <w:szCs w:val="24"/>
        </w:rPr>
        <w:t xml:space="preserve">pdate </w:t>
      </w:r>
      <w:r w:rsidR="00552F4F" w:rsidRPr="13AD1CA3">
        <w:rPr>
          <w:rFonts w:ascii="Arial" w:hAnsi="Arial" w:cs="Arial"/>
          <w:b/>
          <w:bCs/>
          <w:sz w:val="24"/>
          <w:szCs w:val="24"/>
        </w:rPr>
        <w:t>the 4W template</w:t>
      </w:r>
      <w:r w:rsidRPr="13AD1CA3">
        <w:rPr>
          <w:rFonts w:ascii="Arial" w:hAnsi="Arial" w:cs="Arial"/>
          <w:b/>
          <w:bCs/>
          <w:sz w:val="24"/>
          <w:szCs w:val="24"/>
        </w:rPr>
        <w:t xml:space="preserve"> to be able to monitor the indicators</w:t>
      </w:r>
      <w:r w:rsidR="00123E5A" w:rsidRPr="13AD1CA3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62032427" w14:textId="6BCC0F75" w:rsidR="001C0A58" w:rsidRPr="00552F4F" w:rsidRDefault="00EA4519" w:rsidP="0D50ABC1">
      <w:pPr>
        <w:pStyle w:val="ListParagraph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D50ABC1">
        <w:rPr>
          <w:rFonts w:ascii="Arial" w:hAnsi="Arial" w:cs="Arial"/>
          <w:sz w:val="20"/>
          <w:szCs w:val="20"/>
        </w:rPr>
        <w:t xml:space="preserve">Include two </w:t>
      </w:r>
      <w:r w:rsidR="006276CA" w:rsidRPr="0D50ABC1">
        <w:rPr>
          <w:rFonts w:ascii="Arial" w:hAnsi="Arial" w:cs="Arial"/>
          <w:sz w:val="20"/>
          <w:szCs w:val="20"/>
        </w:rPr>
        <w:t xml:space="preserve">extra </w:t>
      </w:r>
      <w:r w:rsidRPr="0D50ABC1">
        <w:rPr>
          <w:rFonts w:ascii="Arial" w:hAnsi="Arial" w:cs="Arial"/>
          <w:sz w:val="20"/>
          <w:szCs w:val="20"/>
        </w:rPr>
        <w:t>columns</w:t>
      </w:r>
      <w:r w:rsidR="006276CA" w:rsidRPr="0D50ABC1">
        <w:rPr>
          <w:rFonts w:ascii="Arial" w:hAnsi="Arial" w:cs="Arial"/>
          <w:sz w:val="20"/>
          <w:szCs w:val="20"/>
        </w:rPr>
        <w:t xml:space="preserve"> in the </w:t>
      </w:r>
      <w:r w:rsidR="00552F4F" w:rsidRPr="0D50ABC1">
        <w:rPr>
          <w:rFonts w:ascii="Arial" w:hAnsi="Arial" w:cs="Arial"/>
          <w:sz w:val="20"/>
          <w:szCs w:val="20"/>
        </w:rPr>
        <w:t>4W</w:t>
      </w:r>
      <w:r w:rsidRPr="0D50ABC1">
        <w:rPr>
          <w:rFonts w:ascii="Arial" w:hAnsi="Arial" w:cs="Arial"/>
          <w:sz w:val="20"/>
          <w:szCs w:val="20"/>
        </w:rPr>
        <w:t xml:space="preserve">, one which qualifies </w:t>
      </w:r>
      <w:r w:rsidR="006276CA" w:rsidRPr="0D50ABC1">
        <w:rPr>
          <w:rFonts w:ascii="Arial" w:hAnsi="Arial" w:cs="Arial"/>
          <w:sz w:val="20"/>
          <w:szCs w:val="20"/>
        </w:rPr>
        <w:t>whether</w:t>
      </w:r>
      <w:r w:rsidRPr="0D50ABC1">
        <w:rPr>
          <w:rFonts w:ascii="Arial" w:hAnsi="Arial" w:cs="Arial"/>
          <w:sz w:val="20"/>
          <w:szCs w:val="20"/>
        </w:rPr>
        <w:t xml:space="preserve"> activit</w:t>
      </w:r>
      <w:r w:rsidR="006276CA" w:rsidRPr="0D50ABC1">
        <w:rPr>
          <w:rFonts w:ascii="Arial" w:hAnsi="Arial" w:cs="Arial"/>
          <w:sz w:val="20"/>
          <w:szCs w:val="20"/>
        </w:rPr>
        <w:t xml:space="preserve">ies are meeting specific environment-friendly criteria, </w:t>
      </w:r>
      <w:r w:rsidRPr="0D50ABC1">
        <w:rPr>
          <w:rFonts w:ascii="Arial" w:hAnsi="Arial" w:cs="Arial"/>
          <w:sz w:val="20"/>
          <w:szCs w:val="20"/>
        </w:rPr>
        <w:t xml:space="preserve">and one which </w:t>
      </w:r>
      <w:r w:rsidR="00EE0E89" w:rsidRPr="0D50ABC1">
        <w:rPr>
          <w:rFonts w:ascii="Arial" w:hAnsi="Arial" w:cs="Arial"/>
          <w:sz w:val="20"/>
          <w:szCs w:val="20"/>
        </w:rPr>
        <w:t xml:space="preserve">states the proportion of households that were reached with </w:t>
      </w:r>
      <w:r w:rsidR="00EA11F7" w:rsidRPr="0D50ABC1">
        <w:rPr>
          <w:rFonts w:ascii="Arial" w:hAnsi="Arial" w:cs="Arial"/>
          <w:sz w:val="20"/>
          <w:szCs w:val="20"/>
        </w:rPr>
        <w:t xml:space="preserve">these activities. </w:t>
      </w:r>
    </w:p>
    <w:p w14:paraId="3B8AF738" w14:textId="12CA2CAA" w:rsidR="00EA11F7" w:rsidRPr="00552F4F" w:rsidRDefault="00EE0E89" w:rsidP="0D50ABC1">
      <w:pPr>
        <w:pStyle w:val="ListParagraph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D50ABC1">
        <w:rPr>
          <w:rFonts w:ascii="Arial" w:hAnsi="Arial" w:cs="Arial"/>
          <w:sz w:val="20"/>
          <w:szCs w:val="20"/>
        </w:rPr>
        <w:t xml:space="preserve">The default </w:t>
      </w:r>
      <w:r w:rsidR="001C0A58" w:rsidRPr="0D50ABC1">
        <w:rPr>
          <w:rFonts w:ascii="Arial" w:hAnsi="Arial" w:cs="Arial"/>
          <w:sz w:val="20"/>
          <w:szCs w:val="20"/>
        </w:rPr>
        <w:t>is to consider</w:t>
      </w:r>
      <w:r w:rsidR="00EA11F7" w:rsidRPr="0D50ABC1">
        <w:rPr>
          <w:rFonts w:ascii="Arial" w:hAnsi="Arial" w:cs="Arial"/>
          <w:sz w:val="20"/>
          <w:szCs w:val="20"/>
        </w:rPr>
        <w:t xml:space="preserve"> that</w:t>
      </w:r>
      <w:r w:rsidR="001C0A58" w:rsidRPr="0D50ABC1">
        <w:rPr>
          <w:rFonts w:ascii="Arial" w:hAnsi="Arial" w:cs="Arial"/>
          <w:sz w:val="20"/>
          <w:szCs w:val="20"/>
        </w:rPr>
        <w:t xml:space="preserve"> either ALL </w:t>
      </w:r>
      <w:r w:rsidR="007B75DB" w:rsidRPr="0D50ABC1">
        <w:rPr>
          <w:rFonts w:ascii="Arial" w:hAnsi="Arial" w:cs="Arial"/>
          <w:sz w:val="20"/>
          <w:szCs w:val="20"/>
        </w:rPr>
        <w:t xml:space="preserve">(100%) </w:t>
      </w:r>
      <w:r w:rsidR="001C0A58" w:rsidRPr="0D50ABC1">
        <w:rPr>
          <w:rFonts w:ascii="Arial" w:hAnsi="Arial" w:cs="Arial"/>
          <w:sz w:val="20"/>
          <w:szCs w:val="20"/>
        </w:rPr>
        <w:t xml:space="preserve">or NONE </w:t>
      </w:r>
      <w:r w:rsidR="007B75DB" w:rsidRPr="0D50ABC1">
        <w:rPr>
          <w:rFonts w:ascii="Arial" w:hAnsi="Arial" w:cs="Arial"/>
          <w:sz w:val="20"/>
          <w:szCs w:val="20"/>
        </w:rPr>
        <w:t xml:space="preserve">(0%) </w:t>
      </w:r>
      <w:r w:rsidR="001C0A58" w:rsidRPr="0D50ABC1">
        <w:rPr>
          <w:rFonts w:ascii="Arial" w:hAnsi="Arial" w:cs="Arial"/>
          <w:sz w:val="20"/>
          <w:szCs w:val="20"/>
        </w:rPr>
        <w:t>of the households are concerned, which means that the activity needs to be qualified as being environment-friendly</w:t>
      </w:r>
      <w:r w:rsidR="00EA11F7" w:rsidRPr="0D50ABC1">
        <w:rPr>
          <w:rFonts w:ascii="Arial" w:hAnsi="Arial" w:cs="Arial"/>
          <w:sz w:val="20"/>
          <w:szCs w:val="20"/>
        </w:rPr>
        <w:t xml:space="preserve"> or not</w:t>
      </w:r>
      <w:r w:rsidR="004F0547" w:rsidRPr="0D50ABC1">
        <w:rPr>
          <w:rFonts w:ascii="Arial" w:hAnsi="Arial" w:cs="Arial"/>
          <w:sz w:val="20"/>
          <w:szCs w:val="20"/>
        </w:rPr>
        <w:t>,</w:t>
      </w:r>
      <w:r w:rsidR="001C0A58" w:rsidRPr="0D50ABC1">
        <w:rPr>
          <w:rFonts w:ascii="Arial" w:hAnsi="Arial" w:cs="Arial"/>
          <w:sz w:val="20"/>
          <w:szCs w:val="20"/>
        </w:rPr>
        <w:t xml:space="preserve"> </w:t>
      </w:r>
      <w:r w:rsidR="00EA11F7" w:rsidRPr="0D50ABC1">
        <w:rPr>
          <w:rFonts w:ascii="Arial" w:hAnsi="Arial" w:cs="Arial"/>
          <w:sz w:val="20"/>
          <w:szCs w:val="20"/>
        </w:rPr>
        <w:t>as a whole, ideally at the onset</w:t>
      </w:r>
      <w:r w:rsidR="00EC38FE" w:rsidRPr="0D50ABC1">
        <w:rPr>
          <w:rFonts w:ascii="Arial" w:hAnsi="Arial" w:cs="Arial"/>
          <w:sz w:val="20"/>
          <w:szCs w:val="20"/>
        </w:rPr>
        <w:t>.</w:t>
      </w:r>
      <w:r w:rsidR="00EA11F7" w:rsidRPr="0D50ABC1">
        <w:rPr>
          <w:rFonts w:ascii="Arial" w:hAnsi="Arial" w:cs="Arial"/>
          <w:sz w:val="20"/>
          <w:szCs w:val="20"/>
        </w:rPr>
        <w:t xml:space="preserve"> </w:t>
      </w:r>
      <w:r w:rsidR="00EC38FE" w:rsidRPr="0D50ABC1">
        <w:rPr>
          <w:rFonts w:ascii="Arial" w:hAnsi="Arial" w:cs="Arial"/>
          <w:sz w:val="20"/>
          <w:szCs w:val="20"/>
        </w:rPr>
        <w:t xml:space="preserve"> </w:t>
      </w:r>
      <w:r w:rsidR="00EA11F7" w:rsidRPr="00B91EE8">
        <w:rPr>
          <w:rFonts w:ascii="Arial" w:hAnsi="Arial" w:cs="Arial"/>
          <w:color w:val="000000" w:themeColor="text1"/>
          <w:sz w:val="20"/>
          <w:szCs w:val="20"/>
        </w:rPr>
        <w:t>(</w:t>
      </w:r>
      <w:r w:rsidR="001800D1" w:rsidRPr="00B91EE8">
        <w:rPr>
          <w:rFonts w:ascii="Arial" w:hAnsi="Arial" w:cs="Arial"/>
          <w:i/>
          <w:iCs/>
          <w:color w:val="000000" w:themeColor="text1"/>
          <w:sz w:val="20"/>
          <w:szCs w:val="20"/>
        </w:rPr>
        <w:t>How to proceed with this qualification</w:t>
      </w:r>
      <w:r w:rsidR="00EC38FE" w:rsidRPr="00B91EE8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is discussed below under “how to determine whether the activity can be qualified as environment-friendly or not”</w:t>
      </w:r>
      <w:r w:rsidR="00EA11F7" w:rsidRPr="00B91EE8">
        <w:rPr>
          <w:rFonts w:ascii="Arial" w:hAnsi="Arial" w:cs="Arial"/>
          <w:i/>
          <w:iCs/>
          <w:color w:val="000000" w:themeColor="text1"/>
          <w:sz w:val="20"/>
          <w:szCs w:val="20"/>
        </w:rPr>
        <w:t>)</w:t>
      </w:r>
    </w:p>
    <w:p w14:paraId="20B425B0" w14:textId="4BDD84CB" w:rsidR="00123E5A" w:rsidRDefault="00123E5A" w:rsidP="0D50ABC1">
      <w:pPr>
        <w:pStyle w:val="ListParagraph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D50ABC1">
        <w:rPr>
          <w:rFonts w:ascii="Arial" w:hAnsi="Arial" w:cs="Arial"/>
          <w:sz w:val="20"/>
          <w:szCs w:val="20"/>
        </w:rPr>
        <w:t xml:space="preserve">Nevertheless, there may be cases where disruptions </w:t>
      </w:r>
      <w:r w:rsidR="00EA11F7" w:rsidRPr="0D50ABC1">
        <w:rPr>
          <w:rFonts w:ascii="Arial" w:hAnsi="Arial" w:cs="Arial"/>
          <w:sz w:val="20"/>
          <w:szCs w:val="20"/>
        </w:rPr>
        <w:t xml:space="preserve">to activities may lead to changes in terms of procurement or </w:t>
      </w:r>
      <w:r w:rsidR="00C74696" w:rsidRPr="0D50ABC1">
        <w:rPr>
          <w:rFonts w:ascii="Arial" w:hAnsi="Arial" w:cs="Arial"/>
          <w:sz w:val="20"/>
          <w:szCs w:val="20"/>
        </w:rPr>
        <w:t xml:space="preserve">the </w:t>
      </w:r>
      <w:r w:rsidR="00EA11F7" w:rsidRPr="0D50ABC1">
        <w:rPr>
          <w:rFonts w:ascii="Arial" w:hAnsi="Arial" w:cs="Arial"/>
          <w:sz w:val="20"/>
          <w:szCs w:val="20"/>
        </w:rPr>
        <w:t>approach</w:t>
      </w:r>
      <w:r w:rsidR="00E205E6" w:rsidRPr="0D50ABC1">
        <w:rPr>
          <w:rFonts w:ascii="Arial" w:hAnsi="Arial" w:cs="Arial"/>
          <w:sz w:val="20"/>
          <w:szCs w:val="20"/>
        </w:rPr>
        <w:t xml:space="preserve"> employed for implementation</w:t>
      </w:r>
      <w:r w:rsidR="00EA11F7" w:rsidRPr="0D50ABC1">
        <w:rPr>
          <w:rFonts w:ascii="Arial" w:hAnsi="Arial" w:cs="Arial"/>
          <w:sz w:val="20"/>
          <w:szCs w:val="20"/>
        </w:rPr>
        <w:t xml:space="preserve">. In this case, </w:t>
      </w:r>
      <w:r w:rsidRPr="0D50ABC1">
        <w:rPr>
          <w:rFonts w:ascii="Arial" w:hAnsi="Arial" w:cs="Arial"/>
          <w:sz w:val="20"/>
          <w:szCs w:val="20"/>
        </w:rPr>
        <w:t>you should estimate which proportion o</w:t>
      </w:r>
      <w:r w:rsidR="00C74696" w:rsidRPr="0D50ABC1">
        <w:rPr>
          <w:rFonts w:ascii="Arial" w:hAnsi="Arial" w:cs="Arial"/>
          <w:sz w:val="20"/>
          <w:szCs w:val="20"/>
        </w:rPr>
        <w:t>f</w:t>
      </w:r>
      <w:r w:rsidRPr="0D50ABC1">
        <w:rPr>
          <w:rFonts w:ascii="Arial" w:hAnsi="Arial" w:cs="Arial"/>
          <w:sz w:val="20"/>
          <w:szCs w:val="20"/>
        </w:rPr>
        <w:t xml:space="preserve"> a particular activity is still “green” and which isn’t</w:t>
      </w:r>
      <w:r w:rsidR="00C74696" w:rsidRPr="0D50ABC1">
        <w:rPr>
          <w:rFonts w:ascii="Arial" w:hAnsi="Arial" w:cs="Arial"/>
          <w:sz w:val="20"/>
          <w:szCs w:val="20"/>
        </w:rPr>
        <w:t xml:space="preserve">, and then </w:t>
      </w:r>
      <w:r w:rsidR="00CB10B7" w:rsidRPr="0D50ABC1">
        <w:rPr>
          <w:rFonts w:ascii="Arial" w:hAnsi="Arial" w:cs="Arial"/>
          <w:sz w:val="20"/>
          <w:szCs w:val="20"/>
        </w:rPr>
        <w:t>adapt the percentage to a new estimate</w:t>
      </w:r>
      <w:r w:rsidR="00C74696" w:rsidRPr="0D50ABC1">
        <w:rPr>
          <w:rFonts w:ascii="Arial" w:hAnsi="Arial" w:cs="Arial"/>
          <w:sz w:val="20"/>
          <w:szCs w:val="20"/>
        </w:rPr>
        <w:t xml:space="preserve">. </w:t>
      </w:r>
    </w:p>
    <w:p w14:paraId="159AC8C9" w14:textId="6AC55CA4" w:rsidR="00EA11F7" w:rsidRPr="00FA6C99" w:rsidRDefault="00EA11F7" w:rsidP="0D50ABC1">
      <w:pPr>
        <w:pStyle w:val="ListParagraph"/>
        <w:numPr>
          <w:ilvl w:val="1"/>
          <w:numId w:val="10"/>
        </w:numPr>
        <w:spacing w:line="276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D50ABC1">
        <w:rPr>
          <w:rFonts w:ascii="Arial" w:hAnsi="Arial" w:cs="Arial"/>
          <w:i/>
          <w:iCs/>
          <w:sz w:val="20"/>
          <w:szCs w:val="20"/>
        </w:rPr>
        <w:t xml:space="preserve">For example, NGO A </w:t>
      </w:r>
      <w:r w:rsidR="00BE6856" w:rsidRPr="0D50ABC1">
        <w:rPr>
          <w:rFonts w:ascii="Arial" w:hAnsi="Arial" w:cs="Arial"/>
          <w:i/>
          <w:iCs/>
          <w:sz w:val="20"/>
          <w:szCs w:val="20"/>
        </w:rPr>
        <w:t xml:space="preserve">was supposed to distribute 6000 </w:t>
      </w:r>
      <w:r w:rsidR="000E692D" w:rsidRPr="0D50ABC1">
        <w:rPr>
          <w:rFonts w:ascii="Arial" w:hAnsi="Arial" w:cs="Arial"/>
          <w:i/>
          <w:iCs/>
          <w:sz w:val="20"/>
          <w:szCs w:val="20"/>
        </w:rPr>
        <w:t xml:space="preserve">NFI </w:t>
      </w:r>
      <w:r w:rsidR="00BE6856" w:rsidRPr="0D50ABC1">
        <w:rPr>
          <w:rFonts w:ascii="Arial" w:hAnsi="Arial" w:cs="Arial"/>
          <w:i/>
          <w:iCs/>
          <w:sz w:val="20"/>
          <w:szCs w:val="20"/>
        </w:rPr>
        <w:t xml:space="preserve">kits from </w:t>
      </w:r>
      <w:r w:rsidR="00D97AC3" w:rsidRPr="0D50ABC1">
        <w:rPr>
          <w:rFonts w:ascii="Arial" w:hAnsi="Arial" w:cs="Arial"/>
          <w:i/>
          <w:iCs/>
          <w:sz w:val="20"/>
          <w:szCs w:val="20"/>
        </w:rPr>
        <w:t>a batch</w:t>
      </w:r>
      <w:r w:rsidR="00BE6856" w:rsidRPr="0D50ABC1">
        <w:rPr>
          <w:rFonts w:ascii="Arial" w:hAnsi="Arial" w:cs="Arial"/>
          <w:i/>
          <w:iCs/>
          <w:sz w:val="20"/>
          <w:szCs w:val="20"/>
        </w:rPr>
        <w:t xml:space="preserve"> over </w:t>
      </w:r>
      <w:r w:rsidR="00753EC7" w:rsidRPr="0D50ABC1">
        <w:rPr>
          <w:rFonts w:ascii="Arial" w:hAnsi="Arial" w:cs="Arial"/>
          <w:i/>
          <w:iCs/>
          <w:sz w:val="20"/>
          <w:szCs w:val="20"/>
        </w:rPr>
        <w:t>3</w:t>
      </w:r>
      <w:r w:rsidR="00BE6856" w:rsidRPr="0D50ABC1">
        <w:rPr>
          <w:rFonts w:ascii="Arial" w:hAnsi="Arial" w:cs="Arial"/>
          <w:i/>
          <w:iCs/>
          <w:sz w:val="20"/>
          <w:szCs w:val="20"/>
        </w:rPr>
        <w:t xml:space="preserve"> months. These kits fulfil environment-friendly criteria. However, </w:t>
      </w:r>
      <w:r w:rsidR="00FA6C99" w:rsidRPr="0D50ABC1">
        <w:rPr>
          <w:rFonts w:ascii="Arial" w:hAnsi="Arial" w:cs="Arial"/>
          <w:i/>
          <w:iCs/>
          <w:sz w:val="20"/>
          <w:szCs w:val="20"/>
        </w:rPr>
        <w:t xml:space="preserve">after 1 month, </w:t>
      </w:r>
      <w:r w:rsidR="00BE6856" w:rsidRPr="0D50ABC1">
        <w:rPr>
          <w:rFonts w:ascii="Arial" w:hAnsi="Arial" w:cs="Arial"/>
          <w:i/>
          <w:iCs/>
          <w:sz w:val="20"/>
          <w:szCs w:val="20"/>
        </w:rPr>
        <w:t xml:space="preserve">due to disruptions </w:t>
      </w:r>
      <w:r w:rsidR="00FA6C99" w:rsidRPr="0D50ABC1">
        <w:rPr>
          <w:rFonts w:ascii="Arial" w:hAnsi="Arial" w:cs="Arial"/>
          <w:i/>
          <w:iCs/>
          <w:sz w:val="20"/>
          <w:szCs w:val="20"/>
        </w:rPr>
        <w:t>caused by</w:t>
      </w:r>
      <w:r w:rsidR="00AE3906" w:rsidRPr="0D50ABC1">
        <w:rPr>
          <w:rFonts w:ascii="Arial" w:hAnsi="Arial" w:cs="Arial"/>
          <w:i/>
          <w:iCs/>
          <w:sz w:val="20"/>
          <w:szCs w:val="20"/>
        </w:rPr>
        <w:t xml:space="preserve"> access issues, they only were able to distribute 3000. The remaining 3000 </w:t>
      </w:r>
      <w:r w:rsidR="00FA6C99" w:rsidRPr="0D50ABC1">
        <w:rPr>
          <w:rFonts w:ascii="Arial" w:hAnsi="Arial" w:cs="Arial"/>
          <w:i/>
          <w:iCs/>
          <w:sz w:val="20"/>
          <w:szCs w:val="20"/>
        </w:rPr>
        <w:t>are instead taken</w:t>
      </w:r>
      <w:r w:rsidR="00AE3906" w:rsidRPr="0D50ABC1">
        <w:rPr>
          <w:rFonts w:ascii="Arial" w:hAnsi="Arial" w:cs="Arial"/>
          <w:i/>
          <w:iCs/>
          <w:sz w:val="20"/>
          <w:szCs w:val="20"/>
        </w:rPr>
        <w:t xml:space="preserve"> from a different batch which does not fulfil environment-friendly criteria. </w:t>
      </w:r>
      <w:r w:rsidR="00D42F68" w:rsidRPr="0D50ABC1">
        <w:rPr>
          <w:rFonts w:ascii="Arial" w:hAnsi="Arial" w:cs="Arial"/>
          <w:i/>
          <w:iCs/>
          <w:sz w:val="20"/>
          <w:szCs w:val="20"/>
        </w:rPr>
        <w:t xml:space="preserve">In this case, the % of households reached </w:t>
      </w:r>
      <w:r w:rsidR="00753EC7" w:rsidRPr="0D50ABC1">
        <w:rPr>
          <w:rFonts w:ascii="Arial" w:hAnsi="Arial" w:cs="Arial"/>
          <w:i/>
          <w:iCs/>
          <w:sz w:val="20"/>
          <w:szCs w:val="20"/>
        </w:rPr>
        <w:t xml:space="preserve">by NGO A </w:t>
      </w:r>
      <w:r w:rsidR="00D42F68" w:rsidRPr="0D50ABC1">
        <w:rPr>
          <w:rFonts w:ascii="Arial" w:hAnsi="Arial" w:cs="Arial"/>
          <w:i/>
          <w:iCs/>
          <w:sz w:val="20"/>
          <w:szCs w:val="20"/>
        </w:rPr>
        <w:t xml:space="preserve">with </w:t>
      </w:r>
      <w:r w:rsidR="00753EC7" w:rsidRPr="0D50ABC1">
        <w:rPr>
          <w:rFonts w:ascii="Arial" w:hAnsi="Arial" w:cs="Arial"/>
          <w:i/>
          <w:iCs/>
          <w:sz w:val="20"/>
          <w:szCs w:val="20"/>
        </w:rPr>
        <w:t>NFI distributions</w:t>
      </w:r>
      <w:r w:rsidR="00D42F68" w:rsidRPr="0D50ABC1">
        <w:rPr>
          <w:rFonts w:ascii="Arial" w:hAnsi="Arial" w:cs="Arial"/>
          <w:i/>
          <w:iCs/>
          <w:sz w:val="20"/>
          <w:szCs w:val="20"/>
        </w:rPr>
        <w:t xml:space="preserve"> that seek to minimize environmental impact</w:t>
      </w:r>
      <w:r w:rsidR="00977F12" w:rsidRPr="0D50ABC1">
        <w:rPr>
          <w:rFonts w:ascii="Arial" w:hAnsi="Arial" w:cs="Arial"/>
          <w:i/>
          <w:iCs/>
          <w:sz w:val="20"/>
          <w:szCs w:val="20"/>
        </w:rPr>
        <w:t xml:space="preserve"> </w:t>
      </w:r>
      <w:r w:rsidR="002071B1" w:rsidRPr="0D50ABC1">
        <w:rPr>
          <w:rFonts w:ascii="Arial" w:hAnsi="Arial" w:cs="Arial"/>
          <w:i/>
          <w:iCs/>
          <w:sz w:val="20"/>
          <w:szCs w:val="20"/>
        </w:rPr>
        <w:t xml:space="preserve">becomes </w:t>
      </w:r>
      <w:r w:rsidR="00D42F68" w:rsidRPr="0D50ABC1">
        <w:rPr>
          <w:rFonts w:ascii="Arial" w:hAnsi="Arial" w:cs="Arial"/>
          <w:i/>
          <w:iCs/>
          <w:sz w:val="20"/>
          <w:szCs w:val="20"/>
        </w:rPr>
        <w:t xml:space="preserve">50%. </w:t>
      </w:r>
    </w:p>
    <w:p w14:paraId="691AA450" w14:textId="55466E50" w:rsidR="00123E5A" w:rsidRDefault="00123E5A" w:rsidP="0D50ABC1">
      <w:pPr>
        <w:pStyle w:val="ListParagraph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D50ABC1">
        <w:rPr>
          <w:rFonts w:ascii="Arial" w:hAnsi="Arial" w:cs="Arial"/>
          <w:sz w:val="20"/>
          <w:szCs w:val="20"/>
        </w:rPr>
        <w:t xml:space="preserve">Train partners on how to add this information when filling in the </w:t>
      </w:r>
      <w:r w:rsidR="00977F12" w:rsidRPr="0D50ABC1">
        <w:rPr>
          <w:rFonts w:ascii="Arial" w:hAnsi="Arial" w:cs="Arial"/>
          <w:sz w:val="20"/>
          <w:szCs w:val="20"/>
        </w:rPr>
        <w:t>4W</w:t>
      </w:r>
      <w:r w:rsidRPr="0D50ABC1">
        <w:rPr>
          <w:rFonts w:ascii="Arial" w:hAnsi="Arial" w:cs="Arial"/>
          <w:sz w:val="20"/>
          <w:szCs w:val="20"/>
        </w:rPr>
        <w:t xml:space="preserve"> and proceed as usual with the reporting process</w:t>
      </w:r>
      <w:r w:rsidR="00977F12" w:rsidRPr="0D50ABC1">
        <w:rPr>
          <w:rFonts w:ascii="Arial" w:hAnsi="Arial" w:cs="Arial"/>
          <w:sz w:val="20"/>
          <w:szCs w:val="20"/>
        </w:rPr>
        <w:t xml:space="preserve">. </w:t>
      </w:r>
    </w:p>
    <w:p w14:paraId="1D633478" w14:textId="5054CBAF" w:rsidR="00EC38FE" w:rsidRPr="00CC6669" w:rsidRDefault="00EC38FE" w:rsidP="13AD1CA3">
      <w:pPr>
        <w:spacing w:line="276" w:lineRule="auto"/>
        <w:rPr>
          <w:rFonts w:ascii="Arial" w:hAnsi="Arial" w:cs="Arial"/>
          <w:i/>
          <w:iCs/>
          <w:sz w:val="20"/>
          <w:szCs w:val="20"/>
          <w:u w:val="single"/>
        </w:rPr>
      </w:pPr>
      <w:r w:rsidRPr="13AD1CA3">
        <w:rPr>
          <w:rFonts w:ascii="Arial" w:hAnsi="Arial" w:cs="Arial"/>
          <w:i/>
          <w:iCs/>
          <w:sz w:val="20"/>
          <w:szCs w:val="20"/>
          <w:u w:val="single"/>
        </w:rPr>
        <w:t>Activity matrix (4 or 5W)</w:t>
      </w:r>
      <w:r w:rsidR="00CC6669" w:rsidRPr="13AD1CA3">
        <w:rPr>
          <w:rFonts w:ascii="Arial" w:hAnsi="Arial" w:cs="Arial"/>
          <w:i/>
          <w:iCs/>
          <w:sz w:val="20"/>
          <w:szCs w:val="20"/>
        </w:rPr>
        <w:t>:</w:t>
      </w:r>
    </w:p>
    <w:tbl>
      <w:tblPr>
        <w:tblW w:w="10298" w:type="dxa"/>
        <w:tblInd w:w="113" w:type="dxa"/>
        <w:tblLayout w:type="fixe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795"/>
        <w:gridCol w:w="1133"/>
        <w:gridCol w:w="866"/>
        <w:gridCol w:w="1600"/>
        <w:gridCol w:w="932"/>
        <w:gridCol w:w="1462"/>
        <w:gridCol w:w="1271"/>
        <w:gridCol w:w="2239"/>
      </w:tblGrid>
      <w:tr w:rsidR="00DB4938" w:rsidRPr="00EC38FE" w14:paraId="1781E7F8" w14:textId="77777777" w:rsidTr="13AD1CA3">
        <w:trPr>
          <w:trHeight w:val="806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  <w:hideMark/>
          </w:tcPr>
          <w:p w14:paraId="072B6FDB" w14:textId="77777777" w:rsidR="00EC38FE" w:rsidRPr="00EC38FE" w:rsidRDefault="00EC38FE" w:rsidP="00FA6C99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13AD1CA3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  <w:t>Activity #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  <w:hideMark/>
          </w:tcPr>
          <w:p w14:paraId="286EE4A0" w14:textId="2ED13F2F" w:rsidR="00EC38FE" w:rsidRPr="00EC38FE" w:rsidRDefault="00EC38FE" w:rsidP="00FA6C99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13AD1CA3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  <w:t>Org</w:t>
            </w:r>
            <w:r w:rsidR="00DB4938" w:rsidRPr="13AD1CA3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  <w:t>.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  <w:hideMark/>
          </w:tcPr>
          <w:p w14:paraId="41458D37" w14:textId="77777777" w:rsidR="00EC38FE" w:rsidRPr="00EC38FE" w:rsidRDefault="00EC38FE" w:rsidP="00FA6C99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13AD1CA3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  <w:t>Donor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  <w:hideMark/>
          </w:tcPr>
          <w:p w14:paraId="24474E93" w14:textId="77777777" w:rsidR="00EC38FE" w:rsidRPr="00EC38FE" w:rsidRDefault="00EC38FE" w:rsidP="00FA6C99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13AD1CA3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  <w:t>Activity type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  <w:hideMark/>
          </w:tcPr>
          <w:p w14:paraId="5E9E1DD7" w14:textId="77777777" w:rsidR="00EC38FE" w:rsidRPr="00EC38FE" w:rsidRDefault="00EC38FE" w:rsidP="00FA6C99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13AD1CA3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  <w:t>Location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  <w:hideMark/>
          </w:tcPr>
          <w:p w14:paraId="72EBA309" w14:textId="4C19DBB4" w:rsidR="00EC38FE" w:rsidRPr="00EC38FE" w:rsidRDefault="00EC38FE" w:rsidP="00FA6C99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13AD1CA3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  <w:t>Activity fulfils environment-friendly criteria?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  <w:hideMark/>
          </w:tcPr>
          <w:p w14:paraId="54DA799E" w14:textId="57F9C686" w:rsidR="00EC38FE" w:rsidRPr="00EC38FE" w:rsidRDefault="00EC38FE" w:rsidP="00FA6C99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13AD1CA3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  <w:t xml:space="preserve"># of </w:t>
            </w:r>
            <w:r w:rsidR="00081B6B" w:rsidRPr="13AD1CA3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  <w:t>households</w:t>
            </w:r>
            <w:r w:rsidRPr="13AD1CA3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  <w:t xml:space="preserve"> </w:t>
            </w:r>
            <w:r w:rsidR="00081B6B" w:rsidRPr="13AD1CA3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  <w:t>reached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  <w:hideMark/>
          </w:tcPr>
          <w:p w14:paraId="5C788B39" w14:textId="57BDA341" w:rsidR="00EC38FE" w:rsidRPr="00EC38FE" w:rsidRDefault="00EC38FE" w:rsidP="00FA6C99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13AD1CA3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  <w:t xml:space="preserve"># of </w:t>
            </w:r>
            <w:r w:rsidR="00081B6B" w:rsidRPr="13AD1CA3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  <w:t>households reached</w:t>
            </w:r>
            <w:r w:rsidRPr="13AD1CA3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  <w:t xml:space="preserve"> with activities that seek to minimize environmental impact</w:t>
            </w:r>
          </w:p>
        </w:tc>
      </w:tr>
      <w:tr w:rsidR="00DB4938" w:rsidRPr="00EC38FE" w14:paraId="2A9E004A" w14:textId="77777777" w:rsidTr="13AD1CA3">
        <w:trPr>
          <w:trHeight w:val="302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CDBE6" w14:textId="77777777" w:rsidR="00EC38FE" w:rsidRPr="00EC38FE" w:rsidRDefault="00EC38FE" w:rsidP="00FA6C99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13AD1CA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CF959" w14:textId="77777777" w:rsidR="00EC38FE" w:rsidRPr="00EC38FE" w:rsidRDefault="00EC38FE" w:rsidP="00FA6C99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13AD1CA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NGO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6894D" w14:textId="77777777" w:rsidR="00EC38FE" w:rsidRPr="00EC38FE" w:rsidRDefault="00EC38FE" w:rsidP="00FA6C99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13AD1CA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Donor 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E0AC3" w14:textId="2C71B99A" w:rsidR="00EC38FE" w:rsidRPr="00EC38FE" w:rsidRDefault="00EC38FE" w:rsidP="00FA6C99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13AD1CA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NFI distributions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FD918" w14:textId="77777777" w:rsidR="00EC38FE" w:rsidRPr="00EC38FE" w:rsidRDefault="00EC38FE" w:rsidP="00FA6C99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13AD1CA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District X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84A1B" w14:textId="77777777" w:rsidR="00EC38FE" w:rsidRPr="00EC38FE" w:rsidRDefault="00EC38FE" w:rsidP="00FA6C99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13AD1CA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FC639" w14:textId="77777777" w:rsidR="00EC38FE" w:rsidRPr="00EC38FE" w:rsidRDefault="00EC38FE" w:rsidP="00FA6C99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13AD1CA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1500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45F6E" w14:textId="2BFBCA7E" w:rsidR="00EC38FE" w:rsidRPr="00EC38FE" w:rsidRDefault="00EC38FE" w:rsidP="00FA6C99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13AD1CA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0</w:t>
            </w:r>
            <w:r w:rsidR="002071B1" w:rsidRPr="13AD1CA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(0%)</w:t>
            </w:r>
          </w:p>
        </w:tc>
      </w:tr>
      <w:tr w:rsidR="00DB4938" w:rsidRPr="00EC38FE" w14:paraId="16F6B730" w14:textId="77777777" w:rsidTr="13AD1CA3">
        <w:trPr>
          <w:trHeight w:val="302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DDDFE" w14:textId="77777777" w:rsidR="00EC38FE" w:rsidRPr="00EC38FE" w:rsidRDefault="00EC38FE" w:rsidP="00FA6C99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13AD1CA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A1B37" w14:textId="77777777" w:rsidR="00EC38FE" w:rsidRPr="00EC38FE" w:rsidRDefault="00EC38FE" w:rsidP="00FA6C99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13AD1CA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NGO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2BA77" w14:textId="77777777" w:rsidR="00EC38FE" w:rsidRPr="00EC38FE" w:rsidRDefault="00EC38FE" w:rsidP="00FA6C99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13AD1CA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Donor 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82486" w14:textId="21EA2662" w:rsidR="00EC38FE" w:rsidRPr="00EC38FE" w:rsidRDefault="00EC38FE" w:rsidP="00FA6C99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13AD1CA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NFI distributions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DF27C" w14:textId="77777777" w:rsidR="00EC38FE" w:rsidRPr="00EC38FE" w:rsidRDefault="00EC38FE" w:rsidP="00FA6C99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13AD1CA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District Y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C55A9" w14:textId="77777777" w:rsidR="00EC38FE" w:rsidRPr="00EC38FE" w:rsidRDefault="00EC38FE" w:rsidP="00FA6C99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13AD1CA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F33B2" w14:textId="77777777" w:rsidR="00EC38FE" w:rsidRPr="00EC38FE" w:rsidRDefault="00EC38FE" w:rsidP="00FA6C99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13AD1CA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3400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F24E1" w14:textId="24B2D63C" w:rsidR="00EC38FE" w:rsidRPr="00EC38FE" w:rsidRDefault="00EC38FE" w:rsidP="00FA6C99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13AD1CA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3400</w:t>
            </w:r>
            <w:r w:rsidR="002071B1" w:rsidRPr="13AD1CA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(100%)</w:t>
            </w:r>
          </w:p>
        </w:tc>
      </w:tr>
      <w:tr w:rsidR="00DB4938" w:rsidRPr="00EC38FE" w14:paraId="01FDC1AB" w14:textId="77777777" w:rsidTr="13AD1CA3">
        <w:trPr>
          <w:trHeight w:val="302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E720D" w14:textId="77777777" w:rsidR="00EC38FE" w:rsidRPr="00EC38FE" w:rsidRDefault="00EC38FE" w:rsidP="00FA6C99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13AD1CA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A0663" w14:textId="77777777" w:rsidR="00EC38FE" w:rsidRPr="00EC38FE" w:rsidRDefault="00EC38FE" w:rsidP="00FA6C99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13AD1CA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Red Cross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3B723" w14:textId="77777777" w:rsidR="00EC38FE" w:rsidRPr="00EC38FE" w:rsidRDefault="00EC38FE" w:rsidP="00FA6C99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13AD1CA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Donor B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5BC3E" w14:textId="2ECF447C" w:rsidR="00EC38FE" w:rsidRPr="00EC38FE" w:rsidRDefault="00EC38FE" w:rsidP="00FA6C99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13AD1CA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NFI distributions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35A08" w14:textId="77777777" w:rsidR="00EC38FE" w:rsidRPr="00EC38FE" w:rsidRDefault="00EC38FE" w:rsidP="00FA6C99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13AD1CA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District X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1D7FF" w14:textId="77777777" w:rsidR="00EC38FE" w:rsidRPr="00EC38FE" w:rsidRDefault="00EC38FE" w:rsidP="00FA6C99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13AD1CA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82B7A" w14:textId="77777777" w:rsidR="00EC38FE" w:rsidRPr="00EC38FE" w:rsidRDefault="00EC38FE" w:rsidP="00FA6C99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13AD1CA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298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8B8FE" w14:textId="189E0C21" w:rsidR="00EC38FE" w:rsidRPr="00EC38FE" w:rsidRDefault="00EC38FE" w:rsidP="00FA6C99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13AD1CA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0</w:t>
            </w:r>
            <w:r w:rsidR="008837F3" w:rsidRPr="13AD1CA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(0%)</w:t>
            </w:r>
          </w:p>
        </w:tc>
      </w:tr>
      <w:tr w:rsidR="00DB4938" w:rsidRPr="00EC38FE" w14:paraId="7701F966" w14:textId="77777777" w:rsidTr="13AD1CA3">
        <w:trPr>
          <w:trHeight w:val="302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B64FB" w14:textId="77777777" w:rsidR="00EC38FE" w:rsidRPr="00EC38FE" w:rsidRDefault="00EC38FE" w:rsidP="00FA6C99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13AD1CA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DE34E" w14:textId="77777777" w:rsidR="00EC38FE" w:rsidRPr="00EC38FE" w:rsidRDefault="00EC38FE" w:rsidP="00FA6C99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13AD1CA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NGO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5E3F3" w14:textId="77777777" w:rsidR="00EC38FE" w:rsidRPr="00EC38FE" w:rsidRDefault="00EC38FE" w:rsidP="00FA6C99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13AD1CA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Donor 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6DF75" w14:textId="60831C71" w:rsidR="00EC38FE" w:rsidRPr="00EC38FE" w:rsidRDefault="00EC38FE" w:rsidP="00FA6C99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13AD1CA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NFI distributions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760D8" w14:textId="77777777" w:rsidR="00EC38FE" w:rsidRPr="00EC38FE" w:rsidRDefault="00EC38FE" w:rsidP="00FA6C99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13AD1CA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District X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B3A67" w14:textId="77777777" w:rsidR="00EC38FE" w:rsidRPr="00EC38FE" w:rsidRDefault="00EC38FE" w:rsidP="00FA6C99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13AD1CA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C4587" w14:textId="77777777" w:rsidR="00EC38FE" w:rsidRPr="00EC38FE" w:rsidRDefault="00EC38FE" w:rsidP="00FA6C99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13AD1CA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7603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42A28" w14:textId="49B279F6" w:rsidR="00EC38FE" w:rsidRPr="00EC38FE" w:rsidRDefault="00EC38FE" w:rsidP="00FA6C99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13AD1CA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0</w:t>
            </w:r>
            <w:r w:rsidR="008837F3" w:rsidRPr="13AD1CA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(0%)</w:t>
            </w:r>
          </w:p>
        </w:tc>
      </w:tr>
      <w:tr w:rsidR="00DB4938" w:rsidRPr="00EC38FE" w14:paraId="0E7A85BB" w14:textId="77777777" w:rsidTr="13AD1CA3">
        <w:trPr>
          <w:trHeight w:val="302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9B917" w14:textId="77777777" w:rsidR="00EC38FE" w:rsidRPr="00EC38FE" w:rsidRDefault="00EC38FE" w:rsidP="00FA6C99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13AD1CA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E64B9" w14:textId="77777777" w:rsidR="00EC38FE" w:rsidRPr="00EC38FE" w:rsidRDefault="00EC38FE" w:rsidP="00FA6C99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13AD1CA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UN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ADDFB" w14:textId="77777777" w:rsidR="00EC38FE" w:rsidRPr="00EC38FE" w:rsidRDefault="00EC38FE" w:rsidP="00FA6C99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13AD1CA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Donor B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2B8AD" w14:textId="20E6FB43" w:rsidR="00EC38FE" w:rsidRPr="00EC38FE" w:rsidRDefault="00EC38FE" w:rsidP="00FA6C99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13AD1CA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NFI distributions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3C487" w14:textId="77777777" w:rsidR="00EC38FE" w:rsidRPr="00EC38FE" w:rsidRDefault="00EC38FE" w:rsidP="00FA6C99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13AD1CA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District Y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7364C" w14:textId="4E87EC61" w:rsidR="00EC38FE" w:rsidRPr="00250AE5" w:rsidRDefault="007B75DB" w:rsidP="00FA6C99">
            <w:pPr>
              <w:spacing w:after="0" w:line="276" w:lineRule="auto"/>
              <w:rPr>
                <w:rFonts w:ascii="Arial" w:eastAsia="Times New Roman" w:hAnsi="Arial" w:cs="Arial"/>
                <w:color w:val="ED7D31" w:themeColor="accent2"/>
                <w:sz w:val="20"/>
                <w:szCs w:val="20"/>
              </w:rPr>
            </w:pPr>
            <w:r w:rsidRPr="13AD1CA3">
              <w:rPr>
                <w:rFonts w:ascii="Arial" w:eastAsia="Times New Roman" w:hAnsi="Arial" w:cs="Arial"/>
                <w:color w:val="ED7D31" w:themeColor="accent2"/>
                <w:sz w:val="20"/>
                <w:szCs w:val="20"/>
              </w:rPr>
              <w:t>Partially</w:t>
            </w:r>
            <w:r w:rsidR="007A1C42" w:rsidRPr="13AD1CA3">
              <w:rPr>
                <w:rFonts w:ascii="Arial" w:eastAsia="Times New Roman" w:hAnsi="Arial" w:cs="Arial"/>
                <w:color w:val="ED7D31" w:themeColor="accent2"/>
                <w:sz w:val="20"/>
                <w:szCs w:val="20"/>
              </w:rPr>
              <w:t>*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AF7D9" w14:textId="4F842C7D" w:rsidR="00EC38FE" w:rsidRPr="00250AE5" w:rsidRDefault="00EC38FE" w:rsidP="00FA6C99">
            <w:pPr>
              <w:spacing w:after="0" w:line="276" w:lineRule="auto"/>
              <w:rPr>
                <w:rFonts w:ascii="Arial" w:eastAsia="Times New Roman" w:hAnsi="Arial" w:cs="Arial"/>
                <w:color w:val="ED7D31" w:themeColor="accent2"/>
                <w:sz w:val="20"/>
                <w:szCs w:val="20"/>
              </w:rPr>
            </w:pPr>
            <w:r w:rsidRPr="13AD1CA3">
              <w:rPr>
                <w:rFonts w:ascii="Arial" w:eastAsia="Times New Roman" w:hAnsi="Arial" w:cs="Arial"/>
                <w:color w:val="ED7D31" w:themeColor="accent2"/>
                <w:sz w:val="20"/>
                <w:szCs w:val="20"/>
              </w:rPr>
              <w:t>1780</w:t>
            </w:r>
            <w:r w:rsidR="007A1C42" w:rsidRPr="13AD1CA3">
              <w:rPr>
                <w:rFonts w:ascii="Arial" w:eastAsia="Times New Roman" w:hAnsi="Arial" w:cs="Arial"/>
                <w:color w:val="ED7D31" w:themeColor="accent2"/>
                <w:sz w:val="20"/>
                <w:szCs w:val="20"/>
              </w:rPr>
              <w:t>*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30B6F" w14:textId="1CAB9CCA" w:rsidR="00EC38FE" w:rsidRPr="00250AE5" w:rsidRDefault="008837F3" w:rsidP="00FA6C99">
            <w:pPr>
              <w:spacing w:after="0" w:line="276" w:lineRule="auto"/>
              <w:rPr>
                <w:rFonts w:ascii="Arial" w:eastAsia="Times New Roman" w:hAnsi="Arial" w:cs="Arial"/>
                <w:color w:val="ED7D31" w:themeColor="accent2"/>
                <w:sz w:val="20"/>
                <w:szCs w:val="20"/>
              </w:rPr>
            </w:pPr>
            <w:r w:rsidRPr="13AD1CA3">
              <w:rPr>
                <w:rFonts w:ascii="Arial" w:eastAsia="Times New Roman" w:hAnsi="Arial" w:cs="Arial"/>
                <w:color w:val="ED7D31" w:themeColor="accent2"/>
                <w:sz w:val="20"/>
                <w:szCs w:val="20"/>
              </w:rPr>
              <w:t>890 (50%)</w:t>
            </w:r>
            <w:r w:rsidR="007A1C42" w:rsidRPr="13AD1CA3">
              <w:rPr>
                <w:rFonts w:ascii="Arial" w:eastAsia="Times New Roman" w:hAnsi="Arial" w:cs="Arial"/>
                <w:color w:val="ED7D31" w:themeColor="accent2"/>
                <w:sz w:val="20"/>
                <w:szCs w:val="20"/>
              </w:rPr>
              <w:t>*</w:t>
            </w:r>
          </w:p>
        </w:tc>
      </w:tr>
      <w:tr w:rsidR="00DB4938" w:rsidRPr="00EC38FE" w14:paraId="19F7DB26" w14:textId="77777777" w:rsidTr="13AD1CA3">
        <w:trPr>
          <w:trHeight w:val="302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919B3" w14:textId="77777777" w:rsidR="00EC38FE" w:rsidRPr="00EC38FE" w:rsidRDefault="00EC38FE" w:rsidP="00FA6C99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13AD1CA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B9570" w14:textId="05786F53" w:rsidR="00EC38FE" w:rsidRPr="00EC38FE" w:rsidRDefault="00DB4938" w:rsidP="00FA6C99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13AD1CA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Gvmt</w:t>
            </w:r>
            <w:proofErr w:type="spellEnd"/>
            <w:r w:rsidRPr="13AD1CA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0A003" w14:textId="77777777" w:rsidR="00EC38FE" w:rsidRPr="00EC38FE" w:rsidRDefault="00EC38FE" w:rsidP="00FA6C99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13AD1CA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Donor C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76104" w14:textId="5841F582" w:rsidR="00EC38FE" w:rsidRPr="00EC38FE" w:rsidRDefault="00EC38FE" w:rsidP="00FA6C99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13AD1CA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NFI distributions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1ACB1" w14:textId="77777777" w:rsidR="00EC38FE" w:rsidRPr="00EC38FE" w:rsidRDefault="00EC38FE" w:rsidP="00FA6C99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13AD1CA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District X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B0520" w14:textId="77777777" w:rsidR="00EC38FE" w:rsidRPr="00EC38FE" w:rsidRDefault="00EC38FE" w:rsidP="00FA6C99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13AD1CA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07C28" w14:textId="77777777" w:rsidR="00EC38FE" w:rsidRPr="00EC38FE" w:rsidRDefault="00EC38FE" w:rsidP="00FA6C99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13AD1CA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398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7FB13" w14:textId="50B8E4AF" w:rsidR="00EC38FE" w:rsidRPr="00EC38FE" w:rsidRDefault="00EC38FE" w:rsidP="00FA6C99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13AD1CA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0</w:t>
            </w:r>
            <w:r w:rsidR="008837F3" w:rsidRPr="13AD1CA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(0%)</w:t>
            </w:r>
          </w:p>
        </w:tc>
      </w:tr>
    </w:tbl>
    <w:p w14:paraId="2C8A0564" w14:textId="37287B0D" w:rsidR="00EC38FE" w:rsidRPr="007A1C42" w:rsidRDefault="007A1C42" w:rsidP="13AD1CA3">
      <w:pPr>
        <w:spacing w:line="276" w:lineRule="auto"/>
        <w:rPr>
          <w:rFonts w:ascii="Arial" w:hAnsi="Arial" w:cs="Arial"/>
          <w:i/>
          <w:iCs/>
          <w:sz w:val="20"/>
          <w:szCs w:val="20"/>
        </w:rPr>
      </w:pPr>
      <w:r w:rsidRPr="13AD1CA3">
        <w:rPr>
          <w:rFonts w:ascii="Arial" w:hAnsi="Arial" w:cs="Arial"/>
          <w:i/>
          <w:iCs/>
          <w:sz w:val="20"/>
          <w:szCs w:val="20"/>
        </w:rPr>
        <w:t>*Can be updated in later updates to the 4W</w:t>
      </w:r>
    </w:p>
    <w:p w14:paraId="639E3547" w14:textId="117ED438" w:rsidR="0017027D" w:rsidRPr="001800D1" w:rsidRDefault="00EC38FE" w:rsidP="13AD1CA3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13AD1CA3">
        <w:rPr>
          <w:rFonts w:ascii="Arial" w:hAnsi="Arial" w:cs="Arial"/>
          <w:b/>
          <w:bCs/>
          <w:sz w:val="24"/>
          <w:szCs w:val="24"/>
        </w:rPr>
        <w:t xml:space="preserve">Step 3. Update the results framework using data from the </w:t>
      </w:r>
      <w:r w:rsidR="00CB10B7" w:rsidRPr="13AD1CA3">
        <w:rPr>
          <w:rFonts w:ascii="Arial" w:hAnsi="Arial" w:cs="Arial"/>
          <w:b/>
          <w:bCs/>
          <w:sz w:val="24"/>
          <w:szCs w:val="24"/>
        </w:rPr>
        <w:t>activity reporting matrix</w:t>
      </w:r>
    </w:p>
    <w:p w14:paraId="27F3B6C4" w14:textId="4A053B62" w:rsidR="00E3274B" w:rsidRPr="00CC6669" w:rsidRDefault="0017027D" w:rsidP="13AD1CA3">
      <w:pPr>
        <w:spacing w:line="276" w:lineRule="auto"/>
        <w:rPr>
          <w:rFonts w:ascii="Arial" w:hAnsi="Arial" w:cs="Arial"/>
          <w:i/>
          <w:iCs/>
          <w:sz w:val="20"/>
          <w:szCs w:val="20"/>
          <w:u w:val="single"/>
        </w:rPr>
      </w:pPr>
      <w:r w:rsidRPr="13AD1CA3">
        <w:rPr>
          <w:rFonts w:ascii="Arial" w:hAnsi="Arial" w:cs="Arial"/>
          <w:i/>
          <w:iCs/>
          <w:sz w:val="20"/>
          <w:szCs w:val="20"/>
          <w:u w:val="single"/>
        </w:rPr>
        <w:t>Data collected through the 5W</w:t>
      </w:r>
      <w:r w:rsidRPr="13AD1CA3">
        <w:rPr>
          <w:rFonts w:ascii="Arial" w:hAnsi="Arial" w:cs="Arial"/>
          <w:i/>
          <w:iCs/>
          <w:sz w:val="20"/>
          <w:szCs w:val="20"/>
        </w:rPr>
        <w:t>:</w:t>
      </w:r>
      <w:r w:rsidR="00FE30B2" w:rsidRPr="13AD1CA3">
        <w:rPr>
          <w:rFonts w:ascii="Arial" w:hAnsi="Arial" w:cs="Arial"/>
          <w:i/>
          <w:iCs/>
          <w:sz w:val="20"/>
          <w:szCs w:val="20"/>
        </w:rPr>
        <w:t xml:space="preserve"> </w:t>
      </w:r>
    </w:p>
    <w:tbl>
      <w:tblPr>
        <w:tblW w:w="10110" w:type="dxa"/>
        <w:tblInd w:w="113" w:type="dxa"/>
        <w:tblLook w:val="04A0" w:firstRow="1" w:lastRow="0" w:firstColumn="1" w:lastColumn="0" w:noHBand="0" w:noVBand="1"/>
      </w:tblPr>
      <w:tblGrid>
        <w:gridCol w:w="3752"/>
        <w:gridCol w:w="853"/>
        <w:gridCol w:w="1715"/>
        <w:gridCol w:w="3790"/>
      </w:tblGrid>
      <w:tr w:rsidR="00E3274B" w:rsidRPr="00E3274B" w14:paraId="4DA0A9F4" w14:textId="77777777" w:rsidTr="13AD1CA3">
        <w:trPr>
          <w:trHeight w:val="655"/>
        </w:trPr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B8BAE" w14:textId="77777777" w:rsidR="00E3274B" w:rsidRPr="00E3274B" w:rsidRDefault="00E3274B" w:rsidP="00FA6C99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13AD1CA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HRP Indicator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A63F6" w14:textId="77777777" w:rsidR="00E3274B" w:rsidRPr="00E3274B" w:rsidRDefault="00E3274B" w:rsidP="00FA6C99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13AD1CA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Target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98E5D" w14:textId="2CDD44D7" w:rsidR="00081B6B" w:rsidRPr="00E3274B" w:rsidRDefault="00E3274B" w:rsidP="00FA6C99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13AD1CA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# Total households reached</w:t>
            </w:r>
            <w:r w:rsidR="00081B6B" w:rsidRPr="13AD1CA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74FE4" w14:textId="7F59BCF6" w:rsidR="00E3274B" w:rsidRPr="00E3274B" w:rsidRDefault="00D256EE" w:rsidP="00FA6C99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13AD1CA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% households reached with environment-friendly activities, among reached households</w:t>
            </w:r>
          </w:p>
        </w:tc>
      </w:tr>
      <w:tr w:rsidR="00E3274B" w:rsidRPr="00E3274B" w14:paraId="52AB2099" w14:textId="77777777" w:rsidTr="13AD1CA3">
        <w:trPr>
          <w:trHeight w:val="480"/>
        </w:trPr>
        <w:tc>
          <w:tcPr>
            <w:tcW w:w="3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4E476" w14:textId="0F3ADD4F" w:rsidR="00E3274B" w:rsidRPr="00E3274B" w:rsidRDefault="00E3274B" w:rsidP="00FA6C99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13AD1CA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lastRenderedPageBreak/>
              <w:t># of households reached with NFI distributions (% households reached with NFI kits that are environment-friendly)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D4F24" w14:textId="77777777" w:rsidR="00E3274B" w:rsidRPr="00E3274B" w:rsidRDefault="00E3274B" w:rsidP="00FA6C99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13AD1CA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47,933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A9E61" w14:textId="3B5E2FB3" w:rsidR="00E3274B" w:rsidRPr="00E3274B" w:rsidRDefault="00E3274B" w:rsidP="00FA6C99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13AD1CA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14,979 </w:t>
            </w:r>
          </w:p>
        </w:tc>
        <w:tc>
          <w:tcPr>
            <w:tcW w:w="3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AD570" w14:textId="15F9B84A" w:rsidR="00E3274B" w:rsidRPr="00E3274B" w:rsidRDefault="0B597251" w:rsidP="00FA6C99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13AD1CA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29</w:t>
            </w:r>
            <w:r w:rsidR="00E3274B" w:rsidRPr="13AD1CA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%</w:t>
            </w:r>
          </w:p>
        </w:tc>
      </w:tr>
    </w:tbl>
    <w:p w14:paraId="70D2EEC9" w14:textId="3FF4C5A5" w:rsidR="0080588B" w:rsidRDefault="0080588B" w:rsidP="00FA6C99">
      <w:pPr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081B6B" w14:paraId="5DEF1360" w14:textId="77777777" w:rsidTr="0D50ABC1">
        <w:tc>
          <w:tcPr>
            <w:tcW w:w="14174" w:type="dxa"/>
            <w:shd w:val="clear" w:color="auto" w:fill="D5DCE4" w:themeFill="text2" w:themeFillTint="33"/>
          </w:tcPr>
          <w:p w14:paraId="328C49E6" w14:textId="0557EBEC" w:rsidR="00081B6B" w:rsidRPr="00CB10B7" w:rsidRDefault="00081B6B" w:rsidP="13AD1CA3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D50ABC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How to determine whether the activity is </w:t>
            </w:r>
            <w:r w:rsidR="6F28D94A" w:rsidRPr="0D50ABC1">
              <w:rPr>
                <w:rFonts w:ascii="Arial" w:hAnsi="Arial" w:cs="Arial"/>
                <w:b/>
                <w:bCs/>
                <w:sz w:val="24"/>
                <w:szCs w:val="24"/>
              </w:rPr>
              <w:t>environmentally friendly</w:t>
            </w:r>
            <w:r w:rsidRPr="0D50ABC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? </w:t>
            </w:r>
          </w:p>
          <w:p w14:paraId="66F63E37" w14:textId="77777777" w:rsidR="00081B6B" w:rsidRPr="00F23A6C" w:rsidRDefault="00081B6B" w:rsidP="0D50ABC1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D8968F1" w14:textId="13C9811A" w:rsidR="2398ABAF" w:rsidRDefault="2398ABAF" w:rsidP="0D50ABC1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D50ABC1">
              <w:rPr>
                <w:rFonts w:ascii="Arial" w:eastAsia="Arial" w:hAnsi="Arial" w:cs="Arial"/>
                <w:sz w:val="20"/>
                <w:szCs w:val="20"/>
              </w:rPr>
              <w:t>Organize a meeting</w:t>
            </w:r>
            <w:r w:rsidRPr="0D50ABC1">
              <w:rPr>
                <w:rStyle w:val="FootnoteReference"/>
                <w:rFonts w:ascii="Arial" w:eastAsia="Arial" w:hAnsi="Arial" w:cs="Arial"/>
                <w:sz w:val="20"/>
                <w:szCs w:val="20"/>
              </w:rPr>
              <w:footnoteReference w:id="2"/>
            </w:r>
            <w:r w:rsidRPr="0D50ABC1">
              <w:rPr>
                <w:rFonts w:ascii="Arial" w:eastAsia="Arial" w:hAnsi="Arial" w:cs="Arial"/>
                <w:sz w:val="20"/>
                <w:szCs w:val="20"/>
              </w:rPr>
              <w:t xml:space="preserve"> with partners to</w:t>
            </w:r>
            <w:r w:rsidR="1E8E98C8" w:rsidRPr="0D50ABC1"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14:paraId="322E338C" w14:textId="78E5C76C" w:rsidR="626E220B" w:rsidRDefault="626E220B" w:rsidP="0D50ABC1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  <w:r w:rsidRPr="0D50ABC1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 </w:t>
            </w:r>
            <w:r w:rsidR="18B24EA4" w:rsidRPr="0D50ABC1">
              <w:rPr>
                <w:rFonts w:ascii="Arial" w:eastAsia="Arial" w:hAnsi="Arial" w:cs="Arial"/>
                <w:i/>
                <w:iCs/>
                <w:sz w:val="20"/>
                <w:szCs w:val="20"/>
              </w:rPr>
              <w:t>s</w:t>
            </w:r>
            <w:r w:rsidR="44AEAB87" w:rsidRPr="0D50ABC1">
              <w:rPr>
                <w:rFonts w:ascii="Arial" w:eastAsia="Arial" w:hAnsi="Arial" w:cs="Arial"/>
                <w:i/>
                <w:iCs/>
                <w:sz w:val="20"/>
                <w:szCs w:val="20"/>
              </w:rPr>
              <w:t>elect environment indicator</w:t>
            </w:r>
            <w:r w:rsidR="7ABAF6D9" w:rsidRPr="0D50ABC1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 (s)</w:t>
            </w:r>
            <w:r w:rsidR="3ECC4745" w:rsidRPr="0D50ABC1">
              <w:rPr>
                <w:rFonts w:ascii="Arial" w:eastAsia="Arial" w:hAnsi="Arial" w:cs="Arial"/>
                <w:i/>
                <w:iCs/>
                <w:sz w:val="20"/>
                <w:szCs w:val="20"/>
              </w:rPr>
              <w:t>, as per the</w:t>
            </w:r>
            <w:r w:rsidR="4E812905" w:rsidRPr="0D50ABC1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 indicators</w:t>
            </w:r>
            <w:r w:rsidR="3ECC4745" w:rsidRPr="0D50ABC1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 </w:t>
            </w:r>
            <w:r w:rsidR="3F42404D" w:rsidRPr="0D50ABC1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in the </w:t>
            </w:r>
            <w:r w:rsidR="3ECC4745" w:rsidRPr="0D50ABC1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HRP and/or cluster strategy, </w:t>
            </w:r>
            <w:r w:rsidR="44AEAB87" w:rsidRPr="0D50ABC1">
              <w:rPr>
                <w:rFonts w:ascii="Arial" w:eastAsia="Arial" w:hAnsi="Arial" w:cs="Arial"/>
                <w:i/>
                <w:iCs/>
                <w:sz w:val="20"/>
                <w:szCs w:val="20"/>
              </w:rPr>
              <w:t>to be reported on across the cluster</w:t>
            </w:r>
          </w:p>
          <w:p w14:paraId="2D8D8AD3" w14:textId="38E200CE" w:rsidR="2398ABAF" w:rsidRDefault="2398ABAF" w:rsidP="0D50ABC1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  <w:r w:rsidRPr="0D50ABC1">
              <w:rPr>
                <w:rFonts w:ascii="Arial" w:eastAsia="Arial" w:hAnsi="Arial" w:cs="Arial"/>
                <w:i/>
                <w:iCs/>
                <w:sz w:val="20"/>
                <w:szCs w:val="20"/>
              </w:rPr>
              <w:t>Identify a series of criteria that will be applicable to all activities for</w:t>
            </w:r>
            <w:r w:rsidR="044DBBE3" w:rsidRPr="0D50ABC1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 </w:t>
            </w:r>
            <w:r w:rsidR="22ACABF9" w:rsidRPr="0D50ABC1">
              <w:rPr>
                <w:rFonts w:ascii="Arial" w:eastAsia="Arial" w:hAnsi="Arial" w:cs="Arial"/>
                <w:i/>
                <w:iCs/>
                <w:sz w:val="20"/>
                <w:szCs w:val="20"/>
              </w:rPr>
              <w:t>the selected indicator (s)</w:t>
            </w:r>
          </w:p>
          <w:p w14:paraId="39C8F39F" w14:textId="3399F980" w:rsidR="12E73DEA" w:rsidRDefault="12E73DEA" w:rsidP="0D50ABC1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  <w:r w:rsidRPr="0D50ABC1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agree on “green” specifications </w:t>
            </w:r>
            <w:r w:rsidRPr="0D50ABC1">
              <w:rPr>
                <w:rStyle w:val="FootnoteReference"/>
                <w:rFonts w:ascii="Arial" w:eastAsia="Arial" w:hAnsi="Arial" w:cs="Arial"/>
                <w:i/>
                <w:iCs/>
                <w:sz w:val="20"/>
                <w:szCs w:val="20"/>
              </w:rPr>
              <w:footnoteReference w:id="3"/>
            </w:r>
            <w:r w:rsidR="65AFABF9" w:rsidRPr="0D50ABC1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 </w:t>
            </w:r>
            <w:r w:rsidRPr="0D50ABC1">
              <w:rPr>
                <w:rFonts w:ascii="Arial" w:eastAsia="Arial" w:hAnsi="Arial" w:cs="Arial"/>
                <w:i/>
                <w:iCs/>
                <w:sz w:val="20"/>
                <w:szCs w:val="20"/>
              </w:rPr>
              <w:t>that are specific to your context</w:t>
            </w:r>
          </w:p>
          <w:p w14:paraId="652236A1" w14:textId="31B11572" w:rsidR="0D50ABC1" w:rsidRDefault="0D50ABC1" w:rsidP="0D50ABC1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50510FE" w14:textId="6F762FBF" w:rsidR="2ACD13FA" w:rsidRDefault="2ACD13FA" w:rsidP="0D50ABC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D50ABC1">
              <w:rPr>
                <w:rFonts w:ascii="Arial" w:hAnsi="Arial" w:cs="Arial"/>
                <w:sz w:val="20"/>
                <w:szCs w:val="20"/>
              </w:rPr>
              <w:t xml:space="preserve">With reference </w:t>
            </w:r>
            <w:r w:rsidR="76059C30" w:rsidRPr="0D50ABC1">
              <w:rPr>
                <w:rFonts w:ascii="Arial" w:hAnsi="Arial" w:cs="Arial"/>
                <w:sz w:val="20"/>
                <w:szCs w:val="20"/>
              </w:rPr>
              <w:t xml:space="preserve">to the </w:t>
            </w:r>
            <w:hyperlink r:id="rId7">
              <w:r w:rsidR="76059C30" w:rsidRPr="0D50ABC1">
                <w:rPr>
                  <w:rStyle w:val="Hyperlink"/>
                  <w:rFonts w:ascii="Arial" w:hAnsi="Arial" w:cs="Arial"/>
                  <w:sz w:val="20"/>
                  <w:szCs w:val="20"/>
                </w:rPr>
                <w:t>HRP tip-sheet</w:t>
              </w:r>
              <w:r w:rsidR="0B5D29BE" w:rsidRPr="0D50ABC1">
                <w:rPr>
                  <w:rStyle w:val="Hyperlink"/>
                  <w:rFonts w:ascii="Arial" w:hAnsi="Arial" w:cs="Arial"/>
                  <w:sz w:val="20"/>
                  <w:szCs w:val="20"/>
                </w:rPr>
                <w:t>,</w:t>
              </w:r>
            </w:hyperlink>
            <w:r w:rsidR="0B5D29BE" w:rsidRPr="0D50ABC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19F2BFCC" w:rsidRPr="0D50ABC1">
              <w:rPr>
                <w:rFonts w:ascii="Arial" w:hAnsi="Arial" w:cs="Arial"/>
                <w:sz w:val="20"/>
                <w:szCs w:val="20"/>
              </w:rPr>
              <w:t>be</w:t>
            </w:r>
            <w:r w:rsidR="79F2A106" w:rsidRPr="0D50ABC1">
              <w:rPr>
                <w:rFonts w:ascii="Arial" w:hAnsi="Arial" w:cs="Arial"/>
                <w:sz w:val="20"/>
                <w:szCs w:val="20"/>
              </w:rPr>
              <w:t>l</w:t>
            </w:r>
            <w:r w:rsidR="19F2BFCC" w:rsidRPr="0D50ABC1">
              <w:rPr>
                <w:rFonts w:ascii="Arial" w:hAnsi="Arial" w:cs="Arial"/>
                <w:sz w:val="20"/>
                <w:szCs w:val="20"/>
              </w:rPr>
              <w:t xml:space="preserve">ow are some of the criteria to determine whether an activity is environmentally – friendly. </w:t>
            </w:r>
          </w:p>
          <w:p w14:paraId="04DBF838" w14:textId="3EA976F4" w:rsidR="0D50ABC1" w:rsidRDefault="0D50ABC1" w:rsidP="0D50ABC1">
            <w:pPr>
              <w:spacing w:line="276" w:lineRule="auto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6A0312D0" w14:textId="01945EBF" w:rsidR="1ED9716A" w:rsidRDefault="1ED9716A" w:rsidP="0D50ABC1">
            <w:pPr>
              <w:pStyle w:val="ListParagraph"/>
              <w:numPr>
                <w:ilvl w:val="0"/>
                <w:numId w:val="4"/>
              </w:num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D50ABC1">
              <w:rPr>
                <w:rFonts w:ascii="Arial" w:eastAsia="Arial" w:hAnsi="Arial" w:cs="Arial"/>
                <w:sz w:val="20"/>
                <w:szCs w:val="20"/>
              </w:rPr>
              <w:t>For NFI distribution activities</w:t>
            </w:r>
            <w:r w:rsidR="70D342D4" w:rsidRPr="0D50ABC1">
              <w:rPr>
                <w:rFonts w:ascii="Arial" w:eastAsia="Arial" w:hAnsi="Arial" w:cs="Arial"/>
                <w:sz w:val="20"/>
                <w:szCs w:val="20"/>
              </w:rPr>
              <w:t xml:space="preserve">: </w:t>
            </w:r>
          </w:p>
          <w:p w14:paraId="1DCF2D1F" w14:textId="1D5A9B13" w:rsidR="0D50ABC1" w:rsidRDefault="0D50ABC1" w:rsidP="0D50ABC1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7495F529" w14:textId="5619F517" w:rsidR="06A8E420" w:rsidRDefault="06A8E420" w:rsidP="0D50ABC1">
            <w:pPr>
              <w:pStyle w:val="ListParagraph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D50ABC1">
              <w:rPr>
                <w:rFonts w:ascii="Arial" w:eastAsia="Arial" w:hAnsi="Arial" w:cs="Arial"/>
                <w:sz w:val="20"/>
                <w:szCs w:val="20"/>
              </w:rPr>
              <w:t>Kit is locally sourced</w:t>
            </w:r>
          </w:p>
          <w:p w14:paraId="0869FE8B" w14:textId="11288BCD" w:rsidR="06A8E420" w:rsidRDefault="06A8E420" w:rsidP="0D50ABC1">
            <w:pPr>
              <w:pStyle w:val="ListParagraph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D50ABC1">
              <w:rPr>
                <w:rFonts w:ascii="Arial" w:eastAsia="Arial" w:hAnsi="Arial" w:cs="Arial"/>
                <w:sz w:val="20"/>
                <w:szCs w:val="20"/>
              </w:rPr>
              <w:t xml:space="preserve">Kit </w:t>
            </w:r>
            <w:r w:rsidR="73621327" w:rsidRPr="0D50ABC1">
              <w:rPr>
                <w:rFonts w:ascii="Arial" w:eastAsia="Arial" w:hAnsi="Arial" w:cs="Arial"/>
                <w:sz w:val="20"/>
                <w:szCs w:val="20"/>
              </w:rPr>
              <w:t>minimizes</w:t>
            </w:r>
            <w:r w:rsidRPr="0D50ABC1">
              <w:rPr>
                <w:rFonts w:ascii="Arial" w:eastAsia="Arial" w:hAnsi="Arial" w:cs="Arial"/>
                <w:sz w:val="20"/>
                <w:szCs w:val="20"/>
              </w:rPr>
              <w:t xml:space="preserve"> packaging</w:t>
            </w:r>
          </w:p>
          <w:p w14:paraId="2F66EB25" w14:textId="72A8ABD6" w:rsidR="06A8E420" w:rsidRDefault="06A8E420" w:rsidP="0D50ABC1">
            <w:pPr>
              <w:pStyle w:val="ListParagraph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D50ABC1">
              <w:rPr>
                <w:rFonts w:ascii="Arial" w:eastAsia="Arial" w:hAnsi="Arial" w:cs="Arial"/>
                <w:sz w:val="20"/>
                <w:szCs w:val="20"/>
              </w:rPr>
              <w:t>Kit is packaged with reusable, biodegradable, or recyclable material</w:t>
            </w:r>
          </w:p>
          <w:p w14:paraId="7D2E0797" w14:textId="683F0088" w:rsidR="5E22DAE9" w:rsidRDefault="5E22DAE9" w:rsidP="0D50ABC1">
            <w:pPr>
              <w:pStyle w:val="ListParagraph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D50ABC1">
              <w:rPr>
                <w:rFonts w:ascii="Arial" w:eastAsia="Arial" w:hAnsi="Arial" w:cs="Arial"/>
                <w:sz w:val="20"/>
                <w:szCs w:val="20"/>
              </w:rPr>
              <w:t>Kit i</w:t>
            </w:r>
            <w:r w:rsidR="06A8E420" w:rsidRPr="0D50ABC1">
              <w:rPr>
                <w:rFonts w:ascii="Arial" w:eastAsia="Arial" w:hAnsi="Arial" w:cs="Arial"/>
                <w:sz w:val="20"/>
                <w:szCs w:val="20"/>
              </w:rPr>
              <w:t>tems can be reused or recycled</w:t>
            </w:r>
          </w:p>
          <w:p w14:paraId="5B8FF3BE" w14:textId="73F42DFC" w:rsidR="0D50ABC1" w:rsidRDefault="0D50ABC1" w:rsidP="0D50ABC1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25C4F86B" w14:textId="3E9AF465" w:rsidR="00081B6B" w:rsidRPr="00987935" w:rsidRDefault="6FA9B583" w:rsidP="0D50ABC1">
            <w:pPr>
              <w:pStyle w:val="ListParagraph"/>
              <w:numPr>
                <w:ilvl w:val="0"/>
                <w:numId w:val="4"/>
              </w:numPr>
              <w:spacing w:line="276" w:lineRule="auto"/>
              <w:jc w:val="both"/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  <w:r w:rsidRPr="0D50ABC1">
              <w:rPr>
                <w:rFonts w:ascii="Arial" w:eastAsia="Arial" w:hAnsi="Arial" w:cs="Arial"/>
                <w:sz w:val="20"/>
                <w:szCs w:val="20"/>
              </w:rPr>
              <w:t xml:space="preserve">For </w:t>
            </w:r>
            <w:r w:rsidR="615D42A8" w:rsidRPr="0D50ABC1">
              <w:rPr>
                <w:rFonts w:ascii="Arial" w:eastAsia="Arial" w:hAnsi="Arial" w:cs="Arial"/>
                <w:sz w:val="20"/>
                <w:szCs w:val="20"/>
              </w:rPr>
              <w:t>repair</w:t>
            </w:r>
            <w:r w:rsidR="6AFE6244" w:rsidRPr="0D50ABC1">
              <w:rPr>
                <w:rFonts w:ascii="Arial" w:eastAsia="Arial" w:hAnsi="Arial" w:cs="Arial"/>
                <w:sz w:val="20"/>
                <w:szCs w:val="20"/>
              </w:rPr>
              <w:t xml:space="preserve"> and/or</w:t>
            </w:r>
            <w:r w:rsidRPr="0D50ABC1">
              <w:rPr>
                <w:rFonts w:ascii="Arial" w:eastAsia="Arial" w:hAnsi="Arial" w:cs="Arial"/>
                <w:sz w:val="20"/>
                <w:szCs w:val="20"/>
              </w:rPr>
              <w:t xml:space="preserve"> rehabilitation activitie</w:t>
            </w:r>
            <w:r w:rsidRPr="0D50ABC1">
              <w:rPr>
                <w:rFonts w:ascii="Arial" w:eastAsia="Arial" w:hAnsi="Arial" w:cs="Arial"/>
                <w:i/>
                <w:iCs/>
                <w:sz w:val="20"/>
                <w:szCs w:val="20"/>
              </w:rPr>
              <w:t>s</w:t>
            </w:r>
            <w:r w:rsidR="2FFC2270" w:rsidRPr="0D50ABC1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: </w:t>
            </w:r>
          </w:p>
          <w:p w14:paraId="15D21CAD" w14:textId="564736AA" w:rsidR="0D50ABC1" w:rsidRDefault="0D50ABC1" w:rsidP="0D50ABC1">
            <w:pPr>
              <w:spacing w:line="276" w:lineRule="auto"/>
              <w:jc w:val="both"/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</w:p>
          <w:p w14:paraId="47A467CA" w14:textId="5EA37A76" w:rsidR="00081B6B" w:rsidRPr="00987935" w:rsidRDefault="07ED3452" w:rsidP="0D50ABC1">
            <w:pPr>
              <w:pStyle w:val="ListParagraph"/>
              <w:numPr>
                <w:ilvl w:val="0"/>
                <w:numId w:val="11"/>
              </w:num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D50ABC1">
              <w:rPr>
                <w:rFonts w:ascii="Arial" w:eastAsia="Arial" w:hAnsi="Arial" w:cs="Arial"/>
                <w:sz w:val="20"/>
                <w:szCs w:val="20"/>
              </w:rPr>
              <w:t>Repair/</w:t>
            </w:r>
            <w:r w:rsidR="01063741" w:rsidRPr="0D50ABC1">
              <w:rPr>
                <w:rFonts w:ascii="Arial" w:eastAsia="Arial" w:hAnsi="Arial" w:cs="Arial"/>
                <w:sz w:val="20"/>
                <w:szCs w:val="20"/>
              </w:rPr>
              <w:t>rehabilitation</w:t>
            </w:r>
            <w:r w:rsidRPr="0D50ABC1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2C18F03F" w:rsidRPr="0D50ABC1">
              <w:rPr>
                <w:rFonts w:ascii="Arial" w:eastAsia="Arial" w:hAnsi="Arial" w:cs="Arial"/>
                <w:sz w:val="20"/>
                <w:szCs w:val="20"/>
              </w:rPr>
              <w:t xml:space="preserve">building </w:t>
            </w:r>
            <w:r w:rsidRPr="0D50ABC1">
              <w:rPr>
                <w:rFonts w:ascii="Arial" w:eastAsia="Arial" w:hAnsi="Arial" w:cs="Arial"/>
                <w:sz w:val="20"/>
                <w:szCs w:val="20"/>
              </w:rPr>
              <w:t>materials are locally sourced</w:t>
            </w:r>
          </w:p>
          <w:p w14:paraId="6C7D377E" w14:textId="6ED20C66" w:rsidR="40AFB541" w:rsidRDefault="40AFB541" w:rsidP="0D50ABC1">
            <w:pPr>
              <w:pStyle w:val="ListParagraph"/>
              <w:numPr>
                <w:ilvl w:val="0"/>
                <w:numId w:val="11"/>
              </w:num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D50ABC1">
              <w:rPr>
                <w:rFonts w:ascii="Arial" w:eastAsia="Arial" w:hAnsi="Arial" w:cs="Arial"/>
                <w:sz w:val="20"/>
                <w:szCs w:val="20"/>
              </w:rPr>
              <w:t xml:space="preserve">Repair/rehabilitation </w:t>
            </w:r>
            <w:r w:rsidR="2B244CED" w:rsidRPr="0D50ABC1">
              <w:rPr>
                <w:rFonts w:ascii="Arial" w:eastAsia="Arial" w:hAnsi="Arial" w:cs="Arial"/>
                <w:sz w:val="20"/>
                <w:szCs w:val="20"/>
              </w:rPr>
              <w:t xml:space="preserve">building </w:t>
            </w:r>
            <w:r w:rsidRPr="0D50ABC1">
              <w:rPr>
                <w:rFonts w:ascii="Arial" w:eastAsia="Arial" w:hAnsi="Arial" w:cs="Arial"/>
                <w:sz w:val="20"/>
                <w:szCs w:val="20"/>
              </w:rPr>
              <w:t>materials are packaged with reusable, biodegradable, or recyclable material</w:t>
            </w:r>
          </w:p>
          <w:p w14:paraId="326225F0" w14:textId="32C14DE6" w:rsidR="0588FE96" w:rsidRDefault="0588FE96" w:rsidP="0D50ABC1">
            <w:pPr>
              <w:pStyle w:val="ListParagraph"/>
              <w:numPr>
                <w:ilvl w:val="0"/>
                <w:numId w:val="11"/>
              </w:num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D50ABC1">
              <w:rPr>
                <w:rFonts w:ascii="Arial" w:eastAsia="Arial" w:hAnsi="Arial" w:cs="Arial"/>
                <w:sz w:val="20"/>
                <w:szCs w:val="20"/>
              </w:rPr>
              <w:t>Before construction, r</w:t>
            </w:r>
            <w:r w:rsidR="125D2DC5" w:rsidRPr="0D50ABC1">
              <w:rPr>
                <w:rFonts w:ascii="Arial" w:eastAsia="Arial" w:hAnsi="Arial" w:cs="Arial"/>
                <w:sz w:val="20"/>
                <w:szCs w:val="20"/>
              </w:rPr>
              <w:t xml:space="preserve">epair/rehabilitation </w:t>
            </w:r>
            <w:r w:rsidR="03C81B81" w:rsidRPr="0D50ABC1">
              <w:rPr>
                <w:rFonts w:ascii="Arial" w:eastAsia="Arial" w:hAnsi="Arial" w:cs="Arial"/>
                <w:sz w:val="20"/>
                <w:szCs w:val="20"/>
              </w:rPr>
              <w:t xml:space="preserve">building </w:t>
            </w:r>
            <w:r w:rsidR="125D2DC5" w:rsidRPr="0D50ABC1">
              <w:rPr>
                <w:rFonts w:ascii="Arial" w:eastAsia="Arial" w:hAnsi="Arial" w:cs="Arial"/>
                <w:sz w:val="20"/>
                <w:szCs w:val="20"/>
              </w:rPr>
              <w:t xml:space="preserve">materials are assessed </w:t>
            </w:r>
            <w:r w:rsidR="580E4466" w:rsidRPr="0D50ABC1">
              <w:rPr>
                <w:rFonts w:ascii="Arial" w:eastAsia="Arial" w:hAnsi="Arial" w:cs="Arial"/>
                <w:sz w:val="20"/>
                <w:szCs w:val="20"/>
              </w:rPr>
              <w:t xml:space="preserve">based on </w:t>
            </w:r>
            <w:r w:rsidR="22FC243E" w:rsidRPr="0D50ABC1">
              <w:rPr>
                <w:rFonts w:ascii="Arial" w:eastAsia="Arial" w:hAnsi="Arial" w:cs="Arial"/>
                <w:sz w:val="20"/>
                <w:szCs w:val="20"/>
              </w:rPr>
              <w:t>environmental criteria</w:t>
            </w:r>
          </w:p>
          <w:p w14:paraId="01039DEA" w14:textId="5D3A26BC" w:rsidR="0D50ABC1" w:rsidRDefault="0D50ABC1" w:rsidP="0D50ABC1">
            <w:pPr>
              <w:spacing w:line="276" w:lineRule="auto"/>
              <w:jc w:val="both"/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</w:p>
          <w:p w14:paraId="2B004F25" w14:textId="223D2E1D" w:rsidR="0D50ABC1" w:rsidRDefault="0D50ABC1" w:rsidP="0D50ABC1">
            <w:pPr>
              <w:spacing w:line="276" w:lineRule="auto"/>
              <w:jc w:val="both"/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</w:p>
          <w:p w14:paraId="3C4D737C" w14:textId="1DF5A56E" w:rsidR="00CB10B7" w:rsidRPr="00987935" w:rsidRDefault="00081B6B" w:rsidP="0D50ABC1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D50ABC1">
              <w:rPr>
                <w:rFonts w:ascii="Arial" w:eastAsia="Arial" w:hAnsi="Arial" w:cs="Arial"/>
                <w:i/>
                <w:iCs/>
                <w:sz w:val="20"/>
                <w:szCs w:val="20"/>
              </w:rPr>
              <w:t>Don’t hesitate to reach out to the GSC Green team for advice and support</w:t>
            </w:r>
            <w:r w:rsidR="11CA44D0" w:rsidRPr="0D50ABC1">
              <w:rPr>
                <w:rFonts w:ascii="Arial" w:eastAsia="Arial" w:hAnsi="Arial" w:cs="Arial"/>
                <w:i/>
                <w:iCs/>
                <w:sz w:val="20"/>
                <w:szCs w:val="20"/>
              </w:rPr>
              <w:t>:</w:t>
            </w:r>
            <w:r w:rsidR="2B23715D" w:rsidRPr="0D50ABC1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 </w:t>
            </w:r>
            <w:hyperlink r:id="rId8">
              <w:r w:rsidR="183F9207" w:rsidRPr="0D50ABC1">
                <w:rPr>
                  <w:rStyle w:val="Hyperlink"/>
                  <w:rFonts w:ascii="Arial" w:eastAsia="Arial" w:hAnsi="Arial" w:cs="Arial"/>
                  <w:sz w:val="20"/>
                  <w:szCs w:val="20"/>
                </w:rPr>
                <w:t>EnvironmentOperations@sheltercluster.org</w:t>
              </w:r>
            </w:hyperlink>
          </w:p>
          <w:p w14:paraId="4B92E885" w14:textId="77777777" w:rsidR="00081B6B" w:rsidRDefault="00081B6B" w:rsidP="00FA6C9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236D670" w14:textId="77777777" w:rsidR="00081B6B" w:rsidRPr="00E3274B" w:rsidRDefault="00081B6B" w:rsidP="00FA6C99">
      <w:pPr>
        <w:spacing w:line="276" w:lineRule="auto"/>
        <w:rPr>
          <w:rFonts w:ascii="Arial" w:hAnsi="Arial" w:cs="Arial"/>
          <w:sz w:val="20"/>
          <w:szCs w:val="20"/>
        </w:rPr>
      </w:pPr>
    </w:p>
    <w:sectPr w:rsidR="00081B6B" w:rsidRPr="00E3274B" w:rsidSect="00F01418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DC7A70" w14:textId="77777777" w:rsidR="00B91EE8" w:rsidRDefault="00B91EE8">
      <w:pPr>
        <w:spacing w:after="0" w:line="240" w:lineRule="auto"/>
      </w:pPr>
      <w:r>
        <w:separator/>
      </w:r>
    </w:p>
  </w:endnote>
  <w:endnote w:type="continuationSeparator" w:id="0">
    <w:p w14:paraId="0F8C6E05" w14:textId="77777777" w:rsidR="00B91EE8" w:rsidRDefault="00B91EE8">
      <w:pPr>
        <w:spacing w:after="0" w:line="240" w:lineRule="auto"/>
      </w:pPr>
      <w:r>
        <w:continuationSeparator/>
      </w:r>
    </w:p>
  </w:endnote>
  <w:endnote w:type="continuationNotice" w:id="1">
    <w:p w14:paraId="374F38A8" w14:textId="77777777" w:rsidR="007B4B2B" w:rsidRDefault="007B4B2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604C9E" w14:textId="7E799786" w:rsidR="0D50ABC1" w:rsidRDefault="0D50ABC1">
      <w:pPr>
        <w:spacing w:after="0" w:line="240" w:lineRule="auto"/>
      </w:pPr>
      <w:r>
        <w:separator/>
      </w:r>
    </w:p>
  </w:footnote>
  <w:footnote w:type="continuationSeparator" w:id="0">
    <w:p w14:paraId="229034B2" w14:textId="47A6C4C4" w:rsidR="0D50ABC1" w:rsidRDefault="0D50ABC1">
      <w:pPr>
        <w:spacing w:after="0" w:line="240" w:lineRule="auto"/>
      </w:pPr>
      <w:r>
        <w:continuationSeparator/>
      </w:r>
    </w:p>
  </w:footnote>
  <w:footnote w:type="continuationNotice" w:id="1">
    <w:p w14:paraId="34189C13" w14:textId="77777777" w:rsidR="007B4B2B" w:rsidRDefault="007B4B2B">
      <w:pPr>
        <w:spacing w:after="0" w:line="240" w:lineRule="auto"/>
      </w:pPr>
    </w:p>
  </w:footnote>
  <w:footnote w:id="2">
    <w:p w14:paraId="3206A2BA" w14:textId="3BA99A75" w:rsidR="0D50ABC1" w:rsidRDefault="0D50ABC1" w:rsidP="0D50ABC1">
      <w:pPr>
        <w:pStyle w:val="FootnoteText"/>
      </w:pPr>
      <w:r w:rsidRPr="0D50ABC1">
        <w:rPr>
          <w:rStyle w:val="FootnoteReference"/>
        </w:rPr>
        <w:footnoteRef/>
      </w:r>
      <w:r>
        <w:t xml:space="preserve"> Feel free to invite the GSC green team for support and/or guidance during the meeting: </w:t>
      </w:r>
      <w:hyperlink r:id="rId1">
        <w:r w:rsidRPr="0D50ABC1">
          <w:rPr>
            <w:rStyle w:val="Hyperlink"/>
          </w:rPr>
          <w:t>marara@unhcr.org</w:t>
        </w:r>
      </w:hyperlink>
      <w:r>
        <w:t xml:space="preserve">; and/or </w:t>
      </w:r>
      <w:hyperlink r:id="rId2">
        <w:r w:rsidRPr="0D50ABC1">
          <w:rPr>
            <w:rStyle w:val="Hyperlink"/>
          </w:rPr>
          <w:t>mandy.george@sheltercluster.org</w:t>
        </w:r>
      </w:hyperlink>
      <w:r>
        <w:t xml:space="preserve"> </w:t>
      </w:r>
    </w:p>
  </w:footnote>
  <w:footnote w:id="3">
    <w:p w14:paraId="105331FE" w14:textId="0C2E5BED" w:rsidR="0D50ABC1" w:rsidRDefault="0D50ABC1" w:rsidP="0D50ABC1">
      <w:pPr>
        <w:pStyle w:val="FootnoteText"/>
      </w:pPr>
      <w:r w:rsidRPr="0D50ABC1">
        <w:rPr>
          <w:rStyle w:val="FootnoteReference"/>
        </w:rPr>
        <w:footnoteRef/>
      </w:r>
      <w:r>
        <w:t xml:space="preserve"> Please note that there are ongoing works at global level to green specifications of shelter items such as blankets, tarps, etc.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0F6BB4"/>
    <w:multiLevelType w:val="hybridMultilevel"/>
    <w:tmpl w:val="35D6D29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200388"/>
    <w:multiLevelType w:val="hybridMultilevel"/>
    <w:tmpl w:val="E72E7ED8"/>
    <w:lvl w:ilvl="0" w:tplc="A6C202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38D4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FF422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F20D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1285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6344D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6461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382C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3865C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DC239C"/>
    <w:multiLevelType w:val="hybridMultilevel"/>
    <w:tmpl w:val="C68EF304"/>
    <w:lvl w:ilvl="0" w:tplc="7E142E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51CF1B"/>
    <w:multiLevelType w:val="hybridMultilevel"/>
    <w:tmpl w:val="52E22A9C"/>
    <w:lvl w:ilvl="0" w:tplc="00809CF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E8EAE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EF6B6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665A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D62A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940E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2451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4AEA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58B9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73C83F"/>
    <w:multiLevelType w:val="hybridMultilevel"/>
    <w:tmpl w:val="0FBABDE8"/>
    <w:lvl w:ilvl="0" w:tplc="26C0EE54">
      <w:start w:val="1"/>
      <w:numFmt w:val="decimal"/>
      <w:lvlText w:val="%1."/>
      <w:lvlJc w:val="left"/>
      <w:pPr>
        <w:ind w:left="720" w:hanging="360"/>
      </w:pPr>
    </w:lvl>
    <w:lvl w:ilvl="1" w:tplc="B9FC689A">
      <w:start w:val="1"/>
      <w:numFmt w:val="lowerLetter"/>
      <w:lvlText w:val="%2."/>
      <w:lvlJc w:val="left"/>
      <w:pPr>
        <w:ind w:left="1440" w:hanging="360"/>
      </w:pPr>
    </w:lvl>
    <w:lvl w:ilvl="2" w:tplc="5B1A53AE">
      <w:start w:val="1"/>
      <w:numFmt w:val="lowerRoman"/>
      <w:lvlText w:val="%3."/>
      <w:lvlJc w:val="right"/>
      <w:pPr>
        <w:ind w:left="2160" w:hanging="180"/>
      </w:pPr>
    </w:lvl>
    <w:lvl w:ilvl="3" w:tplc="98FED168">
      <w:start w:val="1"/>
      <w:numFmt w:val="decimal"/>
      <w:lvlText w:val="%4."/>
      <w:lvlJc w:val="left"/>
      <w:pPr>
        <w:ind w:left="2880" w:hanging="360"/>
      </w:pPr>
    </w:lvl>
    <w:lvl w:ilvl="4" w:tplc="FB081DFE">
      <w:start w:val="1"/>
      <w:numFmt w:val="lowerLetter"/>
      <w:lvlText w:val="%5."/>
      <w:lvlJc w:val="left"/>
      <w:pPr>
        <w:ind w:left="3600" w:hanging="360"/>
      </w:pPr>
    </w:lvl>
    <w:lvl w:ilvl="5" w:tplc="06B83432">
      <w:start w:val="1"/>
      <w:numFmt w:val="lowerRoman"/>
      <w:lvlText w:val="%6."/>
      <w:lvlJc w:val="right"/>
      <w:pPr>
        <w:ind w:left="4320" w:hanging="180"/>
      </w:pPr>
    </w:lvl>
    <w:lvl w:ilvl="6" w:tplc="E79853B8">
      <w:start w:val="1"/>
      <w:numFmt w:val="decimal"/>
      <w:lvlText w:val="%7."/>
      <w:lvlJc w:val="left"/>
      <w:pPr>
        <w:ind w:left="5040" w:hanging="360"/>
      </w:pPr>
    </w:lvl>
    <w:lvl w:ilvl="7" w:tplc="38161BEA">
      <w:start w:val="1"/>
      <w:numFmt w:val="lowerLetter"/>
      <w:lvlText w:val="%8."/>
      <w:lvlJc w:val="left"/>
      <w:pPr>
        <w:ind w:left="5760" w:hanging="360"/>
      </w:pPr>
    </w:lvl>
    <w:lvl w:ilvl="8" w:tplc="2C783EE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D21E27"/>
    <w:multiLevelType w:val="hybridMultilevel"/>
    <w:tmpl w:val="80584EA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B3271F"/>
    <w:multiLevelType w:val="hybridMultilevel"/>
    <w:tmpl w:val="1D9C691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4C7FC3"/>
    <w:multiLevelType w:val="hybridMultilevel"/>
    <w:tmpl w:val="4BE2A93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633B80"/>
    <w:multiLevelType w:val="hybridMultilevel"/>
    <w:tmpl w:val="489AD3BA"/>
    <w:lvl w:ilvl="0" w:tplc="A476F5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65EC93"/>
    <w:multiLevelType w:val="hybridMultilevel"/>
    <w:tmpl w:val="A27C0800"/>
    <w:lvl w:ilvl="0" w:tplc="54800504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C664724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DC6EF58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DF804F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240D13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5C8CC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910BD6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E7E555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7C7E593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195A6CD"/>
    <w:multiLevelType w:val="hybridMultilevel"/>
    <w:tmpl w:val="7A1E49F0"/>
    <w:lvl w:ilvl="0" w:tplc="018E0AC6">
      <w:start w:val="1"/>
      <w:numFmt w:val="decimal"/>
      <w:lvlText w:val="%1."/>
      <w:lvlJc w:val="left"/>
      <w:pPr>
        <w:ind w:left="720" w:hanging="360"/>
      </w:pPr>
    </w:lvl>
    <w:lvl w:ilvl="1" w:tplc="C3E6FB8C">
      <w:start w:val="1"/>
      <w:numFmt w:val="lowerLetter"/>
      <w:lvlText w:val="%2."/>
      <w:lvlJc w:val="left"/>
      <w:pPr>
        <w:ind w:left="1440" w:hanging="360"/>
      </w:pPr>
    </w:lvl>
    <w:lvl w:ilvl="2" w:tplc="F732F730">
      <w:start w:val="1"/>
      <w:numFmt w:val="lowerRoman"/>
      <w:lvlText w:val="%3."/>
      <w:lvlJc w:val="right"/>
      <w:pPr>
        <w:ind w:left="2160" w:hanging="180"/>
      </w:pPr>
    </w:lvl>
    <w:lvl w:ilvl="3" w:tplc="A7E0D226">
      <w:start w:val="1"/>
      <w:numFmt w:val="decimal"/>
      <w:lvlText w:val="%4."/>
      <w:lvlJc w:val="left"/>
      <w:pPr>
        <w:ind w:left="2880" w:hanging="360"/>
      </w:pPr>
    </w:lvl>
    <w:lvl w:ilvl="4" w:tplc="76DC5A80">
      <w:start w:val="1"/>
      <w:numFmt w:val="lowerLetter"/>
      <w:lvlText w:val="%5."/>
      <w:lvlJc w:val="left"/>
      <w:pPr>
        <w:ind w:left="3600" w:hanging="360"/>
      </w:pPr>
    </w:lvl>
    <w:lvl w:ilvl="5" w:tplc="7D3A979C">
      <w:start w:val="1"/>
      <w:numFmt w:val="lowerRoman"/>
      <w:lvlText w:val="%6."/>
      <w:lvlJc w:val="right"/>
      <w:pPr>
        <w:ind w:left="4320" w:hanging="180"/>
      </w:pPr>
    </w:lvl>
    <w:lvl w:ilvl="6" w:tplc="CE50582C">
      <w:start w:val="1"/>
      <w:numFmt w:val="decimal"/>
      <w:lvlText w:val="%7."/>
      <w:lvlJc w:val="left"/>
      <w:pPr>
        <w:ind w:left="5040" w:hanging="360"/>
      </w:pPr>
    </w:lvl>
    <w:lvl w:ilvl="7" w:tplc="1654F61E">
      <w:start w:val="1"/>
      <w:numFmt w:val="lowerLetter"/>
      <w:lvlText w:val="%8."/>
      <w:lvlJc w:val="left"/>
      <w:pPr>
        <w:ind w:left="5760" w:hanging="360"/>
      </w:pPr>
    </w:lvl>
    <w:lvl w:ilvl="8" w:tplc="779AAC0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1"/>
  </w:num>
  <w:num w:numId="4">
    <w:abstractNumId w:val="10"/>
  </w:num>
  <w:num w:numId="5">
    <w:abstractNumId w:val="4"/>
  </w:num>
  <w:num w:numId="6">
    <w:abstractNumId w:val="2"/>
  </w:num>
  <w:num w:numId="7">
    <w:abstractNumId w:val="8"/>
  </w:num>
  <w:num w:numId="8">
    <w:abstractNumId w:val="0"/>
  </w:num>
  <w:num w:numId="9">
    <w:abstractNumId w:val="5"/>
  </w:num>
  <w:num w:numId="10">
    <w:abstractNumId w:val="7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9BF"/>
    <w:rsid w:val="0002613F"/>
    <w:rsid w:val="000675E2"/>
    <w:rsid w:val="00081B6B"/>
    <w:rsid w:val="00084A93"/>
    <w:rsid w:val="000B0A44"/>
    <w:rsid w:val="000E692D"/>
    <w:rsid w:val="000F29BF"/>
    <w:rsid w:val="00123E5A"/>
    <w:rsid w:val="001353EC"/>
    <w:rsid w:val="0017027D"/>
    <w:rsid w:val="001800D1"/>
    <w:rsid w:val="001C0A58"/>
    <w:rsid w:val="002071B1"/>
    <w:rsid w:val="00250AE5"/>
    <w:rsid w:val="00277043"/>
    <w:rsid w:val="002A74E0"/>
    <w:rsid w:val="002F35FE"/>
    <w:rsid w:val="003C5B3F"/>
    <w:rsid w:val="003D5012"/>
    <w:rsid w:val="004C72CE"/>
    <w:rsid w:val="004E6497"/>
    <w:rsid w:val="004F0547"/>
    <w:rsid w:val="004F13B5"/>
    <w:rsid w:val="00542443"/>
    <w:rsid w:val="005442D1"/>
    <w:rsid w:val="00552F4F"/>
    <w:rsid w:val="00554ED0"/>
    <w:rsid w:val="005F7A38"/>
    <w:rsid w:val="00601F77"/>
    <w:rsid w:val="006276CA"/>
    <w:rsid w:val="00646DEE"/>
    <w:rsid w:val="006561EC"/>
    <w:rsid w:val="0069448A"/>
    <w:rsid w:val="006A6F55"/>
    <w:rsid w:val="006D6EBD"/>
    <w:rsid w:val="00753EC7"/>
    <w:rsid w:val="007850E5"/>
    <w:rsid w:val="007A1C42"/>
    <w:rsid w:val="007B3267"/>
    <w:rsid w:val="007B4B2B"/>
    <w:rsid w:val="007B75DB"/>
    <w:rsid w:val="007E07FC"/>
    <w:rsid w:val="007F4BF1"/>
    <w:rsid w:val="0080588B"/>
    <w:rsid w:val="00850589"/>
    <w:rsid w:val="008837F3"/>
    <w:rsid w:val="008C41B4"/>
    <w:rsid w:val="00906D3C"/>
    <w:rsid w:val="00977F12"/>
    <w:rsid w:val="0098557A"/>
    <w:rsid w:val="00987935"/>
    <w:rsid w:val="00A063B5"/>
    <w:rsid w:val="00A107C7"/>
    <w:rsid w:val="00A1415F"/>
    <w:rsid w:val="00A27753"/>
    <w:rsid w:val="00AA0E18"/>
    <w:rsid w:val="00AA7145"/>
    <w:rsid w:val="00AE3906"/>
    <w:rsid w:val="00B206C2"/>
    <w:rsid w:val="00B711BB"/>
    <w:rsid w:val="00B83ED3"/>
    <w:rsid w:val="00B91EE8"/>
    <w:rsid w:val="00BC0776"/>
    <w:rsid w:val="00BD5AB2"/>
    <w:rsid w:val="00BE6856"/>
    <w:rsid w:val="00C74696"/>
    <w:rsid w:val="00CB10B7"/>
    <w:rsid w:val="00CB6E72"/>
    <w:rsid w:val="00CC6669"/>
    <w:rsid w:val="00D256EE"/>
    <w:rsid w:val="00D4242C"/>
    <w:rsid w:val="00D42F68"/>
    <w:rsid w:val="00D5189D"/>
    <w:rsid w:val="00D847FF"/>
    <w:rsid w:val="00D97AC3"/>
    <w:rsid w:val="00DB4938"/>
    <w:rsid w:val="00DD519B"/>
    <w:rsid w:val="00DF7BCE"/>
    <w:rsid w:val="00E205E6"/>
    <w:rsid w:val="00E3274B"/>
    <w:rsid w:val="00E82F3C"/>
    <w:rsid w:val="00E861C4"/>
    <w:rsid w:val="00E952B0"/>
    <w:rsid w:val="00EA11F7"/>
    <w:rsid w:val="00EA4519"/>
    <w:rsid w:val="00EC38FE"/>
    <w:rsid w:val="00EE0E89"/>
    <w:rsid w:val="00EE22D9"/>
    <w:rsid w:val="00EF3502"/>
    <w:rsid w:val="00F01418"/>
    <w:rsid w:val="00F23A6C"/>
    <w:rsid w:val="00F533DA"/>
    <w:rsid w:val="00FA1206"/>
    <w:rsid w:val="00FA3803"/>
    <w:rsid w:val="00FA6C99"/>
    <w:rsid w:val="00FE30B2"/>
    <w:rsid w:val="01063741"/>
    <w:rsid w:val="01879FAA"/>
    <w:rsid w:val="01AB7719"/>
    <w:rsid w:val="032F0014"/>
    <w:rsid w:val="034D1D03"/>
    <w:rsid w:val="03C81B81"/>
    <w:rsid w:val="044DBBE3"/>
    <w:rsid w:val="04AF2277"/>
    <w:rsid w:val="0535A1A9"/>
    <w:rsid w:val="058680AF"/>
    <w:rsid w:val="0588FE96"/>
    <w:rsid w:val="06A8E420"/>
    <w:rsid w:val="07ED3452"/>
    <w:rsid w:val="0AB0217A"/>
    <w:rsid w:val="0B597251"/>
    <w:rsid w:val="0B5D29BE"/>
    <w:rsid w:val="0D50ABC1"/>
    <w:rsid w:val="0F143A98"/>
    <w:rsid w:val="11CA44D0"/>
    <w:rsid w:val="125D2DC5"/>
    <w:rsid w:val="12E73DEA"/>
    <w:rsid w:val="13AD1CA3"/>
    <w:rsid w:val="1446000F"/>
    <w:rsid w:val="183F9207"/>
    <w:rsid w:val="18B24EA4"/>
    <w:rsid w:val="19F2BFCC"/>
    <w:rsid w:val="1A6762E5"/>
    <w:rsid w:val="1CD845AC"/>
    <w:rsid w:val="1E8E98C8"/>
    <w:rsid w:val="1ED9716A"/>
    <w:rsid w:val="2182E732"/>
    <w:rsid w:val="22ACABF9"/>
    <w:rsid w:val="22F75ACA"/>
    <w:rsid w:val="22FC243E"/>
    <w:rsid w:val="2398ABAF"/>
    <w:rsid w:val="23EF3A8F"/>
    <w:rsid w:val="24350147"/>
    <w:rsid w:val="256A82E8"/>
    <w:rsid w:val="27D90059"/>
    <w:rsid w:val="28B46538"/>
    <w:rsid w:val="29119978"/>
    <w:rsid w:val="294FAA93"/>
    <w:rsid w:val="2A5E7C13"/>
    <w:rsid w:val="2ACD13FA"/>
    <w:rsid w:val="2B23715D"/>
    <w:rsid w:val="2B244CED"/>
    <w:rsid w:val="2C18F03F"/>
    <w:rsid w:val="2CEC31B1"/>
    <w:rsid w:val="2E410970"/>
    <w:rsid w:val="2FFC2270"/>
    <w:rsid w:val="32B87BBE"/>
    <w:rsid w:val="34384590"/>
    <w:rsid w:val="36013AB1"/>
    <w:rsid w:val="378BECE1"/>
    <w:rsid w:val="38E69F41"/>
    <w:rsid w:val="3A28C31A"/>
    <w:rsid w:val="3A394493"/>
    <w:rsid w:val="3AE74C89"/>
    <w:rsid w:val="3B4D5CBD"/>
    <w:rsid w:val="3B4F3A73"/>
    <w:rsid w:val="3BD514F4"/>
    <w:rsid w:val="3DFB2E65"/>
    <w:rsid w:val="3ECC4745"/>
    <w:rsid w:val="3F13DA16"/>
    <w:rsid w:val="3F42404D"/>
    <w:rsid w:val="402005B5"/>
    <w:rsid w:val="40AFB541"/>
    <w:rsid w:val="423E634E"/>
    <w:rsid w:val="42D93277"/>
    <w:rsid w:val="44AEAB87"/>
    <w:rsid w:val="4783D257"/>
    <w:rsid w:val="48AB0409"/>
    <w:rsid w:val="49FC7513"/>
    <w:rsid w:val="4B4B730D"/>
    <w:rsid w:val="4D274B1E"/>
    <w:rsid w:val="4E812905"/>
    <w:rsid w:val="5098DB57"/>
    <w:rsid w:val="52238D87"/>
    <w:rsid w:val="566CB59A"/>
    <w:rsid w:val="56AD5889"/>
    <w:rsid w:val="5704EB98"/>
    <w:rsid w:val="580E4466"/>
    <w:rsid w:val="58EBC775"/>
    <w:rsid w:val="5B80C9AC"/>
    <w:rsid w:val="5E22DAE9"/>
    <w:rsid w:val="60CAB734"/>
    <w:rsid w:val="6139DE86"/>
    <w:rsid w:val="615D42A8"/>
    <w:rsid w:val="626E220B"/>
    <w:rsid w:val="6342A4AF"/>
    <w:rsid w:val="63591B98"/>
    <w:rsid w:val="64DE7510"/>
    <w:rsid w:val="65382198"/>
    <w:rsid w:val="65AFABF9"/>
    <w:rsid w:val="67DFFCD5"/>
    <w:rsid w:val="68B0E05B"/>
    <w:rsid w:val="6AFE6244"/>
    <w:rsid w:val="6E15E08D"/>
    <w:rsid w:val="6E5EEC14"/>
    <w:rsid w:val="6F28D94A"/>
    <w:rsid w:val="6FA9B583"/>
    <w:rsid w:val="6FABCEAF"/>
    <w:rsid w:val="70D342D4"/>
    <w:rsid w:val="7143823E"/>
    <w:rsid w:val="718E9F50"/>
    <w:rsid w:val="71A3CFBB"/>
    <w:rsid w:val="72E0C990"/>
    <w:rsid w:val="73621327"/>
    <w:rsid w:val="74FED540"/>
    <w:rsid w:val="76059C30"/>
    <w:rsid w:val="775E0272"/>
    <w:rsid w:val="779DB837"/>
    <w:rsid w:val="79190090"/>
    <w:rsid w:val="79398898"/>
    <w:rsid w:val="79F2A106"/>
    <w:rsid w:val="7ABAF6D9"/>
    <w:rsid w:val="7AD006BC"/>
    <w:rsid w:val="7B3D6F1C"/>
    <w:rsid w:val="7C6E8379"/>
    <w:rsid w:val="7DF4A222"/>
    <w:rsid w:val="7E07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9ACC59"/>
  <w15:docId w15:val="{104068ED-AD26-4A24-B18E-972E319A1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13AD1CA3"/>
  </w:style>
  <w:style w:type="paragraph" w:styleId="Heading1">
    <w:name w:val="heading 1"/>
    <w:basedOn w:val="Normal"/>
    <w:next w:val="Normal"/>
    <w:link w:val="Heading1Char"/>
    <w:uiPriority w:val="9"/>
    <w:qFormat/>
    <w:rsid w:val="13AD1CA3"/>
    <w:pPr>
      <w:keepNext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13AD1CA3"/>
    <w:pPr>
      <w:keepNext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13AD1CA3"/>
    <w:pPr>
      <w:keepNext/>
      <w:spacing w:before="40" w:after="0"/>
      <w:outlineLvl w:val="2"/>
    </w:pPr>
    <w:rPr>
      <w:rFonts w:asciiTheme="majorHAnsi" w:eastAsiaTheme="majorEastAsia" w:hAnsiTheme="majorHAnsi" w:cstheme="majorBidi"/>
      <w:color w:val="1F3763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13AD1CA3"/>
    <w:pPr>
      <w:keepNext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13AD1CA3"/>
    <w:pPr>
      <w:keepNext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13AD1CA3"/>
    <w:pPr>
      <w:keepNext/>
      <w:spacing w:before="40" w:after="0"/>
      <w:outlineLvl w:val="5"/>
    </w:pPr>
    <w:rPr>
      <w:rFonts w:asciiTheme="majorHAnsi" w:eastAsiaTheme="majorEastAsia" w:hAnsiTheme="majorHAnsi" w:cstheme="majorBidi"/>
      <w:color w:val="1F3763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13AD1CA3"/>
    <w:pPr>
      <w:keepNext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13AD1CA3"/>
    <w:pPr>
      <w:keepNext/>
      <w:spacing w:before="40" w:after="0"/>
      <w:outlineLvl w:val="7"/>
    </w:pPr>
    <w:rPr>
      <w:rFonts w:asciiTheme="majorHAnsi" w:eastAsiaTheme="majorEastAsia" w:hAnsiTheme="majorHAnsi" w:cstheme="majorBidi"/>
      <w:color w:val="272727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13AD1CA3"/>
    <w:pPr>
      <w:keepNext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13AD1CA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23E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13AD1CA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13AD1CA3"/>
    <w:rPr>
      <w:noProof w:val="0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13AD1C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13AD1CA3"/>
    <w:rPr>
      <w:b/>
      <w:bCs/>
      <w:noProof w:val="0"/>
      <w:sz w:val="20"/>
      <w:szCs w:val="20"/>
      <w:lang w:val="en-US"/>
    </w:rPr>
  </w:style>
  <w:style w:type="table" w:styleId="TableGrid">
    <w:name w:val="Table Grid"/>
    <w:basedOn w:val="TableNormal"/>
    <w:uiPriority w:val="39"/>
    <w:rsid w:val="00081B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13AD1CA3"/>
    <w:pPr>
      <w:spacing w:after="0"/>
      <w:contextualSpacing/>
    </w:pPr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13AD1CA3"/>
    <w:rPr>
      <w:rFonts w:eastAsiaTheme="minorEastAsia"/>
      <w:color w:val="5A5A5A"/>
    </w:rPr>
  </w:style>
  <w:style w:type="paragraph" w:styleId="Quote">
    <w:name w:val="Quote"/>
    <w:basedOn w:val="Normal"/>
    <w:next w:val="Normal"/>
    <w:link w:val="QuoteChar"/>
    <w:uiPriority w:val="29"/>
    <w:qFormat/>
    <w:rsid w:val="13AD1CA3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13AD1CA3"/>
    <w:pP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13AD1CA3"/>
    <w:rPr>
      <w:rFonts w:asciiTheme="majorHAnsi" w:eastAsiaTheme="majorEastAsia" w:hAnsiTheme="majorHAnsi" w:cstheme="majorBidi"/>
      <w:noProof w:val="0"/>
      <w:color w:val="2F5496" w:themeColor="accent1" w:themeShade="BF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13AD1CA3"/>
    <w:rPr>
      <w:rFonts w:asciiTheme="majorHAnsi" w:eastAsiaTheme="majorEastAsia" w:hAnsiTheme="majorHAnsi" w:cstheme="majorBidi"/>
      <w:noProof w:val="0"/>
      <w:color w:val="2F5496" w:themeColor="accent1" w:themeShade="BF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13AD1CA3"/>
    <w:rPr>
      <w:rFonts w:asciiTheme="majorHAnsi" w:eastAsiaTheme="majorEastAsia" w:hAnsiTheme="majorHAnsi" w:cstheme="majorBidi"/>
      <w:noProof w:val="0"/>
      <w:color w:val="1F3763"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13AD1CA3"/>
    <w:rPr>
      <w:rFonts w:asciiTheme="majorHAnsi" w:eastAsiaTheme="majorEastAsia" w:hAnsiTheme="majorHAnsi" w:cstheme="majorBidi"/>
      <w:i/>
      <w:iCs/>
      <w:noProof w:val="0"/>
      <w:color w:val="2F5496" w:themeColor="accent1" w:themeShade="BF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13AD1CA3"/>
    <w:rPr>
      <w:rFonts w:asciiTheme="majorHAnsi" w:eastAsiaTheme="majorEastAsia" w:hAnsiTheme="majorHAnsi" w:cstheme="majorBidi"/>
      <w:noProof w:val="0"/>
      <w:color w:val="2F5496" w:themeColor="accent1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rsid w:val="13AD1CA3"/>
    <w:rPr>
      <w:rFonts w:asciiTheme="majorHAnsi" w:eastAsiaTheme="majorEastAsia" w:hAnsiTheme="majorHAnsi" w:cstheme="majorBidi"/>
      <w:noProof w:val="0"/>
      <w:color w:val="1F3763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rsid w:val="13AD1CA3"/>
    <w:rPr>
      <w:rFonts w:asciiTheme="majorHAnsi" w:eastAsiaTheme="majorEastAsia" w:hAnsiTheme="majorHAnsi" w:cstheme="majorBidi"/>
      <w:i/>
      <w:iCs/>
      <w:noProof w:val="0"/>
      <w:color w:val="1F3763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rsid w:val="13AD1CA3"/>
    <w:rPr>
      <w:rFonts w:asciiTheme="majorHAnsi" w:eastAsiaTheme="majorEastAsia" w:hAnsiTheme="majorHAnsi" w:cstheme="majorBidi"/>
      <w:noProof w:val="0"/>
      <w:color w:val="272727"/>
      <w:sz w:val="21"/>
      <w:szCs w:val="21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rsid w:val="13AD1CA3"/>
    <w:rPr>
      <w:rFonts w:asciiTheme="majorHAnsi" w:eastAsiaTheme="majorEastAsia" w:hAnsiTheme="majorHAnsi" w:cstheme="majorBidi"/>
      <w:i/>
      <w:iCs/>
      <w:noProof w:val="0"/>
      <w:color w:val="272727"/>
      <w:sz w:val="21"/>
      <w:szCs w:val="21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13AD1CA3"/>
    <w:rPr>
      <w:rFonts w:asciiTheme="majorHAnsi" w:eastAsiaTheme="majorEastAsia" w:hAnsiTheme="majorHAnsi" w:cstheme="majorBidi"/>
      <w:noProof w:val="0"/>
      <w:sz w:val="56"/>
      <w:szCs w:val="56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13AD1CA3"/>
    <w:rPr>
      <w:rFonts w:asciiTheme="minorHAnsi" w:eastAsiaTheme="minorEastAsia" w:hAnsiTheme="minorHAnsi" w:cstheme="minorBidi"/>
      <w:noProof w:val="0"/>
      <w:color w:val="5A5A5A"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13AD1CA3"/>
    <w:rPr>
      <w:i/>
      <w:iCs/>
      <w:noProof w:val="0"/>
      <w:color w:val="404040" w:themeColor="text1" w:themeTint="BF"/>
      <w:lang w:val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13AD1CA3"/>
    <w:rPr>
      <w:i/>
      <w:iCs/>
      <w:noProof w:val="0"/>
      <w:color w:val="4472C4" w:themeColor="accent1"/>
      <w:lang w:val="en-US"/>
    </w:rPr>
  </w:style>
  <w:style w:type="paragraph" w:styleId="TOC1">
    <w:name w:val="toc 1"/>
    <w:basedOn w:val="Normal"/>
    <w:next w:val="Normal"/>
    <w:uiPriority w:val="39"/>
    <w:unhideWhenUsed/>
    <w:rsid w:val="13AD1CA3"/>
    <w:pPr>
      <w:spacing w:after="100"/>
    </w:pPr>
  </w:style>
  <w:style w:type="paragraph" w:styleId="TOC2">
    <w:name w:val="toc 2"/>
    <w:basedOn w:val="Normal"/>
    <w:next w:val="Normal"/>
    <w:uiPriority w:val="39"/>
    <w:unhideWhenUsed/>
    <w:rsid w:val="13AD1CA3"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rsid w:val="13AD1CA3"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rsid w:val="13AD1CA3"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rsid w:val="13AD1CA3"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rsid w:val="13AD1CA3"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rsid w:val="13AD1CA3"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rsid w:val="13AD1CA3"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rsid w:val="13AD1CA3"/>
    <w:pPr>
      <w:spacing w:after="100"/>
      <w:ind w:left="1760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13AD1CA3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13AD1CA3"/>
    <w:rPr>
      <w:noProof w:val="0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13AD1CA3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13AD1CA3"/>
    <w:rPr>
      <w:noProof w:val="0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13AD1CA3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13AD1CA3"/>
    <w:rPr>
      <w:noProof w:val="0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13AD1CA3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13AD1CA3"/>
    <w:rPr>
      <w:noProof w:val="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98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nvironmentOperations@sheltercluster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heltercluster.s3.eu-central-1.amazonaws.com/public/docs/HRP-TipSheet-Environment-and-Climate-Change.pdf?VersionId=CYqr3FN9gUDvUEYCgaaEZSeWIQdT9VW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mailto:mandy.george@sheltercluster.org" TargetMode="External"/><Relationship Id="rId1" Type="http://schemas.openxmlformats.org/officeDocument/2006/relationships/hyperlink" Target="mailto:marara@unhcr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700</Words>
  <Characters>3995</Characters>
  <Application>Microsoft Office Word</Application>
  <DocSecurity>0</DocSecurity>
  <Lines>33</Lines>
  <Paragraphs>9</Paragraphs>
  <ScaleCrop>false</ScaleCrop>
  <Company/>
  <LinksUpToDate>false</LinksUpToDate>
  <CharactersWithSpaces>4686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Camilla Wuensch</dc:creator>
  <cp:keywords/>
  <dc:description/>
  <cp:lastModifiedBy>Camilla Wuensch</cp:lastModifiedBy>
  <cp:revision>2</cp:revision>
  <dcterms:created xsi:type="dcterms:W3CDTF">2023-01-24T15:49:00Z</dcterms:created>
  <dcterms:modified xsi:type="dcterms:W3CDTF">2023-01-24T15:49:00Z</dcterms:modified>
</cp:coreProperties>
</file>