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32" w:rsidRDefault="00A97988" w:rsidP="00D455C0">
      <w:pPr>
        <w:pStyle w:val="Subtitle"/>
        <w:rPr>
          <w:lang w:val="en-US"/>
        </w:rPr>
      </w:pPr>
      <w:r>
        <w:rPr>
          <w:lang w:val="en-US"/>
        </w:rPr>
        <w:t xml:space="preserve">Draft </w:t>
      </w:r>
      <w:r w:rsidR="00881100">
        <w:rPr>
          <w:lang w:val="en-US"/>
        </w:rPr>
        <w:t>IASC Background Paper</w:t>
      </w:r>
      <w:r w:rsidR="00391F31">
        <w:rPr>
          <w:lang w:val="en-US"/>
        </w:rPr>
        <w:t xml:space="preserve"> - </w:t>
      </w:r>
      <w:r w:rsidR="00DE2232" w:rsidRPr="00DE2232">
        <w:rPr>
          <w:lang w:val="en-US"/>
        </w:rPr>
        <w:t>Cluster De-Activation</w:t>
      </w:r>
      <w:r w:rsidR="00881100">
        <w:rPr>
          <w:lang w:val="en-US"/>
        </w:rPr>
        <w:t xml:space="preserve"> and Preparedness</w:t>
      </w:r>
    </w:p>
    <w:p w:rsidR="00FE4DB4" w:rsidRPr="00DE2232" w:rsidRDefault="00FE4DB4" w:rsidP="00DE2232">
      <w:pPr>
        <w:autoSpaceDE w:val="0"/>
        <w:autoSpaceDN w:val="0"/>
        <w:adjustRightInd w:val="0"/>
        <w:spacing w:after="0"/>
        <w:rPr>
          <w:rFonts w:cstheme="minorHAnsi"/>
          <w:b/>
          <w:bCs/>
          <w:color w:val="000000"/>
          <w:lang w:val="en-US"/>
        </w:rPr>
      </w:pPr>
    </w:p>
    <w:p w:rsidR="004A366E" w:rsidRDefault="00881100" w:rsidP="00DE2232">
      <w:pPr>
        <w:autoSpaceDE w:val="0"/>
        <w:autoSpaceDN w:val="0"/>
        <w:adjustRightInd w:val="0"/>
        <w:spacing w:after="0"/>
        <w:rPr>
          <w:rFonts w:cstheme="minorHAnsi"/>
          <w:color w:val="000000"/>
          <w:lang w:val="en-US"/>
        </w:rPr>
      </w:pPr>
      <w:r>
        <w:rPr>
          <w:rFonts w:cstheme="minorHAnsi"/>
          <w:color w:val="000000"/>
          <w:lang w:val="en-US"/>
        </w:rPr>
        <w:t xml:space="preserve">The purpose of this background paper is to </w:t>
      </w:r>
      <w:r w:rsidR="009E7285">
        <w:rPr>
          <w:rFonts w:cstheme="minorHAnsi"/>
          <w:color w:val="000000"/>
          <w:lang w:val="en-US"/>
        </w:rPr>
        <w:t>present</w:t>
      </w:r>
      <w:r w:rsidR="00651C13">
        <w:rPr>
          <w:rFonts w:cstheme="minorHAnsi"/>
          <w:color w:val="000000"/>
          <w:lang w:val="en-US"/>
        </w:rPr>
        <w:t xml:space="preserve"> priority discussion </w:t>
      </w:r>
      <w:r w:rsidR="004A366E">
        <w:rPr>
          <w:rFonts w:cstheme="minorHAnsi"/>
          <w:color w:val="000000"/>
          <w:lang w:val="en-US"/>
        </w:rPr>
        <w:t xml:space="preserve">areas </w:t>
      </w:r>
      <w:r w:rsidR="00D455C0">
        <w:rPr>
          <w:rFonts w:cstheme="minorHAnsi"/>
          <w:color w:val="000000"/>
          <w:lang w:val="en-US"/>
        </w:rPr>
        <w:t xml:space="preserve">for consideration </w:t>
      </w:r>
      <w:r>
        <w:rPr>
          <w:rFonts w:cstheme="minorHAnsi"/>
          <w:color w:val="000000"/>
          <w:lang w:val="en-US"/>
        </w:rPr>
        <w:t>on cluster de</w:t>
      </w:r>
      <w:r w:rsidR="00D455C0">
        <w:rPr>
          <w:rFonts w:cstheme="minorHAnsi"/>
          <w:color w:val="000000"/>
          <w:lang w:val="en-US"/>
        </w:rPr>
        <w:t>-</w:t>
      </w:r>
      <w:r>
        <w:rPr>
          <w:rFonts w:cstheme="minorHAnsi"/>
          <w:color w:val="000000"/>
          <w:lang w:val="en-US"/>
        </w:rPr>
        <w:t xml:space="preserve">activation and the </w:t>
      </w:r>
      <w:r w:rsidR="00D455C0">
        <w:rPr>
          <w:rFonts w:cstheme="minorHAnsi"/>
          <w:color w:val="000000"/>
          <w:lang w:val="en-US"/>
        </w:rPr>
        <w:t xml:space="preserve">related </w:t>
      </w:r>
      <w:r>
        <w:rPr>
          <w:rFonts w:cstheme="minorHAnsi"/>
          <w:color w:val="000000"/>
          <w:lang w:val="en-US"/>
        </w:rPr>
        <w:t>role of clusters in preparedness</w:t>
      </w:r>
      <w:r w:rsidR="00D455C0">
        <w:rPr>
          <w:rFonts w:cstheme="minorHAnsi"/>
          <w:color w:val="000000"/>
          <w:lang w:val="en-US"/>
        </w:rPr>
        <w:t xml:space="preserve"> to support</w:t>
      </w:r>
      <w:r w:rsidR="00651C13">
        <w:rPr>
          <w:rFonts w:cstheme="minorHAnsi"/>
          <w:color w:val="000000"/>
          <w:lang w:val="en-US"/>
        </w:rPr>
        <w:t xml:space="preserve"> decision taking by the </w:t>
      </w:r>
      <w:r w:rsidR="00D455C0">
        <w:rPr>
          <w:rFonts w:cstheme="minorHAnsi"/>
          <w:color w:val="000000"/>
          <w:lang w:val="en-US"/>
        </w:rPr>
        <w:t xml:space="preserve">IASC </w:t>
      </w:r>
      <w:r w:rsidR="00651C13">
        <w:rPr>
          <w:rFonts w:cstheme="minorHAnsi"/>
          <w:color w:val="000000"/>
          <w:lang w:val="en-US"/>
        </w:rPr>
        <w:t>Working Group</w:t>
      </w:r>
      <w:r>
        <w:rPr>
          <w:rFonts w:cstheme="minorHAnsi"/>
          <w:color w:val="000000"/>
          <w:lang w:val="en-US"/>
        </w:rPr>
        <w:t xml:space="preserve">. </w:t>
      </w:r>
      <w:r w:rsidR="00BA7682">
        <w:rPr>
          <w:rFonts w:cstheme="minorHAnsi"/>
          <w:color w:val="000000"/>
          <w:lang w:val="en-US"/>
        </w:rPr>
        <w:t>This paper should be consider</w:t>
      </w:r>
      <w:r w:rsidR="00A97988">
        <w:rPr>
          <w:rFonts w:cstheme="minorHAnsi"/>
          <w:color w:val="000000"/>
          <w:lang w:val="en-US"/>
        </w:rPr>
        <w:t xml:space="preserve">ed in relation to the IASC </w:t>
      </w:r>
      <w:r w:rsidR="00BA7682" w:rsidRPr="00BA7682">
        <w:rPr>
          <w:rFonts w:cstheme="minorHAnsi"/>
          <w:color w:val="000000"/>
          <w:lang w:val="en-US"/>
        </w:rPr>
        <w:t>Cluster Coordination Reference Module</w:t>
      </w:r>
      <w:r w:rsidR="00A97988">
        <w:rPr>
          <w:rFonts w:cstheme="minorHAnsi"/>
          <w:color w:val="000000"/>
          <w:lang w:val="en-US"/>
        </w:rPr>
        <w:t>.</w:t>
      </w:r>
    </w:p>
    <w:p w:rsidR="002B6B93" w:rsidRDefault="002B6B93" w:rsidP="00DE2232">
      <w:pPr>
        <w:autoSpaceDE w:val="0"/>
        <w:autoSpaceDN w:val="0"/>
        <w:adjustRightInd w:val="0"/>
        <w:spacing w:after="0"/>
        <w:rPr>
          <w:rFonts w:cstheme="minorHAnsi"/>
          <w:b/>
          <w:color w:val="000000"/>
          <w:lang w:val="en-US"/>
        </w:rPr>
      </w:pPr>
    </w:p>
    <w:p w:rsidR="004A366E" w:rsidRPr="00391F31" w:rsidRDefault="00391F31" w:rsidP="00DE2232">
      <w:pPr>
        <w:autoSpaceDE w:val="0"/>
        <w:autoSpaceDN w:val="0"/>
        <w:adjustRightInd w:val="0"/>
        <w:spacing w:after="0"/>
        <w:rPr>
          <w:rFonts w:cstheme="minorHAnsi"/>
          <w:b/>
          <w:color w:val="000000"/>
          <w:lang w:val="en-US"/>
        </w:rPr>
      </w:pPr>
      <w:r w:rsidRPr="00391F31">
        <w:rPr>
          <w:rFonts w:cstheme="minorHAnsi"/>
          <w:b/>
          <w:color w:val="000000"/>
          <w:lang w:val="en-US"/>
        </w:rPr>
        <w:t xml:space="preserve">The basis for </w:t>
      </w:r>
      <w:r w:rsidR="00651C13">
        <w:rPr>
          <w:rFonts w:cstheme="minorHAnsi"/>
          <w:b/>
          <w:color w:val="000000"/>
          <w:lang w:val="en-US"/>
        </w:rPr>
        <w:t xml:space="preserve">cluster </w:t>
      </w:r>
      <w:r w:rsidRPr="00391F31">
        <w:rPr>
          <w:rFonts w:cstheme="minorHAnsi"/>
          <w:b/>
          <w:color w:val="000000"/>
          <w:lang w:val="en-US"/>
        </w:rPr>
        <w:t>d</w:t>
      </w:r>
      <w:r w:rsidR="004A366E" w:rsidRPr="00391F31">
        <w:rPr>
          <w:rFonts w:cstheme="minorHAnsi"/>
          <w:b/>
          <w:color w:val="000000"/>
          <w:lang w:val="en-US"/>
        </w:rPr>
        <w:t>e</w:t>
      </w:r>
      <w:r>
        <w:rPr>
          <w:rFonts w:cstheme="minorHAnsi"/>
          <w:b/>
          <w:color w:val="000000"/>
          <w:lang w:val="en-US"/>
        </w:rPr>
        <w:t>-</w:t>
      </w:r>
      <w:r w:rsidR="004A366E" w:rsidRPr="00391F31">
        <w:rPr>
          <w:rFonts w:cstheme="minorHAnsi"/>
          <w:b/>
          <w:color w:val="000000"/>
          <w:lang w:val="en-US"/>
        </w:rPr>
        <w:t>activation</w:t>
      </w:r>
    </w:p>
    <w:p w:rsidR="00391F31" w:rsidRDefault="00391F31" w:rsidP="00DE2232">
      <w:pPr>
        <w:autoSpaceDE w:val="0"/>
        <w:autoSpaceDN w:val="0"/>
        <w:adjustRightInd w:val="0"/>
        <w:spacing w:after="0"/>
        <w:rPr>
          <w:rFonts w:cstheme="minorHAnsi"/>
          <w:color w:val="000000"/>
          <w:lang w:val="en-US"/>
        </w:rPr>
      </w:pPr>
    </w:p>
    <w:p w:rsidR="007552D6" w:rsidRDefault="00DE2232" w:rsidP="00DE2232">
      <w:pPr>
        <w:autoSpaceDE w:val="0"/>
        <w:autoSpaceDN w:val="0"/>
        <w:adjustRightInd w:val="0"/>
        <w:spacing w:after="0"/>
        <w:rPr>
          <w:rFonts w:cstheme="minorHAnsi"/>
          <w:color w:val="000000"/>
          <w:lang w:val="en-US"/>
        </w:rPr>
      </w:pPr>
      <w:r w:rsidRPr="00DE2232">
        <w:rPr>
          <w:rFonts w:cstheme="minorHAnsi"/>
          <w:color w:val="000000"/>
          <w:lang w:val="en-US"/>
        </w:rPr>
        <w:t xml:space="preserve">The IASC Principals agreed that the activation of clusters must be </w:t>
      </w:r>
      <w:r w:rsidRPr="00DE2232">
        <w:rPr>
          <w:rFonts w:cstheme="minorHAnsi"/>
          <w:b/>
          <w:bCs/>
          <w:color w:val="000000"/>
          <w:lang w:val="en-US"/>
        </w:rPr>
        <w:t>more strategic, less</w:t>
      </w:r>
      <w:r w:rsidR="00BD4E1D">
        <w:rPr>
          <w:rFonts w:cstheme="minorHAnsi"/>
          <w:b/>
          <w:bCs/>
          <w:color w:val="000000"/>
          <w:lang w:val="en-US"/>
        </w:rPr>
        <w:t xml:space="preserve"> </w:t>
      </w:r>
      <w:r w:rsidRPr="00DE2232">
        <w:rPr>
          <w:rFonts w:cstheme="minorHAnsi"/>
          <w:b/>
          <w:bCs/>
          <w:color w:val="000000"/>
          <w:lang w:val="en-US"/>
        </w:rPr>
        <w:t>automatic and time limited</w:t>
      </w:r>
      <w:r w:rsidR="007552D6">
        <w:rPr>
          <w:rFonts w:cstheme="minorHAnsi"/>
          <w:color w:val="000000"/>
          <w:lang w:val="en-US"/>
        </w:rPr>
        <w:t xml:space="preserve">.  </w:t>
      </w:r>
      <w:r w:rsidRPr="00DE2232">
        <w:rPr>
          <w:rFonts w:cstheme="minorHAnsi"/>
          <w:color w:val="000000"/>
          <w:lang w:val="en-US"/>
        </w:rPr>
        <w:t xml:space="preserve">It follows </w:t>
      </w:r>
      <w:r w:rsidR="00651C13">
        <w:rPr>
          <w:rFonts w:cstheme="minorHAnsi"/>
          <w:color w:val="000000"/>
          <w:lang w:val="en-US"/>
        </w:rPr>
        <w:t>that</w:t>
      </w:r>
      <w:r w:rsidRPr="00DE2232">
        <w:rPr>
          <w:rFonts w:cstheme="minorHAnsi"/>
          <w:color w:val="000000"/>
          <w:lang w:val="en-US"/>
        </w:rPr>
        <w:t xml:space="preserve"> </w:t>
      </w:r>
      <w:r w:rsidR="004A366E">
        <w:rPr>
          <w:rFonts w:cstheme="minorHAnsi"/>
          <w:color w:val="000000"/>
          <w:lang w:val="en-US"/>
        </w:rPr>
        <w:t>a clear approach to cluster</w:t>
      </w:r>
      <w:r w:rsidRPr="00DE2232">
        <w:rPr>
          <w:rFonts w:cstheme="minorHAnsi"/>
          <w:color w:val="000000"/>
          <w:lang w:val="en-US"/>
        </w:rPr>
        <w:t xml:space="preserve"> de-activation </w:t>
      </w:r>
      <w:r w:rsidR="004A366E">
        <w:rPr>
          <w:rFonts w:cstheme="minorHAnsi"/>
          <w:color w:val="000000"/>
          <w:lang w:val="en-US"/>
        </w:rPr>
        <w:t>is required to</w:t>
      </w:r>
      <w:r w:rsidRPr="00DE2232">
        <w:rPr>
          <w:rFonts w:cstheme="minorHAnsi"/>
          <w:color w:val="000000"/>
          <w:lang w:val="en-US"/>
        </w:rPr>
        <w:t xml:space="preserve"> </w:t>
      </w:r>
      <w:r w:rsidR="007552D6">
        <w:rPr>
          <w:rFonts w:cstheme="minorHAnsi"/>
          <w:color w:val="000000"/>
          <w:lang w:val="en-US"/>
        </w:rPr>
        <w:t xml:space="preserve">adhere to </w:t>
      </w:r>
      <w:r w:rsidR="002B6B93">
        <w:rPr>
          <w:rFonts w:cstheme="minorHAnsi"/>
          <w:color w:val="000000"/>
          <w:lang w:val="en-US"/>
        </w:rPr>
        <w:t>commitment made to limit clusters to emergency response activities</w:t>
      </w:r>
      <w:r w:rsidRPr="00DE2232">
        <w:rPr>
          <w:rFonts w:cstheme="minorHAnsi"/>
          <w:color w:val="000000"/>
          <w:lang w:val="en-US"/>
        </w:rPr>
        <w:t>.</w:t>
      </w:r>
      <w:r w:rsidR="007552D6">
        <w:rPr>
          <w:rFonts w:cstheme="minorHAnsi"/>
          <w:color w:val="000000"/>
          <w:lang w:val="en-US"/>
        </w:rPr>
        <w:t xml:space="preserve"> </w:t>
      </w:r>
    </w:p>
    <w:p w:rsidR="00881100" w:rsidRPr="009257ED" w:rsidRDefault="00881100" w:rsidP="00DE2232">
      <w:pPr>
        <w:autoSpaceDE w:val="0"/>
        <w:autoSpaceDN w:val="0"/>
        <w:adjustRightInd w:val="0"/>
        <w:spacing w:after="0"/>
        <w:rPr>
          <w:rFonts w:cstheme="minorHAnsi"/>
          <w:color w:val="000000"/>
          <w:lang w:val="en-US"/>
        </w:rPr>
      </w:pPr>
    </w:p>
    <w:p w:rsidR="004A366E" w:rsidRDefault="004A366E" w:rsidP="00DE2232">
      <w:pPr>
        <w:autoSpaceDE w:val="0"/>
        <w:autoSpaceDN w:val="0"/>
        <w:adjustRightInd w:val="0"/>
        <w:spacing w:after="0"/>
        <w:rPr>
          <w:rFonts w:cstheme="minorHAnsi"/>
          <w:color w:val="000000"/>
          <w:lang w:val="en-US"/>
        </w:rPr>
      </w:pPr>
      <w:r>
        <w:rPr>
          <w:rFonts w:cstheme="minorHAnsi"/>
          <w:color w:val="000000"/>
          <w:lang w:val="en-US"/>
        </w:rPr>
        <w:t>In its simplest form, the criteria applicable to the de</w:t>
      </w:r>
      <w:r w:rsidR="00D455C0">
        <w:rPr>
          <w:rFonts w:cstheme="minorHAnsi"/>
          <w:color w:val="000000"/>
          <w:lang w:val="en-US"/>
        </w:rPr>
        <w:t>-</w:t>
      </w:r>
      <w:r>
        <w:rPr>
          <w:rFonts w:cstheme="minorHAnsi"/>
          <w:color w:val="000000"/>
          <w:lang w:val="en-US"/>
        </w:rPr>
        <w:t>activation of cluster mirror the criteria for activation</w:t>
      </w:r>
      <w:r w:rsidRPr="0069298D">
        <w:rPr>
          <w:rStyle w:val="FootnoteReference"/>
          <w:rFonts w:cstheme="minorHAnsi"/>
          <w:color w:val="000000"/>
          <w:lang w:val="en-US"/>
        </w:rPr>
        <w:footnoteReference w:id="1"/>
      </w:r>
      <w:r w:rsidR="00651C13">
        <w:rPr>
          <w:rFonts w:cstheme="minorHAnsi"/>
          <w:color w:val="000000"/>
          <w:lang w:val="en-US"/>
        </w:rPr>
        <w:t xml:space="preserve">. At a point when the </w:t>
      </w:r>
      <w:r>
        <w:rPr>
          <w:rFonts w:cstheme="minorHAnsi"/>
          <w:color w:val="000000"/>
          <w:lang w:val="en-US"/>
        </w:rPr>
        <w:t xml:space="preserve">criteria evoked to activate a cluster(s) no longer apply the cluster(s) </w:t>
      </w:r>
      <w:r w:rsidR="00DC01BD">
        <w:rPr>
          <w:rFonts w:cstheme="minorHAnsi"/>
          <w:color w:val="000000"/>
          <w:lang w:val="en-US"/>
        </w:rPr>
        <w:t>may</w:t>
      </w:r>
      <w:r>
        <w:rPr>
          <w:rFonts w:cstheme="minorHAnsi"/>
          <w:color w:val="000000"/>
          <w:lang w:val="en-US"/>
        </w:rPr>
        <w:t xml:space="preserve"> be de</w:t>
      </w:r>
      <w:r w:rsidR="00D455C0">
        <w:rPr>
          <w:rFonts w:cstheme="minorHAnsi"/>
          <w:color w:val="000000"/>
          <w:lang w:val="en-US"/>
        </w:rPr>
        <w:t>-</w:t>
      </w:r>
      <w:r>
        <w:rPr>
          <w:rFonts w:cstheme="minorHAnsi"/>
          <w:color w:val="000000"/>
          <w:lang w:val="en-US"/>
        </w:rPr>
        <w:t xml:space="preserve">activated.  </w:t>
      </w:r>
      <w:r w:rsidR="00F15F44">
        <w:rPr>
          <w:rFonts w:cstheme="minorHAnsi"/>
          <w:color w:val="000000"/>
          <w:lang w:val="en-US"/>
        </w:rPr>
        <w:t>However, in</w:t>
      </w:r>
      <w:r w:rsidR="00F15F44" w:rsidRPr="0028089F">
        <w:rPr>
          <w:rFonts w:cstheme="minorHAnsi"/>
          <w:color w:val="000000"/>
          <w:lang w:val="en-US"/>
        </w:rPr>
        <w:t xml:space="preserve"> a context where the number of international actors is significantly reduced</w:t>
      </w:r>
      <w:r w:rsidR="00F15F44">
        <w:rPr>
          <w:rFonts w:cstheme="minorHAnsi"/>
          <w:color w:val="000000"/>
          <w:lang w:val="en-US"/>
        </w:rPr>
        <w:t>,</w:t>
      </w:r>
      <w:r w:rsidR="00F15F44" w:rsidRPr="0028089F">
        <w:rPr>
          <w:rFonts w:cstheme="minorHAnsi"/>
          <w:color w:val="000000"/>
          <w:lang w:val="en-US"/>
        </w:rPr>
        <w:t xml:space="preserve"> but the n</w:t>
      </w:r>
      <w:r w:rsidR="00F15F44">
        <w:rPr>
          <w:rFonts w:cstheme="minorHAnsi"/>
          <w:color w:val="000000"/>
          <w:lang w:val="en-US"/>
        </w:rPr>
        <w:t>ational counterparts still do not</w:t>
      </w:r>
      <w:r w:rsidR="00F15F44" w:rsidRPr="0028089F">
        <w:rPr>
          <w:rFonts w:cstheme="minorHAnsi"/>
          <w:color w:val="000000"/>
          <w:lang w:val="en-US"/>
        </w:rPr>
        <w:t xml:space="preserve"> have the capacity to lead the </w:t>
      </w:r>
      <w:proofErr w:type="spellStart"/>
      <w:r w:rsidR="00F15F44" w:rsidRPr="0028089F">
        <w:rPr>
          <w:rFonts w:cstheme="minorHAnsi"/>
          <w:color w:val="000000"/>
          <w:lang w:val="en-US"/>
        </w:rPr>
        <w:t>sectoral</w:t>
      </w:r>
      <w:proofErr w:type="spellEnd"/>
      <w:r w:rsidR="00F15F44" w:rsidRPr="0028089F">
        <w:rPr>
          <w:rFonts w:cstheme="minorHAnsi"/>
          <w:color w:val="000000"/>
          <w:lang w:val="en-US"/>
        </w:rPr>
        <w:t xml:space="preserve"> coordination mechanism</w:t>
      </w:r>
      <w:r w:rsidR="00F15F44">
        <w:rPr>
          <w:rFonts w:cstheme="minorHAnsi"/>
          <w:color w:val="000000"/>
          <w:lang w:val="en-US"/>
        </w:rPr>
        <w:t xml:space="preserve"> discretion on the part of the HC and HCT will be required in determining de</w:t>
      </w:r>
      <w:r w:rsidR="00D455C0">
        <w:rPr>
          <w:rFonts w:cstheme="minorHAnsi"/>
          <w:color w:val="000000"/>
          <w:lang w:val="en-US"/>
        </w:rPr>
        <w:t>-</w:t>
      </w:r>
      <w:r w:rsidR="00F15F44">
        <w:rPr>
          <w:rFonts w:cstheme="minorHAnsi"/>
          <w:color w:val="000000"/>
          <w:lang w:val="en-US"/>
        </w:rPr>
        <w:t>activation.</w:t>
      </w:r>
    </w:p>
    <w:p w:rsidR="00DE2232" w:rsidRDefault="00DE2232" w:rsidP="00DE2232">
      <w:pPr>
        <w:autoSpaceDE w:val="0"/>
        <w:autoSpaceDN w:val="0"/>
        <w:adjustRightInd w:val="0"/>
        <w:spacing w:after="0"/>
        <w:rPr>
          <w:rFonts w:cstheme="minorHAnsi"/>
          <w:color w:val="000000"/>
          <w:lang w:val="en-US"/>
        </w:rPr>
      </w:pPr>
    </w:p>
    <w:p w:rsidR="0028089F" w:rsidRDefault="002B6B93" w:rsidP="00DE2232">
      <w:pPr>
        <w:autoSpaceDE w:val="0"/>
        <w:autoSpaceDN w:val="0"/>
        <w:adjustRightInd w:val="0"/>
        <w:spacing w:after="0"/>
        <w:rPr>
          <w:rFonts w:cstheme="minorHAnsi"/>
          <w:color w:val="000000"/>
          <w:lang w:val="en-US"/>
        </w:rPr>
      </w:pPr>
      <w:r>
        <w:rPr>
          <w:rFonts w:cstheme="minorHAnsi"/>
          <w:color w:val="000000"/>
          <w:lang w:val="en-US"/>
        </w:rPr>
        <w:t>In cases</w:t>
      </w:r>
      <w:r w:rsidR="00651C13">
        <w:rPr>
          <w:rFonts w:cstheme="minorHAnsi"/>
          <w:color w:val="000000"/>
          <w:lang w:val="en-US"/>
        </w:rPr>
        <w:t xml:space="preserve"> where</w:t>
      </w:r>
      <w:r w:rsidR="004A366E">
        <w:rPr>
          <w:rFonts w:cstheme="minorHAnsi"/>
          <w:color w:val="000000"/>
          <w:lang w:val="en-US"/>
        </w:rPr>
        <w:t xml:space="preserve"> d</w:t>
      </w:r>
      <w:r w:rsidR="00DE2232" w:rsidRPr="00DE2232">
        <w:rPr>
          <w:rFonts w:cstheme="minorHAnsi"/>
          <w:color w:val="000000"/>
          <w:lang w:val="en-US"/>
        </w:rPr>
        <w:t xml:space="preserve">e-activation </w:t>
      </w:r>
      <w:r w:rsidR="00232D65">
        <w:rPr>
          <w:rFonts w:cstheme="minorHAnsi"/>
          <w:color w:val="000000"/>
          <w:lang w:val="en-US"/>
        </w:rPr>
        <w:t xml:space="preserve">is determined because </w:t>
      </w:r>
      <w:r w:rsidR="00232D65" w:rsidRPr="00DE2232">
        <w:rPr>
          <w:rFonts w:cstheme="minorHAnsi"/>
          <w:color w:val="000000"/>
          <w:lang w:val="en-US"/>
        </w:rPr>
        <w:t xml:space="preserve">an alternative </w:t>
      </w:r>
      <w:proofErr w:type="spellStart"/>
      <w:r w:rsidR="00232D65" w:rsidRPr="00DE2232">
        <w:rPr>
          <w:rFonts w:cstheme="minorHAnsi"/>
          <w:color w:val="000000"/>
          <w:lang w:val="en-US"/>
        </w:rPr>
        <w:t>sectoral</w:t>
      </w:r>
      <w:proofErr w:type="spellEnd"/>
      <w:r w:rsidR="00232D65" w:rsidRPr="00DE2232">
        <w:rPr>
          <w:rFonts w:cstheme="minorHAnsi"/>
          <w:color w:val="000000"/>
          <w:lang w:val="en-US"/>
        </w:rPr>
        <w:t xml:space="preserve"> coordination mechanism </w:t>
      </w:r>
      <w:r w:rsidR="00232D65">
        <w:rPr>
          <w:rFonts w:cstheme="minorHAnsi"/>
          <w:color w:val="000000"/>
          <w:lang w:val="en-US"/>
        </w:rPr>
        <w:t>(i.e. government-led sectoral coordination) is best suited to address the operational context</w:t>
      </w:r>
      <w:r w:rsidR="00651C13">
        <w:rPr>
          <w:rFonts w:cstheme="minorHAnsi"/>
          <w:color w:val="000000"/>
          <w:lang w:val="en-US"/>
        </w:rPr>
        <w:t>, typically because of</w:t>
      </w:r>
      <w:r w:rsidR="0069298D">
        <w:rPr>
          <w:rFonts w:cstheme="minorHAnsi"/>
          <w:color w:val="000000"/>
          <w:lang w:val="en-US"/>
        </w:rPr>
        <w:t xml:space="preserve"> </w:t>
      </w:r>
      <w:r w:rsidR="00724D3E">
        <w:rPr>
          <w:rFonts w:cstheme="minorHAnsi"/>
          <w:color w:val="000000"/>
          <w:lang w:val="en-US"/>
        </w:rPr>
        <w:t xml:space="preserve">reduced humanitarian needs </w:t>
      </w:r>
      <w:r w:rsidR="0069298D">
        <w:rPr>
          <w:rFonts w:cstheme="minorHAnsi"/>
          <w:color w:val="000000"/>
          <w:lang w:val="en-US"/>
        </w:rPr>
        <w:t>and/</w:t>
      </w:r>
      <w:r w:rsidR="00724D3E">
        <w:rPr>
          <w:rFonts w:cstheme="minorHAnsi"/>
          <w:color w:val="000000"/>
          <w:lang w:val="en-US"/>
        </w:rPr>
        <w:t>or enhanced national capacities</w:t>
      </w:r>
      <w:r w:rsidR="00F15F44">
        <w:rPr>
          <w:rFonts w:cstheme="minorHAnsi"/>
          <w:color w:val="000000"/>
          <w:lang w:val="en-US"/>
        </w:rPr>
        <w:t xml:space="preserve">, </w:t>
      </w:r>
      <w:r w:rsidR="00651C13">
        <w:rPr>
          <w:rFonts w:cstheme="minorHAnsi"/>
          <w:color w:val="000000"/>
          <w:lang w:val="en-US"/>
        </w:rPr>
        <w:t xml:space="preserve">this does </w:t>
      </w:r>
      <w:r w:rsidR="00F15F44" w:rsidRPr="00DE2232">
        <w:rPr>
          <w:rFonts w:cstheme="minorHAnsi"/>
          <w:color w:val="000000"/>
          <w:lang w:val="en-US"/>
        </w:rPr>
        <w:t xml:space="preserve">not </w:t>
      </w:r>
      <w:r w:rsidR="00651C13">
        <w:rPr>
          <w:rFonts w:cstheme="minorHAnsi"/>
          <w:color w:val="000000"/>
          <w:lang w:val="en-US"/>
        </w:rPr>
        <w:t xml:space="preserve">necessarily </w:t>
      </w:r>
      <w:r w:rsidR="00F15F44" w:rsidRPr="00DE2232">
        <w:rPr>
          <w:rFonts w:cstheme="minorHAnsi"/>
          <w:color w:val="000000"/>
          <w:lang w:val="en-US"/>
        </w:rPr>
        <w:t xml:space="preserve">imply </w:t>
      </w:r>
      <w:r w:rsidR="00F15F44">
        <w:rPr>
          <w:rFonts w:cstheme="minorHAnsi"/>
          <w:color w:val="000000"/>
          <w:lang w:val="en-US"/>
        </w:rPr>
        <w:t>the absence of</w:t>
      </w:r>
      <w:r w:rsidR="00F15F44" w:rsidRPr="00DE2232">
        <w:rPr>
          <w:rFonts w:cstheme="minorHAnsi"/>
          <w:color w:val="000000"/>
          <w:lang w:val="en-US"/>
        </w:rPr>
        <w:t xml:space="preserve"> residual humanitarian needs</w:t>
      </w:r>
      <w:r w:rsidR="00F15F44">
        <w:rPr>
          <w:rFonts w:cstheme="minorHAnsi"/>
          <w:color w:val="000000"/>
          <w:lang w:val="en-US"/>
        </w:rPr>
        <w:t xml:space="preserve">.  </w:t>
      </w:r>
      <w:r w:rsidR="00232D65" w:rsidRPr="00232D65">
        <w:rPr>
          <w:rFonts w:cstheme="minorHAnsi"/>
          <w:color w:val="000000"/>
          <w:lang w:val="en-US"/>
        </w:rPr>
        <w:t xml:space="preserve"> </w:t>
      </w:r>
    </w:p>
    <w:p w:rsidR="0028089F" w:rsidRDefault="0028089F" w:rsidP="00DE2232">
      <w:pPr>
        <w:autoSpaceDE w:val="0"/>
        <w:autoSpaceDN w:val="0"/>
        <w:adjustRightInd w:val="0"/>
        <w:spacing w:after="0"/>
        <w:rPr>
          <w:rFonts w:cstheme="minorHAnsi"/>
          <w:color w:val="000000"/>
          <w:lang w:val="en-US"/>
        </w:rPr>
      </w:pPr>
    </w:p>
    <w:p w:rsidR="00391F31" w:rsidRDefault="00F15F44" w:rsidP="00391F31">
      <w:pPr>
        <w:autoSpaceDE w:val="0"/>
        <w:autoSpaceDN w:val="0"/>
        <w:adjustRightInd w:val="0"/>
        <w:spacing w:after="0"/>
        <w:rPr>
          <w:rFonts w:cstheme="minorHAnsi"/>
          <w:color w:val="000000"/>
          <w:lang w:val="en-US"/>
        </w:rPr>
      </w:pPr>
      <w:r>
        <w:rPr>
          <w:rFonts w:cstheme="minorHAnsi"/>
          <w:color w:val="000000"/>
          <w:lang w:val="en-US"/>
        </w:rPr>
        <w:t>P</w:t>
      </w:r>
      <w:r w:rsidR="0028089F" w:rsidRPr="0028089F">
        <w:rPr>
          <w:rFonts w:cstheme="minorHAnsi"/>
          <w:color w:val="000000"/>
          <w:lang w:val="en-US"/>
        </w:rPr>
        <w:t xml:space="preserve">art of the </w:t>
      </w:r>
      <w:r w:rsidR="00232D65">
        <w:rPr>
          <w:rFonts w:cstheme="minorHAnsi"/>
          <w:color w:val="000000"/>
          <w:lang w:val="en-US"/>
        </w:rPr>
        <w:t>raison d’ê</w:t>
      </w:r>
      <w:r w:rsidR="0028089F" w:rsidRPr="0028089F">
        <w:rPr>
          <w:rFonts w:cstheme="minorHAnsi"/>
          <w:color w:val="000000"/>
          <w:lang w:val="en-US"/>
        </w:rPr>
        <w:t xml:space="preserve">tre of clusters (as per their </w:t>
      </w:r>
      <w:proofErr w:type="spellStart"/>
      <w:r w:rsidR="0028089F" w:rsidRPr="0028089F">
        <w:rPr>
          <w:rFonts w:cstheme="minorHAnsi"/>
          <w:color w:val="000000"/>
          <w:lang w:val="en-US"/>
        </w:rPr>
        <w:t>ToRs</w:t>
      </w:r>
      <w:proofErr w:type="spellEnd"/>
      <w:r w:rsidR="0028089F" w:rsidRPr="0028089F">
        <w:rPr>
          <w:rFonts w:cstheme="minorHAnsi"/>
          <w:color w:val="000000"/>
          <w:lang w:val="en-US"/>
        </w:rPr>
        <w:t>) is to systematically aim to build their</w:t>
      </w:r>
      <w:r>
        <w:rPr>
          <w:rFonts w:cstheme="minorHAnsi"/>
          <w:color w:val="000000"/>
          <w:lang w:val="en-US"/>
        </w:rPr>
        <w:t xml:space="preserve"> counterpart’s capacity to lead and</w:t>
      </w:r>
      <w:r w:rsidR="0028089F">
        <w:rPr>
          <w:rFonts w:cstheme="minorHAnsi"/>
          <w:color w:val="000000"/>
          <w:lang w:val="en-US"/>
        </w:rPr>
        <w:t xml:space="preserve"> </w:t>
      </w:r>
      <w:r w:rsidR="0028089F" w:rsidRPr="0028089F">
        <w:rPr>
          <w:rFonts w:cstheme="minorHAnsi"/>
          <w:color w:val="000000"/>
          <w:lang w:val="en-US"/>
        </w:rPr>
        <w:t xml:space="preserve">clusters should always be working towards putting themselves out </w:t>
      </w:r>
      <w:r>
        <w:rPr>
          <w:rFonts w:cstheme="minorHAnsi"/>
          <w:color w:val="000000"/>
          <w:lang w:val="en-US"/>
        </w:rPr>
        <w:t xml:space="preserve">of business. </w:t>
      </w:r>
      <w:r w:rsidR="00BB4B38">
        <w:rPr>
          <w:rFonts w:cstheme="minorHAnsi"/>
          <w:color w:val="000000"/>
          <w:lang w:val="en-US"/>
        </w:rPr>
        <w:t>Best practice indicates that a strategy for de-activation or transition to national structures is developed within the cluster early in its inception, with benchmarks to guide the analysis of de-activation for that sector of work</w:t>
      </w:r>
      <w:r w:rsidR="00BB4B38" w:rsidRPr="00391F31">
        <w:rPr>
          <w:rFonts w:cstheme="minorHAnsi"/>
          <w:b/>
          <w:color w:val="000000"/>
          <w:lang w:val="en-US"/>
        </w:rPr>
        <w:t xml:space="preserve">.  </w:t>
      </w:r>
    </w:p>
    <w:p w:rsidR="00F15F44" w:rsidRDefault="00F15F44" w:rsidP="00F15F44">
      <w:pPr>
        <w:autoSpaceDE w:val="0"/>
        <w:autoSpaceDN w:val="0"/>
        <w:adjustRightInd w:val="0"/>
        <w:spacing w:after="0"/>
        <w:rPr>
          <w:rFonts w:cstheme="minorHAnsi"/>
          <w:color w:val="000000"/>
          <w:lang w:val="en-US"/>
        </w:rPr>
      </w:pPr>
    </w:p>
    <w:p w:rsidR="00F15F44" w:rsidRDefault="00F15F44" w:rsidP="00F15F44">
      <w:pPr>
        <w:autoSpaceDE w:val="0"/>
        <w:autoSpaceDN w:val="0"/>
        <w:adjustRightInd w:val="0"/>
        <w:spacing w:after="0"/>
        <w:rPr>
          <w:rFonts w:cstheme="minorHAnsi"/>
          <w:color w:val="000000"/>
          <w:lang w:val="en-US"/>
        </w:rPr>
      </w:pPr>
      <w:r>
        <w:rPr>
          <w:rFonts w:cstheme="minorHAnsi"/>
          <w:color w:val="000000"/>
          <w:lang w:val="en-US"/>
        </w:rPr>
        <w:t>A r</w:t>
      </w:r>
      <w:r w:rsidRPr="002B6B93">
        <w:rPr>
          <w:rFonts w:cstheme="minorHAnsi"/>
          <w:color w:val="000000"/>
          <w:lang w:val="en-US"/>
        </w:rPr>
        <w:t xml:space="preserve">eview is expected to take place by the HC and HCT on a regular basis </w:t>
      </w:r>
      <w:r>
        <w:rPr>
          <w:rFonts w:cstheme="minorHAnsi"/>
          <w:color w:val="000000"/>
          <w:lang w:val="en-US"/>
        </w:rPr>
        <w:t xml:space="preserve">to ensure that alternative coordination mechanisms are established as soon as appropriate for the overall response or for those sectors where national capacities are most effectively (re)established. </w:t>
      </w:r>
    </w:p>
    <w:p w:rsidR="00F15F44" w:rsidRDefault="00F15F44" w:rsidP="00F15F44">
      <w:pPr>
        <w:autoSpaceDE w:val="0"/>
        <w:autoSpaceDN w:val="0"/>
        <w:adjustRightInd w:val="0"/>
        <w:spacing w:after="0"/>
        <w:rPr>
          <w:rFonts w:cstheme="minorHAnsi"/>
          <w:color w:val="000000"/>
          <w:lang w:val="en-US"/>
        </w:rPr>
      </w:pPr>
    </w:p>
    <w:p w:rsidR="009257ED" w:rsidRDefault="00391F31" w:rsidP="00DE2232">
      <w:pPr>
        <w:autoSpaceDE w:val="0"/>
        <w:autoSpaceDN w:val="0"/>
        <w:adjustRightInd w:val="0"/>
        <w:spacing w:after="0"/>
        <w:rPr>
          <w:rFonts w:cstheme="minorHAnsi"/>
          <w:color w:val="000000"/>
          <w:lang w:val="en-US"/>
        </w:rPr>
      </w:pPr>
      <w:r w:rsidRPr="00DE2232">
        <w:rPr>
          <w:rFonts w:cstheme="minorHAnsi"/>
          <w:color w:val="000000"/>
          <w:lang w:val="en-US"/>
        </w:rPr>
        <w:t xml:space="preserve">Cluster activation or de-activation should be considered without prejudice to </w:t>
      </w:r>
      <w:r>
        <w:rPr>
          <w:rFonts w:cstheme="minorHAnsi"/>
          <w:color w:val="000000"/>
          <w:lang w:val="en-US"/>
        </w:rPr>
        <w:t xml:space="preserve">formulating </w:t>
      </w:r>
      <w:r w:rsidRPr="00DE2232">
        <w:rPr>
          <w:rFonts w:cstheme="minorHAnsi"/>
          <w:color w:val="000000"/>
          <w:lang w:val="en-US"/>
        </w:rPr>
        <w:t xml:space="preserve">funding requirements, </w:t>
      </w:r>
      <w:r>
        <w:rPr>
          <w:rFonts w:cstheme="minorHAnsi"/>
          <w:color w:val="000000"/>
          <w:lang w:val="en-US"/>
        </w:rPr>
        <w:t xml:space="preserve">determining </w:t>
      </w:r>
      <w:r w:rsidRPr="00DE2232">
        <w:rPr>
          <w:rFonts w:cstheme="minorHAnsi"/>
          <w:color w:val="000000"/>
          <w:lang w:val="en-US"/>
        </w:rPr>
        <w:t>participation in the HCT, engagement in the inter-cluster/inter-sectoral coordination fora, or other inter-agency humanitarian coordination structures which support the delivery of efficient and strategic humanitarian action</w:t>
      </w:r>
      <w:r>
        <w:rPr>
          <w:rFonts w:cstheme="minorHAnsi"/>
          <w:color w:val="000000"/>
          <w:lang w:val="en-US"/>
        </w:rPr>
        <w:t>.</w:t>
      </w:r>
    </w:p>
    <w:p w:rsidR="00391F31" w:rsidRDefault="00391F31" w:rsidP="00DE2232">
      <w:pPr>
        <w:autoSpaceDE w:val="0"/>
        <w:autoSpaceDN w:val="0"/>
        <w:adjustRightInd w:val="0"/>
        <w:spacing w:after="0"/>
        <w:rPr>
          <w:rFonts w:cstheme="minorHAnsi"/>
          <w:color w:val="000000"/>
          <w:lang w:val="en-US"/>
        </w:rPr>
      </w:pPr>
    </w:p>
    <w:p w:rsidR="00A97988" w:rsidRDefault="00A97988">
      <w:pPr>
        <w:rPr>
          <w:rFonts w:cstheme="minorHAnsi"/>
          <w:b/>
          <w:color w:val="000000"/>
          <w:lang w:val="en-US"/>
        </w:rPr>
      </w:pPr>
      <w:r>
        <w:rPr>
          <w:rFonts w:cstheme="minorHAnsi"/>
          <w:b/>
          <w:color w:val="000000"/>
          <w:lang w:val="en-US"/>
        </w:rPr>
        <w:br w:type="page"/>
      </w:r>
    </w:p>
    <w:p w:rsidR="00651C13" w:rsidRPr="00651C13" w:rsidRDefault="00651C13" w:rsidP="00651C13">
      <w:pPr>
        <w:pStyle w:val="ListParagraph"/>
        <w:spacing w:after="0"/>
        <w:ind w:left="0"/>
        <w:rPr>
          <w:rFonts w:cstheme="minorHAnsi"/>
          <w:b/>
          <w:color w:val="000000"/>
          <w:lang w:val="en-US"/>
        </w:rPr>
      </w:pPr>
      <w:r w:rsidRPr="00651C13">
        <w:rPr>
          <w:rFonts w:cstheme="minorHAnsi"/>
          <w:b/>
          <w:color w:val="000000"/>
          <w:lang w:val="en-US"/>
        </w:rPr>
        <w:lastRenderedPageBreak/>
        <w:t>Cluster Review</w:t>
      </w:r>
    </w:p>
    <w:p w:rsidR="00651C13" w:rsidRDefault="00651C13" w:rsidP="00651C13">
      <w:pPr>
        <w:autoSpaceDE w:val="0"/>
        <w:autoSpaceDN w:val="0"/>
        <w:adjustRightInd w:val="0"/>
        <w:spacing w:after="0"/>
        <w:rPr>
          <w:rFonts w:cstheme="minorHAnsi"/>
          <w:color w:val="000000"/>
          <w:lang w:val="en-US"/>
        </w:rPr>
      </w:pPr>
    </w:p>
    <w:tbl>
      <w:tblPr>
        <w:tblStyle w:val="TableGrid"/>
        <w:tblW w:w="0" w:type="auto"/>
        <w:tblLook w:val="04A0" w:firstRow="1" w:lastRow="0" w:firstColumn="1" w:lastColumn="0" w:noHBand="0" w:noVBand="1"/>
      </w:tblPr>
      <w:tblGrid>
        <w:gridCol w:w="2310"/>
        <w:gridCol w:w="4098"/>
        <w:gridCol w:w="2790"/>
      </w:tblGrid>
      <w:tr w:rsidR="00651C13" w:rsidRPr="00DE2232" w:rsidTr="008E39C6">
        <w:tc>
          <w:tcPr>
            <w:tcW w:w="2310" w:type="dxa"/>
          </w:tcPr>
          <w:p w:rsidR="00651C13" w:rsidRPr="00DE2232" w:rsidRDefault="00651C13" w:rsidP="008E39C6">
            <w:pPr>
              <w:autoSpaceDE w:val="0"/>
              <w:autoSpaceDN w:val="0"/>
              <w:adjustRightInd w:val="0"/>
              <w:jc w:val="center"/>
              <w:rPr>
                <w:rFonts w:cstheme="minorHAnsi"/>
                <w:b/>
                <w:color w:val="000000"/>
                <w:lang w:val="en-US"/>
              </w:rPr>
            </w:pPr>
            <w:r w:rsidRPr="00DE2232">
              <w:rPr>
                <w:rFonts w:cstheme="minorHAnsi"/>
                <w:b/>
                <w:color w:val="000000"/>
                <w:lang w:val="en-US"/>
              </w:rPr>
              <w:t>Context</w:t>
            </w:r>
          </w:p>
        </w:tc>
        <w:tc>
          <w:tcPr>
            <w:tcW w:w="4098" w:type="dxa"/>
          </w:tcPr>
          <w:p w:rsidR="00651C13" w:rsidRPr="00DE2232" w:rsidRDefault="00651C13" w:rsidP="008E39C6">
            <w:pPr>
              <w:autoSpaceDE w:val="0"/>
              <w:autoSpaceDN w:val="0"/>
              <w:adjustRightInd w:val="0"/>
              <w:jc w:val="center"/>
              <w:rPr>
                <w:rFonts w:cstheme="minorHAnsi"/>
                <w:b/>
                <w:color w:val="000000"/>
                <w:lang w:val="en-US"/>
              </w:rPr>
            </w:pPr>
            <w:r w:rsidRPr="00DE2232">
              <w:rPr>
                <w:rFonts w:cstheme="minorHAnsi"/>
                <w:b/>
                <w:color w:val="000000"/>
                <w:lang w:val="en-US"/>
              </w:rPr>
              <w:t>Status and review</w:t>
            </w:r>
          </w:p>
        </w:tc>
        <w:tc>
          <w:tcPr>
            <w:tcW w:w="2790" w:type="dxa"/>
          </w:tcPr>
          <w:p w:rsidR="00651C13" w:rsidRPr="00DE2232" w:rsidRDefault="00651C13" w:rsidP="008E39C6">
            <w:pPr>
              <w:autoSpaceDE w:val="0"/>
              <w:autoSpaceDN w:val="0"/>
              <w:adjustRightInd w:val="0"/>
              <w:jc w:val="center"/>
              <w:rPr>
                <w:rFonts w:cstheme="minorHAnsi"/>
                <w:b/>
                <w:color w:val="000000"/>
                <w:lang w:val="en-US"/>
              </w:rPr>
            </w:pPr>
            <w:r w:rsidRPr="00DE2232">
              <w:rPr>
                <w:rFonts w:cstheme="minorHAnsi"/>
                <w:b/>
                <w:color w:val="000000"/>
                <w:lang w:val="en-US"/>
              </w:rPr>
              <w:t>Implications</w:t>
            </w:r>
          </w:p>
        </w:tc>
      </w:tr>
      <w:tr w:rsidR="00651C13" w:rsidRPr="00DE2232" w:rsidTr="008E39C6">
        <w:tc>
          <w:tcPr>
            <w:tcW w:w="2310" w:type="dxa"/>
          </w:tcPr>
          <w:p w:rsidR="00651C13" w:rsidRPr="00DE2232" w:rsidRDefault="00651C13" w:rsidP="008E39C6">
            <w:pPr>
              <w:autoSpaceDE w:val="0"/>
              <w:autoSpaceDN w:val="0"/>
              <w:adjustRightInd w:val="0"/>
              <w:rPr>
                <w:rFonts w:cstheme="minorHAnsi"/>
                <w:color w:val="000000"/>
                <w:lang w:val="en-US"/>
              </w:rPr>
            </w:pPr>
            <w:r w:rsidRPr="00DE2232">
              <w:rPr>
                <w:rFonts w:cstheme="minorHAnsi"/>
                <w:color w:val="000000"/>
                <w:lang w:val="en-US"/>
              </w:rPr>
              <w:t>L3 acute emergency</w:t>
            </w:r>
          </w:p>
        </w:tc>
        <w:tc>
          <w:tcPr>
            <w:tcW w:w="4098" w:type="dxa"/>
          </w:tcPr>
          <w:p w:rsidR="00651C13" w:rsidRPr="00DE2232" w:rsidRDefault="00651C13" w:rsidP="008E39C6">
            <w:pPr>
              <w:autoSpaceDE w:val="0"/>
              <w:autoSpaceDN w:val="0"/>
              <w:adjustRightInd w:val="0"/>
              <w:rPr>
                <w:rFonts w:cstheme="minorHAnsi"/>
                <w:color w:val="000000"/>
                <w:lang w:val="en-US"/>
              </w:rPr>
            </w:pPr>
            <w:r w:rsidRPr="00DE2232">
              <w:rPr>
                <w:rFonts w:cstheme="minorHAnsi"/>
                <w:color w:val="000000"/>
                <w:lang w:val="en-US"/>
              </w:rPr>
              <w:t>De-activation review within three months of onset, time-bound by Principals’ decision (HCT)</w:t>
            </w:r>
          </w:p>
        </w:tc>
        <w:tc>
          <w:tcPr>
            <w:tcW w:w="2790" w:type="dxa"/>
          </w:tcPr>
          <w:p w:rsidR="00651C13" w:rsidRPr="00DE2232" w:rsidRDefault="00651C13" w:rsidP="008E39C6">
            <w:pPr>
              <w:autoSpaceDE w:val="0"/>
              <w:autoSpaceDN w:val="0"/>
              <w:adjustRightInd w:val="0"/>
              <w:rPr>
                <w:rFonts w:cstheme="minorHAnsi"/>
                <w:color w:val="000000"/>
                <w:lang w:val="en-US"/>
              </w:rPr>
            </w:pPr>
            <w:r w:rsidRPr="00DE2232">
              <w:rPr>
                <w:rFonts w:cstheme="minorHAnsi"/>
                <w:color w:val="000000"/>
                <w:lang w:val="en-US"/>
              </w:rPr>
              <w:t>Surge capacity withdraws at same time as review.  Transition plan from L3 required by ERC.</w:t>
            </w:r>
          </w:p>
        </w:tc>
      </w:tr>
      <w:tr w:rsidR="00651C13" w:rsidRPr="00DE2232" w:rsidTr="008E39C6">
        <w:tc>
          <w:tcPr>
            <w:tcW w:w="2310" w:type="dxa"/>
          </w:tcPr>
          <w:p w:rsidR="00651C13" w:rsidRPr="00DE2232" w:rsidRDefault="00651C13" w:rsidP="008E39C6">
            <w:pPr>
              <w:autoSpaceDE w:val="0"/>
              <w:autoSpaceDN w:val="0"/>
              <w:adjustRightInd w:val="0"/>
              <w:rPr>
                <w:rFonts w:cstheme="minorHAnsi"/>
                <w:color w:val="000000"/>
                <w:lang w:val="en-US"/>
              </w:rPr>
            </w:pPr>
            <w:r w:rsidRPr="00DE2232">
              <w:rPr>
                <w:rFonts w:cstheme="minorHAnsi"/>
                <w:color w:val="000000"/>
                <w:lang w:val="en-US"/>
              </w:rPr>
              <w:t>Protracted crisis/complex emergency</w:t>
            </w:r>
          </w:p>
        </w:tc>
        <w:tc>
          <w:tcPr>
            <w:tcW w:w="4098" w:type="dxa"/>
          </w:tcPr>
          <w:p w:rsidR="00651C13" w:rsidRPr="00DE2232" w:rsidRDefault="00651C13" w:rsidP="008E39C6">
            <w:pPr>
              <w:autoSpaceDE w:val="0"/>
              <w:autoSpaceDN w:val="0"/>
              <w:adjustRightInd w:val="0"/>
              <w:rPr>
                <w:rFonts w:cstheme="minorHAnsi"/>
                <w:color w:val="000000"/>
                <w:lang w:val="en-US"/>
              </w:rPr>
            </w:pPr>
            <w:r>
              <w:rPr>
                <w:rFonts w:cstheme="minorHAnsi"/>
                <w:color w:val="000000"/>
                <w:lang w:val="en-US"/>
              </w:rPr>
              <w:t>Bi-annual</w:t>
            </w:r>
            <w:r w:rsidRPr="00DE2232">
              <w:rPr>
                <w:rFonts w:cstheme="minorHAnsi"/>
                <w:color w:val="000000"/>
                <w:lang w:val="en-US"/>
              </w:rPr>
              <w:t xml:space="preserve"> review against criteria; justification of need for coordination structures in advance of CAP or appeal process </w:t>
            </w:r>
            <w:r>
              <w:rPr>
                <w:rFonts w:cstheme="minorHAnsi"/>
                <w:color w:val="000000"/>
                <w:lang w:val="en-US"/>
              </w:rPr>
              <w:t xml:space="preserve">and its mid-year review </w:t>
            </w:r>
            <w:r w:rsidRPr="00DE2232">
              <w:rPr>
                <w:rFonts w:cstheme="minorHAnsi"/>
                <w:color w:val="000000"/>
                <w:lang w:val="en-US"/>
              </w:rPr>
              <w:t>(HCT)</w:t>
            </w:r>
          </w:p>
        </w:tc>
        <w:tc>
          <w:tcPr>
            <w:tcW w:w="2790" w:type="dxa"/>
          </w:tcPr>
          <w:p w:rsidR="00651C13" w:rsidRPr="00DE2232" w:rsidRDefault="00651C13" w:rsidP="008E39C6">
            <w:pPr>
              <w:autoSpaceDE w:val="0"/>
              <w:autoSpaceDN w:val="0"/>
              <w:adjustRightInd w:val="0"/>
              <w:rPr>
                <w:rFonts w:cstheme="minorHAnsi"/>
                <w:color w:val="000000"/>
                <w:lang w:val="en-US"/>
              </w:rPr>
            </w:pPr>
            <w:r>
              <w:rPr>
                <w:rFonts w:cstheme="minorHAnsi"/>
                <w:color w:val="000000"/>
                <w:lang w:val="en-US"/>
              </w:rPr>
              <w:t xml:space="preserve">Rationale included in the strategic plan, strategic objectives include </w:t>
            </w:r>
            <w:proofErr w:type="spellStart"/>
            <w:r>
              <w:rPr>
                <w:rFonts w:cstheme="minorHAnsi"/>
                <w:color w:val="000000"/>
                <w:lang w:val="en-US"/>
              </w:rPr>
              <w:t>sectoral</w:t>
            </w:r>
            <w:proofErr w:type="spellEnd"/>
            <w:r>
              <w:rPr>
                <w:rFonts w:cstheme="minorHAnsi"/>
                <w:color w:val="000000"/>
                <w:lang w:val="en-US"/>
              </w:rPr>
              <w:t xml:space="preserve"> and cluster contributions.</w:t>
            </w:r>
          </w:p>
        </w:tc>
      </w:tr>
      <w:tr w:rsidR="00651C13" w:rsidRPr="00DE2232" w:rsidTr="008E39C6">
        <w:tc>
          <w:tcPr>
            <w:tcW w:w="2310" w:type="dxa"/>
          </w:tcPr>
          <w:p w:rsidR="00651C13" w:rsidRPr="00DE2232" w:rsidRDefault="00651C13" w:rsidP="008E39C6">
            <w:pPr>
              <w:autoSpaceDE w:val="0"/>
              <w:autoSpaceDN w:val="0"/>
              <w:adjustRightInd w:val="0"/>
              <w:rPr>
                <w:rFonts w:cstheme="minorHAnsi"/>
                <w:color w:val="000000"/>
                <w:lang w:val="en-US"/>
              </w:rPr>
            </w:pPr>
            <w:r w:rsidRPr="00DE2232">
              <w:rPr>
                <w:rFonts w:cstheme="minorHAnsi"/>
                <w:color w:val="000000"/>
                <w:lang w:val="en-US"/>
              </w:rPr>
              <w:t>Recurrent/ high risk</w:t>
            </w:r>
          </w:p>
        </w:tc>
        <w:tc>
          <w:tcPr>
            <w:tcW w:w="4098" w:type="dxa"/>
          </w:tcPr>
          <w:p w:rsidR="00651C13" w:rsidRPr="00DE2232" w:rsidRDefault="00651C13" w:rsidP="008E39C6">
            <w:pPr>
              <w:autoSpaceDE w:val="0"/>
              <w:autoSpaceDN w:val="0"/>
              <w:adjustRightInd w:val="0"/>
              <w:rPr>
                <w:rFonts w:cstheme="minorHAnsi"/>
                <w:color w:val="000000"/>
                <w:lang w:val="en-US"/>
              </w:rPr>
            </w:pPr>
            <w:r w:rsidRPr="00DE2232">
              <w:rPr>
                <w:rFonts w:cstheme="minorHAnsi"/>
                <w:color w:val="000000"/>
                <w:lang w:val="en-US"/>
              </w:rPr>
              <w:t xml:space="preserve">Explicit review of </w:t>
            </w:r>
            <w:r>
              <w:rPr>
                <w:rFonts w:cstheme="minorHAnsi"/>
                <w:color w:val="000000"/>
                <w:lang w:val="en-US"/>
              </w:rPr>
              <w:t xml:space="preserve">proposed </w:t>
            </w:r>
            <w:r w:rsidRPr="00DE2232">
              <w:rPr>
                <w:rFonts w:cstheme="minorHAnsi"/>
                <w:color w:val="000000"/>
                <w:lang w:val="en-US"/>
              </w:rPr>
              <w:t>cluster structures and roles in contingency plans.  (Inter-agency contingency plan)</w:t>
            </w:r>
          </w:p>
        </w:tc>
        <w:tc>
          <w:tcPr>
            <w:tcW w:w="2790" w:type="dxa"/>
          </w:tcPr>
          <w:p w:rsidR="00651C13" w:rsidRPr="00DE2232" w:rsidRDefault="00651C13" w:rsidP="008E39C6">
            <w:pPr>
              <w:autoSpaceDE w:val="0"/>
              <w:autoSpaceDN w:val="0"/>
              <w:adjustRightInd w:val="0"/>
              <w:rPr>
                <w:rFonts w:cstheme="minorHAnsi"/>
                <w:color w:val="000000"/>
                <w:lang w:val="en-US"/>
              </w:rPr>
            </w:pPr>
            <w:r>
              <w:rPr>
                <w:rFonts w:cstheme="minorHAnsi"/>
                <w:color w:val="000000"/>
                <w:lang w:val="en-US"/>
              </w:rPr>
              <w:t xml:space="preserve">Capacity development and other support systematically undertaken by operational organizations in country, with national counterparts.  </w:t>
            </w:r>
          </w:p>
        </w:tc>
      </w:tr>
    </w:tbl>
    <w:p w:rsidR="00651C13" w:rsidRDefault="00651C13" w:rsidP="00651C13">
      <w:pPr>
        <w:autoSpaceDE w:val="0"/>
        <w:autoSpaceDN w:val="0"/>
        <w:adjustRightInd w:val="0"/>
        <w:spacing w:after="0"/>
        <w:rPr>
          <w:rFonts w:cstheme="minorHAnsi"/>
          <w:color w:val="000000"/>
          <w:lang w:val="en-US"/>
        </w:rPr>
      </w:pPr>
    </w:p>
    <w:p w:rsidR="00651C13" w:rsidRDefault="00651C13" w:rsidP="00651C13">
      <w:pPr>
        <w:autoSpaceDE w:val="0"/>
        <w:autoSpaceDN w:val="0"/>
        <w:adjustRightInd w:val="0"/>
        <w:spacing w:after="0"/>
        <w:rPr>
          <w:rFonts w:cstheme="minorHAnsi"/>
          <w:color w:val="000000"/>
          <w:lang w:val="en-US"/>
        </w:rPr>
      </w:pPr>
      <w:r>
        <w:rPr>
          <w:rFonts w:cstheme="minorHAnsi"/>
          <w:color w:val="000000"/>
          <w:lang w:val="en-US"/>
        </w:rPr>
        <w:t>In addition to regular review by the HC and HCT of national coordination capacity, clusters will be assessed by the country team on an annual basis to ensure “they remain active only when they add value”.  This review may be complemented by an annual country review of clusters by IASC Emergency/Operational Directors</w:t>
      </w:r>
    </w:p>
    <w:p w:rsidR="00651C13" w:rsidRDefault="00651C13" w:rsidP="00651C13">
      <w:pPr>
        <w:autoSpaceDE w:val="0"/>
        <w:autoSpaceDN w:val="0"/>
        <w:adjustRightInd w:val="0"/>
        <w:spacing w:after="0"/>
        <w:rPr>
          <w:rFonts w:cstheme="minorHAnsi"/>
          <w:color w:val="000000"/>
          <w:lang w:val="en-US"/>
        </w:rPr>
      </w:pPr>
    </w:p>
    <w:p w:rsidR="00391F31" w:rsidRPr="00391F31" w:rsidRDefault="00391F31" w:rsidP="00651C13">
      <w:pPr>
        <w:autoSpaceDE w:val="0"/>
        <w:autoSpaceDN w:val="0"/>
        <w:adjustRightInd w:val="0"/>
        <w:spacing w:after="0"/>
        <w:rPr>
          <w:rFonts w:cstheme="minorHAnsi"/>
          <w:b/>
          <w:color w:val="000000"/>
          <w:lang w:val="en-US"/>
        </w:rPr>
      </w:pPr>
      <w:r w:rsidRPr="00391F31">
        <w:rPr>
          <w:rFonts w:cstheme="minorHAnsi"/>
          <w:b/>
          <w:color w:val="000000"/>
          <w:lang w:val="en-US"/>
        </w:rPr>
        <w:t>Cluster de</w:t>
      </w:r>
      <w:r w:rsidR="002B6B93">
        <w:rPr>
          <w:rFonts w:cstheme="minorHAnsi"/>
          <w:b/>
          <w:color w:val="000000"/>
          <w:lang w:val="en-US"/>
        </w:rPr>
        <w:t>-</w:t>
      </w:r>
      <w:r w:rsidRPr="00391F31">
        <w:rPr>
          <w:rFonts w:cstheme="minorHAnsi"/>
          <w:b/>
          <w:color w:val="000000"/>
          <w:lang w:val="en-US"/>
        </w:rPr>
        <w:t>activation Procedure</w:t>
      </w:r>
      <w:r>
        <w:rPr>
          <w:rFonts w:cstheme="minorHAnsi"/>
          <w:b/>
          <w:color w:val="000000"/>
          <w:lang w:val="en-US"/>
        </w:rPr>
        <w:t>s</w:t>
      </w:r>
    </w:p>
    <w:p w:rsidR="00DE2232" w:rsidRPr="00DE2232" w:rsidRDefault="00DE2232" w:rsidP="00DE2232">
      <w:pPr>
        <w:autoSpaceDE w:val="0"/>
        <w:autoSpaceDN w:val="0"/>
        <w:adjustRightInd w:val="0"/>
        <w:spacing w:after="0"/>
        <w:rPr>
          <w:rFonts w:cstheme="minorHAnsi"/>
          <w:color w:val="000000"/>
          <w:lang w:val="en-US"/>
        </w:rPr>
      </w:pPr>
    </w:p>
    <w:p w:rsidR="00DE2232" w:rsidRPr="00391F31" w:rsidRDefault="00DE2232" w:rsidP="00391F31">
      <w:pPr>
        <w:pStyle w:val="ListParagraph"/>
        <w:numPr>
          <w:ilvl w:val="0"/>
          <w:numId w:val="2"/>
        </w:numPr>
        <w:autoSpaceDE w:val="0"/>
        <w:autoSpaceDN w:val="0"/>
        <w:adjustRightInd w:val="0"/>
        <w:spacing w:after="0"/>
        <w:rPr>
          <w:rFonts w:cstheme="minorHAnsi"/>
          <w:color w:val="000000"/>
          <w:lang w:val="en-US"/>
        </w:rPr>
      </w:pPr>
      <w:r w:rsidRPr="00391F31">
        <w:rPr>
          <w:rFonts w:cstheme="minorHAnsi"/>
          <w:color w:val="000000"/>
          <w:lang w:val="en-US"/>
        </w:rPr>
        <w:t>The HC agrees with the HCT which clusters (and AORs) have been able to successfully transfer effective coordination responsibilities to national counterparts</w:t>
      </w:r>
      <w:r w:rsidR="008F38BE" w:rsidRPr="00391F31">
        <w:rPr>
          <w:rFonts w:cstheme="minorHAnsi"/>
          <w:color w:val="000000"/>
          <w:lang w:val="en-US"/>
        </w:rPr>
        <w:t xml:space="preserve"> (government or other)</w:t>
      </w:r>
      <w:r w:rsidRPr="00391F31">
        <w:rPr>
          <w:rFonts w:cstheme="minorHAnsi"/>
          <w:color w:val="000000"/>
          <w:lang w:val="en-US"/>
        </w:rPr>
        <w:t xml:space="preserve">, and recommends de-activation.  Clear rationale for those clusters </w:t>
      </w:r>
      <w:r w:rsidR="007552D6" w:rsidRPr="00391F31">
        <w:rPr>
          <w:rFonts w:cstheme="minorHAnsi"/>
          <w:color w:val="000000"/>
          <w:lang w:val="en-US"/>
        </w:rPr>
        <w:t xml:space="preserve">which may </w:t>
      </w:r>
      <w:r w:rsidRPr="00391F31">
        <w:rPr>
          <w:rFonts w:cstheme="minorHAnsi"/>
          <w:color w:val="000000"/>
          <w:lang w:val="en-US"/>
        </w:rPr>
        <w:t xml:space="preserve">still </w:t>
      </w:r>
      <w:r w:rsidR="007552D6" w:rsidRPr="00391F31">
        <w:rPr>
          <w:rFonts w:cstheme="minorHAnsi"/>
          <w:color w:val="000000"/>
          <w:lang w:val="en-US"/>
        </w:rPr>
        <w:t xml:space="preserve">be </w:t>
      </w:r>
      <w:r w:rsidRPr="00391F31">
        <w:rPr>
          <w:rFonts w:cstheme="minorHAnsi"/>
          <w:color w:val="000000"/>
          <w:lang w:val="en-US"/>
        </w:rPr>
        <w:t>required is presented during the review process</w:t>
      </w:r>
      <w:r w:rsidR="007552D6" w:rsidRPr="00391F31">
        <w:rPr>
          <w:rFonts w:cstheme="minorHAnsi"/>
          <w:color w:val="000000"/>
          <w:lang w:val="en-US"/>
        </w:rPr>
        <w:t>, along with explicit plans to</w:t>
      </w:r>
      <w:r w:rsidRPr="00391F31">
        <w:rPr>
          <w:rFonts w:cstheme="minorHAnsi"/>
          <w:color w:val="000000"/>
          <w:lang w:val="en-US"/>
        </w:rPr>
        <w:t xml:space="preserve"> move towards transfer </w:t>
      </w:r>
      <w:r w:rsidR="008F38BE" w:rsidRPr="00391F31">
        <w:rPr>
          <w:rFonts w:cstheme="minorHAnsi"/>
          <w:color w:val="000000"/>
          <w:lang w:val="en-US"/>
        </w:rPr>
        <w:t xml:space="preserve">of </w:t>
      </w:r>
      <w:r w:rsidRPr="00391F31">
        <w:rPr>
          <w:rFonts w:cstheme="minorHAnsi"/>
          <w:color w:val="000000"/>
          <w:lang w:val="en-US"/>
        </w:rPr>
        <w:t>sectoral coordination in the next period.</w:t>
      </w:r>
    </w:p>
    <w:p w:rsidR="007552D6" w:rsidRPr="00DE2232" w:rsidRDefault="007552D6" w:rsidP="00DE2232">
      <w:pPr>
        <w:autoSpaceDE w:val="0"/>
        <w:autoSpaceDN w:val="0"/>
        <w:adjustRightInd w:val="0"/>
        <w:spacing w:after="0"/>
        <w:rPr>
          <w:rFonts w:cstheme="minorHAnsi"/>
          <w:color w:val="000000"/>
          <w:lang w:val="en-US"/>
        </w:rPr>
      </w:pPr>
    </w:p>
    <w:p w:rsidR="00DE2232" w:rsidRPr="00391F31" w:rsidRDefault="00DE2232" w:rsidP="00391F31">
      <w:pPr>
        <w:pStyle w:val="ListParagraph"/>
        <w:numPr>
          <w:ilvl w:val="0"/>
          <w:numId w:val="2"/>
        </w:numPr>
        <w:autoSpaceDE w:val="0"/>
        <w:autoSpaceDN w:val="0"/>
        <w:adjustRightInd w:val="0"/>
        <w:spacing w:after="0"/>
        <w:rPr>
          <w:rFonts w:cstheme="minorHAnsi"/>
          <w:color w:val="000000"/>
          <w:lang w:val="en-US"/>
        </w:rPr>
      </w:pPr>
      <w:r w:rsidRPr="00391F31">
        <w:rPr>
          <w:rFonts w:cstheme="minorHAnsi"/>
          <w:color w:val="000000"/>
          <w:lang w:val="en-US"/>
        </w:rPr>
        <w:t xml:space="preserve">The HC provides a summary of this review and outcomes to the ERC outlining which clusters are to be de-activated, along with an indication of </w:t>
      </w:r>
      <w:r w:rsidR="00BB4B38" w:rsidRPr="00391F31">
        <w:rPr>
          <w:rFonts w:cstheme="minorHAnsi"/>
          <w:color w:val="000000"/>
          <w:lang w:val="en-US"/>
        </w:rPr>
        <w:t xml:space="preserve">other </w:t>
      </w:r>
      <w:r w:rsidRPr="00391F31">
        <w:rPr>
          <w:rFonts w:cstheme="minorHAnsi"/>
          <w:color w:val="000000"/>
          <w:lang w:val="en-US"/>
        </w:rPr>
        <w:t xml:space="preserve">sectoral coordination </w:t>
      </w:r>
      <w:r w:rsidR="00FE4DB4" w:rsidRPr="00391F31">
        <w:rPr>
          <w:rFonts w:cstheme="minorHAnsi"/>
          <w:color w:val="000000"/>
          <w:lang w:val="en-US"/>
        </w:rPr>
        <w:t>mechanisms in</w:t>
      </w:r>
      <w:r w:rsidR="00BB4B38" w:rsidRPr="00391F31">
        <w:rPr>
          <w:rFonts w:cstheme="minorHAnsi"/>
          <w:color w:val="000000"/>
          <w:lang w:val="en-US"/>
        </w:rPr>
        <w:t xml:space="preserve"> place, agency focal points engaging with these sectoral coordination mechanisms, and </w:t>
      </w:r>
      <w:r w:rsidRPr="00391F31">
        <w:rPr>
          <w:rFonts w:cstheme="minorHAnsi"/>
          <w:color w:val="000000"/>
          <w:lang w:val="en-US"/>
        </w:rPr>
        <w:t xml:space="preserve">implications </w:t>
      </w:r>
      <w:r w:rsidR="00BB4B38" w:rsidRPr="00391F31">
        <w:rPr>
          <w:rFonts w:cstheme="minorHAnsi"/>
          <w:color w:val="000000"/>
          <w:lang w:val="en-US"/>
        </w:rPr>
        <w:t xml:space="preserve">of these decisions on </w:t>
      </w:r>
      <w:r w:rsidRPr="00391F31">
        <w:rPr>
          <w:rFonts w:cstheme="minorHAnsi"/>
          <w:color w:val="000000"/>
          <w:lang w:val="en-US"/>
        </w:rPr>
        <w:t>contingency planning.</w:t>
      </w:r>
    </w:p>
    <w:p w:rsidR="00BB4B38" w:rsidRPr="00DE2232" w:rsidRDefault="00BB4B38" w:rsidP="00DE2232">
      <w:pPr>
        <w:autoSpaceDE w:val="0"/>
        <w:autoSpaceDN w:val="0"/>
        <w:adjustRightInd w:val="0"/>
        <w:spacing w:after="0"/>
        <w:rPr>
          <w:rFonts w:cstheme="minorHAnsi"/>
          <w:color w:val="000000"/>
          <w:lang w:val="en-US"/>
        </w:rPr>
      </w:pPr>
    </w:p>
    <w:p w:rsidR="00651C13" w:rsidRPr="00651C13" w:rsidRDefault="00DE2232" w:rsidP="00651C13">
      <w:pPr>
        <w:pStyle w:val="ListParagraph"/>
        <w:numPr>
          <w:ilvl w:val="0"/>
          <w:numId w:val="2"/>
        </w:numPr>
        <w:autoSpaceDE w:val="0"/>
        <w:autoSpaceDN w:val="0"/>
        <w:adjustRightInd w:val="0"/>
        <w:spacing w:after="0"/>
        <w:rPr>
          <w:rFonts w:cstheme="minorHAnsi"/>
          <w:color w:val="000000"/>
          <w:lang w:val="en-US"/>
        </w:rPr>
      </w:pPr>
      <w:r w:rsidRPr="00391F31">
        <w:rPr>
          <w:rFonts w:cstheme="minorHAnsi"/>
          <w:color w:val="000000"/>
          <w:lang w:val="en-US"/>
        </w:rPr>
        <w:t>The ERC transmits this note t</w:t>
      </w:r>
      <w:r w:rsidR="00391F31" w:rsidRPr="00391F31">
        <w:rPr>
          <w:rFonts w:cstheme="minorHAnsi"/>
          <w:color w:val="000000"/>
          <w:lang w:val="en-US"/>
        </w:rPr>
        <w:t>o the IASC Principals and GCLAs</w:t>
      </w:r>
    </w:p>
    <w:p w:rsidR="00651C13" w:rsidRDefault="00651C13" w:rsidP="00DE2232">
      <w:pPr>
        <w:autoSpaceDE w:val="0"/>
        <w:autoSpaceDN w:val="0"/>
        <w:adjustRightInd w:val="0"/>
        <w:spacing w:after="0"/>
        <w:rPr>
          <w:rFonts w:cstheme="minorHAnsi"/>
          <w:color w:val="000000"/>
          <w:lang w:val="en-US"/>
        </w:rPr>
      </w:pPr>
    </w:p>
    <w:p w:rsidR="00391F31" w:rsidRDefault="00391F31" w:rsidP="00DE2232">
      <w:pPr>
        <w:autoSpaceDE w:val="0"/>
        <w:autoSpaceDN w:val="0"/>
        <w:adjustRightInd w:val="0"/>
        <w:spacing w:after="0"/>
        <w:rPr>
          <w:rFonts w:cstheme="minorHAnsi"/>
          <w:b/>
          <w:color w:val="000000"/>
          <w:lang w:val="en-US"/>
        </w:rPr>
      </w:pPr>
      <w:r w:rsidRPr="00391F31">
        <w:rPr>
          <w:rFonts w:cstheme="minorHAnsi"/>
          <w:b/>
          <w:color w:val="000000"/>
          <w:lang w:val="en-US"/>
        </w:rPr>
        <w:t>The role of clusters in preparedness</w:t>
      </w:r>
    </w:p>
    <w:p w:rsidR="00C40C0B" w:rsidRDefault="00C40C0B" w:rsidP="00DE2232">
      <w:pPr>
        <w:autoSpaceDE w:val="0"/>
        <w:autoSpaceDN w:val="0"/>
        <w:adjustRightInd w:val="0"/>
        <w:spacing w:after="0"/>
        <w:rPr>
          <w:rFonts w:cstheme="minorHAnsi"/>
          <w:b/>
          <w:color w:val="000000"/>
          <w:lang w:val="en-US"/>
        </w:rPr>
      </w:pPr>
    </w:p>
    <w:p w:rsidR="00C40C0B" w:rsidRPr="00C40C0B" w:rsidRDefault="00C40C0B" w:rsidP="00DC01BD">
      <w:pPr>
        <w:autoSpaceDE w:val="0"/>
        <w:autoSpaceDN w:val="0"/>
        <w:adjustRightInd w:val="0"/>
        <w:spacing w:after="0"/>
        <w:rPr>
          <w:rFonts w:cstheme="minorHAnsi"/>
          <w:color w:val="000000"/>
          <w:lang w:val="en-US"/>
        </w:rPr>
      </w:pPr>
      <w:r>
        <w:rPr>
          <w:rFonts w:cstheme="minorHAnsi"/>
          <w:color w:val="000000"/>
          <w:lang w:val="en-US"/>
        </w:rPr>
        <w:t>Preparedness in th</w:t>
      </w:r>
      <w:r w:rsidR="00DC01BD">
        <w:rPr>
          <w:rFonts w:cstheme="minorHAnsi"/>
          <w:color w:val="000000"/>
          <w:lang w:val="en-US"/>
        </w:rPr>
        <w:t>e</w:t>
      </w:r>
      <w:r>
        <w:rPr>
          <w:rFonts w:cstheme="minorHAnsi"/>
          <w:color w:val="000000"/>
          <w:lang w:val="en-US"/>
        </w:rPr>
        <w:t xml:space="preserve"> </w:t>
      </w:r>
      <w:r w:rsidR="00DC01BD">
        <w:rPr>
          <w:rFonts w:cstheme="minorHAnsi"/>
          <w:color w:val="000000"/>
          <w:lang w:val="en-US"/>
        </w:rPr>
        <w:t xml:space="preserve">present </w:t>
      </w:r>
      <w:r>
        <w:rPr>
          <w:rFonts w:cstheme="minorHAnsi"/>
          <w:color w:val="000000"/>
          <w:lang w:val="en-US"/>
        </w:rPr>
        <w:t>context is based on</w:t>
      </w:r>
      <w:r w:rsidR="00A97988">
        <w:rPr>
          <w:rFonts w:cstheme="minorHAnsi"/>
          <w:color w:val="000000"/>
          <w:lang w:val="en-US"/>
        </w:rPr>
        <w:t xml:space="preserve"> general principles outlined in</w:t>
      </w:r>
      <w:r>
        <w:rPr>
          <w:rFonts w:cstheme="minorHAnsi"/>
          <w:color w:val="000000"/>
          <w:lang w:val="en-US"/>
        </w:rPr>
        <w:t xml:space="preserve"> the </w:t>
      </w:r>
      <w:r w:rsidR="00A97988">
        <w:rPr>
          <w:rFonts w:cstheme="minorHAnsi"/>
          <w:color w:val="000000"/>
          <w:lang w:val="en-US"/>
        </w:rPr>
        <w:t xml:space="preserve">draft </w:t>
      </w:r>
      <w:r w:rsidRPr="00C40C0B">
        <w:rPr>
          <w:rFonts w:cstheme="minorHAnsi"/>
          <w:color w:val="000000"/>
          <w:lang w:val="en-US"/>
        </w:rPr>
        <w:t>Inter-Agency Emergency Response Planning (ERP) concept</w:t>
      </w:r>
      <w:r>
        <w:rPr>
          <w:rStyle w:val="FootnoteReference"/>
          <w:rFonts w:cstheme="minorHAnsi"/>
          <w:color w:val="000000"/>
          <w:lang w:val="en-US"/>
        </w:rPr>
        <w:footnoteReference w:id="2"/>
      </w:r>
      <w:r w:rsidR="00DC01BD">
        <w:rPr>
          <w:rFonts w:cstheme="minorHAnsi"/>
          <w:color w:val="000000"/>
          <w:lang w:val="en-US"/>
        </w:rPr>
        <w:t xml:space="preserve"> in which c</w:t>
      </w:r>
      <w:r w:rsidR="00DC01BD" w:rsidRPr="00DC01BD">
        <w:rPr>
          <w:rFonts w:cstheme="minorHAnsi"/>
          <w:color w:val="000000"/>
          <w:lang w:val="en-US"/>
        </w:rPr>
        <w:t>luster lead agencies have the main responsibility to initiate and lead response planning and standard operating procedures at cluster/sector level</w:t>
      </w:r>
      <w:r w:rsidR="00DC01BD">
        <w:rPr>
          <w:rFonts w:cstheme="minorHAnsi"/>
          <w:color w:val="000000"/>
          <w:lang w:val="en-US"/>
        </w:rPr>
        <w:t xml:space="preserve"> in-country</w:t>
      </w:r>
      <w:r w:rsidR="00DC01BD" w:rsidRPr="00DC01BD">
        <w:rPr>
          <w:rFonts w:cstheme="minorHAnsi"/>
          <w:color w:val="000000"/>
          <w:lang w:val="en-US"/>
        </w:rPr>
        <w:t>.</w:t>
      </w:r>
    </w:p>
    <w:p w:rsidR="00DE2232" w:rsidRPr="00C40C0B" w:rsidRDefault="00DE2232" w:rsidP="00DE2232">
      <w:pPr>
        <w:autoSpaceDE w:val="0"/>
        <w:autoSpaceDN w:val="0"/>
        <w:adjustRightInd w:val="0"/>
        <w:spacing w:after="0"/>
        <w:rPr>
          <w:rFonts w:cstheme="minorHAnsi"/>
          <w:color w:val="000000"/>
          <w:lang w:val="en-US"/>
        </w:rPr>
      </w:pPr>
    </w:p>
    <w:p w:rsidR="00C40C0B" w:rsidRPr="00DE2232" w:rsidRDefault="000173AF" w:rsidP="00232D65">
      <w:pPr>
        <w:spacing w:after="0"/>
        <w:rPr>
          <w:rFonts w:cstheme="minorHAnsi"/>
        </w:rPr>
      </w:pPr>
      <w:r>
        <w:rPr>
          <w:rFonts w:cstheme="minorHAnsi"/>
          <w:color w:val="000000"/>
          <w:lang w:val="en-US"/>
        </w:rPr>
        <w:t xml:space="preserve">Clusters are activated to support response. If clusters are established </w:t>
      </w:r>
      <w:r w:rsidR="000E1366">
        <w:rPr>
          <w:rFonts w:cstheme="minorHAnsi"/>
          <w:color w:val="000000"/>
          <w:lang w:val="en-US"/>
        </w:rPr>
        <w:t>as part of a response</w:t>
      </w:r>
      <w:r>
        <w:rPr>
          <w:rFonts w:cstheme="minorHAnsi"/>
          <w:color w:val="000000"/>
          <w:lang w:val="en-US"/>
        </w:rPr>
        <w:t xml:space="preserve"> where there </w:t>
      </w:r>
      <w:r w:rsidR="009E7285">
        <w:rPr>
          <w:rFonts w:cstheme="minorHAnsi"/>
          <w:color w:val="000000"/>
          <w:lang w:val="en-US"/>
        </w:rPr>
        <w:t>is a high risk of recurring or new disaster</w:t>
      </w:r>
      <w:r w:rsidRPr="000173AF">
        <w:rPr>
          <w:rFonts w:cstheme="minorHAnsi"/>
          <w:color w:val="000000"/>
          <w:lang w:val="en-US"/>
        </w:rPr>
        <w:t xml:space="preserve">, </w:t>
      </w:r>
      <w:r w:rsidR="00C40C0B">
        <w:rPr>
          <w:rFonts w:cstheme="minorHAnsi"/>
          <w:color w:val="000000"/>
          <w:lang w:val="en-US"/>
        </w:rPr>
        <w:t>they</w:t>
      </w:r>
      <w:r w:rsidRPr="000173AF">
        <w:rPr>
          <w:rFonts w:cstheme="minorHAnsi"/>
          <w:color w:val="000000"/>
          <w:lang w:val="en-US"/>
        </w:rPr>
        <w:t xml:space="preserve"> should not be limited to response</w:t>
      </w:r>
      <w:r w:rsidR="00B83A6D">
        <w:rPr>
          <w:rFonts w:cstheme="minorHAnsi"/>
          <w:color w:val="000000"/>
          <w:lang w:val="en-US"/>
        </w:rPr>
        <w:t>,</w:t>
      </w:r>
      <w:r w:rsidRPr="000173AF">
        <w:rPr>
          <w:rFonts w:cstheme="minorHAnsi"/>
          <w:color w:val="000000"/>
          <w:lang w:val="en-US"/>
        </w:rPr>
        <w:t xml:space="preserve"> but should </w:t>
      </w:r>
      <w:r w:rsidRPr="000173AF">
        <w:rPr>
          <w:rFonts w:cstheme="minorHAnsi"/>
          <w:color w:val="000000"/>
          <w:lang w:val="en-US"/>
        </w:rPr>
        <w:lastRenderedPageBreak/>
        <w:t>also work on preparedness as risks evolve</w:t>
      </w:r>
      <w:r w:rsidR="00C40C0B">
        <w:rPr>
          <w:rFonts w:cstheme="minorHAnsi"/>
          <w:color w:val="000000"/>
          <w:lang w:val="en-US"/>
        </w:rPr>
        <w:t xml:space="preserve"> </w:t>
      </w:r>
      <w:r w:rsidR="009E7285">
        <w:rPr>
          <w:rFonts w:cstheme="minorHAnsi"/>
          <w:color w:val="000000"/>
          <w:lang w:val="en-US"/>
        </w:rPr>
        <w:t>(</w:t>
      </w:r>
      <w:r w:rsidR="00C40C0B">
        <w:rPr>
          <w:rFonts w:cstheme="minorHAnsi"/>
          <w:color w:val="000000"/>
          <w:lang w:val="en-US"/>
        </w:rPr>
        <w:t>for example,</w:t>
      </w:r>
      <w:r w:rsidRPr="000173AF">
        <w:rPr>
          <w:rFonts w:cstheme="minorHAnsi"/>
          <w:color w:val="000000"/>
          <w:lang w:val="en-US"/>
        </w:rPr>
        <w:t xml:space="preserve"> in South Sudan</w:t>
      </w:r>
      <w:r w:rsidR="009E7285">
        <w:rPr>
          <w:rFonts w:cstheme="minorHAnsi"/>
          <w:color w:val="000000"/>
          <w:lang w:val="en-US"/>
        </w:rPr>
        <w:t xml:space="preserve">) providing </w:t>
      </w:r>
      <w:r w:rsidR="0028089F">
        <w:rPr>
          <w:rFonts w:cstheme="minorHAnsi"/>
          <w:color w:val="000000"/>
          <w:lang w:val="en-US"/>
        </w:rPr>
        <w:t xml:space="preserve">that </w:t>
      </w:r>
      <w:r w:rsidR="009E7285">
        <w:rPr>
          <w:rFonts w:cstheme="minorHAnsi"/>
          <w:color w:val="000000"/>
          <w:lang w:val="en-US"/>
        </w:rPr>
        <w:t xml:space="preserve">preparedness activities </w:t>
      </w:r>
      <w:r w:rsidR="00B83A6D">
        <w:rPr>
          <w:rFonts w:cstheme="minorHAnsi"/>
          <w:color w:val="000000"/>
          <w:lang w:val="en-US"/>
        </w:rPr>
        <w:t xml:space="preserve">do not weaken the coordination of the </w:t>
      </w:r>
      <w:r w:rsidR="009E7285">
        <w:rPr>
          <w:rFonts w:cstheme="minorHAnsi"/>
          <w:color w:val="000000"/>
          <w:lang w:val="en-US"/>
        </w:rPr>
        <w:t>response</w:t>
      </w:r>
      <w:r w:rsidRPr="000173AF">
        <w:rPr>
          <w:rFonts w:cstheme="minorHAnsi"/>
          <w:color w:val="000000"/>
          <w:lang w:val="en-US"/>
        </w:rPr>
        <w:t xml:space="preserve">.  </w:t>
      </w:r>
      <w:r w:rsidR="00C40C0B" w:rsidRPr="000173AF">
        <w:rPr>
          <w:rFonts w:cstheme="minorHAnsi"/>
          <w:color w:val="000000"/>
          <w:lang w:val="en-US"/>
        </w:rPr>
        <w:t xml:space="preserve">Global Clusters </w:t>
      </w:r>
      <w:r w:rsidR="009E7285">
        <w:rPr>
          <w:rFonts w:cstheme="minorHAnsi"/>
          <w:color w:val="000000"/>
          <w:lang w:val="en-US"/>
        </w:rPr>
        <w:t>may</w:t>
      </w:r>
      <w:r w:rsidR="00C40C0B" w:rsidRPr="000173AF">
        <w:rPr>
          <w:rFonts w:cstheme="minorHAnsi"/>
          <w:color w:val="000000"/>
          <w:lang w:val="en-US"/>
        </w:rPr>
        <w:t xml:space="preserve"> support country clusters in </w:t>
      </w:r>
      <w:r w:rsidR="009E7285">
        <w:rPr>
          <w:rFonts w:cstheme="minorHAnsi"/>
          <w:color w:val="000000"/>
          <w:lang w:val="en-US"/>
        </w:rPr>
        <w:t xml:space="preserve">their </w:t>
      </w:r>
      <w:r w:rsidR="00C40C0B" w:rsidRPr="000173AF">
        <w:rPr>
          <w:rFonts w:cstheme="minorHAnsi"/>
          <w:color w:val="000000"/>
          <w:lang w:val="en-US"/>
        </w:rPr>
        <w:t>preparedness work</w:t>
      </w:r>
      <w:r w:rsidR="0028089F">
        <w:rPr>
          <w:rFonts w:cstheme="minorHAnsi"/>
          <w:color w:val="000000"/>
          <w:lang w:val="en-US"/>
        </w:rPr>
        <w:t xml:space="preserve"> (e.g. </w:t>
      </w:r>
      <w:r w:rsidR="0028089F" w:rsidRPr="0028089F">
        <w:rPr>
          <w:rFonts w:cstheme="minorHAnsi"/>
          <w:color w:val="000000"/>
          <w:lang w:val="en-US"/>
        </w:rPr>
        <w:t>resources, capacity-building, guidance, technical support, surge capacity from HQ</w:t>
      </w:r>
      <w:r w:rsidR="0028089F">
        <w:rPr>
          <w:rFonts w:cstheme="minorHAnsi"/>
          <w:color w:val="000000"/>
          <w:lang w:val="en-US"/>
        </w:rPr>
        <w:t>)</w:t>
      </w:r>
      <w:r w:rsidR="00C40C0B" w:rsidRPr="000173AF">
        <w:rPr>
          <w:rFonts w:cstheme="minorHAnsi"/>
          <w:color w:val="000000"/>
          <w:lang w:val="en-US"/>
        </w:rPr>
        <w:t>.</w:t>
      </w:r>
    </w:p>
    <w:p w:rsidR="000173AF" w:rsidRPr="000173AF" w:rsidRDefault="000173AF" w:rsidP="000173AF">
      <w:pPr>
        <w:autoSpaceDE w:val="0"/>
        <w:autoSpaceDN w:val="0"/>
        <w:adjustRightInd w:val="0"/>
        <w:spacing w:after="0"/>
        <w:rPr>
          <w:rFonts w:cstheme="minorHAnsi"/>
          <w:color w:val="000000"/>
          <w:lang w:val="en-US"/>
        </w:rPr>
      </w:pPr>
    </w:p>
    <w:p w:rsidR="00464950" w:rsidRDefault="00C40C0B" w:rsidP="000173AF">
      <w:pPr>
        <w:autoSpaceDE w:val="0"/>
        <w:autoSpaceDN w:val="0"/>
        <w:adjustRightInd w:val="0"/>
        <w:spacing w:after="0"/>
        <w:rPr>
          <w:rFonts w:cstheme="minorHAnsi"/>
          <w:color w:val="000000"/>
          <w:lang w:val="en-US"/>
        </w:rPr>
      </w:pPr>
      <w:r>
        <w:rPr>
          <w:rFonts w:cstheme="minorHAnsi"/>
          <w:color w:val="000000"/>
          <w:lang w:val="en-US"/>
        </w:rPr>
        <w:t>In</w:t>
      </w:r>
      <w:r w:rsidR="00D95729">
        <w:rPr>
          <w:rFonts w:cstheme="minorHAnsi"/>
          <w:color w:val="000000"/>
          <w:lang w:val="en-US"/>
        </w:rPr>
        <w:t xml:space="preserve"> high risk</w:t>
      </w:r>
      <w:r>
        <w:rPr>
          <w:rFonts w:cstheme="minorHAnsi"/>
          <w:color w:val="000000"/>
          <w:lang w:val="en-US"/>
        </w:rPr>
        <w:t xml:space="preserve"> countries that do</w:t>
      </w:r>
      <w:r w:rsidR="000173AF" w:rsidRPr="000173AF">
        <w:rPr>
          <w:rFonts w:cstheme="minorHAnsi"/>
          <w:color w:val="000000"/>
          <w:lang w:val="en-US"/>
        </w:rPr>
        <w:t xml:space="preserve"> not have activated clusters</w:t>
      </w:r>
      <w:r w:rsidR="00B83A6D">
        <w:rPr>
          <w:rFonts w:cstheme="minorHAnsi"/>
          <w:color w:val="000000"/>
          <w:lang w:val="en-US"/>
        </w:rPr>
        <w:t>,</w:t>
      </w:r>
      <w:r w:rsidR="000173AF" w:rsidRPr="000173AF">
        <w:rPr>
          <w:rFonts w:cstheme="minorHAnsi"/>
          <w:color w:val="000000"/>
          <w:lang w:val="en-US"/>
        </w:rPr>
        <w:t xml:space="preserve"> but where </w:t>
      </w:r>
      <w:r w:rsidR="009E7285">
        <w:rPr>
          <w:rFonts w:cstheme="minorHAnsi"/>
          <w:color w:val="000000"/>
          <w:lang w:val="en-US"/>
        </w:rPr>
        <w:t>early warning systems indicate</w:t>
      </w:r>
      <w:r w:rsidR="001F198F">
        <w:rPr>
          <w:rFonts w:cstheme="minorHAnsi"/>
          <w:color w:val="000000"/>
          <w:lang w:val="en-US"/>
        </w:rPr>
        <w:t xml:space="preserve"> a</w:t>
      </w:r>
      <w:r w:rsidR="000173AF" w:rsidRPr="000173AF">
        <w:rPr>
          <w:rFonts w:cstheme="minorHAnsi"/>
          <w:color w:val="000000"/>
          <w:lang w:val="en-US"/>
        </w:rPr>
        <w:t xml:space="preserve"> </w:t>
      </w:r>
      <w:r w:rsidR="001F198F">
        <w:rPr>
          <w:rFonts w:cstheme="minorHAnsi"/>
          <w:color w:val="000000"/>
          <w:lang w:val="en-US"/>
        </w:rPr>
        <w:t>potential</w:t>
      </w:r>
      <w:r w:rsidR="000173AF" w:rsidRPr="000173AF">
        <w:rPr>
          <w:rFonts w:cstheme="minorHAnsi"/>
          <w:color w:val="000000"/>
          <w:lang w:val="en-US"/>
        </w:rPr>
        <w:t xml:space="preserve"> </w:t>
      </w:r>
      <w:r>
        <w:rPr>
          <w:rFonts w:cstheme="minorHAnsi"/>
          <w:color w:val="000000"/>
          <w:lang w:val="en-US"/>
        </w:rPr>
        <w:t>need for a significant</w:t>
      </w:r>
      <w:r w:rsidR="001F198F">
        <w:rPr>
          <w:rFonts w:cstheme="minorHAnsi"/>
          <w:color w:val="000000"/>
          <w:lang w:val="en-US"/>
        </w:rPr>
        <w:t xml:space="preserve"> international response (such as </w:t>
      </w:r>
      <w:r w:rsidR="000173AF" w:rsidRPr="000173AF">
        <w:rPr>
          <w:rFonts w:cstheme="minorHAnsi"/>
          <w:color w:val="000000"/>
          <w:lang w:val="en-US"/>
        </w:rPr>
        <w:t xml:space="preserve">Syria or Mali </w:t>
      </w:r>
      <w:r w:rsidR="001F198F">
        <w:rPr>
          <w:rFonts w:cstheme="minorHAnsi"/>
          <w:color w:val="000000"/>
          <w:lang w:val="en-US"/>
        </w:rPr>
        <w:t>more recently)</w:t>
      </w:r>
      <w:r w:rsidR="000173AF" w:rsidRPr="000173AF">
        <w:rPr>
          <w:rFonts w:cstheme="minorHAnsi"/>
          <w:color w:val="000000"/>
          <w:lang w:val="en-US"/>
        </w:rPr>
        <w:t>, Global Cluster</w:t>
      </w:r>
      <w:r>
        <w:rPr>
          <w:rFonts w:cstheme="minorHAnsi"/>
          <w:color w:val="000000"/>
          <w:lang w:val="en-US"/>
        </w:rPr>
        <w:t>s should</w:t>
      </w:r>
      <w:r w:rsidR="000173AF" w:rsidRPr="000173AF">
        <w:rPr>
          <w:rFonts w:cstheme="minorHAnsi"/>
          <w:color w:val="000000"/>
          <w:lang w:val="en-US"/>
        </w:rPr>
        <w:t xml:space="preserve"> s</w:t>
      </w:r>
      <w:r>
        <w:rPr>
          <w:rFonts w:cstheme="minorHAnsi"/>
          <w:color w:val="000000"/>
          <w:lang w:val="en-US"/>
        </w:rPr>
        <w:t>upport</w:t>
      </w:r>
      <w:r w:rsidR="000173AF" w:rsidRPr="000173AF">
        <w:rPr>
          <w:rFonts w:cstheme="minorHAnsi"/>
          <w:color w:val="000000"/>
          <w:lang w:val="en-US"/>
        </w:rPr>
        <w:t xml:space="preserve"> (non-cluster) country coordination structures </w:t>
      </w:r>
      <w:r w:rsidR="009E7285">
        <w:rPr>
          <w:rFonts w:cstheme="minorHAnsi"/>
          <w:color w:val="000000"/>
          <w:lang w:val="en-US"/>
        </w:rPr>
        <w:t xml:space="preserve">in preparedness activities based on </w:t>
      </w:r>
      <w:r>
        <w:rPr>
          <w:rFonts w:cstheme="minorHAnsi"/>
          <w:color w:val="000000"/>
          <w:lang w:val="en-US"/>
        </w:rPr>
        <w:t>a request by the HC or RC</w:t>
      </w:r>
      <w:r w:rsidR="00464950">
        <w:rPr>
          <w:rFonts w:cstheme="minorHAnsi"/>
          <w:color w:val="000000"/>
          <w:lang w:val="en-US"/>
        </w:rPr>
        <w:t xml:space="preserve">, </w:t>
      </w:r>
      <w:r>
        <w:rPr>
          <w:rFonts w:cstheme="minorHAnsi"/>
          <w:color w:val="000000"/>
          <w:lang w:val="en-US"/>
        </w:rPr>
        <w:t>subject to available resources</w:t>
      </w:r>
      <w:r w:rsidR="00464950">
        <w:rPr>
          <w:rFonts w:cstheme="minorHAnsi"/>
          <w:color w:val="000000"/>
          <w:lang w:val="en-US"/>
        </w:rPr>
        <w:t xml:space="preserve"> and recognizing the need to harness agency resources for implementation of the agreed measures</w:t>
      </w:r>
      <w:r w:rsidR="000173AF" w:rsidRPr="000173AF">
        <w:rPr>
          <w:rFonts w:cstheme="minorHAnsi"/>
          <w:color w:val="000000"/>
          <w:lang w:val="en-US"/>
        </w:rPr>
        <w:t>.</w:t>
      </w:r>
      <w:r w:rsidR="0028089F">
        <w:rPr>
          <w:rFonts w:cstheme="minorHAnsi"/>
          <w:color w:val="000000"/>
          <w:lang w:val="en-US"/>
        </w:rPr>
        <w:t xml:space="preserve"> The responsibility of Global Cluster Lead Agencies in these contexts requires definition.</w:t>
      </w:r>
    </w:p>
    <w:p w:rsidR="00464950" w:rsidRDefault="00464950" w:rsidP="000173AF">
      <w:pPr>
        <w:autoSpaceDE w:val="0"/>
        <w:autoSpaceDN w:val="0"/>
        <w:adjustRightInd w:val="0"/>
        <w:spacing w:after="0"/>
        <w:rPr>
          <w:rFonts w:cstheme="minorHAnsi"/>
          <w:color w:val="000000"/>
          <w:lang w:val="en-US"/>
        </w:rPr>
      </w:pPr>
    </w:p>
    <w:p w:rsidR="000173AF" w:rsidRPr="000173AF" w:rsidRDefault="00B83A6D" w:rsidP="000173AF">
      <w:pPr>
        <w:autoSpaceDE w:val="0"/>
        <w:autoSpaceDN w:val="0"/>
        <w:adjustRightInd w:val="0"/>
        <w:spacing w:after="0"/>
        <w:rPr>
          <w:rFonts w:cstheme="minorHAnsi"/>
          <w:color w:val="000000"/>
          <w:lang w:val="en-US"/>
        </w:rPr>
      </w:pPr>
      <w:r>
        <w:rPr>
          <w:rFonts w:cstheme="minorHAnsi"/>
          <w:color w:val="000000"/>
          <w:lang w:val="en-US"/>
        </w:rPr>
        <w:t>Guidance on the role of clusters in preparedness will be further adapted based on the results of s</w:t>
      </w:r>
      <w:r w:rsidR="00464950">
        <w:rPr>
          <w:rFonts w:cstheme="minorHAnsi"/>
          <w:color w:val="000000"/>
          <w:lang w:val="en-US"/>
        </w:rPr>
        <w:t xml:space="preserve">tudies currently underway on the types of preparedness activities undertaken by clusters at the country </w:t>
      </w:r>
      <w:r w:rsidR="008D35A3">
        <w:rPr>
          <w:rFonts w:cstheme="minorHAnsi"/>
          <w:color w:val="000000"/>
          <w:lang w:val="en-US"/>
        </w:rPr>
        <w:t>level and</w:t>
      </w:r>
      <w:r w:rsidR="00464950">
        <w:rPr>
          <w:rFonts w:cstheme="minorHAnsi"/>
          <w:color w:val="000000"/>
          <w:lang w:val="en-US"/>
        </w:rPr>
        <w:t xml:space="preserve"> the funding of these activities</w:t>
      </w:r>
      <w:r>
        <w:rPr>
          <w:rFonts w:cstheme="minorHAnsi"/>
          <w:color w:val="000000"/>
          <w:lang w:val="en-US"/>
        </w:rPr>
        <w:t>.</w:t>
      </w:r>
    </w:p>
    <w:p w:rsidR="00C40C0B" w:rsidRDefault="00C40C0B" w:rsidP="000173AF">
      <w:pPr>
        <w:autoSpaceDE w:val="0"/>
        <w:autoSpaceDN w:val="0"/>
        <w:adjustRightInd w:val="0"/>
        <w:spacing w:after="0"/>
        <w:rPr>
          <w:rFonts w:cstheme="minorHAnsi"/>
          <w:color w:val="000000"/>
          <w:lang w:val="en-US"/>
        </w:rPr>
      </w:pPr>
    </w:p>
    <w:p w:rsidR="003E28BC" w:rsidRPr="00DE2232" w:rsidRDefault="003E28BC">
      <w:pPr>
        <w:rPr>
          <w:rFonts w:cstheme="minorHAnsi"/>
          <w:lang w:val="en-US"/>
        </w:rPr>
      </w:pPr>
    </w:p>
    <w:p w:rsidR="00E7606B" w:rsidRPr="00E7606B" w:rsidRDefault="00E7606B" w:rsidP="00E7606B">
      <w:pPr>
        <w:rPr>
          <w:rFonts w:cstheme="minorHAnsi"/>
          <w:b/>
        </w:rPr>
      </w:pPr>
      <w:r w:rsidRPr="00E7606B">
        <w:rPr>
          <w:rFonts w:cstheme="minorHAnsi"/>
          <w:b/>
        </w:rPr>
        <w:t>Proposed Action Points</w:t>
      </w:r>
    </w:p>
    <w:p w:rsidR="00E7606B" w:rsidRPr="00705925" w:rsidRDefault="00E7606B" w:rsidP="00E7606B">
      <w:pPr>
        <w:rPr>
          <w:rFonts w:cstheme="minorHAnsi"/>
        </w:rPr>
      </w:pPr>
      <w:r w:rsidRPr="00705925">
        <w:rPr>
          <w:rFonts w:cstheme="minorHAnsi"/>
        </w:rPr>
        <w:t>The IASC Working Group:</w:t>
      </w:r>
    </w:p>
    <w:p w:rsidR="00D95729" w:rsidRPr="00705925" w:rsidRDefault="00D95729" w:rsidP="00D95729">
      <w:pPr>
        <w:pStyle w:val="ListParagraph"/>
        <w:numPr>
          <w:ilvl w:val="0"/>
          <w:numId w:val="4"/>
        </w:numPr>
        <w:autoSpaceDE w:val="0"/>
        <w:autoSpaceDN w:val="0"/>
        <w:adjustRightInd w:val="0"/>
        <w:spacing w:after="0"/>
        <w:rPr>
          <w:rFonts w:cstheme="minorHAnsi"/>
          <w:color w:val="000000"/>
          <w:lang w:val="en-US"/>
        </w:rPr>
      </w:pPr>
      <w:r w:rsidRPr="00705925">
        <w:rPr>
          <w:rFonts w:cstheme="minorHAnsi"/>
        </w:rPr>
        <w:t>Endorse</w:t>
      </w:r>
      <w:r w:rsidR="00705925">
        <w:rPr>
          <w:rFonts w:cstheme="minorHAnsi"/>
        </w:rPr>
        <w:t>s</w:t>
      </w:r>
      <w:r w:rsidRPr="00705925">
        <w:rPr>
          <w:rFonts w:cstheme="minorHAnsi"/>
        </w:rPr>
        <w:t xml:space="preserve"> the pro</w:t>
      </w:r>
      <w:r w:rsidR="00705925">
        <w:rPr>
          <w:rFonts w:cstheme="minorHAnsi"/>
        </w:rPr>
        <w:t xml:space="preserve">cedures </w:t>
      </w:r>
      <w:r w:rsidRPr="00705925">
        <w:rPr>
          <w:rFonts w:cstheme="minorHAnsi"/>
        </w:rPr>
        <w:t xml:space="preserve">on </w:t>
      </w:r>
      <w:r w:rsidRPr="00705925">
        <w:rPr>
          <w:rFonts w:cstheme="minorHAnsi"/>
          <w:color w:val="000000"/>
          <w:lang w:val="en-US"/>
        </w:rPr>
        <w:t xml:space="preserve">cluster de-activation and the related role of clusters in preparedness </w:t>
      </w:r>
      <w:r w:rsidRPr="00705925">
        <w:rPr>
          <w:rFonts w:cstheme="minorHAnsi"/>
          <w:color w:val="000000"/>
          <w:lang w:val="en-US"/>
        </w:rPr>
        <w:t>for inclusion in</w:t>
      </w:r>
      <w:r w:rsidR="00705925">
        <w:rPr>
          <w:rFonts w:cstheme="minorHAnsi"/>
          <w:color w:val="000000"/>
          <w:lang w:val="en-US"/>
        </w:rPr>
        <w:t>to</w:t>
      </w:r>
      <w:bookmarkStart w:id="0" w:name="_GoBack"/>
      <w:bookmarkEnd w:id="0"/>
      <w:r w:rsidRPr="00705925">
        <w:rPr>
          <w:rFonts w:cstheme="minorHAnsi"/>
          <w:color w:val="000000"/>
          <w:lang w:val="en-US"/>
        </w:rPr>
        <w:t xml:space="preserve"> the </w:t>
      </w:r>
      <w:r w:rsidRPr="00705925">
        <w:rPr>
          <w:rFonts w:cstheme="minorHAnsi"/>
          <w:color w:val="000000"/>
          <w:lang w:val="en-US"/>
        </w:rPr>
        <w:t>IASC Cluster Coordination Reference Module.</w:t>
      </w:r>
    </w:p>
    <w:p w:rsidR="00E7606B" w:rsidRPr="00D95729" w:rsidRDefault="00E7606B" w:rsidP="00D95729">
      <w:pPr>
        <w:pStyle w:val="ListParagraph"/>
        <w:rPr>
          <w:rFonts w:cstheme="minorHAnsi"/>
        </w:rPr>
      </w:pPr>
    </w:p>
    <w:p w:rsidR="00E7606B" w:rsidRDefault="00E7606B" w:rsidP="00E7606B">
      <w:pPr>
        <w:jc w:val="right"/>
        <w:rPr>
          <w:rFonts w:cstheme="minorHAnsi"/>
        </w:rPr>
      </w:pPr>
    </w:p>
    <w:p w:rsidR="00E7606B" w:rsidRDefault="00E7606B" w:rsidP="00E7606B">
      <w:pPr>
        <w:jc w:val="right"/>
        <w:rPr>
          <w:rFonts w:cstheme="minorHAnsi"/>
        </w:rPr>
      </w:pPr>
    </w:p>
    <w:p w:rsidR="00C40C0B" w:rsidRPr="00DE2232" w:rsidRDefault="00E7606B" w:rsidP="00E7606B">
      <w:pPr>
        <w:jc w:val="right"/>
        <w:rPr>
          <w:rFonts w:cstheme="minorHAnsi"/>
        </w:rPr>
      </w:pPr>
      <w:r w:rsidRPr="00E7606B">
        <w:rPr>
          <w:rFonts w:cstheme="minorHAnsi"/>
        </w:rPr>
        <w:t xml:space="preserve">Prepared by: IASC </w:t>
      </w:r>
      <w:r>
        <w:rPr>
          <w:rFonts w:cstheme="minorHAnsi"/>
        </w:rPr>
        <w:t>Sub-Working Group on the Cluster Approach</w:t>
      </w:r>
      <w:r w:rsidRPr="00E7606B">
        <w:rPr>
          <w:rFonts w:cstheme="minorHAnsi"/>
        </w:rPr>
        <w:t>, June 201</w:t>
      </w:r>
      <w:r>
        <w:rPr>
          <w:rFonts w:cstheme="minorHAnsi"/>
        </w:rPr>
        <w:t>2</w:t>
      </w:r>
    </w:p>
    <w:sectPr w:rsidR="00C40C0B" w:rsidRPr="00DE2232" w:rsidSect="00D455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60E" w:rsidRDefault="007D660E" w:rsidP="00DE2232">
      <w:pPr>
        <w:spacing w:after="0"/>
      </w:pPr>
      <w:r>
        <w:separator/>
      </w:r>
    </w:p>
  </w:endnote>
  <w:endnote w:type="continuationSeparator" w:id="0">
    <w:p w:rsidR="007D660E" w:rsidRDefault="007D660E" w:rsidP="00DE2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D0" w:rsidRDefault="00001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88" w:rsidRDefault="00A97988">
    <w:pPr>
      <w:pStyle w:val="Footer"/>
    </w:pPr>
    <w:r>
      <w:t>Revision 1 – 14 June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D0" w:rsidRDefault="00001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60E" w:rsidRDefault="007D660E" w:rsidP="00DE2232">
      <w:pPr>
        <w:spacing w:after="0"/>
      </w:pPr>
      <w:r>
        <w:separator/>
      </w:r>
    </w:p>
  </w:footnote>
  <w:footnote w:type="continuationSeparator" w:id="0">
    <w:p w:rsidR="007D660E" w:rsidRDefault="007D660E" w:rsidP="00DE2232">
      <w:pPr>
        <w:spacing w:after="0"/>
      </w:pPr>
      <w:r>
        <w:continuationSeparator/>
      </w:r>
    </w:p>
  </w:footnote>
  <w:footnote w:id="1">
    <w:p w:rsidR="004A366E" w:rsidRPr="00DE2232" w:rsidRDefault="004A366E" w:rsidP="004A366E">
      <w:pPr>
        <w:autoSpaceDE w:val="0"/>
        <w:autoSpaceDN w:val="0"/>
        <w:adjustRightInd w:val="0"/>
        <w:spacing w:after="0"/>
        <w:rPr>
          <w:rFonts w:cstheme="minorHAnsi"/>
          <w:color w:val="000000"/>
          <w:sz w:val="16"/>
          <w:szCs w:val="16"/>
          <w:lang w:val="en-US"/>
        </w:rPr>
      </w:pPr>
      <w:r w:rsidRPr="00DE2232">
        <w:rPr>
          <w:rStyle w:val="FootnoteReference"/>
          <w:sz w:val="16"/>
          <w:szCs w:val="16"/>
        </w:rPr>
        <w:footnoteRef/>
      </w:r>
      <w:r w:rsidRPr="00DE2232">
        <w:rPr>
          <w:sz w:val="16"/>
          <w:szCs w:val="16"/>
        </w:rPr>
        <w:t xml:space="preserve"> </w:t>
      </w:r>
      <w:r w:rsidRPr="00DE2232">
        <w:rPr>
          <w:rFonts w:cstheme="minorHAnsi"/>
          <w:sz w:val="16"/>
          <w:szCs w:val="16"/>
        </w:rPr>
        <w:t xml:space="preserve">A trigger </w:t>
      </w:r>
      <w:r w:rsidRPr="00DE2232">
        <w:rPr>
          <w:rFonts w:cstheme="minorHAnsi"/>
          <w:color w:val="000000"/>
          <w:sz w:val="16"/>
          <w:szCs w:val="16"/>
          <w:lang w:val="en-US"/>
        </w:rPr>
        <w:t>event in the form of a new large-scale emergency or sharp deterioration</w:t>
      </w:r>
      <w:r w:rsidR="002B6B93">
        <w:rPr>
          <w:rFonts w:cstheme="minorHAnsi"/>
          <w:color w:val="000000"/>
          <w:sz w:val="16"/>
          <w:szCs w:val="16"/>
          <w:lang w:val="en-US"/>
        </w:rPr>
        <w:t xml:space="preserve"> </w:t>
      </w:r>
      <w:r w:rsidRPr="00DE2232">
        <w:rPr>
          <w:rFonts w:cstheme="minorHAnsi"/>
          <w:color w:val="000000"/>
          <w:sz w:val="16"/>
          <w:szCs w:val="16"/>
          <w:lang w:val="en-US"/>
        </w:rPr>
        <w:t>and/or significant change in an existing humanitarian situation; evaluation of national response and coordination capacity and/or national response to appropriately meet needs; humanitarian needs justify a multi-</w:t>
      </w:r>
      <w:proofErr w:type="spellStart"/>
      <w:r w:rsidRPr="00DE2232">
        <w:rPr>
          <w:rFonts w:cstheme="minorHAnsi"/>
          <w:color w:val="000000"/>
          <w:sz w:val="16"/>
          <w:szCs w:val="16"/>
          <w:lang w:val="en-US"/>
        </w:rPr>
        <w:t>sectoral</w:t>
      </w:r>
      <w:proofErr w:type="spellEnd"/>
      <w:r w:rsidRPr="00DE2232">
        <w:rPr>
          <w:rFonts w:cstheme="minorHAnsi"/>
          <w:color w:val="000000"/>
          <w:sz w:val="16"/>
          <w:szCs w:val="16"/>
          <w:lang w:val="en-US"/>
        </w:rPr>
        <w:t xml:space="preserve"> approach that the existing coordination and response mechanisms can no longer adequately address; size of the operational presence (the number of actors and complexity of response) requires a sector- specific coordination mechanism if this does not already exist.</w:t>
      </w:r>
    </w:p>
    <w:p w:rsidR="004A366E" w:rsidRPr="00DE2232" w:rsidRDefault="004A366E" w:rsidP="004A366E">
      <w:pPr>
        <w:pStyle w:val="FootnoteText"/>
        <w:rPr>
          <w:rFonts w:cstheme="minorHAnsi"/>
          <w:sz w:val="16"/>
          <w:szCs w:val="16"/>
        </w:rPr>
      </w:pPr>
    </w:p>
  </w:footnote>
  <w:footnote w:id="2">
    <w:p w:rsidR="00C40C0B" w:rsidRPr="001F198F" w:rsidRDefault="00C40C0B">
      <w:pPr>
        <w:pStyle w:val="FootnoteText"/>
        <w:rPr>
          <w:rFonts w:cstheme="minorHAnsi"/>
          <w:color w:val="000000"/>
          <w:sz w:val="16"/>
          <w:szCs w:val="16"/>
          <w:lang w:val="en-US"/>
        </w:rPr>
      </w:pPr>
      <w:r>
        <w:rPr>
          <w:rStyle w:val="FootnoteReference"/>
        </w:rPr>
        <w:footnoteRef/>
      </w:r>
      <w:r>
        <w:t xml:space="preserve"> </w:t>
      </w:r>
      <w:r w:rsidRPr="001F198F">
        <w:rPr>
          <w:rFonts w:cstheme="minorHAnsi"/>
          <w:color w:val="000000"/>
          <w:sz w:val="16"/>
          <w:szCs w:val="16"/>
          <w:lang w:val="en-US"/>
        </w:rPr>
        <w:t>The ERP focuses on the readiness component of the international community’s response, moving away from scenario based planning, and is composed of four segments: common country risk assessment; minimum preparedness actions; a</w:t>
      </w:r>
      <w:r w:rsidR="00D455C0">
        <w:rPr>
          <w:rFonts w:cstheme="minorHAnsi"/>
          <w:color w:val="000000"/>
          <w:sz w:val="16"/>
          <w:szCs w:val="16"/>
          <w:lang w:val="en-US"/>
        </w:rPr>
        <w:t xml:space="preserve"> response concept strategy; and </w:t>
      </w:r>
      <w:r w:rsidRPr="001F198F">
        <w:rPr>
          <w:rFonts w:cstheme="minorHAnsi"/>
          <w:color w:val="000000"/>
          <w:sz w:val="16"/>
          <w:szCs w:val="16"/>
          <w:lang w:val="en-US"/>
        </w:rPr>
        <w:t>standard operating procedures</w:t>
      </w:r>
      <w:r w:rsidR="00DC01BD">
        <w:rPr>
          <w:rFonts w:cstheme="minorHAnsi"/>
          <w:color w:val="000000"/>
          <w:lang w:val="en-US"/>
        </w:rPr>
        <w:t xml:space="preserve">. </w:t>
      </w:r>
      <w:r w:rsidR="00DC01BD" w:rsidRPr="00DC01BD">
        <w:rPr>
          <w:rFonts w:cstheme="minorHAnsi"/>
          <w:color w:val="000000"/>
          <w:sz w:val="16"/>
          <w:szCs w:val="16"/>
          <w:lang w:val="en-US"/>
        </w:rPr>
        <w:t>Clusters – if activated – or sectors should coordinate their preparedness and response planning within the ERP structure. If clusters are not activated and sector planning not feasible, cluster lead agencies should align their preparedness and response planning to the ERP methodology to ensure coordination and coherence in case they need to resume cluster lead responsibilities in case clusters are activated during a disaster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D0" w:rsidRDefault="00001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88" w:rsidRDefault="007D660E">
    <w:pPr>
      <w:pStyle w:val="Header"/>
    </w:pPr>
    <w:sdt>
      <w:sdtPr>
        <w:id w:val="-1369910346"/>
        <w:docPartObj>
          <w:docPartGallery w:val="Page Numbers (Margins)"/>
          <w:docPartUnique/>
        </w:docPartObj>
      </w:sdtPr>
      <w:sdtEndPr/>
      <w:sdtContent>
        <w:r w:rsidR="00A97988">
          <w:rPr>
            <w:noProof/>
            <w:lang w:eastAsia="en-GB"/>
          </w:rPr>
          <mc:AlternateContent>
            <mc:Choice Requires="wps">
              <w:drawing>
                <wp:anchor distT="0" distB="0" distL="114300" distR="114300" simplePos="0" relativeHeight="251657216"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988" w:rsidRDefault="00A9798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705925" w:rsidRPr="00705925">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A97988" w:rsidRDefault="00A9798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705925" w:rsidRPr="00705925">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sdt>
      <w:sdtPr>
        <w:id w:val="482363301"/>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34293" o:spid="_x0000_s2049" type="#_x0000_t136" style="position:absolute;margin-left:0;margin-top:0;width:397.65pt;height:238.6pt;rotation:315;z-index:-251658240;mso-position-horizontal:center;mso-position-horizontal-relative:margin;mso-position-vertical:center;mso-position-vertical-relative:margin" o:allowincell="f" fillcolor="#a5a5a5 [2092]" stroked="f">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D0" w:rsidRDefault="00001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089E"/>
    <w:multiLevelType w:val="hybridMultilevel"/>
    <w:tmpl w:val="75EAF2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B2029F"/>
    <w:multiLevelType w:val="hybridMultilevel"/>
    <w:tmpl w:val="84C63D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212581"/>
    <w:multiLevelType w:val="hybridMultilevel"/>
    <w:tmpl w:val="445A7B7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1B217B4"/>
    <w:multiLevelType w:val="hybridMultilevel"/>
    <w:tmpl w:val="0BB8E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32"/>
    <w:rsid w:val="000015D0"/>
    <w:rsid w:val="000173AF"/>
    <w:rsid w:val="000E1366"/>
    <w:rsid w:val="001F198F"/>
    <w:rsid w:val="001F2958"/>
    <w:rsid w:val="00232D65"/>
    <w:rsid w:val="0028089F"/>
    <w:rsid w:val="002B6B93"/>
    <w:rsid w:val="00367E97"/>
    <w:rsid w:val="00391F31"/>
    <w:rsid w:val="003E28BC"/>
    <w:rsid w:val="004500BE"/>
    <w:rsid w:val="00464950"/>
    <w:rsid w:val="004A366E"/>
    <w:rsid w:val="00651C13"/>
    <w:rsid w:val="0069298D"/>
    <w:rsid w:val="00705925"/>
    <w:rsid w:val="00724D3E"/>
    <w:rsid w:val="007552D6"/>
    <w:rsid w:val="007A6D01"/>
    <w:rsid w:val="007D660E"/>
    <w:rsid w:val="007F729E"/>
    <w:rsid w:val="00881100"/>
    <w:rsid w:val="008D35A3"/>
    <w:rsid w:val="008F38BE"/>
    <w:rsid w:val="0092486E"/>
    <w:rsid w:val="009257ED"/>
    <w:rsid w:val="009C05E2"/>
    <w:rsid w:val="009E7285"/>
    <w:rsid w:val="00A317C1"/>
    <w:rsid w:val="00A4362F"/>
    <w:rsid w:val="00A97988"/>
    <w:rsid w:val="00B47A7F"/>
    <w:rsid w:val="00B83A6D"/>
    <w:rsid w:val="00B964E0"/>
    <w:rsid w:val="00BA2F0B"/>
    <w:rsid w:val="00BA7682"/>
    <w:rsid w:val="00BB4B38"/>
    <w:rsid w:val="00BC569E"/>
    <w:rsid w:val="00BD4E1D"/>
    <w:rsid w:val="00C40C0B"/>
    <w:rsid w:val="00D370EC"/>
    <w:rsid w:val="00D455C0"/>
    <w:rsid w:val="00D95729"/>
    <w:rsid w:val="00DC01BD"/>
    <w:rsid w:val="00DE2232"/>
    <w:rsid w:val="00E00986"/>
    <w:rsid w:val="00E7606B"/>
    <w:rsid w:val="00F15F44"/>
    <w:rsid w:val="00F942D0"/>
    <w:rsid w:val="00FA4265"/>
    <w:rsid w:val="00FE4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2232"/>
    <w:pPr>
      <w:spacing w:after="0"/>
    </w:pPr>
    <w:rPr>
      <w:sz w:val="20"/>
      <w:szCs w:val="20"/>
    </w:rPr>
  </w:style>
  <w:style w:type="character" w:customStyle="1" w:styleId="FootnoteTextChar">
    <w:name w:val="Footnote Text Char"/>
    <w:basedOn w:val="DefaultParagraphFont"/>
    <w:link w:val="FootnoteText"/>
    <w:uiPriority w:val="99"/>
    <w:semiHidden/>
    <w:rsid w:val="00DE2232"/>
    <w:rPr>
      <w:sz w:val="20"/>
      <w:szCs w:val="20"/>
    </w:rPr>
  </w:style>
  <w:style w:type="character" w:styleId="FootnoteReference">
    <w:name w:val="footnote reference"/>
    <w:basedOn w:val="DefaultParagraphFont"/>
    <w:uiPriority w:val="99"/>
    <w:semiHidden/>
    <w:unhideWhenUsed/>
    <w:rsid w:val="00DE2232"/>
    <w:rPr>
      <w:vertAlign w:val="superscript"/>
    </w:rPr>
  </w:style>
  <w:style w:type="table" w:styleId="TableGrid">
    <w:name w:val="Table Grid"/>
    <w:basedOn w:val="TableNormal"/>
    <w:uiPriority w:val="59"/>
    <w:rsid w:val="00DE223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2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32"/>
    <w:rPr>
      <w:rFonts w:ascii="Tahoma" w:hAnsi="Tahoma" w:cs="Tahoma"/>
      <w:sz w:val="16"/>
      <w:szCs w:val="16"/>
    </w:rPr>
  </w:style>
  <w:style w:type="character" w:styleId="CommentReference">
    <w:name w:val="annotation reference"/>
    <w:basedOn w:val="DefaultParagraphFont"/>
    <w:uiPriority w:val="99"/>
    <w:semiHidden/>
    <w:unhideWhenUsed/>
    <w:rsid w:val="00B47A7F"/>
    <w:rPr>
      <w:sz w:val="16"/>
      <w:szCs w:val="16"/>
    </w:rPr>
  </w:style>
  <w:style w:type="paragraph" w:styleId="CommentText">
    <w:name w:val="annotation text"/>
    <w:basedOn w:val="Normal"/>
    <w:link w:val="CommentTextChar"/>
    <w:uiPriority w:val="99"/>
    <w:semiHidden/>
    <w:unhideWhenUsed/>
    <w:rsid w:val="00B47A7F"/>
    <w:rPr>
      <w:sz w:val="20"/>
      <w:szCs w:val="20"/>
    </w:rPr>
  </w:style>
  <w:style w:type="character" w:customStyle="1" w:styleId="CommentTextChar">
    <w:name w:val="Comment Text Char"/>
    <w:basedOn w:val="DefaultParagraphFont"/>
    <w:link w:val="CommentText"/>
    <w:uiPriority w:val="99"/>
    <w:semiHidden/>
    <w:rsid w:val="00B47A7F"/>
    <w:rPr>
      <w:sz w:val="20"/>
      <w:szCs w:val="20"/>
    </w:rPr>
  </w:style>
  <w:style w:type="paragraph" w:styleId="CommentSubject">
    <w:name w:val="annotation subject"/>
    <w:basedOn w:val="CommentText"/>
    <w:next w:val="CommentText"/>
    <w:link w:val="CommentSubjectChar"/>
    <w:uiPriority w:val="99"/>
    <w:semiHidden/>
    <w:unhideWhenUsed/>
    <w:rsid w:val="00B47A7F"/>
    <w:rPr>
      <w:b/>
      <w:bCs/>
    </w:rPr>
  </w:style>
  <w:style w:type="character" w:customStyle="1" w:styleId="CommentSubjectChar">
    <w:name w:val="Comment Subject Char"/>
    <w:basedOn w:val="CommentTextChar"/>
    <w:link w:val="CommentSubject"/>
    <w:uiPriority w:val="99"/>
    <w:semiHidden/>
    <w:rsid w:val="00B47A7F"/>
    <w:rPr>
      <w:b/>
      <w:bCs/>
      <w:sz w:val="20"/>
      <w:szCs w:val="20"/>
    </w:rPr>
  </w:style>
  <w:style w:type="paragraph" w:customStyle="1" w:styleId="Y-content">
    <w:name w:val="Y-content"/>
    <w:basedOn w:val="Normal"/>
    <w:link w:val="Y-contentChar"/>
    <w:uiPriority w:val="99"/>
    <w:rsid w:val="00A4362F"/>
    <w:pPr>
      <w:spacing w:after="0"/>
      <w:jc w:val="both"/>
    </w:pPr>
    <w:rPr>
      <w:rFonts w:ascii="Arial" w:eastAsia="Times New Roman" w:hAnsi="Arial" w:cs="Arial"/>
      <w:bCs/>
      <w:color w:val="000000"/>
      <w:lang w:val="en-US" w:eastAsia="ja-JP"/>
    </w:rPr>
  </w:style>
  <w:style w:type="character" w:customStyle="1" w:styleId="Y-contentChar">
    <w:name w:val="Y-content Char"/>
    <w:basedOn w:val="DefaultParagraphFont"/>
    <w:link w:val="Y-content"/>
    <w:uiPriority w:val="99"/>
    <w:locked/>
    <w:rsid w:val="00A4362F"/>
    <w:rPr>
      <w:rFonts w:ascii="Arial" w:eastAsia="Times New Roman" w:hAnsi="Arial" w:cs="Arial"/>
      <w:bCs/>
      <w:color w:val="000000"/>
      <w:lang w:val="en-US" w:eastAsia="ja-JP"/>
    </w:rPr>
  </w:style>
  <w:style w:type="paragraph" w:styleId="ListParagraph">
    <w:name w:val="List Paragraph"/>
    <w:basedOn w:val="Normal"/>
    <w:uiPriority w:val="34"/>
    <w:qFormat/>
    <w:rsid w:val="00391F31"/>
    <w:pPr>
      <w:ind w:left="720"/>
      <w:contextualSpacing/>
    </w:pPr>
  </w:style>
  <w:style w:type="paragraph" w:styleId="Subtitle">
    <w:name w:val="Subtitle"/>
    <w:basedOn w:val="Normal"/>
    <w:next w:val="Normal"/>
    <w:link w:val="SubtitleChar"/>
    <w:uiPriority w:val="11"/>
    <w:qFormat/>
    <w:rsid w:val="00D455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455C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A97988"/>
    <w:pPr>
      <w:tabs>
        <w:tab w:val="center" w:pos="4513"/>
        <w:tab w:val="right" w:pos="9026"/>
      </w:tabs>
      <w:spacing w:after="0"/>
    </w:pPr>
  </w:style>
  <w:style w:type="character" w:customStyle="1" w:styleId="HeaderChar">
    <w:name w:val="Header Char"/>
    <w:basedOn w:val="DefaultParagraphFont"/>
    <w:link w:val="Header"/>
    <w:uiPriority w:val="99"/>
    <w:rsid w:val="00A97988"/>
  </w:style>
  <w:style w:type="paragraph" w:styleId="Footer">
    <w:name w:val="footer"/>
    <w:basedOn w:val="Normal"/>
    <w:link w:val="FooterChar"/>
    <w:uiPriority w:val="99"/>
    <w:unhideWhenUsed/>
    <w:rsid w:val="00A97988"/>
    <w:pPr>
      <w:tabs>
        <w:tab w:val="center" w:pos="4513"/>
        <w:tab w:val="right" w:pos="9026"/>
      </w:tabs>
      <w:spacing w:after="0"/>
    </w:pPr>
  </w:style>
  <w:style w:type="character" w:customStyle="1" w:styleId="FooterChar">
    <w:name w:val="Footer Char"/>
    <w:basedOn w:val="DefaultParagraphFont"/>
    <w:link w:val="Footer"/>
    <w:uiPriority w:val="99"/>
    <w:rsid w:val="00A97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2232"/>
    <w:pPr>
      <w:spacing w:after="0"/>
    </w:pPr>
    <w:rPr>
      <w:sz w:val="20"/>
      <w:szCs w:val="20"/>
    </w:rPr>
  </w:style>
  <w:style w:type="character" w:customStyle="1" w:styleId="FootnoteTextChar">
    <w:name w:val="Footnote Text Char"/>
    <w:basedOn w:val="DefaultParagraphFont"/>
    <w:link w:val="FootnoteText"/>
    <w:uiPriority w:val="99"/>
    <w:semiHidden/>
    <w:rsid w:val="00DE2232"/>
    <w:rPr>
      <w:sz w:val="20"/>
      <w:szCs w:val="20"/>
    </w:rPr>
  </w:style>
  <w:style w:type="character" w:styleId="FootnoteReference">
    <w:name w:val="footnote reference"/>
    <w:basedOn w:val="DefaultParagraphFont"/>
    <w:uiPriority w:val="99"/>
    <w:semiHidden/>
    <w:unhideWhenUsed/>
    <w:rsid w:val="00DE2232"/>
    <w:rPr>
      <w:vertAlign w:val="superscript"/>
    </w:rPr>
  </w:style>
  <w:style w:type="table" w:styleId="TableGrid">
    <w:name w:val="Table Grid"/>
    <w:basedOn w:val="TableNormal"/>
    <w:uiPriority w:val="59"/>
    <w:rsid w:val="00DE223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2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32"/>
    <w:rPr>
      <w:rFonts w:ascii="Tahoma" w:hAnsi="Tahoma" w:cs="Tahoma"/>
      <w:sz w:val="16"/>
      <w:szCs w:val="16"/>
    </w:rPr>
  </w:style>
  <w:style w:type="character" w:styleId="CommentReference">
    <w:name w:val="annotation reference"/>
    <w:basedOn w:val="DefaultParagraphFont"/>
    <w:uiPriority w:val="99"/>
    <w:semiHidden/>
    <w:unhideWhenUsed/>
    <w:rsid w:val="00B47A7F"/>
    <w:rPr>
      <w:sz w:val="16"/>
      <w:szCs w:val="16"/>
    </w:rPr>
  </w:style>
  <w:style w:type="paragraph" w:styleId="CommentText">
    <w:name w:val="annotation text"/>
    <w:basedOn w:val="Normal"/>
    <w:link w:val="CommentTextChar"/>
    <w:uiPriority w:val="99"/>
    <w:semiHidden/>
    <w:unhideWhenUsed/>
    <w:rsid w:val="00B47A7F"/>
    <w:rPr>
      <w:sz w:val="20"/>
      <w:szCs w:val="20"/>
    </w:rPr>
  </w:style>
  <w:style w:type="character" w:customStyle="1" w:styleId="CommentTextChar">
    <w:name w:val="Comment Text Char"/>
    <w:basedOn w:val="DefaultParagraphFont"/>
    <w:link w:val="CommentText"/>
    <w:uiPriority w:val="99"/>
    <w:semiHidden/>
    <w:rsid w:val="00B47A7F"/>
    <w:rPr>
      <w:sz w:val="20"/>
      <w:szCs w:val="20"/>
    </w:rPr>
  </w:style>
  <w:style w:type="paragraph" w:styleId="CommentSubject">
    <w:name w:val="annotation subject"/>
    <w:basedOn w:val="CommentText"/>
    <w:next w:val="CommentText"/>
    <w:link w:val="CommentSubjectChar"/>
    <w:uiPriority w:val="99"/>
    <w:semiHidden/>
    <w:unhideWhenUsed/>
    <w:rsid w:val="00B47A7F"/>
    <w:rPr>
      <w:b/>
      <w:bCs/>
    </w:rPr>
  </w:style>
  <w:style w:type="character" w:customStyle="1" w:styleId="CommentSubjectChar">
    <w:name w:val="Comment Subject Char"/>
    <w:basedOn w:val="CommentTextChar"/>
    <w:link w:val="CommentSubject"/>
    <w:uiPriority w:val="99"/>
    <w:semiHidden/>
    <w:rsid w:val="00B47A7F"/>
    <w:rPr>
      <w:b/>
      <w:bCs/>
      <w:sz w:val="20"/>
      <w:szCs w:val="20"/>
    </w:rPr>
  </w:style>
  <w:style w:type="paragraph" w:customStyle="1" w:styleId="Y-content">
    <w:name w:val="Y-content"/>
    <w:basedOn w:val="Normal"/>
    <w:link w:val="Y-contentChar"/>
    <w:uiPriority w:val="99"/>
    <w:rsid w:val="00A4362F"/>
    <w:pPr>
      <w:spacing w:after="0"/>
      <w:jc w:val="both"/>
    </w:pPr>
    <w:rPr>
      <w:rFonts w:ascii="Arial" w:eastAsia="Times New Roman" w:hAnsi="Arial" w:cs="Arial"/>
      <w:bCs/>
      <w:color w:val="000000"/>
      <w:lang w:val="en-US" w:eastAsia="ja-JP"/>
    </w:rPr>
  </w:style>
  <w:style w:type="character" w:customStyle="1" w:styleId="Y-contentChar">
    <w:name w:val="Y-content Char"/>
    <w:basedOn w:val="DefaultParagraphFont"/>
    <w:link w:val="Y-content"/>
    <w:uiPriority w:val="99"/>
    <w:locked/>
    <w:rsid w:val="00A4362F"/>
    <w:rPr>
      <w:rFonts w:ascii="Arial" w:eastAsia="Times New Roman" w:hAnsi="Arial" w:cs="Arial"/>
      <w:bCs/>
      <w:color w:val="000000"/>
      <w:lang w:val="en-US" w:eastAsia="ja-JP"/>
    </w:rPr>
  </w:style>
  <w:style w:type="paragraph" w:styleId="ListParagraph">
    <w:name w:val="List Paragraph"/>
    <w:basedOn w:val="Normal"/>
    <w:uiPriority w:val="34"/>
    <w:qFormat/>
    <w:rsid w:val="00391F31"/>
    <w:pPr>
      <w:ind w:left="720"/>
      <w:contextualSpacing/>
    </w:pPr>
  </w:style>
  <w:style w:type="paragraph" w:styleId="Subtitle">
    <w:name w:val="Subtitle"/>
    <w:basedOn w:val="Normal"/>
    <w:next w:val="Normal"/>
    <w:link w:val="SubtitleChar"/>
    <w:uiPriority w:val="11"/>
    <w:qFormat/>
    <w:rsid w:val="00D455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455C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A97988"/>
    <w:pPr>
      <w:tabs>
        <w:tab w:val="center" w:pos="4513"/>
        <w:tab w:val="right" w:pos="9026"/>
      </w:tabs>
      <w:spacing w:after="0"/>
    </w:pPr>
  </w:style>
  <w:style w:type="character" w:customStyle="1" w:styleId="HeaderChar">
    <w:name w:val="Header Char"/>
    <w:basedOn w:val="DefaultParagraphFont"/>
    <w:link w:val="Header"/>
    <w:uiPriority w:val="99"/>
    <w:rsid w:val="00A97988"/>
  </w:style>
  <w:style w:type="paragraph" w:styleId="Footer">
    <w:name w:val="footer"/>
    <w:basedOn w:val="Normal"/>
    <w:link w:val="FooterChar"/>
    <w:uiPriority w:val="99"/>
    <w:unhideWhenUsed/>
    <w:rsid w:val="00A97988"/>
    <w:pPr>
      <w:tabs>
        <w:tab w:val="center" w:pos="4513"/>
        <w:tab w:val="right" w:pos="9026"/>
      </w:tabs>
      <w:spacing w:after="0"/>
    </w:pPr>
  </w:style>
  <w:style w:type="character" w:customStyle="1" w:styleId="FooterChar">
    <w:name w:val="Footer Char"/>
    <w:basedOn w:val="DefaultParagraphFont"/>
    <w:link w:val="Footer"/>
    <w:uiPriority w:val="99"/>
    <w:rsid w:val="00A9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Coherence</TermName>
          <TermId xmlns="http://schemas.microsoft.com/office/infopath/2007/PartnerControls">e46d33ca-c6f1-4780-a149-1a89bc17610d</TermId>
        </TermInfo>
        <TermInfo xmlns="http://schemas.microsoft.com/office/infopath/2007/PartnerControls">
          <TermName xmlns="http://schemas.microsoft.com/office/infopath/2007/PartnerControls">Requirements</TermName>
          <TermId xmlns="http://schemas.microsoft.com/office/infopath/2007/PartnerControls">34d312f0-523a-4273-aa8b-a8caea03632b</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The paper has the objectivepresent priority discussion areas for consideration on cluster de-activation and the related role of clusters in preparedness to support decision taking by the IASC Working Group.</Document_x0020_Description>
    <Websio_x0020_Document_x0020_Preview xmlns="96664bca-06c0-4657-b6f9-0a997f5ff9b9">/Global/_layouts/WebsioPreviewField/preview.aspx?ID=df354150-48bd-49e9-8071-fdcb2bb38460&amp;WebID=30d679d3-1a3d-45e2-8217-3a6e66821850&amp;SiteID=0e29c24b-3e6a-4c7c-8cc1-69b27805b55c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Value>322</Value>
      <Value>343</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7AD56-E84F-4D6C-B9C7-6634828A54C4}"/>
</file>

<file path=customXml/itemProps2.xml><?xml version="1.0" encoding="utf-8"?>
<ds:datastoreItem xmlns:ds="http://schemas.openxmlformats.org/officeDocument/2006/customXml" ds:itemID="{5EC6D535-5189-4B6E-85E1-BAFC6C8CD576}"/>
</file>

<file path=customXml/itemProps3.xml><?xml version="1.0" encoding="utf-8"?>
<ds:datastoreItem xmlns:ds="http://schemas.openxmlformats.org/officeDocument/2006/customXml" ds:itemID="{E5952758-6AA9-40A9-9866-B7F4743F5C61}"/>
</file>

<file path=customXml/itemProps4.xml><?xml version="1.0" encoding="utf-8"?>
<ds:datastoreItem xmlns:ds="http://schemas.openxmlformats.org/officeDocument/2006/customXml" ds:itemID="{2854B1BF-92FE-407E-AB6C-0AA779363BA1}"/>
</file>

<file path=docProps/app.xml><?xml version="1.0" encoding="utf-8"?>
<Properties xmlns="http://schemas.openxmlformats.org/officeDocument/2006/extended-properties" xmlns:vt="http://schemas.openxmlformats.org/officeDocument/2006/docPropsVTypes">
  <Template>Normal</Template>
  <TotalTime>10</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IASC Background Paper, Cluster de-activation and Preparedness draft 1, Rev 1-14 June General</dc:title>
  <dc:creator>Christine Knudsen</dc:creator>
  <cp:keywords>Coherence; Requirements</cp:keywords>
  <cp:lastModifiedBy>OCHA</cp:lastModifiedBy>
  <cp:revision>3</cp:revision>
  <cp:lastPrinted>2012-06-14T10:54:00Z</cp:lastPrinted>
  <dcterms:created xsi:type="dcterms:W3CDTF">2012-06-14T13:24:00Z</dcterms:created>
  <dcterms:modified xsi:type="dcterms:W3CDTF">2012-06-14T15:03:00Z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322;#Coherence|e46d33ca-c6f1-4780-a149-1a89bc17610d;#343;#Requirements|34d312f0-523a-4273-aa8b-a8caea03632b</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y fmtid="{D5CDD505-2E9C-101B-9397-08002B2CF9AE}" pid="26" name="Websio Document Preview0">
    <vt:lpwstr>/Global/_layouts/WebsioPreviewField/preview.aspx?ID=804f967a-9b37-49eb-921a-91ab25ddee58&amp;WebID=30d679d3-1a3d-45e2-8217-3a6e66821850&amp;SiteID=0e29c24b-3e6a-4c7c-8cc1-69b27805b55c</vt:lpwstr>
  </property>
  <property fmtid="{D5CDD505-2E9C-101B-9397-08002B2CF9AE}" pid="27" name="Websio Document Preview">
    <vt:lpwstr>/Global/_layouts/WebsioPreviewField/preview.aspx?ID=804f967a-9b37-49eb-921a-91ab25ddee58&amp;WebID=30d679d3-1a3d-45e2-8217-3a6e66821850&amp;SiteID=0e29c24b-3e6a-4c7c-8cc1-69b27805b55c</vt:lpwstr>
  </property>
  <property fmtid="{D5CDD505-2E9C-101B-9397-08002B2CF9AE}" pid="28" name="Order">
    <vt:r8>4600</vt:r8>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TemplateUrl">
    <vt:lpwstr/>
  </property>
  <property fmtid="{D5CDD505-2E9C-101B-9397-08002B2CF9AE}" pid="33" name="_CopySource">
    <vt:lpwstr/>
  </property>
</Properties>
</file>