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AB" w:rsidRDefault="00084CAB" w:rsidP="00D126A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B7E4D" w:rsidRDefault="001B7E4D" w:rsidP="00D126A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B7E4D" w:rsidRDefault="001B7E4D" w:rsidP="00D126A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B7E4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667085" cy="508958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07" cy="51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E4D" w:rsidRPr="00240B6B" w:rsidRDefault="001B7E4D" w:rsidP="001B7E4D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240B6B">
        <w:rPr>
          <w:rFonts w:ascii="Arial" w:hAnsi="Arial" w:cs="Arial"/>
          <w:sz w:val="20"/>
          <w:szCs w:val="20"/>
        </w:rPr>
        <w:t>Republic of the Philippines</w:t>
      </w:r>
    </w:p>
    <w:p w:rsidR="001B7E4D" w:rsidRPr="009C212F" w:rsidRDefault="001B7E4D" w:rsidP="001B7E4D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240B6B">
        <w:rPr>
          <w:rFonts w:ascii="Arial" w:hAnsi="Arial" w:cs="Arial"/>
          <w:sz w:val="20"/>
          <w:szCs w:val="20"/>
        </w:rPr>
        <w:t>Departme</w:t>
      </w:r>
      <w:r w:rsidRPr="009C212F">
        <w:rPr>
          <w:rFonts w:ascii="Arial" w:hAnsi="Arial" w:cs="Arial"/>
          <w:sz w:val="20"/>
          <w:szCs w:val="20"/>
        </w:rPr>
        <w:t xml:space="preserve">nt of Social Welfare and Development </w:t>
      </w:r>
    </w:p>
    <w:p w:rsidR="001B7E4D" w:rsidRPr="00240B6B" w:rsidRDefault="001B7E4D" w:rsidP="001B7E4D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240B6B">
        <w:rPr>
          <w:rFonts w:ascii="Arial" w:hAnsi="Arial" w:cs="Arial"/>
          <w:b/>
          <w:sz w:val="20"/>
          <w:szCs w:val="20"/>
        </w:rPr>
        <w:t>Field Office X</w:t>
      </w:r>
    </w:p>
    <w:p w:rsidR="001B7E4D" w:rsidRDefault="001B7E4D" w:rsidP="001B7E4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Fr. Masterson Avenue, Upper Carmen</w:t>
      </w:r>
    </w:p>
    <w:p w:rsidR="001B7E4D" w:rsidRPr="009C212F" w:rsidRDefault="001B7E4D" w:rsidP="001B7E4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Cagayan de Oro City </w:t>
      </w:r>
    </w:p>
    <w:p w:rsidR="001B7E4D" w:rsidRPr="009C212F" w:rsidRDefault="001B7E4D" w:rsidP="001B7E4D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652290" w:rsidRPr="001B206D" w:rsidRDefault="00652290" w:rsidP="00D126A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52290" w:rsidRPr="001B206D" w:rsidRDefault="00652290" w:rsidP="00D126A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84CAB" w:rsidRPr="001B206D" w:rsidRDefault="00084CAB" w:rsidP="00D126A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>FOR</w:t>
      </w:r>
      <w:r w:rsidRPr="001B206D">
        <w:rPr>
          <w:rFonts w:ascii="Arial" w:hAnsi="Arial" w:cs="Arial"/>
          <w:b/>
          <w:sz w:val="24"/>
          <w:szCs w:val="24"/>
        </w:rPr>
        <w:tab/>
      </w:r>
      <w:r w:rsidRPr="001B206D">
        <w:rPr>
          <w:rFonts w:ascii="Arial" w:hAnsi="Arial" w:cs="Arial"/>
          <w:b/>
          <w:sz w:val="24"/>
          <w:szCs w:val="24"/>
        </w:rPr>
        <w:tab/>
        <w:t>:</w:t>
      </w:r>
      <w:r w:rsidRPr="001B206D">
        <w:rPr>
          <w:rFonts w:ascii="Arial" w:hAnsi="Arial" w:cs="Arial"/>
          <w:b/>
          <w:sz w:val="24"/>
          <w:szCs w:val="24"/>
        </w:rPr>
        <w:tab/>
        <w:t>ATTY. ARACELI F. SOLAMILLO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ab/>
      </w:r>
      <w:r w:rsidRPr="001B206D">
        <w:rPr>
          <w:rFonts w:ascii="Arial" w:hAnsi="Arial" w:cs="Arial"/>
          <w:b/>
          <w:sz w:val="24"/>
          <w:szCs w:val="24"/>
        </w:rPr>
        <w:tab/>
      </w:r>
      <w:r w:rsidRPr="001B206D">
        <w:rPr>
          <w:rFonts w:ascii="Arial" w:hAnsi="Arial" w:cs="Arial"/>
          <w:b/>
          <w:sz w:val="24"/>
          <w:szCs w:val="24"/>
        </w:rPr>
        <w:tab/>
      </w:r>
      <w:r w:rsidRPr="001B206D">
        <w:rPr>
          <w:rFonts w:ascii="Arial" w:hAnsi="Arial" w:cs="Arial"/>
          <w:sz w:val="24"/>
          <w:szCs w:val="24"/>
        </w:rPr>
        <w:t>Regional Director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>FROM</w:t>
      </w:r>
      <w:r w:rsidRPr="001B206D">
        <w:rPr>
          <w:rFonts w:ascii="Arial" w:hAnsi="Arial" w:cs="Arial"/>
          <w:b/>
          <w:sz w:val="24"/>
          <w:szCs w:val="24"/>
        </w:rPr>
        <w:tab/>
      </w:r>
      <w:r w:rsidR="000F4F1E">
        <w:rPr>
          <w:rFonts w:ascii="Arial" w:hAnsi="Arial" w:cs="Arial"/>
          <w:b/>
          <w:sz w:val="24"/>
          <w:szCs w:val="24"/>
        </w:rPr>
        <w:tab/>
      </w:r>
      <w:r w:rsidRPr="001B206D">
        <w:rPr>
          <w:rFonts w:ascii="Arial" w:hAnsi="Arial" w:cs="Arial"/>
          <w:b/>
          <w:sz w:val="24"/>
          <w:szCs w:val="24"/>
        </w:rPr>
        <w:t>:</w:t>
      </w:r>
      <w:r w:rsidRPr="001B206D">
        <w:rPr>
          <w:rFonts w:ascii="Arial" w:hAnsi="Arial" w:cs="Arial"/>
          <w:b/>
          <w:sz w:val="24"/>
          <w:szCs w:val="24"/>
        </w:rPr>
        <w:tab/>
        <w:t xml:space="preserve">THE SOCIAL WELFARE OFFICER (SWO) &amp; </w:t>
      </w:r>
      <w:r w:rsidRPr="001B206D">
        <w:rPr>
          <w:rFonts w:ascii="Arial" w:hAnsi="Arial" w:cs="Arial"/>
          <w:b/>
          <w:sz w:val="24"/>
          <w:szCs w:val="24"/>
        </w:rPr>
        <w:tab/>
        <w:t>CHIEF</w:t>
      </w:r>
    </w:p>
    <w:p w:rsidR="00084CAB" w:rsidRPr="001B206D" w:rsidRDefault="00084CAB" w:rsidP="00084CAB">
      <w:pPr>
        <w:pStyle w:val="NoSpacing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sz w:val="24"/>
          <w:szCs w:val="24"/>
        </w:rPr>
        <w:t xml:space="preserve">Operations Division 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>SUBECT</w:t>
      </w:r>
      <w:r w:rsidRPr="001B206D">
        <w:rPr>
          <w:rFonts w:ascii="Arial" w:hAnsi="Arial" w:cs="Arial"/>
          <w:b/>
          <w:sz w:val="24"/>
          <w:szCs w:val="24"/>
        </w:rPr>
        <w:tab/>
        <w:t>:</w:t>
      </w:r>
      <w:r w:rsidRPr="001B206D">
        <w:rPr>
          <w:rFonts w:ascii="Arial" w:hAnsi="Arial" w:cs="Arial"/>
          <w:b/>
          <w:sz w:val="24"/>
          <w:szCs w:val="24"/>
        </w:rPr>
        <w:tab/>
        <w:t>FEEDBACK ON THE SHELTER CLUSTER MEETING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pBdr>
          <w:bottom w:val="doub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>DATE</w:t>
      </w:r>
      <w:r w:rsidR="000F4F1E">
        <w:rPr>
          <w:rFonts w:ascii="Arial" w:hAnsi="Arial" w:cs="Arial"/>
          <w:b/>
          <w:sz w:val="24"/>
          <w:szCs w:val="24"/>
        </w:rPr>
        <w:tab/>
      </w:r>
      <w:r w:rsidRPr="001B206D">
        <w:rPr>
          <w:rFonts w:ascii="Arial" w:hAnsi="Arial" w:cs="Arial"/>
          <w:b/>
          <w:sz w:val="24"/>
          <w:szCs w:val="24"/>
        </w:rPr>
        <w:tab/>
        <w:t>:</w:t>
      </w:r>
      <w:r w:rsidRPr="001B206D">
        <w:rPr>
          <w:rFonts w:ascii="Arial" w:hAnsi="Arial" w:cs="Arial"/>
          <w:sz w:val="24"/>
          <w:szCs w:val="24"/>
        </w:rPr>
        <w:tab/>
        <w:t>2</w:t>
      </w:r>
      <w:r w:rsidR="001B206D" w:rsidRPr="001B206D">
        <w:rPr>
          <w:rFonts w:ascii="Arial" w:hAnsi="Arial" w:cs="Arial"/>
          <w:sz w:val="24"/>
          <w:szCs w:val="24"/>
        </w:rPr>
        <w:t>9</w:t>
      </w:r>
      <w:r w:rsidRPr="001B206D">
        <w:rPr>
          <w:rFonts w:ascii="Arial" w:hAnsi="Arial" w:cs="Arial"/>
          <w:sz w:val="24"/>
          <w:szCs w:val="24"/>
        </w:rPr>
        <w:t xml:space="preserve"> March 2012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sz w:val="24"/>
          <w:szCs w:val="24"/>
        </w:rPr>
        <w:t xml:space="preserve">We are sumitting to you, for information and approval, the enclosed feedback on </w:t>
      </w:r>
      <w:r w:rsidR="001B206D" w:rsidRPr="001B206D">
        <w:rPr>
          <w:rFonts w:ascii="Arial" w:hAnsi="Arial" w:cs="Arial"/>
          <w:sz w:val="24"/>
          <w:szCs w:val="24"/>
        </w:rPr>
        <w:t xml:space="preserve">the </w:t>
      </w:r>
      <w:r w:rsidRPr="001B206D">
        <w:rPr>
          <w:rFonts w:ascii="Arial" w:hAnsi="Arial" w:cs="Arial"/>
          <w:sz w:val="24"/>
          <w:szCs w:val="24"/>
        </w:rPr>
        <w:t>shelter cluster</w:t>
      </w:r>
      <w:r w:rsidR="001B206D" w:rsidRPr="001B206D">
        <w:rPr>
          <w:rFonts w:ascii="Arial" w:hAnsi="Arial" w:cs="Arial"/>
          <w:sz w:val="24"/>
          <w:szCs w:val="24"/>
        </w:rPr>
        <w:t xml:space="preserve"> meeting </w:t>
      </w:r>
      <w:r w:rsidRPr="001B206D">
        <w:rPr>
          <w:rFonts w:ascii="Arial" w:hAnsi="Arial" w:cs="Arial"/>
          <w:sz w:val="24"/>
          <w:szCs w:val="24"/>
        </w:rPr>
        <w:t xml:space="preserve">for victims of typhoon “Sendong” in Iligan City presided by the undersigned and held at the DSWD Operation Center in this city. 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sz w:val="24"/>
          <w:szCs w:val="24"/>
        </w:rPr>
        <w:t>A total of twenty-three (23) attendees from the local government unit (LGU), DSWD, local and international humanitarian a</w:t>
      </w:r>
      <w:r w:rsidR="001B206D" w:rsidRPr="001B206D">
        <w:rPr>
          <w:rFonts w:ascii="Arial" w:hAnsi="Arial" w:cs="Arial"/>
          <w:sz w:val="24"/>
          <w:szCs w:val="24"/>
        </w:rPr>
        <w:t xml:space="preserve">id </w:t>
      </w:r>
      <w:r w:rsidRPr="001B206D">
        <w:rPr>
          <w:rFonts w:ascii="Arial" w:hAnsi="Arial" w:cs="Arial"/>
          <w:sz w:val="24"/>
          <w:szCs w:val="24"/>
        </w:rPr>
        <w:t>part</w:t>
      </w:r>
      <w:r w:rsidR="001B206D" w:rsidRPr="001B206D">
        <w:rPr>
          <w:rFonts w:ascii="Arial" w:hAnsi="Arial" w:cs="Arial"/>
          <w:sz w:val="24"/>
          <w:szCs w:val="24"/>
        </w:rPr>
        <w:t>n</w:t>
      </w:r>
      <w:r w:rsidRPr="001B206D">
        <w:rPr>
          <w:rFonts w:ascii="Arial" w:hAnsi="Arial" w:cs="Arial"/>
          <w:sz w:val="24"/>
          <w:szCs w:val="24"/>
        </w:rPr>
        <w:t xml:space="preserve">er agencies/organizations were present. 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sz w:val="24"/>
          <w:szCs w:val="24"/>
        </w:rPr>
        <w:t>Thank you.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>ROSEMARIE P. CONDE</w:t>
      </w: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2290" w:rsidRPr="001B206D" w:rsidRDefault="00652290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Pr="001B206D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84CAB" w:rsidRDefault="00084CAB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E192F" w:rsidRDefault="000E192F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52AC3" w:rsidRDefault="00752AC3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E192F" w:rsidRDefault="000E192F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E192F" w:rsidRDefault="000E192F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E192F" w:rsidRDefault="000E192F" w:rsidP="00084CA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126A2" w:rsidRPr="000E192F" w:rsidRDefault="00D126A2" w:rsidP="00D126A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E192F">
        <w:rPr>
          <w:rFonts w:ascii="Arial" w:hAnsi="Arial" w:cs="Arial"/>
          <w:b/>
          <w:sz w:val="28"/>
          <w:szCs w:val="28"/>
        </w:rPr>
        <w:lastRenderedPageBreak/>
        <w:t>SHELTER CLUST</w:t>
      </w:r>
      <w:r w:rsidR="00652290" w:rsidRPr="000E192F">
        <w:rPr>
          <w:rFonts w:ascii="Arial" w:hAnsi="Arial" w:cs="Arial"/>
          <w:b/>
          <w:sz w:val="28"/>
          <w:szCs w:val="28"/>
        </w:rPr>
        <w:t xml:space="preserve">ER </w:t>
      </w:r>
      <w:r w:rsidRPr="000E192F">
        <w:rPr>
          <w:rFonts w:ascii="Arial" w:hAnsi="Arial" w:cs="Arial"/>
          <w:b/>
          <w:sz w:val="28"/>
          <w:szCs w:val="28"/>
        </w:rPr>
        <w:t>MEETING</w:t>
      </w:r>
    </w:p>
    <w:p w:rsidR="00D126A2" w:rsidRPr="001B206D" w:rsidRDefault="00F00481" w:rsidP="00D126A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sz w:val="24"/>
          <w:szCs w:val="24"/>
        </w:rPr>
        <w:t>D</w:t>
      </w:r>
      <w:r w:rsidR="00652290" w:rsidRPr="001B206D">
        <w:rPr>
          <w:rFonts w:ascii="Arial" w:hAnsi="Arial" w:cs="Arial"/>
          <w:sz w:val="24"/>
          <w:szCs w:val="24"/>
        </w:rPr>
        <w:t>SWD</w:t>
      </w:r>
      <w:r w:rsidRPr="001B206D">
        <w:rPr>
          <w:rFonts w:ascii="Arial" w:hAnsi="Arial" w:cs="Arial"/>
          <w:sz w:val="24"/>
          <w:szCs w:val="24"/>
        </w:rPr>
        <w:t xml:space="preserve"> Operation Center, </w:t>
      </w:r>
      <w:r w:rsidR="00D126A2" w:rsidRPr="001B206D">
        <w:rPr>
          <w:rFonts w:ascii="Arial" w:hAnsi="Arial" w:cs="Arial"/>
          <w:sz w:val="24"/>
          <w:szCs w:val="24"/>
        </w:rPr>
        <w:t>Iligan City</w:t>
      </w:r>
    </w:p>
    <w:p w:rsidR="00F00481" w:rsidRPr="001B206D" w:rsidRDefault="00541D24" w:rsidP="00F0048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B206D">
        <w:rPr>
          <w:rFonts w:ascii="Arial" w:hAnsi="Arial" w:cs="Arial"/>
          <w:sz w:val="24"/>
          <w:szCs w:val="24"/>
        </w:rPr>
        <w:t>9:30 A.M. – 11:45 A.M.</w:t>
      </w:r>
      <w:r w:rsidR="00652290" w:rsidRPr="001B206D">
        <w:rPr>
          <w:rFonts w:ascii="Arial" w:hAnsi="Arial" w:cs="Arial"/>
          <w:sz w:val="24"/>
          <w:szCs w:val="24"/>
        </w:rPr>
        <w:t xml:space="preserve">,  </w:t>
      </w:r>
      <w:r w:rsidR="00F00481" w:rsidRPr="001B206D">
        <w:rPr>
          <w:rFonts w:ascii="Arial" w:hAnsi="Arial" w:cs="Arial"/>
          <w:sz w:val="24"/>
          <w:szCs w:val="24"/>
        </w:rPr>
        <w:t>28 March 2012</w:t>
      </w:r>
    </w:p>
    <w:p w:rsidR="00652290" w:rsidRDefault="00652290" w:rsidP="0065229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E192F" w:rsidRDefault="000E192F" w:rsidP="0065229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E192F" w:rsidRPr="001B206D" w:rsidRDefault="000E192F" w:rsidP="0065229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B3D99" w:rsidRPr="001B206D" w:rsidRDefault="00BB3D99" w:rsidP="00BB3D9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 xml:space="preserve">Attendance </w:t>
      </w:r>
    </w:p>
    <w:p w:rsidR="00BB3D99" w:rsidRPr="001B206D" w:rsidRDefault="00BB3D99" w:rsidP="00BB3D99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7920" w:type="dxa"/>
        <w:tblInd w:w="828" w:type="dxa"/>
        <w:tblLook w:val="04A0" w:firstRow="1" w:lastRow="0" w:firstColumn="1" w:lastColumn="0" w:noHBand="0" w:noVBand="1"/>
      </w:tblPr>
      <w:tblGrid>
        <w:gridCol w:w="550"/>
        <w:gridCol w:w="3860"/>
        <w:gridCol w:w="3510"/>
      </w:tblGrid>
      <w:tr w:rsidR="007410FB" w:rsidRPr="001B206D" w:rsidTr="007C1ABB">
        <w:tc>
          <w:tcPr>
            <w:tcW w:w="550" w:type="dxa"/>
          </w:tcPr>
          <w:p w:rsidR="007410FB" w:rsidRPr="001B206D" w:rsidRDefault="007410FB" w:rsidP="00BB3D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7410FB" w:rsidRPr="001B206D" w:rsidRDefault="007410FB" w:rsidP="00BB3D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06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510" w:type="dxa"/>
          </w:tcPr>
          <w:p w:rsidR="007410FB" w:rsidRPr="001B206D" w:rsidRDefault="007410FB" w:rsidP="00BB3D9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06D">
              <w:rPr>
                <w:rFonts w:ascii="Arial" w:hAnsi="Arial" w:cs="Arial"/>
                <w:b/>
                <w:sz w:val="24"/>
                <w:szCs w:val="24"/>
              </w:rPr>
              <w:t>Agency/Organization</w:t>
            </w:r>
          </w:p>
        </w:tc>
      </w:tr>
      <w:tr w:rsidR="007410FB" w:rsidRPr="001B206D" w:rsidTr="007C1ABB">
        <w:tc>
          <w:tcPr>
            <w:tcW w:w="550" w:type="dxa"/>
          </w:tcPr>
          <w:p w:rsidR="007410FB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60" w:type="dxa"/>
          </w:tcPr>
          <w:p w:rsidR="007410FB" w:rsidRPr="001B206D" w:rsidRDefault="00541D24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Conde, Rosemarie N.</w:t>
            </w:r>
          </w:p>
          <w:p w:rsidR="00DF7D3C" w:rsidRPr="001B206D" w:rsidRDefault="00DF7D3C" w:rsidP="00BB3D99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1B206D">
              <w:rPr>
                <w:rFonts w:ascii="Arial" w:hAnsi="Arial" w:cs="Arial"/>
                <w:i/>
                <w:sz w:val="24"/>
                <w:szCs w:val="24"/>
              </w:rPr>
              <w:t xml:space="preserve">(Presiding Officer) </w:t>
            </w:r>
          </w:p>
        </w:tc>
        <w:tc>
          <w:tcPr>
            <w:tcW w:w="3510" w:type="dxa"/>
          </w:tcPr>
          <w:p w:rsidR="007410FB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DSWD</w:t>
            </w:r>
          </w:p>
        </w:tc>
      </w:tr>
      <w:tr w:rsidR="00541D24" w:rsidRPr="001B206D" w:rsidTr="007C1ABB">
        <w:tc>
          <w:tcPr>
            <w:tcW w:w="550" w:type="dxa"/>
          </w:tcPr>
          <w:p w:rsidR="00541D24" w:rsidRPr="001B206D" w:rsidRDefault="00541D24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60" w:type="dxa"/>
          </w:tcPr>
          <w:p w:rsidR="00541D24" w:rsidRPr="001B206D" w:rsidRDefault="00541D24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Uayan, Glofelia J</w:t>
            </w:r>
            <w:r w:rsidR="002118AC" w:rsidRPr="001B20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541D24" w:rsidRPr="001B206D" w:rsidRDefault="002118A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DSWD</w:t>
            </w:r>
          </w:p>
        </w:tc>
      </w:tr>
      <w:tr w:rsidR="007410FB" w:rsidRPr="001B206D" w:rsidTr="007C1ABB">
        <w:tc>
          <w:tcPr>
            <w:tcW w:w="550" w:type="dxa"/>
          </w:tcPr>
          <w:p w:rsidR="007410FB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60" w:type="dxa"/>
          </w:tcPr>
          <w:p w:rsidR="007410FB" w:rsidRPr="001B206D" w:rsidRDefault="00F36067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Mejares, Mario M.</w:t>
            </w:r>
          </w:p>
        </w:tc>
        <w:tc>
          <w:tcPr>
            <w:tcW w:w="3510" w:type="dxa"/>
          </w:tcPr>
          <w:p w:rsidR="007410FB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CFC-ANCOP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60" w:type="dxa"/>
          </w:tcPr>
          <w:p w:rsidR="00F36067" w:rsidRPr="001B206D" w:rsidRDefault="00F36067" w:rsidP="00720DC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Degoma, </w:t>
            </w:r>
            <w:r w:rsidR="00720DCC" w:rsidRPr="001B206D">
              <w:rPr>
                <w:rFonts w:ascii="Arial" w:hAnsi="Arial" w:cs="Arial"/>
                <w:sz w:val="24"/>
                <w:szCs w:val="24"/>
              </w:rPr>
              <w:t>N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estor B. </w:t>
            </w:r>
          </w:p>
        </w:tc>
        <w:tc>
          <w:tcPr>
            <w:tcW w:w="3510" w:type="dxa"/>
          </w:tcPr>
          <w:p w:rsidR="00F36067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Habitat for Humanity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60" w:type="dxa"/>
          </w:tcPr>
          <w:p w:rsidR="00F36067" w:rsidRPr="001B206D" w:rsidRDefault="00F36067" w:rsidP="00F3606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Rodil, Amillah</w:t>
            </w:r>
          </w:p>
        </w:tc>
        <w:tc>
          <w:tcPr>
            <w:tcW w:w="3510" w:type="dxa"/>
          </w:tcPr>
          <w:p w:rsidR="00F36067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UN-Habitat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60" w:type="dxa"/>
          </w:tcPr>
          <w:p w:rsidR="00F36067" w:rsidRPr="001B206D" w:rsidRDefault="00F36067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La Victoria, Frances F. </w:t>
            </w:r>
          </w:p>
        </w:tc>
        <w:tc>
          <w:tcPr>
            <w:tcW w:w="3510" w:type="dxa"/>
          </w:tcPr>
          <w:p w:rsidR="00F36067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PRC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60" w:type="dxa"/>
          </w:tcPr>
          <w:p w:rsidR="00F36067" w:rsidRPr="001B206D" w:rsidRDefault="00F36067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Martija, Rey E. </w:t>
            </w:r>
          </w:p>
        </w:tc>
        <w:tc>
          <w:tcPr>
            <w:tcW w:w="3510" w:type="dxa"/>
          </w:tcPr>
          <w:p w:rsidR="00F36067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DSWD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60" w:type="dxa"/>
          </w:tcPr>
          <w:p w:rsidR="00F36067" w:rsidRPr="001B206D" w:rsidRDefault="00F36067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Disangcopan, Abdel Jamal</w:t>
            </w:r>
          </w:p>
        </w:tc>
        <w:tc>
          <w:tcPr>
            <w:tcW w:w="3510" w:type="dxa"/>
          </w:tcPr>
          <w:p w:rsidR="00F36067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OCHA 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60" w:type="dxa"/>
          </w:tcPr>
          <w:p w:rsidR="00F36067" w:rsidRPr="001B206D" w:rsidRDefault="00F36067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Wiseberg, Laurie</w:t>
            </w:r>
          </w:p>
        </w:tc>
        <w:tc>
          <w:tcPr>
            <w:tcW w:w="3510" w:type="dxa"/>
          </w:tcPr>
          <w:p w:rsidR="00F36067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PROCAP/UNHCR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60" w:type="dxa"/>
          </w:tcPr>
          <w:p w:rsidR="00F36067" w:rsidRPr="001B206D" w:rsidRDefault="00F36067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Lozano, Jonathan Ll. </w:t>
            </w:r>
          </w:p>
        </w:tc>
        <w:tc>
          <w:tcPr>
            <w:tcW w:w="3510" w:type="dxa"/>
          </w:tcPr>
          <w:p w:rsidR="00F36067" w:rsidRPr="001B206D" w:rsidRDefault="00720DCC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Save the Chidren 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60" w:type="dxa"/>
          </w:tcPr>
          <w:p w:rsidR="00F36067" w:rsidRPr="001B206D" w:rsidRDefault="002064B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Mangcaan, Farida T. </w:t>
            </w:r>
          </w:p>
        </w:tc>
        <w:tc>
          <w:tcPr>
            <w:tcW w:w="3510" w:type="dxa"/>
          </w:tcPr>
          <w:p w:rsidR="00F36067" w:rsidRPr="001B206D" w:rsidRDefault="00D27FDF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CFSI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860" w:type="dxa"/>
          </w:tcPr>
          <w:p w:rsidR="00F36067" w:rsidRPr="001B206D" w:rsidRDefault="002064B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Cato, Reynato S. </w:t>
            </w:r>
          </w:p>
        </w:tc>
        <w:tc>
          <w:tcPr>
            <w:tcW w:w="3510" w:type="dxa"/>
          </w:tcPr>
          <w:p w:rsidR="00F36067" w:rsidRPr="001B206D" w:rsidRDefault="00D27FDF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IFRC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860" w:type="dxa"/>
          </w:tcPr>
          <w:p w:rsidR="00F36067" w:rsidRPr="001B206D" w:rsidRDefault="00D27FDF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Aspera, Ben </w:t>
            </w:r>
          </w:p>
        </w:tc>
        <w:tc>
          <w:tcPr>
            <w:tcW w:w="3510" w:type="dxa"/>
          </w:tcPr>
          <w:p w:rsidR="00F36067" w:rsidRPr="001B206D" w:rsidRDefault="00D27FDF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IOM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860" w:type="dxa"/>
          </w:tcPr>
          <w:p w:rsidR="00F36067" w:rsidRPr="001B206D" w:rsidRDefault="00D27FDF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Alouro, Arthur </w:t>
            </w:r>
          </w:p>
        </w:tc>
        <w:tc>
          <w:tcPr>
            <w:tcW w:w="3510" w:type="dxa"/>
          </w:tcPr>
          <w:p w:rsidR="00F36067" w:rsidRPr="001B206D" w:rsidRDefault="00D27FDF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CMU-HRO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860" w:type="dxa"/>
          </w:tcPr>
          <w:p w:rsidR="00F36067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Roque, Reynaldo L. </w:t>
            </w:r>
          </w:p>
        </w:tc>
        <w:tc>
          <w:tcPr>
            <w:tcW w:w="3510" w:type="dxa"/>
          </w:tcPr>
          <w:p w:rsidR="00F36067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CMO-HRO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860" w:type="dxa"/>
          </w:tcPr>
          <w:p w:rsidR="00F36067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Dalena, Maria Gemma P.</w:t>
            </w:r>
          </w:p>
        </w:tc>
        <w:tc>
          <w:tcPr>
            <w:tcW w:w="3510" w:type="dxa"/>
          </w:tcPr>
          <w:p w:rsidR="00F36067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UNDP</w:t>
            </w:r>
          </w:p>
        </w:tc>
      </w:tr>
      <w:tr w:rsidR="00F36067" w:rsidRPr="001B206D" w:rsidTr="007C1ABB">
        <w:tc>
          <w:tcPr>
            <w:tcW w:w="550" w:type="dxa"/>
          </w:tcPr>
          <w:p w:rsidR="00F36067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860" w:type="dxa"/>
          </w:tcPr>
          <w:p w:rsidR="00F36067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Amudia, Ginavieve C. </w:t>
            </w:r>
          </w:p>
        </w:tc>
        <w:tc>
          <w:tcPr>
            <w:tcW w:w="3510" w:type="dxa"/>
          </w:tcPr>
          <w:p w:rsidR="00F36067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PRC</w:t>
            </w:r>
          </w:p>
        </w:tc>
      </w:tr>
      <w:tr w:rsidR="00286221" w:rsidRPr="001B206D" w:rsidTr="007C1ABB">
        <w:tc>
          <w:tcPr>
            <w:tcW w:w="55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860" w:type="dxa"/>
          </w:tcPr>
          <w:p w:rsidR="00286221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Lagarca, Leonilo II</w:t>
            </w:r>
          </w:p>
        </w:tc>
        <w:tc>
          <w:tcPr>
            <w:tcW w:w="3510" w:type="dxa"/>
          </w:tcPr>
          <w:p w:rsidR="00286221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PRC</w:t>
            </w:r>
          </w:p>
        </w:tc>
      </w:tr>
      <w:tr w:rsidR="00286221" w:rsidRPr="001B206D" w:rsidTr="007C1ABB">
        <w:tc>
          <w:tcPr>
            <w:tcW w:w="55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860" w:type="dxa"/>
          </w:tcPr>
          <w:p w:rsidR="00286221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Derro, Corazon</w:t>
            </w:r>
          </w:p>
        </w:tc>
        <w:tc>
          <w:tcPr>
            <w:tcW w:w="3510" w:type="dxa"/>
          </w:tcPr>
          <w:p w:rsidR="00286221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ECOWEB</w:t>
            </w:r>
          </w:p>
        </w:tc>
      </w:tr>
      <w:tr w:rsidR="00286221" w:rsidRPr="001B206D" w:rsidTr="007C1ABB">
        <w:tc>
          <w:tcPr>
            <w:tcW w:w="55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860" w:type="dxa"/>
          </w:tcPr>
          <w:p w:rsidR="00286221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Munoz, May </w:t>
            </w:r>
          </w:p>
        </w:tc>
        <w:tc>
          <w:tcPr>
            <w:tcW w:w="3510" w:type="dxa"/>
          </w:tcPr>
          <w:p w:rsidR="00286221" w:rsidRPr="001B206D" w:rsidRDefault="00286221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IOM</w:t>
            </w:r>
          </w:p>
        </w:tc>
      </w:tr>
      <w:tr w:rsidR="00286221" w:rsidRPr="001B206D" w:rsidTr="007C1ABB">
        <w:tc>
          <w:tcPr>
            <w:tcW w:w="55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86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Bulongan, Joy Y. </w:t>
            </w:r>
          </w:p>
        </w:tc>
        <w:tc>
          <w:tcPr>
            <w:tcW w:w="351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CMO-OMAHCC</w:t>
            </w:r>
          </w:p>
        </w:tc>
      </w:tr>
      <w:tr w:rsidR="00286221" w:rsidRPr="001B206D" w:rsidTr="007C1ABB">
        <w:tc>
          <w:tcPr>
            <w:tcW w:w="55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86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Saquilaban, Grace Joy O.  </w:t>
            </w:r>
          </w:p>
        </w:tc>
        <w:tc>
          <w:tcPr>
            <w:tcW w:w="351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CSWD</w:t>
            </w:r>
          </w:p>
        </w:tc>
      </w:tr>
      <w:tr w:rsidR="00286221" w:rsidRPr="001B206D" w:rsidTr="007C1ABB">
        <w:tc>
          <w:tcPr>
            <w:tcW w:w="55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86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Azuelo, Reagan</w:t>
            </w:r>
          </w:p>
        </w:tc>
        <w:tc>
          <w:tcPr>
            <w:tcW w:w="3510" w:type="dxa"/>
          </w:tcPr>
          <w:p w:rsidR="00286221" w:rsidRPr="001B206D" w:rsidRDefault="007C1ABB" w:rsidP="00BB3D9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DSWD</w:t>
            </w:r>
          </w:p>
        </w:tc>
      </w:tr>
    </w:tbl>
    <w:p w:rsidR="00D126A2" w:rsidRPr="001B206D" w:rsidRDefault="00D126A2" w:rsidP="00BB3D99">
      <w:pPr>
        <w:pStyle w:val="ListParagraph"/>
        <w:rPr>
          <w:rFonts w:ascii="Arial" w:hAnsi="Arial" w:cs="Arial"/>
          <w:sz w:val="24"/>
          <w:szCs w:val="24"/>
        </w:rPr>
      </w:pPr>
    </w:p>
    <w:p w:rsidR="00BB3D99" w:rsidRPr="001B206D" w:rsidRDefault="00BB3D99" w:rsidP="00BB3D9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206D">
        <w:rPr>
          <w:rFonts w:ascii="Arial" w:hAnsi="Arial" w:cs="Arial"/>
          <w:b/>
          <w:sz w:val="24"/>
          <w:szCs w:val="24"/>
        </w:rPr>
        <w:t>Highlights</w:t>
      </w:r>
    </w:p>
    <w:tbl>
      <w:tblPr>
        <w:tblStyle w:val="TableGrid"/>
        <w:tblW w:w="8640" w:type="dxa"/>
        <w:tblInd w:w="828" w:type="dxa"/>
        <w:tblLook w:val="04A0" w:firstRow="1" w:lastRow="0" w:firstColumn="1" w:lastColumn="0" w:noHBand="0" w:noVBand="1"/>
      </w:tblPr>
      <w:tblGrid>
        <w:gridCol w:w="3150"/>
        <w:gridCol w:w="5490"/>
      </w:tblGrid>
      <w:tr w:rsidR="00BB3D99" w:rsidRPr="001B206D" w:rsidTr="00652290">
        <w:tc>
          <w:tcPr>
            <w:tcW w:w="3150" w:type="dxa"/>
          </w:tcPr>
          <w:p w:rsidR="00BB3D99" w:rsidRPr="001B206D" w:rsidRDefault="00BB3D99" w:rsidP="00BB3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06D">
              <w:rPr>
                <w:rFonts w:ascii="Arial" w:hAnsi="Arial" w:cs="Arial"/>
                <w:b/>
                <w:sz w:val="24"/>
                <w:szCs w:val="24"/>
              </w:rPr>
              <w:t>Issues/Concerns</w:t>
            </w:r>
          </w:p>
        </w:tc>
        <w:tc>
          <w:tcPr>
            <w:tcW w:w="5490" w:type="dxa"/>
          </w:tcPr>
          <w:p w:rsidR="00BB3D99" w:rsidRPr="001B206D" w:rsidRDefault="00BB3D99" w:rsidP="00BB3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06D">
              <w:rPr>
                <w:rFonts w:ascii="Arial" w:hAnsi="Arial" w:cs="Arial"/>
                <w:b/>
                <w:sz w:val="24"/>
                <w:szCs w:val="24"/>
              </w:rPr>
              <w:t>Agreements/Recommendations</w:t>
            </w:r>
          </w:p>
        </w:tc>
      </w:tr>
      <w:tr w:rsidR="00BB3D99" w:rsidRPr="001B206D" w:rsidTr="00652290">
        <w:tc>
          <w:tcPr>
            <w:tcW w:w="3150" w:type="dxa"/>
          </w:tcPr>
          <w:p w:rsidR="00BB3D99" w:rsidRPr="001B206D" w:rsidRDefault="006A3E8B" w:rsidP="006A3E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Result of v</w:t>
            </w:r>
            <w:r w:rsidR="009A71FB" w:rsidRPr="001B206D">
              <w:rPr>
                <w:rFonts w:ascii="Arial" w:hAnsi="Arial" w:cs="Arial"/>
                <w:sz w:val="24"/>
                <w:szCs w:val="24"/>
              </w:rPr>
              <w:t>alidation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s and status of </w:t>
            </w:r>
            <w:r w:rsidR="00675CCC" w:rsidRPr="001B206D">
              <w:rPr>
                <w:rFonts w:ascii="Arial" w:hAnsi="Arial" w:cs="Arial"/>
                <w:sz w:val="24"/>
                <w:szCs w:val="24"/>
              </w:rPr>
              <w:t>encoding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490" w:type="dxa"/>
          </w:tcPr>
          <w:p w:rsidR="0068717F" w:rsidRPr="001B206D" w:rsidRDefault="0068717F" w:rsidP="009802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Of the 28,710 total number CSWD-masterlsited affected families, only 64.40 percent or 18,775 families were validated/confirmed. </w:t>
            </w:r>
          </w:p>
          <w:p w:rsidR="0068717F" w:rsidRPr="001B206D" w:rsidRDefault="007E28BF" w:rsidP="009802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List en</w:t>
            </w:r>
            <w:r w:rsidR="0068717F" w:rsidRPr="001B206D">
              <w:rPr>
                <w:rFonts w:ascii="Arial" w:hAnsi="Arial" w:cs="Arial"/>
                <w:sz w:val="24"/>
                <w:szCs w:val="24"/>
              </w:rPr>
              <w:t xml:space="preserve">coding is still ongoing </w:t>
            </w:r>
            <w:r w:rsidRPr="001B206D">
              <w:rPr>
                <w:rFonts w:ascii="Arial" w:hAnsi="Arial" w:cs="Arial"/>
                <w:sz w:val="24"/>
                <w:szCs w:val="24"/>
              </w:rPr>
              <w:t>and is ex</w:t>
            </w:r>
            <w:r w:rsidR="0068717F" w:rsidRPr="001B206D">
              <w:rPr>
                <w:rFonts w:ascii="Arial" w:hAnsi="Arial" w:cs="Arial"/>
                <w:sz w:val="24"/>
                <w:szCs w:val="24"/>
              </w:rPr>
              <w:t>pe</w:t>
            </w:r>
            <w:r w:rsidRPr="001B206D">
              <w:rPr>
                <w:rFonts w:ascii="Arial" w:hAnsi="Arial" w:cs="Arial"/>
                <w:sz w:val="24"/>
                <w:szCs w:val="24"/>
              </w:rPr>
              <w:t>c</w:t>
            </w:r>
            <w:r w:rsidR="0068717F" w:rsidRPr="001B206D">
              <w:rPr>
                <w:rFonts w:ascii="Arial" w:hAnsi="Arial" w:cs="Arial"/>
                <w:sz w:val="24"/>
                <w:szCs w:val="24"/>
              </w:rPr>
              <w:t>ted to be comp</w:t>
            </w:r>
            <w:r w:rsidRPr="001B206D">
              <w:rPr>
                <w:rFonts w:ascii="Arial" w:hAnsi="Arial" w:cs="Arial"/>
                <w:sz w:val="24"/>
                <w:szCs w:val="24"/>
              </w:rPr>
              <w:t>leted on Friday, March 30, 2012 for dissemination to all partners;</w:t>
            </w:r>
          </w:p>
          <w:p w:rsidR="00D52047" w:rsidRPr="001B206D" w:rsidRDefault="0068717F" w:rsidP="009802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lastRenderedPageBreak/>
              <w:t>The validated list covers</w:t>
            </w:r>
            <w:r w:rsidR="00D52047" w:rsidRPr="001B206D">
              <w:rPr>
                <w:rFonts w:ascii="Arial" w:hAnsi="Arial" w:cs="Arial"/>
                <w:sz w:val="24"/>
                <w:szCs w:val="24"/>
              </w:rPr>
              <w:t xml:space="preserve"> 35 barangays in 6 Districts</w:t>
            </w:r>
            <w:r w:rsidR="009802F8" w:rsidRPr="001B206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52047" w:rsidRPr="001B206D" w:rsidRDefault="00D52047" w:rsidP="00D5204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31 barangays</w:t>
            </w:r>
            <w:r w:rsidR="007E28BF" w:rsidRPr="001B206D">
              <w:rPr>
                <w:rFonts w:ascii="Arial" w:hAnsi="Arial" w:cs="Arial"/>
                <w:sz w:val="24"/>
                <w:szCs w:val="24"/>
              </w:rPr>
              <w:t xml:space="preserve"> completed</w:t>
            </w:r>
            <w:r w:rsidRPr="001B206D">
              <w:rPr>
                <w:rFonts w:ascii="Arial" w:hAnsi="Arial" w:cs="Arial"/>
                <w:sz w:val="24"/>
                <w:szCs w:val="24"/>
              </w:rPr>
              <w:t>; and,</w:t>
            </w:r>
          </w:p>
          <w:p w:rsidR="00D52047" w:rsidRPr="001B206D" w:rsidRDefault="007E28BF" w:rsidP="00D5204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D52047" w:rsidRPr="001B206D">
              <w:rPr>
                <w:rFonts w:ascii="Arial" w:hAnsi="Arial" w:cs="Arial"/>
                <w:sz w:val="24"/>
                <w:szCs w:val="24"/>
              </w:rPr>
              <w:t>barangays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 ongoing</w:t>
            </w:r>
            <w:r w:rsidR="00D52047" w:rsidRPr="001B206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802F8" w:rsidRPr="001B206D" w:rsidRDefault="009802F8" w:rsidP="00D758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Extent of </w:t>
            </w:r>
            <w:r w:rsidR="00D75884" w:rsidRPr="001B206D">
              <w:rPr>
                <w:rFonts w:ascii="Arial" w:hAnsi="Arial" w:cs="Arial"/>
                <w:sz w:val="24"/>
                <w:szCs w:val="24"/>
              </w:rPr>
              <w:t xml:space="preserve">house </w:t>
            </w:r>
            <w:r w:rsidRPr="001B206D">
              <w:rPr>
                <w:rFonts w:ascii="Arial" w:hAnsi="Arial" w:cs="Arial"/>
                <w:sz w:val="24"/>
                <w:szCs w:val="24"/>
              </w:rPr>
              <w:t>damage are classified as totally (3,777), partially (5,672), flooded (9,259) a</w:t>
            </w:r>
            <w:r w:rsidR="00D75884" w:rsidRPr="001B206D">
              <w:rPr>
                <w:rFonts w:ascii="Arial" w:hAnsi="Arial" w:cs="Arial"/>
                <w:sz w:val="24"/>
                <w:szCs w:val="24"/>
              </w:rPr>
              <w:t>nd 67 families unclassified</w:t>
            </w:r>
            <w:r w:rsidR="00202717" w:rsidRPr="001B206D">
              <w:rPr>
                <w:rFonts w:ascii="Arial" w:hAnsi="Arial" w:cs="Arial"/>
                <w:sz w:val="24"/>
                <w:szCs w:val="24"/>
              </w:rPr>
              <w:t>;</w:t>
            </w:r>
            <w:r w:rsidR="0068717F" w:rsidRPr="001B206D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  <w:p w:rsidR="00790FA6" w:rsidRPr="001B206D" w:rsidRDefault="00202717" w:rsidP="0020271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Sharing of data/information with other partners </w:t>
            </w:r>
            <w:r w:rsidR="00790FA6" w:rsidRPr="001B206D">
              <w:rPr>
                <w:rFonts w:ascii="Arial" w:hAnsi="Arial" w:cs="Arial"/>
                <w:sz w:val="24"/>
                <w:szCs w:val="24"/>
              </w:rPr>
              <w:t xml:space="preserve">i.e. list of families 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790FA6" w:rsidRPr="001B206D">
              <w:rPr>
                <w:rFonts w:ascii="Arial" w:hAnsi="Arial" w:cs="Arial"/>
                <w:sz w:val="24"/>
                <w:szCs w:val="24"/>
              </w:rPr>
              <w:t xml:space="preserve">destroyed houses, selection guidelines, etc for planning and provison of necessary assistance; </w:t>
            </w:r>
            <w:r w:rsidR="00910D05" w:rsidRPr="001B206D">
              <w:rPr>
                <w:rFonts w:ascii="Arial" w:hAnsi="Arial" w:cs="Arial"/>
                <w:sz w:val="24"/>
                <w:szCs w:val="24"/>
              </w:rPr>
              <w:t>and,</w:t>
            </w:r>
          </w:p>
          <w:p w:rsidR="00F77FF3" w:rsidRDefault="00910D05" w:rsidP="00910D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Affected families with damaged houses not covered by the validation process either due to transfer and/or have rented in other areas shall not be delisted but subject for revalidation. </w:t>
            </w:r>
          </w:p>
          <w:p w:rsidR="000E192F" w:rsidRPr="001B206D" w:rsidRDefault="000E192F" w:rsidP="000E192F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1FB" w:rsidRPr="00BB3D99" w:rsidTr="00652290">
        <w:tc>
          <w:tcPr>
            <w:tcW w:w="3150" w:type="dxa"/>
          </w:tcPr>
          <w:p w:rsidR="009A71FB" w:rsidRPr="001B206D" w:rsidRDefault="009A71FB" w:rsidP="006A3E8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lastRenderedPageBreak/>
              <w:t xml:space="preserve">Temporary </w:t>
            </w:r>
            <w:r w:rsidR="006A3E8B" w:rsidRPr="001B206D">
              <w:rPr>
                <w:rFonts w:ascii="Arial" w:hAnsi="Arial" w:cs="Arial"/>
                <w:sz w:val="24"/>
                <w:szCs w:val="24"/>
              </w:rPr>
              <w:t>s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helter </w:t>
            </w:r>
          </w:p>
        </w:tc>
        <w:tc>
          <w:tcPr>
            <w:tcW w:w="5490" w:type="dxa"/>
          </w:tcPr>
          <w:p w:rsidR="003A7EE9" w:rsidRPr="001B206D" w:rsidRDefault="001E17DD" w:rsidP="003A7E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Site development is ongoing for the transition shelters </w:t>
            </w:r>
            <w:r w:rsidR="00522E90" w:rsidRPr="001B206D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3A7EE9" w:rsidRPr="001B206D">
              <w:rPr>
                <w:rFonts w:ascii="Arial" w:hAnsi="Arial" w:cs="Arial"/>
                <w:sz w:val="24"/>
                <w:szCs w:val="24"/>
              </w:rPr>
              <w:t xml:space="preserve">100 families at Sta. Elena; and, </w:t>
            </w:r>
          </w:p>
          <w:p w:rsidR="00B95C65" w:rsidRPr="001B206D" w:rsidRDefault="00B95C65" w:rsidP="003A7E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UNICEF and ADRA to provide WASH facilities for</w:t>
            </w:r>
            <w:r w:rsidR="00C73667" w:rsidRPr="001B206D">
              <w:rPr>
                <w:rFonts w:ascii="Arial" w:hAnsi="Arial" w:cs="Arial"/>
                <w:sz w:val="24"/>
                <w:szCs w:val="24"/>
              </w:rPr>
              <w:t xml:space="preserve"> the IDPs at 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="00C73667" w:rsidRPr="001B206D">
              <w:rPr>
                <w:rFonts w:ascii="Arial" w:hAnsi="Arial" w:cs="Arial"/>
                <w:sz w:val="24"/>
                <w:szCs w:val="24"/>
              </w:rPr>
              <w:t xml:space="preserve">arangays </w:t>
            </w:r>
            <w:r w:rsidRPr="001B206D">
              <w:rPr>
                <w:rFonts w:ascii="Arial" w:hAnsi="Arial" w:cs="Arial"/>
                <w:sz w:val="24"/>
                <w:szCs w:val="24"/>
              </w:rPr>
              <w:t>Mandulog and Sta. Elena</w:t>
            </w:r>
            <w:r w:rsidR="003A7EE9" w:rsidRPr="001B206D">
              <w:rPr>
                <w:rFonts w:ascii="Arial" w:hAnsi="Arial" w:cs="Arial"/>
                <w:sz w:val="24"/>
                <w:szCs w:val="24"/>
              </w:rPr>
              <w:t>;</w:t>
            </w:r>
            <w:r w:rsidR="000E192F">
              <w:rPr>
                <w:rFonts w:ascii="Arial" w:hAnsi="Arial" w:cs="Arial"/>
                <w:sz w:val="24"/>
                <w:szCs w:val="24"/>
              </w:rPr>
              <w:t xml:space="preserve"> and, </w:t>
            </w:r>
          </w:p>
          <w:p w:rsidR="000E192F" w:rsidRDefault="00F92365" w:rsidP="00C736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A7EE9" w:rsidRPr="001B206D">
              <w:rPr>
                <w:rFonts w:ascii="Arial" w:hAnsi="Arial" w:cs="Arial"/>
                <w:sz w:val="24"/>
                <w:szCs w:val="24"/>
              </w:rPr>
              <w:t xml:space="preserve">LGU 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C73667" w:rsidRPr="001B206D">
              <w:rPr>
                <w:rFonts w:ascii="Arial" w:hAnsi="Arial" w:cs="Arial"/>
                <w:sz w:val="24"/>
                <w:szCs w:val="24"/>
              </w:rPr>
              <w:t xml:space="preserve">explore are for 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transfer families in makeshift tents along the </w:t>
            </w:r>
            <w:r w:rsidR="003A7EE9" w:rsidRPr="001B206D">
              <w:rPr>
                <w:rFonts w:ascii="Arial" w:hAnsi="Arial" w:cs="Arial"/>
                <w:sz w:val="24"/>
                <w:szCs w:val="24"/>
              </w:rPr>
              <w:t>Hinaplanon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 hig</w:t>
            </w:r>
            <w:r w:rsidR="00C73667" w:rsidRPr="001B206D">
              <w:rPr>
                <w:rFonts w:ascii="Arial" w:hAnsi="Arial" w:cs="Arial"/>
                <w:sz w:val="24"/>
                <w:szCs w:val="24"/>
              </w:rPr>
              <w:t>h</w:t>
            </w:r>
            <w:r w:rsidRPr="001B206D">
              <w:rPr>
                <w:rFonts w:ascii="Arial" w:hAnsi="Arial" w:cs="Arial"/>
                <w:sz w:val="24"/>
                <w:szCs w:val="24"/>
              </w:rPr>
              <w:t>way to give way for the implementation of infrastructure projects</w:t>
            </w:r>
            <w:r w:rsidR="003A7EE9" w:rsidRPr="001B206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A7EE9" w:rsidRPr="001B206D" w:rsidRDefault="003A7EE9" w:rsidP="000E192F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71FB" w:rsidRPr="00652290" w:rsidTr="00652290">
        <w:tc>
          <w:tcPr>
            <w:tcW w:w="3150" w:type="dxa"/>
          </w:tcPr>
          <w:p w:rsidR="009A71FB" w:rsidRPr="001B206D" w:rsidRDefault="009A71FB" w:rsidP="003A7E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Updates on Permanent Shelter </w:t>
            </w:r>
          </w:p>
        </w:tc>
        <w:tc>
          <w:tcPr>
            <w:tcW w:w="5490" w:type="dxa"/>
          </w:tcPr>
          <w:p w:rsidR="009305EF" w:rsidRPr="001B206D" w:rsidRDefault="009305EF" w:rsidP="009A71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Ongoing projects: </w:t>
            </w:r>
          </w:p>
          <w:p w:rsidR="009305EF" w:rsidRPr="001B206D" w:rsidRDefault="00792D18" w:rsidP="009305E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Bayanihan sa Iligan with simultaneous sit</w:t>
            </w:r>
            <w:r w:rsidR="00F77E6E" w:rsidRPr="001B206D">
              <w:rPr>
                <w:rFonts w:ascii="Arial" w:hAnsi="Arial" w:cs="Arial"/>
                <w:sz w:val="24"/>
                <w:szCs w:val="24"/>
              </w:rPr>
              <w:t>e development and housing const</w:t>
            </w:r>
            <w:r w:rsidRPr="001B206D">
              <w:rPr>
                <w:rFonts w:ascii="Arial" w:hAnsi="Arial" w:cs="Arial"/>
                <w:sz w:val="24"/>
                <w:szCs w:val="24"/>
              </w:rPr>
              <w:t>r</w:t>
            </w:r>
            <w:r w:rsidR="00F77E6E" w:rsidRPr="001B206D">
              <w:rPr>
                <w:rFonts w:ascii="Arial" w:hAnsi="Arial" w:cs="Arial"/>
                <w:sz w:val="24"/>
                <w:szCs w:val="24"/>
              </w:rPr>
              <w:t>u</w:t>
            </w:r>
            <w:r w:rsidRPr="001B206D">
              <w:rPr>
                <w:rFonts w:ascii="Arial" w:hAnsi="Arial" w:cs="Arial"/>
                <w:sz w:val="24"/>
                <w:szCs w:val="24"/>
              </w:rPr>
              <w:t>ction</w:t>
            </w:r>
            <w:r w:rsidR="006432F9" w:rsidRPr="001B206D">
              <w:rPr>
                <w:rFonts w:ascii="Arial" w:hAnsi="Arial" w:cs="Arial"/>
                <w:sz w:val="24"/>
                <w:szCs w:val="24"/>
              </w:rPr>
              <w:t xml:space="preserve"> for 300 units thru volu</w:t>
            </w:r>
            <w:r w:rsidR="009305EF" w:rsidRPr="001B206D">
              <w:rPr>
                <w:rFonts w:ascii="Arial" w:hAnsi="Arial" w:cs="Arial"/>
                <w:sz w:val="24"/>
                <w:szCs w:val="24"/>
              </w:rPr>
              <w:t>nteer mobilization</w:t>
            </w:r>
            <w:r w:rsidR="006432F9" w:rsidRPr="001B206D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9305EF" w:rsidRPr="001B206D">
              <w:rPr>
                <w:rFonts w:ascii="Arial" w:hAnsi="Arial" w:cs="Arial"/>
                <w:sz w:val="24"/>
                <w:szCs w:val="24"/>
              </w:rPr>
              <w:t>G</w:t>
            </w:r>
            <w:r w:rsidR="006432F9" w:rsidRPr="001B206D">
              <w:rPr>
                <w:rFonts w:ascii="Arial" w:hAnsi="Arial" w:cs="Arial"/>
                <w:sz w:val="24"/>
                <w:szCs w:val="24"/>
              </w:rPr>
              <w:t xml:space="preserve">awad Kalinga </w:t>
            </w:r>
            <w:r w:rsidR="004A1C0E">
              <w:rPr>
                <w:rFonts w:ascii="Arial" w:hAnsi="Arial" w:cs="Arial"/>
                <w:sz w:val="24"/>
                <w:szCs w:val="24"/>
              </w:rPr>
              <w:t xml:space="preserve">during the </w:t>
            </w:r>
            <w:r w:rsidR="009305EF" w:rsidRPr="001B206D">
              <w:rPr>
                <w:rFonts w:ascii="Arial" w:hAnsi="Arial" w:cs="Arial"/>
                <w:sz w:val="24"/>
                <w:szCs w:val="24"/>
              </w:rPr>
              <w:t>April 9-14</w:t>
            </w:r>
            <w:r w:rsidR="004A1C0E">
              <w:rPr>
                <w:rFonts w:ascii="Arial" w:hAnsi="Arial" w:cs="Arial"/>
                <w:sz w:val="24"/>
                <w:szCs w:val="24"/>
              </w:rPr>
              <w:t xml:space="preserve">, 2012 </w:t>
            </w:r>
            <w:r w:rsidR="009305EF" w:rsidRPr="001B206D">
              <w:rPr>
                <w:rFonts w:ascii="Arial" w:hAnsi="Arial" w:cs="Arial"/>
                <w:sz w:val="24"/>
                <w:szCs w:val="24"/>
              </w:rPr>
              <w:t xml:space="preserve"> Bayanihan Challenge;</w:t>
            </w:r>
          </w:p>
          <w:p w:rsidR="009305EF" w:rsidRPr="001B206D" w:rsidRDefault="00F77E6E" w:rsidP="009305E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Diocese sa Iligan with ongoing she</w:t>
            </w:r>
            <w:r w:rsidR="009305EF" w:rsidRPr="001B206D">
              <w:rPr>
                <w:rFonts w:ascii="Arial" w:hAnsi="Arial" w:cs="Arial"/>
                <w:sz w:val="24"/>
                <w:szCs w:val="24"/>
              </w:rPr>
              <w:t>lter construction for 200 units;</w:t>
            </w:r>
          </w:p>
          <w:p w:rsidR="009305EF" w:rsidRPr="001B206D" w:rsidRDefault="00F77E6E" w:rsidP="009305E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Mandulog Kapuso </w:t>
            </w:r>
            <w:r w:rsidR="00D5677F" w:rsidRPr="001B206D">
              <w:rPr>
                <w:rFonts w:ascii="Arial" w:hAnsi="Arial" w:cs="Arial"/>
                <w:sz w:val="24"/>
                <w:szCs w:val="24"/>
              </w:rPr>
              <w:t xml:space="preserve">Village 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with ongoing shelter construction of 20 units out of the total target of 200 units; </w:t>
            </w:r>
          </w:p>
          <w:p w:rsidR="009305EF" w:rsidRPr="001B206D" w:rsidRDefault="00F77E6E" w:rsidP="009305E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NHA – Iligan Ecoville with 17 hectares subject for survey/assessment  by </w:t>
            </w:r>
            <w:r w:rsidR="004A1C0E">
              <w:rPr>
                <w:rFonts w:ascii="Arial" w:hAnsi="Arial" w:cs="Arial"/>
                <w:sz w:val="24"/>
                <w:szCs w:val="24"/>
              </w:rPr>
              <w:t>DENR-MGB</w:t>
            </w:r>
            <w:r w:rsidRPr="001B206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305EF" w:rsidRPr="001B206D" w:rsidRDefault="009305EF" w:rsidP="009305E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NHA-Upper Hinaplanon with 15 hectares subject MGB-DENR survey/assessment;</w:t>
            </w:r>
            <w:r w:rsidR="00481EAA">
              <w:rPr>
                <w:rFonts w:ascii="Arial" w:hAnsi="Arial" w:cs="Arial"/>
                <w:sz w:val="24"/>
                <w:szCs w:val="24"/>
              </w:rPr>
              <w:t xml:space="preserve"> and,</w:t>
            </w:r>
          </w:p>
          <w:p w:rsidR="009305EF" w:rsidRPr="001B206D" w:rsidRDefault="00F77E6E" w:rsidP="009305E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lastRenderedPageBreak/>
              <w:t>Digkila-an Red Cross Housing Village with 3 hectares for 300 units</w:t>
            </w:r>
            <w:r w:rsidR="009305EF" w:rsidRPr="001B206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6D76" w:rsidRPr="001B206D" w:rsidRDefault="008A6D76" w:rsidP="008A6D7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05EF" w:rsidRPr="001B206D" w:rsidRDefault="009305EF" w:rsidP="00F77E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Proposed: </w:t>
            </w:r>
          </w:p>
          <w:p w:rsidR="009305EF" w:rsidRPr="001B206D" w:rsidRDefault="009305EF" w:rsidP="009305EF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6D76" w:rsidRPr="001B206D" w:rsidRDefault="009305EF" w:rsidP="009305E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St. Michael Heights with 1 hectare for 80 units for LGU employees and 40 units for “Sendong”</w:t>
            </w:r>
            <w:r w:rsidR="008A6D76" w:rsidRPr="001B206D">
              <w:rPr>
                <w:rFonts w:ascii="Arial" w:hAnsi="Arial" w:cs="Arial"/>
                <w:sz w:val="24"/>
                <w:szCs w:val="24"/>
              </w:rPr>
              <w:t xml:space="preserve"> victims;</w:t>
            </w:r>
          </w:p>
          <w:p w:rsidR="008A6D76" w:rsidRPr="001B206D" w:rsidRDefault="008A6D76" w:rsidP="009305E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First Cooperative with 1 hectare;</w:t>
            </w:r>
          </w:p>
          <w:p w:rsidR="004B0700" w:rsidRDefault="008A6D76" w:rsidP="00E54B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Padilla Torres Capili with 23 hectares for salaried </w:t>
            </w:r>
            <w:r w:rsidR="001B206D" w:rsidRPr="001B206D">
              <w:rPr>
                <w:rFonts w:ascii="Arial" w:hAnsi="Arial" w:cs="Arial"/>
                <w:sz w:val="24"/>
                <w:szCs w:val="24"/>
              </w:rPr>
              <w:t>victim-</w:t>
            </w:r>
            <w:r w:rsidRPr="001B206D">
              <w:rPr>
                <w:rFonts w:ascii="Arial" w:hAnsi="Arial" w:cs="Arial"/>
                <w:sz w:val="24"/>
                <w:szCs w:val="24"/>
              </w:rPr>
              <w:t>empl</w:t>
            </w:r>
            <w:r w:rsidR="001B206D" w:rsidRPr="001B206D">
              <w:rPr>
                <w:rFonts w:ascii="Arial" w:hAnsi="Arial" w:cs="Arial"/>
                <w:sz w:val="24"/>
                <w:szCs w:val="24"/>
              </w:rPr>
              <w:t>o</w:t>
            </w:r>
            <w:r w:rsidRPr="001B206D">
              <w:rPr>
                <w:rFonts w:ascii="Arial" w:hAnsi="Arial" w:cs="Arial"/>
                <w:sz w:val="24"/>
                <w:szCs w:val="24"/>
              </w:rPr>
              <w:t>yees</w:t>
            </w:r>
            <w:r w:rsidR="001B206D" w:rsidRPr="001B206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E192F" w:rsidRPr="001B206D" w:rsidRDefault="000E192F" w:rsidP="000E192F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1FB" w:rsidRPr="00652290" w:rsidTr="00652290">
        <w:tc>
          <w:tcPr>
            <w:tcW w:w="3150" w:type="dxa"/>
          </w:tcPr>
          <w:p w:rsidR="009A71FB" w:rsidRPr="001B206D" w:rsidRDefault="009A71FB" w:rsidP="00AA2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lastRenderedPageBreak/>
              <w:t xml:space="preserve">Updates from </w:t>
            </w:r>
            <w:r w:rsidR="001D157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91675" w:rsidRPr="001B206D">
              <w:rPr>
                <w:rFonts w:ascii="Arial" w:hAnsi="Arial" w:cs="Arial"/>
                <w:sz w:val="24"/>
                <w:szCs w:val="24"/>
              </w:rPr>
              <w:t>O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n-site Committee </w:t>
            </w:r>
          </w:p>
        </w:tc>
        <w:tc>
          <w:tcPr>
            <w:tcW w:w="5490" w:type="dxa"/>
          </w:tcPr>
          <w:p w:rsidR="009A71FB" w:rsidRPr="001B206D" w:rsidRDefault="00792D18" w:rsidP="00792D1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For the LGU’s appropriate committee to undertake IDP tracking from inside/outside evacuation centers to relocation site.</w:t>
            </w:r>
          </w:p>
          <w:p w:rsidR="008A6D76" w:rsidRPr="001B206D" w:rsidRDefault="00792D18" w:rsidP="008A6D7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Sharing of guidelines on the selection procedure/proce</w:t>
            </w:r>
            <w:r w:rsidR="001B206D" w:rsidRPr="001B206D">
              <w:rPr>
                <w:rFonts w:ascii="Arial" w:hAnsi="Arial" w:cs="Arial"/>
                <w:sz w:val="24"/>
                <w:szCs w:val="24"/>
              </w:rPr>
              <w:t xml:space="preserve">ss; </w:t>
            </w:r>
          </w:p>
          <w:p w:rsidR="00792D18" w:rsidRPr="001B206D" w:rsidRDefault="008A6D76" w:rsidP="008E52A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A  total of 3,954 shelter repair kits</w:t>
            </w:r>
            <w:r w:rsidR="00D03748" w:rsidRPr="001B206D">
              <w:rPr>
                <w:rFonts w:ascii="Arial" w:hAnsi="Arial" w:cs="Arial"/>
                <w:sz w:val="24"/>
                <w:szCs w:val="24"/>
              </w:rPr>
              <w:t>,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2AB" w:rsidRPr="001B206D">
              <w:rPr>
                <w:rFonts w:ascii="Arial" w:hAnsi="Arial" w:cs="Arial"/>
                <w:sz w:val="24"/>
                <w:szCs w:val="24"/>
              </w:rPr>
              <w:t xml:space="preserve">which cost range 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from P3,000.00 – P10,000.00 were distributed to families with partially damaged houses. Another 2,343 units is on the pipepline for distribution; </w:t>
            </w:r>
          </w:p>
          <w:p w:rsidR="008A6D76" w:rsidRPr="001B206D" w:rsidRDefault="008A6D76" w:rsidP="008A6D7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DSWD to </w:t>
            </w:r>
            <w:r w:rsidR="00D03748" w:rsidRPr="001B206D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 w:rsidRPr="001B206D">
              <w:rPr>
                <w:rFonts w:ascii="Arial" w:hAnsi="Arial" w:cs="Arial"/>
                <w:sz w:val="24"/>
                <w:szCs w:val="24"/>
              </w:rPr>
              <w:t>ESA</w:t>
            </w:r>
            <w:r w:rsidR="00D03748" w:rsidRPr="001B206D">
              <w:rPr>
                <w:rFonts w:ascii="Arial" w:hAnsi="Arial" w:cs="Arial"/>
                <w:sz w:val="24"/>
                <w:szCs w:val="24"/>
              </w:rPr>
              <w:t xml:space="preserve"> for families with partially damaged houses</w:t>
            </w:r>
            <w:r w:rsidR="00481EA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6D76" w:rsidRPr="001B206D" w:rsidRDefault="008A6D76" w:rsidP="008A6D7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DSWD </w:t>
            </w:r>
            <w:r w:rsidR="00481EAA">
              <w:rPr>
                <w:rFonts w:ascii="Arial" w:hAnsi="Arial" w:cs="Arial"/>
                <w:sz w:val="24"/>
                <w:szCs w:val="24"/>
              </w:rPr>
              <w:t xml:space="preserve">thru the LGU </w:t>
            </w:r>
            <w:r w:rsidRPr="001B206D">
              <w:rPr>
                <w:rFonts w:ascii="Arial" w:hAnsi="Arial" w:cs="Arial"/>
                <w:sz w:val="24"/>
                <w:szCs w:val="24"/>
              </w:rPr>
              <w:t>to organize the NASA for the modified shelter</w:t>
            </w:r>
            <w:r w:rsidR="00667209" w:rsidRPr="001B206D">
              <w:rPr>
                <w:rFonts w:ascii="Arial" w:hAnsi="Arial" w:cs="Arial"/>
                <w:sz w:val="24"/>
                <w:szCs w:val="24"/>
              </w:rPr>
              <w:t xml:space="preserve"> assistance at P50,000.00 unit for on</w:t>
            </w:r>
            <w:r w:rsidR="008E52AB" w:rsidRPr="001B206D">
              <w:rPr>
                <w:rFonts w:ascii="Arial" w:hAnsi="Arial" w:cs="Arial"/>
                <w:sz w:val="24"/>
                <w:szCs w:val="24"/>
              </w:rPr>
              <w:t>-</w:t>
            </w:r>
            <w:r w:rsidR="00667209" w:rsidRPr="001B206D">
              <w:rPr>
                <w:rFonts w:ascii="Arial" w:hAnsi="Arial" w:cs="Arial"/>
                <w:sz w:val="24"/>
                <w:szCs w:val="24"/>
              </w:rPr>
              <w:t xml:space="preserve">site construction provided </w:t>
            </w:r>
            <w:r w:rsidR="008E52AB" w:rsidRPr="001B206D">
              <w:rPr>
                <w:rFonts w:ascii="Arial" w:hAnsi="Arial" w:cs="Arial"/>
                <w:sz w:val="24"/>
                <w:szCs w:val="24"/>
              </w:rPr>
              <w:t xml:space="preserve">that is </w:t>
            </w:r>
            <w:r w:rsidR="00667209" w:rsidRPr="001B206D">
              <w:rPr>
                <w:rFonts w:ascii="Arial" w:hAnsi="Arial" w:cs="Arial"/>
                <w:sz w:val="24"/>
                <w:szCs w:val="24"/>
              </w:rPr>
              <w:t>declared safe by the MGB-DENR. A separate funding shall be provided</w:t>
            </w:r>
            <w:r w:rsidR="00481EAA">
              <w:rPr>
                <w:rFonts w:ascii="Arial" w:hAnsi="Arial" w:cs="Arial"/>
                <w:sz w:val="24"/>
                <w:szCs w:val="24"/>
              </w:rPr>
              <w:t xml:space="preserve"> by the DSWD for this pur</w:t>
            </w:r>
            <w:r w:rsidR="006B74DC" w:rsidRPr="001B206D">
              <w:rPr>
                <w:rFonts w:ascii="Arial" w:hAnsi="Arial" w:cs="Arial"/>
                <w:sz w:val="24"/>
                <w:szCs w:val="24"/>
              </w:rPr>
              <w:t>pose;</w:t>
            </w:r>
            <w:r w:rsidR="00481EAA">
              <w:rPr>
                <w:rFonts w:ascii="Arial" w:hAnsi="Arial" w:cs="Arial"/>
                <w:sz w:val="24"/>
                <w:szCs w:val="24"/>
              </w:rPr>
              <w:t xml:space="preserve"> and,</w:t>
            </w:r>
          </w:p>
          <w:p w:rsidR="008A6D76" w:rsidRDefault="00D91675" w:rsidP="008E52A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DSWD to </w:t>
            </w:r>
            <w:r w:rsidR="008E52AB" w:rsidRPr="001B206D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 w:rsidRPr="001B206D">
              <w:rPr>
                <w:rFonts w:ascii="Arial" w:hAnsi="Arial" w:cs="Arial"/>
                <w:sz w:val="24"/>
                <w:szCs w:val="24"/>
              </w:rPr>
              <w:t>CFW projects and activities for a 15-day maximum at P250.00/person/day</w:t>
            </w:r>
            <w:r w:rsidR="008E52AB" w:rsidRPr="001B206D">
              <w:rPr>
                <w:rFonts w:ascii="Arial" w:hAnsi="Arial" w:cs="Arial"/>
                <w:sz w:val="24"/>
                <w:szCs w:val="24"/>
              </w:rPr>
              <w:t xml:space="preserve"> for shelter and community works and projects</w:t>
            </w:r>
            <w:r w:rsidR="006B74DC" w:rsidRPr="001B206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E192F" w:rsidRPr="001B206D" w:rsidRDefault="000E192F" w:rsidP="000E192F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1FB" w:rsidRPr="00652290" w:rsidTr="00652290">
        <w:tc>
          <w:tcPr>
            <w:tcW w:w="3150" w:type="dxa"/>
          </w:tcPr>
          <w:p w:rsidR="009A71FB" w:rsidRPr="001B206D" w:rsidRDefault="009A71FB" w:rsidP="00AA25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Updates from the TWG on recovered logs </w:t>
            </w:r>
          </w:p>
        </w:tc>
        <w:tc>
          <w:tcPr>
            <w:tcW w:w="5490" w:type="dxa"/>
          </w:tcPr>
          <w:p w:rsidR="009A71FB" w:rsidRDefault="0085762A" w:rsidP="008576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Please refer to the  enclosed guideline for guidance of all stakeholders with no further inputs/comments from the body.  </w:t>
            </w:r>
          </w:p>
          <w:p w:rsidR="000E192F" w:rsidRPr="001B206D" w:rsidRDefault="000E192F" w:rsidP="000E192F">
            <w:pPr>
              <w:pStyle w:val="ListParagraph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1FB" w:rsidRPr="00652290" w:rsidTr="00652290">
        <w:tc>
          <w:tcPr>
            <w:tcW w:w="3150" w:type="dxa"/>
          </w:tcPr>
          <w:p w:rsidR="00AA25A2" w:rsidRPr="001B206D" w:rsidRDefault="009A71FB" w:rsidP="00AA25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Other matters</w:t>
            </w:r>
          </w:p>
          <w:p w:rsidR="009A71FB" w:rsidRPr="001B206D" w:rsidRDefault="00AA25A2" w:rsidP="002B65A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 xml:space="preserve">Communication plan for the IDPs for information </w:t>
            </w:r>
            <w:r w:rsidR="002B65A4" w:rsidRPr="001B206D">
              <w:rPr>
                <w:rFonts w:ascii="Arial" w:hAnsi="Arial" w:cs="Arial"/>
                <w:sz w:val="24"/>
                <w:szCs w:val="24"/>
              </w:rPr>
              <w:t xml:space="preserve"> management i.e. generation, dissemination, databanking, etc. 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1B206D">
              <w:rPr>
                <w:rFonts w:ascii="Arial" w:hAnsi="Arial" w:cs="Arial"/>
                <w:sz w:val="24"/>
                <w:szCs w:val="24"/>
              </w:rPr>
              <w:lastRenderedPageBreak/>
              <w:t xml:space="preserve">current initiatives of all stakeholders </w:t>
            </w:r>
            <w:r w:rsidR="002B65A4" w:rsidRPr="001B206D">
              <w:rPr>
                <w:rFonts w:ascii="Arial" w:hAnsi="Arial" w:cs="Arial"/>
                <w:sz w:val="24"/>
                <w:szCs w:val="24"/>
              </w:rPr>
              <w:t xml:space="preserve">along </w:t>
            </w:r>
            <w:r w:rsidRPr="001B206D">
              <w:rPr>
                <w:rFonts w:ascii="Arial" w:hAnsi="Arial" w:cs="Arial"/>
                <w:sz w:val="24"/>
                <w:szCs w:val="24"/>
              </w:rPr>
              <w:t>housing, CCCM and other psychosocial</w:t>
            </w:r>
            <w:r w:rsidR="002B65A4" w:rsidRPr="001B206D">
              <w:rPr>
                <w:rFonts w:ascii="Arial" w:hAnsi="Arial" w:cs="Arial"/>
                <w:sz w:val="24"/>
                <w:szCs w:val="24"/>
              </w:rPr>
              <w:t xml:space="preserve"> sup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port services.  </w:t>
            </w:r>
            <w:r w:rsidR="009A71FB" w:rsidRPr="001B20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AA25A2" w:rsidRPr="001B206D" w:rsidRDefault="00AA25A2" w:rsidP="00AA25A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lastRenderedPageBreak/>
              <w:t>Organiza</w:t>
            </w:r>
            <w:r w:rsidR="0085762A" w:rsidRPr="001B206D">
              <w:rPr>
                <w:rFonts w:ascii="Arial" w:hAnsi="Arial" w:cs="Arial"/>
                <w:sz w:val="24"/>
                <w:szCs w:val="24"/>
              </w:rPr>
              <w:t>t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ion of a Communication Committe among local and national government agencies, and international humanitarian players such as IOM, UNHCR, UN-Habitat, etc.; </w:t>
            </w:r>
            <w:r w:rsidR="00790FA6" w:rsidRPr="001B206D">
              <w:rPr>
                <w:rFonts w:ascii="Arial" w:hAnsi="Arial" w:cs="Arial"/>
                <w:sz w:val="24"/>
                <w:szCs w:val="24"/>
              </w:rPr>
              <w:t>and,</w:t>
            </w:r>
          </w:p>
          <w:p w:rsidR="00AA25A2" w:rsidRPr="001B206D" w:rsidRDefault="00AA25A2" w:rsidP="00AA25A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t>Tap and maximize the existing technology and human resources of the LGU Information Center;</w:t>
            </w:r>
            <w:r w:rsidR="0085762A" w:rsidRPr="001B206D">
              <w:rPr>
                <w:rFonts w:ascii="Arial" w:hAnsi="Arial" w:cs="Arial"/>
                <w:sz w:val="24"/>
                <w:szCs w:val="24"/>
              </w:rPr>
              <w:t xml:space="preserve"> and,</w:t>
            </w:r>
          </w:p>
          <w:p w:rsidR="0085762A" w:rsidRPr="001B206D" w:rsidRDefault="0085762A" w:rsidP="00AA25A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206D">
              <w:rPr>
                <w:rFonts w:ascii="Arial" w:hAnsi="Arial" w:cs="Arial"/>
                <w:sz w:val="24"/>
                <w:szCs w:val="24"/>
              </w:rPr>
              <w:lastRenderedPageBreak/>
              <w:t>For the committe</w:t>
            </w:r>
            <w:r w:rsidR="00481EAA">
              <w:rPr>
                <w:rFonts w:ascii="Arial" w:hAnsi="Arial" w:cs="Arial"/>
                <w:sz w:val="24"/>
                <w:szCs w:val="24"/>
              </w:rPr>
              <w:t>e</w:t>
            </w:r>
            <w:r w:rsidRPr="001B206D">
              <w:rPr>
                <w:rFonts w:ascii="Arial" w:hAnsi="Arial" w:cs="Arial"/>
                <w:sz w:val="24"/>
                <w:szCs w:val="24"/>
              </w:rPr>
              <w:t xml:space="preserve"> to develop standard reporting tools per project for  presentation and finalization during next week’s meeting.  </w:t>
            </w:r>
          </w:p>
          <w:p w:rsidR="009A71FB" w:rsidRPr="001B206D" w:rsidRDefault="009A71FB" w:rsidP="00AA25A2">
            <w:pPr>
              <w:tabs>
                <w:tab w:val="left" w:pos="11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2290" w:rsidRDefault="00652290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0E192F" w:rsidRDefault="000E192F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C67BBB" w:rsidRPr="00652290" w:rsidRDefault="00C67BBB" w:rsidP="00C67BBB">
      <w:pPr>
        <w:pStyle w:val="NoSpacing"/>
        <w:rPr>
          <w:rFonts w:ascii="Arial" w:hAnsi="Arial" w:cs="Arial"/>
          <w:sz w:val="23"/>
          <w:szCs w:val="23"/>
        </w:rPr>
      </w:pPr>
      <w:r w:rsidRPr="00652290">
        <w:rPr>
          <w:rFonts w:ascii="Arial" w:hAnsi="Arial" w:cs="Arial"/>
          <w:sz w:val="23"/>
          <w:szCs w:val="23"/>
        </w:rPr>
        <w:t xml:space="preserve">Prepared by: </w:t>
      </w:r>
      <w:r w:rsidRPr="00652290">
        <w:rPr>
          <w:rFonts w:ascii="Arial" w:hAnsi="Arial" w:cs="Arial"/>
          <w:sz w:val="23"/>
          <w:szCs w:val="23"/>
        </w:rPr>
        <w:tab/>
      </w:r>
      <w:r w:rsidRPr="00652290">
        <w:rPr>
          <w:rFonts w:ascii="Arial" w:hAnsi="Arial" w:cs="Arial"/>
          <w:sz w:val="23"/>
          <w:szCs w:val="23"/>
        </w:rPr>
        <w:tab/>
      </w:r>
      <w:r w:rsidRPr="00652290">
        <w:rPr>
          <w:rFonts w:ascii="Arial" w:hAnsi="Arial" w:cs="Arial"/>
          <w:sz w:val="23"/>
          <w:szCs w:val="23"/>
        </w:rPr>
        <w:tab/>
      </w:r>
      <w:r w:rsidRPr="00652290">
        <w:rPr>
          <w:rFonts w:ascii="Arial" w:hAnsi="Arial" w:cs="Arial"/>
          <w:sz w:val="23"/>
          <w:szCs w:val="23"/>
        </w:rPr>
        <w:tab/>
      </w:r>
      <w:r w:rsidRPr="00652290">
        <w:rPr>
          <w:rFonts w:ascii="Arial" w:hAnsi="Arial" w:cs="Arial"/>
          <w:sz w:val="23"/>
          <w:szCs w:val="23"/>
        </w:rPr>
        <w:tab/>
      </w:r>
      <w:r w:rsidRPr="00652290">
        <w:rPr>
          <w:rFonts w:ascii="Arial" w:hAnsi="Arial" w:cs="Arial"/>
          <w:sz w:val="23"/>
          <w:szCs w:val="23"/>
        </w:rPr>
        <w:tab/>
        <w:t>Attested by:</w:t>
      </w:r>
    </w:p>
    <w:p w:rsidR="00C67BBB" w:rsidRDefault="00C67BBB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0E192F" w:rsidRPr="00652290" w:rsidRDefault="000E192F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C67BBB" w:rsidRPr="00652290" w:rsidRDefault="00C67BBB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C67BBB" w:rsidRPr="00652290" w:rsidRDefault="00C67BBB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C67BBB" w:rsidRPr="00652290" w:rsidRDefault="00C67BBB" w:rsidP="00C67BBB">
      <w:pPr>
        <w:pStyle w:val="NoSpacing"/>
        <w:rPr>
          <w:rFonts w:ascii="Arial" w:hAnsi="Arial" w:cs="Arial"/>
          <w:b/>
          <w:sz w:val="23"/>
          <w:szCs w:val="23"/>
        </w:rPr>
      </w:pPr>
      <w:r w:rsidRPr="00652290">
        <w:rPr>
          <w:rFonts w:ascii="Arial" w:hAnsi="Arial" w:cs="Arial"/>
          <w:b/>
          <w:sz w:val="23"/>
          <w:szCs w:val="23"/>
        </w:rPr>
        <w:t xml:space="preserve">REY E. MARTIJA </w:t>
      </w:r>
      <w:r w:rsidRPr="00652290">
        <w:rPr>
          <w:rFonts w:ascii="Arial" w:hAnsi="Arial" w:cs="Arial"/>
          <w:b/>
          <w:sz w:val="23"/>
          <w:szCs w:val="23"/>
        </w:rPr>
        <w:tab/>
      </w:r>
      <w:r w:rsidRPr="00652290">
        <w:rPr>
          <w:rFonts w:ascii="Arial" w:hAnsi="Arial" w:cs="Arial"/>
          <w:b/>
          <w:sz w:val="23"/>
          <w:szCs w:val="23"/>
        </w:rPr>
        <w:tab/>
      </w:r>
      <w:r w:rsidRPr="00652290">
        <w:rPr>
          <w:rFonts w:ascii="Arial" w:hAnsi="Arial" w:cs="Arial"/>
          <w:b/>
          <w:sz w:val="23"/>
          <w:szCs w:val="23"/>
        </w:rPr>
        <w:tab/>
      </w:r>
      <w:r w:rsidRPr="00652290">
        <w:rPr>
          <w:rFonts w:ascii="Arial" w:hAnsi="Arial" w:cs="Arial"/>
          <w:b/>
          <w:sz w:val="23"/>
          <w:szCs w:val="23"/>
        </w:rPr>
        <w:tab/>
      </w:r>
      <w:r w:rsidRPr="00652290">
        <w:rPr>
          <w:rFonts w:ascii="Arial" w:hAnsi="Arial" w:cs="Arial"/>
          <w:b/>
          <w:sz w:val="23"/>
          <w:szCs w:val="23"/>
        </w:rPr>
        <w:tab/>
        <w:t>ROSAMARIE P. CONDE</w:t>
      </w:r>
    </w:p>
    <w:p w:rsidR="00C67BBB" w:rsidRPr="00652290" w:rsidRDefault="00C67BBB" w:rsidP="00C67BBB">
      <w:pPr>
        <w:pStyle w:val="NoSpacing"/>
        <w:rPr>
          <w:rFonts w:ascii="Arial" w:hAnsi="Arial" w:cs="Arial"/>
          <w:sz w:val="23"/>
          <w:szCs w:val="23"/>
        </w:rPr>
      </w:pPr>
      <w:r w:rsidRPr="00652290">
        <w:rPr>
          <w:rFonts w:ascii="Arial" w:hAnsi="Arial" w:cs="Arial"/>
          <w:sz w:val="23"/>
          <w:szCs w:val="23"/>
        </w:rPr>
        <w:t>Project Development Officer (PDO) III</w:t>
      </w:r>
      <w:r w:rsidRPr="00652290">
        <w:rPr>
          <w:rFonts w:ascii="Arial" w:hAnsi="Arial" w:cs="Arial"/>
          <w:sz w:val="23"/>
          <w:szCs w:val="23"/>
        </w:rPr>
        <w:tab/>
      </w:r>
      <w:r w:rsidRPr="00652290">
        <w:rPr>
          <w:rFonts w:ascii="Arial" w:hAnsi="Arial" w:cs="Arial"/>
          <w:sz w:val="23"/>
          <w:szCs w:val="23"/>
        </w:rPr>
        <w:tab/>
        <w:t xml:space="preserve">SWO IV/Chief, Operations Division </w:t>
      </w:r>
    </w:p>
    <w:p w:rsidR="00C67BBB" w:rsidRDefault="00C67BBB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0E192F" w:rsidRDefault="000E192F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0E192F" w:rsidRDefault="000E192F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652290" w:rsidRPr="00652290" w:rsidRDefault="00652290" w:rsidP="00C67BBB">
      <w:pPr>
        <w:pStyle w:val="NoSpacing"/>
        <w:rPr>
          <w:rFonts w:ascii="Arial" w:hAnsi="Arial" w:cs="Arial"/>
          <w:sz w:val="23"/>
          <w:szCs w:val="23"/>
        </w:rPr>
      </w:pPr>
    </w:p>
    <w:p w:rsidR="00C67BBB" w:rsidRPr="00652290" w:rsidRDefault="00C67BBB" w:rsidP="00652290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652290">
        <w:rPr>
          <w:rFonts w:ascii="Arial" w:hAnsi="Arial" w:cs="Arial"/>
          <w:sz w:val="23"/>
          <w:szCs w:val="23"/>
        </w:rPr>
        <w:t>Approved by:</w:t>
      </w:r>
    </w:p>
    <w:p w:rsidR="00C67BBB" w:rsidRPr="00652290" w:rsidRDefault="00C67BBB" w:rsidP="00C67BBB">
      <w:pPr>
        <w:pStyle w:val="NoSpacing"/>
        <w:jc w:val="center"/>
        <w:rPr>
          <w:rFonts w:ascii="Arial" w:hAnsi="Arial" w:cs="Arial"/>
          <w:sz w:val="23"/>
          <w:szCs w:val="23"/>
        </w:rPr>
      </w:pPr>
    </w:p>
    <w:p w:rsidR="00C67BBB" w:rsidRPr="00652290" w:rsidRDefault="00C67BBB" w:rsidP="00C67BBB">
      <w:pPr>
        <w:pStyle w:val="NoSpacing"/>
        <w:jc w:val="center"/>
        <w:rPr>
          <w:rFonts w:ascii="Arial" w:hAnsi="Arial" w:cs="Arial"/>
          <w:sz w:val="23"/>
          <w:szCs w:val="23"/>
        </w:rPr>
      </w:pPr>
    </w:p>
    <w:p w:rsidR="00C67BBB" w:rsidRDefault="00C67BBB" w:rsidP="00C67BBB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</w:p>
    <w:p w:rsidR="000E192F" w:rsidRPr="00652290" w:rsidRDefault="000E192F" w:rsidP="00C67BBB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</w:p>
    <w:p w:rsidR="00C67BBB" w:rsidRPr="00652290" w:rsidRDefault="00C67BBB" w:rsidP="00C67BBB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 w:rsidRPr="00652290">
        <w:rPr>
          <w:rFonts w:ascii="Arial" w:hAnsi="Arial" w:cs="Arial"/>
          <w:b/>
          <w:sz w:val="23"/>
          <w:szCs w:val="23"/>
        </w:rPr>
        <w:t>ATTY. ARACELI F. SOLAMILLO</w:t>
      </w:r>
    </w:p>
    <w:p w:rsidR="00C67BBB" w:rsidRPr="00652290" w:rsidRDefault="00C67BBB" w:rsidP="00C67BBB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652290">
        <w:rPr>
          <w:rFonts w:ascii="Arial" w:hAnsi="Arial" w:cs="Arial"/>
          <w:sz w:val="23"/>
          <w:szCs w:val="23"/>
        </w:rPr>
        <w:t>Regional Director</w:t>
      </w:r>
    </w:p>
    <w:p w:rsidR="00C67BBB" w:rsidRPr="00652290" w:rsidRDefault="001B206D" w:rsidP="001B206D">
      <w:pPr>
        <w:pStyle w:val="NoSpacing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DSWD-Field Office X</w:t>
      </w:r>
    </w:p>
    <w:sectPr w:rsidR="00C67BBB" w:rsidRPr="00652290" w:rsidSect="000E1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98" w:rsidRDefault="00391D98" w:rsidP="0068717F">
      <w:pPr>
        <w:spacing w:after="0" w:line="240" w:lineRule="auto"/>
      </w:pPr>
      <w:r>
        <w:separator/>
      </w:r>
    </w:p>
  </w:endnote>
  <w:endnote w:type="continuationSeparator" w:id="0">
    <w:p w:rsidR="00391D98" w:rsidRDefault="00391D98" w:rsidP="0068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98" w:rsidRDefault="00391D98" w:rsidP="0068717F">
      <w:pPr>
        <w:spacing w:after="0" w:line="240" w:lineRule="auto"/>
      </w:pPr>
      <w:r>
        <w:separator/>
      </w:r>
    </w:p>
  </w:footnote>
  <w:footnote w:type="continuationSeparator" w:id="0">
    <w:p w:rsidR="00391D98" w:rsidRDefault="00391D98" w:rsidP="0068717F">
      <w:pPr>
        <w:spacing w:after="0" w:line="240" w:lineRule="auto"/>
      </w:pPr>
      <w:r>
        <w:continuationSeparator/>
      </w:r>
    </w:p>
  </w:footnote>
  <w:footnote w:id="1">
    <w:p w:rsidR="0068717F" w:rsidRPr="0068717F" w:rsidRDefault="0068717F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8717F">
        <w:rPr>
          <w:i/>
          <w:sz w:val="18"/>
          <w:szCs w:val="18"/>
        </w:rPr>
        <w:t>Not indicated on the survey form either totally, partially or flooded.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3E74"/>
    <w:multiLevelType w:val="hybridMultilevel"/>
    <w:tmpl w:val="06681D30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426B3"/>
    <w:multiLevelType w:val="hybridMultilevel"/>
    <w:tmpl w:val="A394EAF0"/>
    <w:lvl w:ilvl="0" w:tplc="046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B21E8C"/>
    <w:multiLevelType w:val="hybridMultilevel"/>
    <w:tmpl w:val="0462754A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73238"/>
    <w:multiLevelType w:val="hybridMultilevel"/>
    <w:tmpl w:val="A3E07126"/>
    <w:lvl w:ilvl="0" w:tplc="046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9A1455"/>
    <w:multiLevelType w:val="hybridMultilevel"/>
    <w:tmpl w:val="1FBA916C"/>
    <w:lvl w:ilvl="0" w:tplc="046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E304D"/>
    <w:multiLevelType w:val="hybridMultilevel"/>
    <w:tmpl w:val="614C20B6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367A6"/>
    <w:multiLevelType w:val="hybridMultilevel"/>
    <w:tmpl w:val="BD2CCEB6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95B4C"/>
    <w:multiLevelType w:val="hybridMultilevel"/>
    <w:tmpl w:val="CEBC8E06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252F9"/>
    <w:multiLevelType w:val="hybridMultilevel"/>
    <w:tmpl w:val="71289034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D5F86"/>
    <w:multiLevelType w:val="hybridMultilevel"/>
    <w:tmpl w:val="6CDA7CC0"/>
    <w:lvl w:ilvl="0" w:tplc="046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42605B"/>
    <w:multiLevelType w:val="hybridMultilevel"/>
    <w:tmpl w:val="FF40D586"/>
    <w:lvl w:ilvl="0" w:tplc="046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67913"/>
    <w:multiLevelType w:val="hybridMultilevel"/>
    <w:tmpl w:val="71FA1EE6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99"/>
    <w:rsid w:val="00035120"/>
    <w:rsid w:val="00084C66"/>
    <w:rsid w:val="00084CAB"/>
    <w:rsid w:val="000E192F"/>
    <w:rsid w:val="000F4F1E"/>
    <w:rsid w:val="00136A32"/>
    <w:rsid w:val="001B206D"/>
    <w:rsid w:val="001B7E4D"/>
    <w:rsid w:val="001D1576"/>
    <w:rsid w:val="001E17DD"/>
    <w:rsid w:val="00202717"/>
    <w:rsid w:val="002064B1"/>
    <w:rsid w:val="002118AC"/>
    <w:rsid w:val="00260DA8"/>
    <w:rsid w:val="00286221"/>
    <w:rsid w:val="002B65A4"/>
    <w:rsid w:val="002D2250"/>
    <w:rsid w:val="002F2217"/>
    <w:rsid w:val="0037561B"/>
    <w:rsid w:val="00391D98"/>
    <w:rsid w:val="003A7EE9"/>
    <w:rsid w:val="003B6E93"/>
    <w:rsid w:val="00481EAA"/>
    <w:rsid w:val="004A01CF"/>
    <w:rsid w:val="004A1C0E"/>
    <w:rsid w:val="004B0700"/>
    <w:rsid w:val="00522E90"/>
    <w:rsid w:val="00541D24"/>
    <w:rsid w:val="00555C34"/>
    <w:rsid w:val="005845D7"/>
    <w:rsid w:val="00592710"/>
    <w:rsid w:val="005A0F0C"/>
    <w:rsid w:val="0062341B"/>
    <w:rsid w:val="006432F9"/>
    <w:rsid w:val="00652290"/>
    <w:rsid w:val="00667209"/>
    <w:rsid w:val="00675CCC"/>
    <w:rsid w:val="006816D2"/>
    <w:rsid w:val="0068717F"/>
    <w:rsid w:val="006A147C"/>
    <w:rsid w:val="006A3E8B"/>
    <w:rsid w:val="006B74DC"/>
    <w:rsid w:val="00720DCC"/>
    <w:rsid w:val="007410FB"/>
    <w:rsid w:val="00752AC3"/>
    <w:rsid w:val="0076307F"/>
    <w:rsid w:val="00790FA6"/>
    <w:rsid w:val="00792D18"/>
    <w:rsid w:val="007B12DC"/>
    <w:rsid w:val="007C1ABB"/>
    <w:rsid w:val="007E28BF"/>
    <w:rsid w:val="007F303A"/>
    <w:rsid w:val="00821D8C"/>
    <w:rsid w:val="0085762A"/>
    <w:rsid w:val="0086759F"/>
    <w:rsid w:val="00891C37"/>
    <w:rsid w:val="008A6D76"/>
    <w:rsid w:val="008D24B9"/>
    <w:rsid w:val="008E52AB"/>
    <w:rsid w:val="00910D05"/>
    <w:rsid w:val="00914B36"/>
    <w:rsid w:val="00924520"/>
    <w:rsid w:val="009305EF"/>
    <w:rsid w:val="0093336F"/>
    <w:rsid w:val="009573C6"/>
    <w:rsid w:val="009802F8"/>
    <w:rsid w:val="00987009"/>
    <w:rsid w:val="009A71FB"/>
    <w:rsid w:val="009D46B7"/>
    <w:rsid w:val="00A1335F"/>
    <w:rsid w:val="00A46B6B"/>
    <w:rsid w:val="00A737E4"/>
    <w:rsid w:val="00AA25A2"/>
    <w:rsid w:val="00B55B22"/>
    <w:rsid w:val="00B7453F"/>
    <w:rsid w:val="00B95C65"/>
    <w:rsid w:val="00BB3D99"/>
    <w:rsid w:val="00C509F1"/>
    <w:rsid w:val="00C54CDD"/>
    <w:rsid w:val="00C60481"/>
    <w:rsid w:val="00C67BBB"/>
    <w:rsid w:val="00C73667"/>
    <w:rsid w:val="00D03748"/>
    <w:rsid w:val="00D126A2"/>
    <w:rsid w:val="00D27FDF"/>
    <w:rsid w:val="00D52047"/>
    <w:rsid w:val="00D5677F"/>
    <w:rsid w:val="00D75884"/>
    <w:rsid w:val="00D91675"/>
    <w:rsid w:val="00DB3FC4"/>
    <w:rsid w:val="00DF7D3C"/>
    <w:rsid w:val="00E54B67"/>
    <w:rsid w:val="00EB55D0"/>
    <w:rsid w:val="00EB6DA9"/>
    <w:rsid w:val="00EE2C00"/>
    <w:rsid w:val="00F00481"/>
    <w:rsid w:val="00F36067"/>
    <w:rsid w:val="00F77E6E"/>
    <w:rsid w:val="00F77FF3"/>
    <w:rsid w:val="00F92365"/>
    <w:rsid w:val="00F93295"/>
    <w:rsid w:val="00FB6552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fil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3D99"/>
    <w:pPr>
      <w:ind w:left="720"/>
      <w:contextualSpacing/>
    </w:pPr>
  </w:style>
  <w:style w:type="paragraph" w:styleId="NoSpacing">
    <w:name w:val="No Spacing"/>
    <w:uiPriority w:val="1"/>
    <w:qFormat/>
    <w:rsid w:val="00D126A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71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1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1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l-PH" w:eastAsia="fil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3D99"/>
    <w:pPr>
      <w:ind w:left="720"/>
      <w:contextualSpacing/>
    </w:pPr>
  </w:style>
  <w:style w:type="paragraph" w:styleId="NoSpacing">
    <w:name w:val="No Spacing"/>
    <w:uiPriority w:val="1"/>
    <w:qFormat/>
    <w:rsid w:val="00D126A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71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1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1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>December</Event_x0020_Month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>16</Event_x0020_Day>
    <ied6aaf0461f439496f935d3461379e0 xmlns="96664bca-06c0-4657-b6f9-0a997f5ff9b9">
      <Terms xmlns="http://schemas.microsoft.com/office/infopath/2007/PartnerControls"/>
    </ied6aaf0461f439496f935d3461379e0>
    <TaxKeywordTaxHTField xmlns="96664bca-06c0-4657-b6f9-0a997f5ff9b9">
      <Terms xmlns="http://schemas.microsoft.com/office/infopath/2007/PartnerControls"/>
    </TaxKeywordTaxHTField>
    <Is_x0020_Reference_x0020_Doc xmlns="96664bca-06c0-4657-b6f9-0a997f5ff9b9">false</Is_x0020_Reference_x0020_Doc>
    <Event_x0020_Year xmlns="96664bca-06c0-4657-b6f9-0a997f5ff9b9">2011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Windstorm</TermName>
          <TermId xmlns="http://schemas.microsoft.com/office/infopath/2007/PartnerControls">cdba76e3-1674-47bb-b967-aa23358effb5</TermId>
        </TermInfo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071fd773-286a-4bf7-ba3e-769af5e0f9cb</TermId>
        </TermInfo>
        <TermInfo xmlns="http://schemas.microsoft.com/office/infopath/2007/PartnerControls">
          <TermName xmlns="http://schemas.microsoft.com/office/infopath/2007/PartnerControls">Slide</TermName>
          <TermId xmlns="http://schemas.microsoft.com/office/infopath/2007/PartnerControls">2a99c5a5-9a13-42fb-a3f3-56033608559e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Document_x0020_Description xmlns="96664bca-06c0-4657-b6f9-0a997f5ff9b9">&lt;div class="ExternalClass1C92F001BFFA4ACEA1977F12FF595ACF"&gt;​Shelter Cluster Meeting Minutes in Iligan City&lt;/div&gt;
</Document_x0020_Description>
    <Websio_x0020_Document_x0020_Preview xmlns="96664bca-06c0-4657-b6f9-0a997f5ff9b9">/Asia/Philippines/TropicalStormSendong2011/_layouts/WebsioPreviewField/preview.aspx?ID=ca24aa27-8764-4006-b223-4c58b69c95f5&amp;WebID=e027c474-10ff-4ec5-9865-60761ce8587f&amp;SiteID=0e29c24b-3e6a-4c7c-8cc1-69b27805b55c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19</Value>
      <Value>16</Value>
      <Value>39</Value>
      <Value>15</Value>
      <Value>245</Value>
      <Value>36</Value>
      <Value>300</Value>
      <Value>11</Value>
      <Value>10</Value>
      <Value>5</Value>
      <Value>49</Value>
      <Value>115</Value>
      <Value>118</Value>
      <Value>117</Value>
      <Value>116</Value>
      <Value>23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Cluster_x0020_Review xmlns="96664bca-06c0-4657-b6f9-0a997f5ff9b9">false</Cluster_x0020_Review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2012-03-28T16:00:00+00:00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Tropical storm sendong 2011</TermName>
          <TermId xmlns="http://schemas.microsoft.com/office/infopath/2007/PartnerControls">86a05612-7ae2-40c3-b9f9-cef40292b016</TermId>
        </TermInfo>
      </Terms>
    </g2834a0a4b5b445382f80b4d1c20b873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45759CFEF9FB3740ACEC2329ADEBBA1E" ma:contentTypeVersion="76" ma:contentTypeDescription="" ma:contentTypeScope="" ma:versionID="aef3371928e4041ac36e295010bdbf97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db32f44948f5b442c0e7ef8d320b1f27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default="December" ma:internalName="Event_x0020_Month" ma:readOnly="false">
      <xsd:simpleType>
        <xsd:restriction base="dms:Text">
          <xsd:maxLength value="255"/>
        </xsd:restriction>
      </xsd:simpleType>
    </xsd:element>
    <xsd:element name="Event_x0020_Year" ma:index="41" nillable="true" ma:displayName="Event Year" ma:default="2011" ma:internalName="Event_x0020_Year" ma:readOnly="false" ma:percentage="FALSE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hidden" ma:default="0" ma:internalName="Cluster_x0020_Review">
      <xsd:simpleType>
        <xsd:restriction base="dms:Boolean"/>
      </xsd:simpleType>
    </xsd:element>
    <xsd:element name="ff39aabcbcfa4b29888983c5e6d736f9" ma:index="7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3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5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6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readOnly="false" ma:default="117;#Philippines|753a7b2d-32c5-43de-b643-9fe2fe455068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10;#Flood|071fd773-286a-4bf7-ba3e-769af5e0f9cb;#118;#Windstorm|cdba76e3-1674-47bb-b967-aa23358effb5;#23;#Slide|2a99c5a5-9a13-42fb-a3f3-56033608559e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readOnly="false" ma:default="36;#Medium|6b2cc75e-07ed-40a7-8922-57b1887ff9f3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readOnly="false" ma:default="39;#IFRC|0e7dd7e8-b714-4971-a101-594bd0ec6546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readOnly="false" ma:default="16;#Peri-Urban|df197954-a687-4fd4-b090-340c291f0d53;#49;#Urban|f95d968c-f509-433d-9d2f-3f9ba300a514;#19;#Rural|5400dbf1-cf20-4773-abf1-c8f7ccce637a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readOnly="false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E1C60-DDA8-4DBC-9591-23BB7C006997}"/>
</file>

<file path=customXml/itemProps2.xml><?xml version="1.0" encoding="utf-8"?>
<ds:datastoreItem xmlns:ds="http://schemas.openxmlformats.org/officeDocument/2006/customXml" ds:itemID="{894738F5-B999-4662-A38E-64843849C19E}"/>
</file>

<file path=customXml/itemProps3.xml><?xml version="1.0" encoding="utf-8"?>
<ds:datastoreItem xmlns:ds="http://schemas.openxmlformats.org/officeDocument/2006/customXml" ds:itemID="{C400DEF2-3872-4E07-AB8A-222E397FE542}"/>
</file>

<file path=customXml/itemProps4.xml><?xml version="1.0" encoding="utf-8"?>
<ds:datastoreItem xmlns:ds="http://schemas.openxmlformats.org/officeDocument/2006/customXml" ds:itemID="{B05FF9C9-0B9E-4E71-B3E2-475C2552C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minutes-Iligan 120329</dc:title>
  <dc:creator>ReyM</dc:creator>
  <cp:keywords/>
  <cp:lastModifiedBy>REDFOX W1040i</cp:lastModifiedBy>
  <cp:revision>2</cp:revision>
  <cp:lastPrinted>2012-03-30T05:47:00Z</cp:lastPrinted>
  <dcterms:created xsi:type="dcterms:W3CDTF">2012-04-10T05:25:00Z</dcterms:created>
  <dcterms:modified xsi:type="dcterms:W3CDTF">2012-04-10T05:25:00Z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0x010100AA7AFC8FE433CD4B94E991D812AE17EB0045759CFEF9FB3740ACEC2329ADEBBA1E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Document Category">
    <vt:lpwstr>245;#Coordination|2b061053-00e5-46b2-8e36-3fafaef2d4e2</vt:lpwstr>
  </property>
  <property fmtid="{D5CDD505-2E9C-101B-9397-08002B2CF9AE}" pid="10" name="Information Management">
    <vt:lpwstr/>
  </property>
  <property fmtid="{D5CDD505-2E9C-101B-9397-08002B2CF9AE}" pid="11" name="Media\Comms">
    <vt:lpwstr/>
  </property>
  <property fmtid="{D5CDD505-2E9C-101B-9397-08002B2CF9AE}" pid="12" name="NFI Guidance1">
    <vt:lpwstr/>
  </property>
  <property fmtid="{D5CDD505-2E9C-101B-9397-08002B2CF9AE}" pid="15" name="ea99b9bab6784ccc9283a2724abfb998">
    <vt:lpwstr/>
  </property>
  <property fmtid="{D5CDD505-2E9C-101B-9397-08002B2CF9AE}" pid="16" name="Country">
    <vt:lpwstr>117;#Philippines|753a7b2d-32c5-43de-b643-9fe2fe455068</vt:lpwstr>
  </property>
  <property fmtid="{D5CDD505-2E9C-101B-9397-08002B2CF9AE}" pid="17" name="Damage Location">
    <vt:lpwstr>16;#Peri-Urban|df197954-a687-4fd4-b090-340c291f0d53;#49;#Urban|f95d968c-f509-433d-9d2f-3f9ba300a514;#19;#Rural|5400dbf1-cf20-4773-abf1-c8f7ccce637a</vt:lpwstr>
  </property>
  <property fmtid="{D5CDD505-2E9C-101B-9397-08002B2CF9AE}" pid="18" name="c6469c7b542544da98330bea40c07837">
    <vt:lpwstr/>
  </property>
  <property fmtid="{D5CDD505-2E9C-101B-9397-08002B2CF9AE}" pid="19" name="Degree Of Displacement">
    <vt:lpwstr>36;#Medium|6b2cc75e-07ed-40a7-8922-57b1887ff9f3</vt:lpwstr>
  </property>
  <property fmtid="{D5CDD505-2E9C-101B-9397-08002B2CF9AE}" pid="20" name="InterCluster">
    <vt:lpwstr/>
  </property>
  <property fmtid="{D5CDD505-2E9C-101B-9397-08002B2CF9AE}" pid="21" name="Management/Coordination">
    <vt:lpwstr>116;#Meeting Minutes|073dd3fd-2ae4-4873-a4a7-3498e6b393b4</vt:lpwstr>
  </property>
  <property fmtid="{D5CDD505-2E9C-101B-9397-08002B2CF9AE}" pid="22" name="Current Lead Agency">
    <vt:lpwstr>39;#IFRC|0e7dd7e8-b714-4971-a101-594bd0ec6546</vt:lpwstr>
  </property>
  <property fmtid="{D5CDD505-2E9C-101B-9397-08002B2CF9AE}" pid="23" name="Cross Cutting1">
    <vt:lpwstr/>
  </property>
  <property fmtid="{D5CDD505-2E9C-101B-9397-08002B2CF9AE}" pid="24" name="Status Of Site">
    <vt:lpwstr>15;#Active|319c008f-4e4c-46bc-95eb-65641b9bd58c</vt:lpwstr>
  </property>
  <property fmtid="{D5CDD505-2E9C-101B-9397-08002B2CF9AE}" pid="25" name="AM&amp;E">
    <vt:lpwstr/>
  </property>
  <property fmtid="{D5CDD505-2E9C-101B-9397-08002B2CF9AE}" pid="26" name="Shelter Technical1">
    <vt:lpwstr/>
  </property>
  <property fmtid="{D5CDD505-2E9C-101B-9397-08002B2CF9AE}" pid="27" name="Shelter Planning1">
    <vt:lpwstr/>
  </property>
  <property fmtid="{D5CDD505-2E9C-101B-9397-08002B2CF9AE}" pid="28" name="Event Type">
    <vt:lpwstr>118;#Windstorm|cdba76e3-1674-47bb-b967-aa23358effb5;#10;#Flood|071fd773-286a-4bf7-ba3e-769af5e0f9cb;#23;#Slide|2a99c5a5-9a13-42fb-a3f3-56033608559e</vt:lpwstr>
  </property>
  <property fmtid="{D5CDD505-2E9C-101B-9397-08002B2CF9AE}" pid="30" name="Responses sites">
    <vt:lpwstr>300;#Tropical storm sendong 2011|86a05612-7ae2-40c3-b9f9-cef40292b016</vt:lpwstr>
  </property>
  <property fmtid="{D5CDD505-2E9C-101B-9397-08002B2CF9AE}" pid="31" name="Response Site">
    <vt:lpwstr>Tropical Storm Sendong 2011</vt:lpwstr>
  </property>
</Properties>
</file>