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46" w:rsidRPr="006D5984" w:rsidRDefault="00990C46" w:rsidP="00990C46">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sz w:val="36"/>
          <w:szCs w:val="36"/>
          <w:lang w:val="en-GB"/>
        </w:rPr>
      </w:pPr>
      <w:r w:rsidRPr="006D5984">
        <w:rPr>
          <w:rFonts w:ascii="Calibri" w:hAnsi="Calibri"/>
          <w:b/>
          <w:bCs/>
          <w:sz w:val="36"/>
          <w:szCs w:val="36"/>
          <w:lang w:val="en-GB"/>
        </w:rPr>
        <w:t>Protection Cluster</w:t>
      </w:r>
    </w:p>
    <w:p w:rsidR="00990C46" w:rsidRPr="006D5984" w:rsidRDefault="00990C46" w:rsidP="00990C46">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sz w:val="32"/>
          <w:szCs w:val="32"/>
          <w:lang w:val="en-GB"/>
        </w:rPr>
      </w:pPr>
      <w:r w:rsidRPr="006D5984">
        <w:rPr>
          <w:rFonts w:ascii="Calibri" w:hAnsi="Calibri"/>
          <w:b/>
          <w:bCs/>
          <w:sz w:val="32"/>
          <w:szCs w:val="32"/>
          <w:lang w:val="en-GB"/>
        </w:rPr>
        <w:t>Housing, Land and Property Working Group</w:t>
      </w:r>
    </w:p>
    <w:p w:rsidR="00990C46" w:rsidRPr="006D5984" w:rsidRDefault="00990C46" w:rsidP="00990C46">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sz w:val="28"/>
          <w:szCs w:val="28"/>
          <w:lang w:val="en-GB"/>
        </w:rPr>
      </w:pPr>
    </w:p>
    <w:p w:rsidR="00990C46" w:rsidRPr="006D5984" w:rsidRDefault="00990C46" w:rsidP="00990C46">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Cs/>
          <w:sz w:val="30"/>
          <w:szCs w:val="30"/>
          <w:lang w:val="en-GB"/>
        </w:rPr>
      </w:pPr>
      <w:r w:rsidRPr="006D5984">
        <w:rPr>
          <w:rFonts w:ascii="Calibri" w:hAnsi="Calibri"/>
          <w:bCs/>
          <w:sz w:val="30"/>
          <w:szCs w:val="30"/>
          <w:lang w:val="en-GB"/>
        </w:rPr>
        <w:t xml:space="preserve">Issue of the Renters in the </w:t>
      </w:r>
      <w:bookmarkStart w:id="0" w:name="OLE_LINK28"/>
      <w:r w:rsidRPr="006D5984">
        <w:rPr>
          <w:rFonts w:ascii="Calibri" w:hAnsi="Calibri"/>
          <w:bCs/>
          <w:sz w:val="30"/>
          <w:szCs w:val="30"/>
          <w:lang w:val="en-GB"/>
        </w:rPr>
        <w:t xml:space="preserve">Post-disaster </w:t>
      </w:r>
      <w:bookmarkEnd w:id="0"/>
      <w:r w:rsidR="008C63EE">
        <w:rPr>
          <w:rFonts w:ascii="Calibri" w:hAnsi="Calibri"/>
          <w:bCs/>
          <w:sz w:val="30"/>
          <w:szCs w:val="30"/>
          <w:lang w:val="en-GB"/>
        </w:rPr>
        <w:t xml:space="preserve">scenario </w:t>
      </w:r>
    </w:p>
    <w:p w:rsidR="00990C46" w:rsidRPr="006D5984" w:rsidRDefault="00990C46" w:rsidP="00990C46">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Cs/>
          <w:sz w:val="30"/>
          <w:szCs w:val="30"/>
          <w:lang w:val="en-GB"/>
        </w:rPr>
      </w:pPr>
      <w:r w:rsidRPr="006D5984">
        <w:rPr>
          <w:rFonts w:ascii="Calibri" w:hAnsi="Calibri"/>
          <w:bCs/>
          <w:sz w:val="30"/>
          <w:szCs w:val="30"/>
          <w:lang w:val="en-GB"/>
        </w:rPr>
        <w:t>Proposal for redress</w:t>
      </w:r>
      <w:r w:rsidR="008C63EE">
        <w:rPr>
          <w:rFonts w:ascii="Calibri" w:hAnsi="Calibri"/>
          <w:bCs/>
          <w:sz w:val="30"/>
          <w:szCs w:val="30"/>
          <w:lang w:val="en-GB"/>
        </w:rPr>
        <w:t>ing</w:t>
      </w:r>
      <w:r w:rsidRPr="006D5984">
        <w:rPr>
          <w:rFonts w:ascii="Calibri" w:hAnsi="Calibri"/>
          <w:bCs/>
          <w:sz w:val="30"/>
          <w:szCs w:val="30"/>
          <w:lang w:val="en-GB"/>
        </w:rPr>
        <w:t xml:space="preserve"> their position</w:t>
      </w:r>
      <w:r w:rsidR="008C63EE" w:rsidRPr="008C63EE">
        <w:rPr>
          <w:rFonts w:ascii="Calibri" w:hAnsi="Calibri"/>
          <w:bCs/>
          <w:sz w:val="30"/>
          <w:szCs w:val="30"/>
          <w:lang w:val="en-GB"/>
        </w:rPr>
        <w:t xml:space="preserve"> </w:t>
      </w:r>
      <w:r w:rsidR="008C63EE">
        <w:rPr>
          <w:rFonts w:ascii="Calibri" w:hAnsi="Calibri"/>
          <w:bCs/>
          <w:sz w:val="30"/>
          <w:szCs w:val="30"/>
          <w:lang w:val="en-GB"/>
        </w:rPr>
        <w:t xml:space="preserve">in </w:t>
      </w:r>
      <w:r w:rsidR="009F605A">
        <w:rPr>
          <w:rFonts w:ascii="Calibri" w:hAnsi="Calibri"/>
          <w:bCs/>
          <w:sz w:val="30"/>
          <w:szCs w:val="30"/>
          <w:lang w:val="en-GB"/>
        </w:rPr>
        <w:t xml:space="preserve">the Haitian Housing Assistance </w:t>
      </w:r>
    </w:p>
    <w:p w:rsidR="00013B3D" w:rsidRPr="006D5984" w:rsidRDefault="00013B3D">
      <w:pPr>
        <w:rPr>
          <w:lang w:val="en-GB"/>
        </w:rPr>
      </w:pPr>
    </w:p>
    <w:p w:rsidR="00DE465C" w:rsidRPr="00861082" w:rsidRDefault="00FC33B7" w:rsidP="00DE465C">
      <w:pPr>
        <w:rPr>
          <w:rFonts w:ascii="Arial" w:hAnsi="Arial" w:cs="Arial"/>
          <w:b/>
          <w:lang w:val="en-GB"/>
        </w:rPr>
      </w:pPr>
      <w:r w:rsidRPr="00861082">
        <w:rPr>
          <w:rFonts w:ascii="Arial" w:hAnsi="Arial" w:cs="Arial"/>
          <w:b/>
          <w:lang w:val="en-GB"/>
        </w:rPr>
        <w:t xml:space="preserve">1. </w:t>
      </w:r>
      <w:r w:rsidR="00DE465C" w:rsidRPr="00861082">
        <w:rPr>
          <w:rFonts w:ascii="Arial" w:hAnsi="Arial" w:cs="Arial"/>
          <w:b/>
          <w:lang w:val="en-GB"/>
        </w:rPr>
        <w:t>Background, problem description:</w:t>
      </w:r>
    </w:p>
    <w:p w:rsidR="006D5984" w:rsidRDefault="006D5984" w:rsidP="00DE465C">
      <w:pPr>
        <w:rPr>
          <w:lang w:val="en-GB"/>
        </w:rPr>
      </w:pPr>
    </w:p>
    <w:p w:rsidR="00DE465C" w:rsidRPr="006D5984" w:rsidRDefault="00DE465C" w:rsidP="00DE465C">
      <w:pPr>
        <w:rPr>
          <w:lang w:val="en-GB"/>
        </w:rPr>
      </w:pPr>
      <w:r w:rsidRPr="006D5984">
        <w:rPr>
          <w:lang w:val="en-GB"/>
        </w:rPr>
        <w:t xml:space="preserve">The devastating effects of </w:t>
      </w:r>
      <w:smartTag w:uri="urn:schemas-microsoft-com:office:smarttags" w:element="country-region">
        <w:smartTag w:uri="urn:schemas-microsoft-com:office:smarttags" w:element="place">
          <w:r w:rsidRPr="006D5984">
            <w:rPr>
              <w:lang w:val="en-GB"/>
            </w:rPr>
            <w:t>Haiti</w:t>
          </w:r>
        </w:smartTag>
      </w:smartTag>
      <w:r w:rsidRPr="006D5984">
        <w:rPr>
          <w:lang w:val="en-GB"/>
        </w:rPr>
        <w:t xml:space="preserve"> </w:t>
      </w:r>
      <w:smartTag w:uri="urn:schemas-microsoft-com:office:smarttags" w:element="date">
        <w:smartTagPr>
          <w:attr w:name="Month" w:val="1"/>
          <w:attr w:name="Day" w:val="12"/>
          <w:attr w:name="Year" w:val="2010"/>
        </w:smartTagPr>
        <w:r w:rsidRPr="006D5984">
          <w:rPr>
            <w:lang w:val="en-GB"/>
          </w:rPr>
          <w:t>12 January 2010</w:t>
        </w:r>
      </w:smartTag>
      <w:r w:rsidRPr="006D5984">
        <w:rPr>
          <w:lang w:val="en-GB"/>
        </w:rPr>
        <w:t xml:space="preserve"> earthquake forced the international humanitarian community to give a prompt response by prioritizing the emergency assistance in form of emergency or transitional shelter and reconstruction of the damaged houses. However, the post- disaster assistance cannot</w:t>
      </w:r>
      <w:r w:rsidR="006D5984" w:rsidRPr="006D5984">
        <w:rPr>
          <w:lang w:val="en-GB"/>
        </w:rPr>
        <w:t xml:space="preserve"> focus </w:t>
      </w:r>
      <w:r w:rsidRPr="006D5984">
        <w:rPr>
          <w:lang w:val="en-GB"/>
        </w:rPr>
        <w:t xml:space="preserve">only on formal owners and disadvantage the other tenure forms, primarily renters. The renters </w:t>
      </w:r>
      <w:r w:rsidR="00356CCB">
        <w:rPr>
          <w:lang w:val="en-GB"/>
        </w:rPr>
        <w:t>must not</w:t>
      </w:r>
      <w:r w:rsidR="00356CCB" w:rsidRPr="006D5984">
        <w:rPr>
          <w:lang w:val="en-GB"/>
        </w:rPr>
        <w:t xml:space="preserve"> </w:t>
      </w:r>
      <w:r w:rsidRPr="006D5984">
        <w:rPr>
          <w:lang w:val="en-GB"/>
        </w:rPr>
        <w:t xml:space="preserve">be the forgotten category in programs of return or rehousing for displaced victims. </w:t>
      </w:r>
    </w:p>
    <w:p w:rsidR="00DE465C" w:rsidRPr="006D5984" w:rsidRDefault="00DE465C">
      <w:pPr>
        <w:rPr>
          <w:lang w:val="en-GB"/>
        </w:rPr>
      </w:pPr>
      <w:r w:rsidRPr="006D5984">
        <w:rPr>
          <w:lang w:val="en-GB"/>
        </w:rPr>
        <w:t xml:space="preserve">Therefore there is an urgent need to define the principles, and procedural steps of the renters who could make immediate (green houses) or a </w:t>
      </w:r>
      <w:r w:rsidR="00356CCB" w:rsidRPr="006D5984">
        <w:rPr>
          <w:lang w:val="en-GB"/>
        </w:rPr>
        <w:t>short</w:t>
      </w:r>
      <w:r w:rsidR="00356CCB">
        <w:rPr>
          <w:lang w:val="en-GB"/>
        </w:rPr>
        <w:t>-</w:t>
      </w:r>
      <w:r w:rsidRPr="006D5984">
        <w:rPr>
          <w:lang w:val="en-GB"/>
        </w:rPr>
        <w:t>t</w:t>
      </w:r>
      <w:r w:rsidR="00356CCB">
        <w:rPr>
          <w:lang w:val="en-GB"/>
        </w:rPr>
        <w:t>erm</w:t>
      </w:r>
      <w:r w:rsidRPr="006D5984">
        <w:rPr>
          <w:lang w:val="en-GB"/>
        </w:rPr>
        <w:t xml:space="preserve"> (yellow houses) return.</w:t>
      </w:r>
    </w:p>
    <w:p w:rsidR="006D5984" w:rsidRDefault="006D5984" w:rsidP="00FC33B7">
      <w:pPr>
        <w:rPr>
          <w:b/>
          <w:bCs/>
          <w:lang w:val="en-GB"/>
        </w:rPr>
      </w:pPr>
    </w:p>
    <w:p w:rsidR="00FC33B7" w:rsidRPr="00861082" w:rsidRDefault="00FC33B7" w:rsidP="00FC33B7">
      <w:pPr>
        <w:rPr>
          <w:rFonts w:ascii="Arial" w:hAnsi="Arial" w:cs="Arial"/>
          <w:b/>
          <w:bCs/>
          <w:lang w:val="en-GB"/>
        </w:rPr>
      </w:pPr>
      <w:r w:rsidRPr="00861082">
        <w:rPr>
          <w:rFonts w:ascii="Arial" w:hAnsi="Arial" w:cs="Arial"/>
          <w:b/>
          <w:bCs/>
          <w:lang w:val="en-GB"/>
        </w:rPr>
        <w:t>2. Purpose and audience</w:t>
      </w:r>
    </w:p>
    <w:p w:rsidR="006D5984" w:rsidRDefault="006D5984" w:rsidP="00FC33B7">
      <w:pPr>
        <w:rPr>
          <w:b/>
          <w:bCs/>
          <w:lang w:val="en-GB"/>
        </w:rPr>
      </w:pPr>
    </w:p>
    <w:p w:rsidR="00FC33B7" w:rsidRPr="006D5984" w:rsidRDefault="00FC33B7" w:rsidP="00FC33B7">
      <w:pPr>
        <w:rPr>
          <w:b/>
          <w:bCs/>
          <w:lang w:val="en-GB"/>
        </w:rPr>
      </w:pPr>
      <w:r w:rsidRPr="006D5984">
        <w:rPr>
          <w:b/>
          <w:bCs/>
          <w:lang w:val="en-GB"/>
        </w:rPr>
        <w:t>2.1 What is in this document?</w:t>
      </w:r>
    </w:p>
    <w:p w:rsidR="00FC33B7" w:rsidRPr="006D5984" w:rsidRDefault="00773CC1" w:rsidP="00FC33B7">
      <w:pPr>
        <w:rPr>
          <w:lang w:val="en-GB"/>
        </w:rPr>
      </w:pPr>
      <w:r>
        <w:rPr>
          <w:lang w:val="en-GB"/>
        </w:rPr>
        <w:t xml:space="preserve">This document analyses different </w:t>
      </w:r>
      <w:r w:rsidR="00FC33B7" w:rsidRPr="006D5984">
        <w:rPr>
          <w:lang w:val="en-GB"/>
        </w:rPr>
        <w:t xml:space="preserve">policy options in support of the Government of Haiti’s efforts to address renters’ rights in the aftermath of the devastating earthquake on </w:t>
      </w:r>
      <w:smartTag w:uri="urn:schemas-microsoft-com:office:smarttags" w:element="date">
        <w:smartTagPr>
          <w:attr w:name="Month" w:val="1"/>
          <w:attr w:name="Day" w:val="12"/>
          <w:attr w:name="Year" w:val="2010"/>
        </w:smartTagPr>
        <w:r w:rsidR="00FC33B7" w:rsidRPr="006D5984">
          <w:rPr>
            <w:lang w:val="en-GB"/>
          </w:rPr>
          <w:t>12</w:t>
        </w:r>
        <w:r w:rsidR="00FC33B7" w:rsidRPr="006D5984">
          <w:rPr>
            <w:vertAlign w:val="superscript"/>
            <w:lang w:val="en-GB"/>
          </w:rPr>
          <w:t>th</w:t>
        </w:r>
        <w:r w:rsidR="00FC33B7" w:rsidRPr="006D5984">
          <w:rPr>
            <w:lang w:val="en-GB"/>
          </w:rPr>
          <w:t xml:space="preserve"> January 2010</w:t>
        </w:r>
      </w:smartTag>
      <w:r w:rsidR="00FC33B7" w:rsidRPr="006D5984">
        <w:rPr>
          <w:lang w:val="en-GB"/>
        </w:rPr>
        <w:t xml:space="preserve">. The document will be presented to </w:t>
      </w:r>
      <w:r w:rsidR="00FC33B7" w:rsidRPr="006D5984">
        <w:rPr>
          <w:highlight w:val="yellow"/>
          <w:lang w:val="en-GB"/>
        </w:rPr>
        <w:t>XXXX</w:t>
      </w:r>
      <w:r w:rsidR="00FC33B7" w:rsidRPr="006D5984">
        <w:rPr>
          <w:lang w:val="en-GB"/>
        </w:rPr>
        <w:t xml:space="preserve"> by the Humanitarian Coordinator for review on </w:t>
      </w:r>
      <w:r w:rsidR="00FC33B7" w:rsidRPr="006D5984">
        <w:rPr>
          <w:highlight w:val="yellow"/>
          <w:lang w:val="en-GB"/>
        </w:rPr>
        <w:t>DATE.</w:t>
      </w:r>
    </w:p>
    <w:p w:rsidR="00FC33B7" w:rsidRPr="006D5984" w:rsidRDefault="00FC33B7" w:rsidP="00FC33B7">
      <w:pPr>
        <w:rPr>
          <w:lang w:val="en-GB"/>
        </w:rPr>
      </w:pPr>
    </w:p>
    <w:p w:rsidR="00FC33B7" w:rsidRPr="006D5984" w:rsidRDefault="00FC33B7" w:rsidP="00FC33B7">
      <w:pPr>
        <w:rPr>
          <w:lang w:val="en-GB"/>
        </w:rPr>
      </w:pPr>
      <w:r w:rsidRPr="006D5984">
        <w:rPr>
          <w:lang w:val="en-GB"/>
        </w:rPr>
        <w:t xml:space="preserve">These options represent the humanitarian community’s effort to advocate for a response that reflects the Haitian context based on the best available evidence from those operating on the ground.  This includes: </w:t>
      </w:r>
    </w:p>
    <w:p w:rsidR="006D5984" w:rsidRPr="006D5984" w:rsidRDefault="006D5984" w:rsidP="006D5984">
      <w:pPr>
        <w:numPr>
          <w:ilvl w:val="0"/>
          <w:numId w:val="1"/>
        </w:numPr>
        <w:rPr>
          <w:lang w:val="en-GB"/>
        </w:rPr>
      </w:pPr>
      <w:r w:rsidRPr="006D5984">
        <w:rPr>
          <w:lang w:val="en-GB"/>
        </w:rPr>
        <w:t>Greater awareness of the unique issues facing renters</w:t>
      </w:r>
    </w:p>
    <w:p w:rsidR="00FC33B7" w:rsidRPr="006D5984" w:rsidRDefault="006D5984" w:rsidP="00FC33B7">
      <w:pPr>
        <w:numPr>
          <w:ilvl w:val="0"/>
          <w:numId w:val="1"/>
        </w:numPr>
        <w:rPr>
          <w:lang w:val="en-GB"/>
        </w:rPr>
      </w:pPr>
      <w:r>
        <w:rPr>
          <w:lang w:val="en-GB"/>
        </w:rPr>
        <w:t>I</w:t>
      </w:r>
      <w:r w:rsidR="00FC33B7" w:rsidRPr="006D5984">
        <w:rPr>
          <w:lang w:val="en-GB"/>
        </w:rPr>
        <w:t xml:space="preserve">nternational best practices with respect to renters’ rights </w:t>
      </w:r>
    </w:p>
    <w:p w:rsidR="00FC33B7" w:rsidRPr="006D5984" w:rsidRDefault="00FC33B7" w:rsidP="00FC33B7">
      <w:pPr>
        <w:numPr>
          <w:ilvl w:val="0"/>
          <w:numId w:val="1"/>
        </w:numPr>
        <w:rPr>
          <w:lang w:val="en-GB"/>
        </w:rPr>
      </w:pPr>
      <w:r w:rsidRPr="006D5984">
        <w:rPr>
          <w:lang w:val="en-GB"/>
        </w:rPr>
        <w:t>A livelihoods approach as opposed to asset based approach</w:t>
      </w:r>
    </w:p>
    <w:p w:rsidR="00FC33B7" w:rsidRPr="006D5984" w:rsidRDefault="00FC33B7" w:rsidP="00FC33B7">
      <w:pPr>
        <w:rPr>
          <w:lang w:val="en-GB"/>
        </w:rPr>
      </w:pPr>
    </w:p>
    <w:p w:rsidR="00FC33B7" w:rsidRPr="006D5984" w:rsidRDefault="00954B1D" w:rsidP="00954B1D">
      <w:pPr>
        <w:rPr>
          <w:b/>
          <w:bCs/>
          <w:lang w:val="en-GB"/>
        </w:rPr>
      </w:pPr>
      <w:r>
        <w:rPr>
          <w:b/>
          <w:bCs/>
          <w:lang w:val="en-GB"/>
        </w:rPr>
        <w:t xml:space="preserve">2.2. </w:t>
      </w:r>
      <w:r w:rsidR="00FC33B7" w:rsidRPr="006D5984">
        <w:rPr>
          <w:b/>
          <w:bCs/>
          <w:lang w:val="en-GB"/>
        </w:rPr>
        <w:t>Where did this document come from?</w:t>
      </w:r>
    </w:p>
    <w:p w:rsidR="004705E6" w:rsidRDefault="004705E6" w:rsidP="00FC33B7">
      <w:pPr>
        <w:rPr>
          <w:lang w:val="en-GB"/>
        </w:rPr>
      </w:pPr>
    </w:p>
    <w:p w:rsidR="00FC33B7" w:rsidRPr="006D5984" w:rsidRDefault="00FC33B7" w:rsidP="00FC33B7">
      <w:pPr>
        <w:rPr>
          <w:lang w:val="en-GB"/>
        </w:rPr>
      </w:pPr>
      <w:r w:rsidRPr="006D5984">
        <w:rPr>
          <w:lang w:val="en-GB"/>
        </w:rPr>
        <w:t>UN</w:t>
      </w:r>
      <w:r w:rsidR="00356CCB">
        <w:rPr>
          <w:lang w:val="en-GB"/>
        </w:rPr>
        <w:t>-</w:t>
      </w:r>
      <w:r w:rsidRPr="006D5984">
        <w:rPr>
          <w:lang w:val="en-GB"/>
        </w:rPr>
        <w:t>H</w:t>
      </w:r>
      <w:r w:rsidR="00751B37">
        <w:rPr>
          <w:lang w:val="en-GB"/>
        </w:rPr>
        <w:t>ABITAT</w:t>
      </w:r>
      <w:r w:rsidRPr="006D5984">
        <w:rPr>
          <w:lang w:val="en-GB"/>
        </w:rPr>
        <w:t xml:space="preserve"> coordinated a working group on Housing, Land and Property (HLP) issues. The consultative process involved:</w:t>
      </w:r>
    </w:p>
    <w:p w:rsidR="00FC33B7" w:rsidRPr="006D5984" w:rsidRDefault="00751B37" w:rsidP="00FC33B7">
      <w:pPr>
        <w:numPr>
          <w:ilvl w:val="0"/>
          <w:numId w:val="1"/>
        </w:numPr>
        <w:rPr>
          <w:lang w:val="en-GB"/>
        </w:rPr>
      </w:pPr>
      <w:r>
        <w:rPr>
          <w:lang w:val="en-GB"/>
        </w:rPr>
        <w:t>Contributions from (CARE, IOM</w:t>
      </w:r>
      <w:r w:rsidR="00FC33B7" w:rsidRPr="006D5984">
        <w:rPr>
          <w:lang w:val="en-GB"/>
        </w:rPr>
        <w:t>, H</w:t>
      </w:r>
      <w:r>
        <w:rPr>
          <w:lang w:val="en-GB"/>
        </w:rPr>
        <w:t xml:space="preserve">abitat for </w:t>
      </w:r>
      <w:r w:rsidR="00FC33B7" w:rsidRPr="006D5984">
        <w:rPr>
          <w:lang w:val="en-GB"/>
        </w:rPr>
        <w:t>H</w:t>
      </w:r>
      <w:r>
        <w:rPr>
          <w:lang w:val="en-GB"/>
        </w:rPr>
        <w:t>umanity and oth</w:t>
      </w:r>
      <w:proofErr w:type="gramStart"/>
      <w:r>
        <w:rPr>
          <w:lang w:val="en-GB"/>
        </w:rPr>
        <w:t>.</w:t>
      </w:r>
      <w:r w:rsidR="00FC33B7" w:rsidRPr="006D5984">
        <w:rPr>
          <w:lang w:val="en-GB"/>
        </w:rPr>
        <w:t>.)</w:t>
      </w:r>
      <w:proofErr w:type="gramEnd"/>
      <w:r w:rsidR="00FC33B7" w:rsidRPr="006D5984">
        <w:rPr>
          <w:lang w:val="en-GB"/>
        </w:rPr>
        <w:t xml:space="preserve">; </w:t>
      </w:r>
    </w:p>
    <w:p w:rsidR="00FC33B7" w:rsidRPr="006D5984" w:rsidRDefault="00751B37" w:rsidP="00FC33B7">
      <w:pPr>
        <w:numPr>
          <w:ilvl w:val="0"/>
          <w:numId w:val="1"/>
        </w:numPr>
        <w:rPr>
          <w:lang w:val="en-GB"/>
        </w:rPr>
      </w:pPr>
      <w:r>
        <w:rPr>
          <w:lang w:val="en-GB"/>
        </w:rPr>
        <w:t xml:space="preserve">This document will be object of discussion and presentations </w:t>
      </w:r>
      <w:r w:rsidR="00FC33B7" w:rsidRPr="006D5984">
        <w:rPr>
          <w:lang w:val="en-GB"/>
        </w:rPr>
        <w:t xml:space="preserve">at different levels of the humanitarian coordination system (Protection, Early Recovery, Inter-Cluster Coordination Group, the HCT and the Humanitarian Coordinator); </w:t>
      </w:r>
    </w:p>
    <w:p w:rsidR="00FC33B7" w:rsidRPr="006D5984" w:rsidRDefault="00751B37" w:rsidP="00FC33B7">
      <w:pPr>
        <w:numPr>
          <w:ilvl w:val="0"/>
          <w:numId w:val="1"/>
        </w:numPr>
        <w:rPr>
          <w:lang w:val="en-GB"/>
        </w:rPr>
      </w:pPr>
      <w:r>
        <w:rPr>
          <w:lang w:val="en-GB"/>
        </w:rPr>
        <w:t>Also c</w:t>
      </w:r>
      <w:r w:rsidR="00FC33B7" w:rsidRPr="006D5984">
        <w:rPr>
          <w:lang w:val="en-GB"/>
        </w:rPr>
        <w:t>onsultation with ministries (MoPlanning, MoJustice?), stakeholders (DGI?), Haitian legal and sociological experts (institutions, individuals?).</w:t>
      </w:r>
    </w:p>
    <w:p w:rsidR="00A5022B" w:rsidRDefault="00A5022B" w:rsidP="00A5022B"/>
    <w:p w:rsidR="00A5022B" w:rsidRPr="00A5022B" w:rsidRDefault="00802414" w:rsidP="00A5022B">
      <w:pPr>
        <w:rPr>
          <w:rFonts w:ascii="Arial" w:hAnsi="Arial" w:cs="Arial"/>
          <w:b/>
        </w:rPr>
      </w:pPr>
      <w:r>
        <w:rPr>
          <w:rFonts w:ascii="Arial" w:hAnsi="Arial" w:cs="Arial"/>
          <w:b/>
        </w:rPr>
        <w:t xml:space="preserve">3. </w:t>
      </w:r>
      <w:r w:rsidR="00A5022B" w:rsidRPr="00A5022B">
        <w:rPr>
          <w:rFonts w:ascii="Arial" w:hAnsi="Arial" w:cs="Arial"/>
          <w:b/>
        </w:rPr>
        <w:t xml:space="preserve">Main issues and challenges </w:t>
      </w:r>
      <w:r w:rsidR="00A5022B">
        <w:rPr>
          <w:rFonts w:ascii="Arial" w:hAnsi="Arial" w:cs="Arial"/>
          <w:b/>
        </w:rPr>
        <w:t>regarding the status of renters</w:t>
      </w:r>
      <w:r w:rsidR="00A5022B" w:rsidRPr="00A5022B">
        <w:rPr>
          <w:rFonts w:ascii="Arial" w:hAnsi="Arial" w:cs="Arial"/>
          <w:b/>
        </w:rPr>
        <w:t xml:space="preserve"> in </w:t>
      </w:r>
      <w:smartTag w:uri="urn:schemas-microsoft-com:office:smarttags" w:element="country-region">
        <w:smartTag w:uri="urn:schemas-microsoft-com:office:smarttags" w:element="place">
          <w:r w:rsidR="00A5022B" w:rsidRPr="00A5022B">
            <w:rPr>
              <w:rFonts w:ascii="Arial" w:hAnsi="Arial" w:cs="Arial"/>
              <w:b/>
            </w:rPr>
            <w:t>Haiti</w:t>
          </w:r>
        </w:smartTag>
      </w:smartTag>
    </w:p>
    <w:p w:rsidR="00A5022B" w:rsidRDefault="00A5022B" w:rsidP="00A5022B"/>
    <w:p w:rsidR="00A5022B" w:rsidRPr="00B446DE" w:rsidRDefault="00802414" w:rsidP="00A5022B">
      <w:pPr>
        <w:rPr>
          <w:b/>
        </w:rPr>
      </w:pPr>
      <w:r>
        <w:rPr>
          <w:b/>
        </w:rPr>
        <w:t xml:space="preserve">3.1. </w:t>
      </w:r>
      <w:r w:rsidR="00A5022B" w:rsidRPr="00B446DE">
        <w:rPr>
          <w:b/>
        </w:rPr>
        <w:t xml:space="preserve">Renters </w:t>
      </w:r>
      <w:r w:rsidR="00A5022B">
        <w:rPr>
          <w:b/>
        </w:rPr>
        <w:t xml:space="preserve">should be identified </w:t>
      </w:r>
      <w:r w:rsidR="00A5022B" w:rsidRPr="00B446DE">
        <w:rPr>
          <w:b/>
        </w:rPr>
        <w:t>as a particular group requiring protection and housing assistance</w:t>
      </w:r>
    </w:p>
    <w:p w:rsidR="00A5022B" w:rsidRDefault="00A5022B" w:rsidP="00A5022B"/>
    <w:p w:rsidR="00A5022B" w:rsidRDefault="00A5022B" w:rsidP="00A5022B">
      <w:pPr>
        <w:jc w:val="both"/>
        <w:rPr>
          <w:b/>
        </w:rPr>
      </w:pPr>
      <w:r>
        <w:t xml:space="preserve">Renters and tenants are among the most vulnerable and poorest victims of the </w:t>
      </w:r>
      <w:smartTag w:uri="urn:schemas-microsoft-com:office:smarttags" w:element="country-region">
        <w:smartTag w:uri="urn:schemas-microsoft-com:office:smarttags" w:element="place">
          <w:r>
            <w:t>Haiti</w:t>
          </w:r>
        </w:smartTag>
      </w:smartTag>
      <w:r>
        <w:t xml:space="preserve"> earthquake.  While certain number of former renters are eligible for the transitional shelter, this category as a </w:t>
      </w:r>
      <w:r>
        <w:lastRenderedPageBreak/>
        <w:t xml:space="preserve">whole does not seem to be a priority for housing assistance as the main activities of the international community are focusing on the camp assistance and future reconstruction of </w:t>
      </w:r>
      <w:r w:rsidR="008C2CEA">
        <w:t>(</w:t>
      </w:r>
      <w:r>
        <w:t xml:space="preserve">privately owned) houses. After six months from the earthquake, they </w:t>
      </w:r>
      <w:bookmarkStart w:id="1" w:name="OLE_LINK5"/>
      <w:r>
        <w:t>do not seem to be identified as a particular group requiring protection and housing assistance</w:t>
      </w:r>
      <w:bookmarkEnd w:id="1"/>
      <w:r>
        <w:t xml:space="preserve">. In addition there is no data available to understand their housing needs and </w:t>
      </w:r>
      <w:r w:rsidRPr="00506B48">
        <w:t>livelihoods.</w:t>
      </w:r>
      <w:r>
        <w:t xml:space="preserve"> </w:t>
      </w:r>
    </w:p>
    <w:p w:rsidR="00A5022B" w:rsidRDefault="00A5022B" w:rsidP="00A5022B"/>
    <w:p w:rsidR="00A5022B" w:rsidRDefault="00802414" w:rsidP="00A5022B">
      <w:pPr>
        <w:rPr>
          <w:b/>
        </w:rPr>
      </w:pPr>
      <w:r>
        <w:rPr>
          <w:b/>
        </w:rPr>
        <w:t>3.2.</w:t>
      </w:r>
      <w:r w:rsidR="008C2CEA">
        <w:rPr>
          <w:b/>
        </w:rPr>
        <w:t xml:space="preserve"> </w:t>
      </w:r>
      <w:r w:rsidR="00A5022B">
        <w:rPr>
          <w:b/>
        </w:rPr>
        <w:t xml:space="preserve">Non formalized rent rights </w:t>
      </w:r>
    </w:p>
    <w:p w:rsidR="00A5022B" w:rsidRDefault="00A5022B" w:rsidP="00A5022B"/>
    <w:p w:rsidR="00A5022B" w:rsidRDefault="00A5022B" w:rsidP="00A5022B">
      <w:r>
        <w:t>T</w:t>
      </w:r>
      <w:r w:rsidR="008C2CEA">
        <w:t xml:space="preserve">enancy </w:t>
      </w:r>
      <w:r>
        <w:t>rights are rarely recorded (the rent contract is based mostly on informal agreement between owners and renters) and the lack of formal</w:t>
      </w:r>
      <w:r w:rsidR="008C2CEA">
        <w:t>ized rental contracts</w:t>
      </w:r>
      <w:r>
        <w:t xml:space="preserve"> could diminish the security of tenure of the renters. There is also an objective difficulty in defining the genuine owner in </w:t>
      </w:r>
      <w:r w:rsidR="005C726F">
        <w:t xml:space="preserve">the Haitian context </w:t>
      </w:r>
      <w:proofErr w:type="gramStart"/>
      <w:r w:rsidR="005C726F">
        <w:t>since,</w:t>
      </w:r>
      <w:proofErr w:type="gramEnd"/>
      <w:r w:rsidR="005C726F">
        <w:t xml:space="preserve"> 70-8</w:t>
      </w:r>
      <w:r>
        <w:t xml:space="preserve">0 % of the alleged owners is </w:t>
      </w:r>
      <w:r w:rsidR="005C726F">
        <w:t xml:space="preserve">not </w:t>
      </w:r>
      <w:r>
        <w:t>able to prove their ownership records. So far there is also low evidence of attempts to restore their rights or restored through community land mapping programs.</w:t>
      </w:r>
      <w:r>
        <w:rPr>
          <w:rStyle w:val="FootnoteReference"/>
          <w:rFonts w:eastAsia="PMingLiU"/>
        </w:rPr>
        <w:footnoteReference w:id="1"/>
      </w:r>
      <w:r>
        <w:t xml:space="preserve"> </w:t>
      </w:r>
      <w:r w:rsidRPr="00CC340B">
        <w:rPr>
          <w:highlight w:val="yellow"/>
        </w:rPr>
        <w:t>P</w:t>
      </w:r>
      <w:r w:rsidR="00732FB1">
        <w:rPr>
          <w:highlight w:val="yellow"/>
        </w:rPr>
        <w:t>lease write here what other</w:t>
      </w:r>
      <w:r w:rsidRPr="00CC340B">
        <w:rPr>
          <w:highlight w:val="yellow"/>
        </w:rPr>
        <w:t xml:space="preserve"> humanitarian actors are doing in this regard</w:t>
      </w:r>
    </w:p>
    <w:p w:rsidR="00A5022B" w:rsidRDefault="00A5022B" w:rsidP="00A5022B">
      <w:r>
        <w:t xml:space="preserve">Also the legislation defining the relationship between landlords and tenants is based on </w:t>
      </w:r>
      <w:r w:rsidR="00634F11">
        <w:t>an</w:t>
      </w:r>
      <w:r>
        <w:t xml:space="preserve"> </w:t>
      </w:r>
      <w:r w:rsidR="00A73D81">
        <w:t xml:space="preserve">outdated </w:t>
      </w:r>
      <w:r>
        <w:t>law</w:t>
      </w:r>
      <w:r>
        <w:rPr>
          <w:rStyle w:val="FootnoteReference"/>
          <w:rFonts w:eastAsia="PMingLiU"/>
        </w:rPr>
        <w:footnoteReference w:id="2"/>
      </w:r>
      <w:r>
        <w:t>, completely non enforceable in practic</w:t>
      </w:r>
      <w:r w:rsidR="00924DFB">
        <w:t>e.</w:t>
      </w:r>
      <w:r>
        <w:t xml:space="preserve"> </w:t>
      </w:r>
    </w:p>
    <w:p w:rsidR="00A5022B" w:rsidRDefault="00A5022B" w:rsidP="00A5022B">
      <w:pPr>
        <w:rPr>
          <w:b/>
        </w:rPr>
      </w:pPr>
    </w:p>
    <w:p w:rsidR="00A5022B" w:rsidRDefault="00802414" w:rsidP="00A5022B">
      <w:pPr>
        <w:rPr>
          <w:b/>
        </w:rPr>
      </w:pPr>
      <w:r>
        <w:rPr>
          <w:b/>
        </w:rPr>
        <w:t xml:space="preserve">3.3 </w:t>
      </w:r>
      <w:r w:rsidR="00A5022B">
        <w:rPr>
          <w:b/>
        </w:rPr>
        <w:t>Post-earthquake changes in the rental market</w:t>
      </w:r>
    </w:p>
    <w:p w:rsidR="00A5022B" w:rsidRDefault="00A5022B" w:rsidP="00A5022B"/>
    <w:p w:rsidR="00A5022B" w:rsidRDefault="00A5022B" w:rsidP="00A5022B">
      <w:r>
        <w:t xml:space="preserve">The rental market prices in </w:t>
      </w:r>
      <w:smartTag w:uri="urn:schemas-microsoft-com:office:smarttags" w:element="country-region">
        <w:smartTag w:uri="urn:schemas-microsoft-com:office:smarttags" w:element="place">
          <w:r>
            <w:t>Haiti</w:t>
          </w:r>
        </w:smartTag>
      </w:smartTag>
      <w:r>
        <w:t xml:space="preserve"> have noticeably increased since the earthquake for two main reasons, firstly due to the shortage of housing caused by destruction effects of the earthquake as well as the massive presence of the international community and their need for accommodation. The current rent prices of available accommodation are considerably higher than the pre-earthquake and directly or indirectly affect the </w:t>
      </w:r>
      <w:proofErr w:type="gramStart"/>
      <w:r>
        <w:t>renters</w:t>
      </w:r>
      <w:proofErr w:type="gramEnd"/>
      <w:r>
        <w:t>.</w:t>
      </w:r>
      <w:r>
        <w:rPr>
          <w:rStyle w:val="FootnoteReference"/>
          <w:u w:val="single"/>
        </w:rPr>
        <w:footnoteReference w:id="3"/>
      </w:r>
      <w:r>
        <w:t>. This is making rental market inaccessible for the renters whose majority has lost the livelihood opportunities in the meantime.</w:t>
      </w:r>
    </w:p>
    <w:p w:rsidR="00A5022B" w:rsidRDefault="00A5022B" w:rsidP="00A5022B"/>
    <w:p w:rsidR="00A5022B" w:rsidRDefault="00802414" w:rsidP="00A5022B">
      <w:pPr>
        <w:rPr>
          <w:b/>
        </w:rPr>
      </w:pPr>
      <w:r>
        <w:rPr>
          <w:b/>
        </w:rPr>
        <w:t xml:space="preserve">3.4 </w:t>
      </w:r>
      <w:r w:rsidR="00A5022B">
        <w:rPr>
          <w:b/>
        </w:rPr>
        <w:t xml:space="preserve">Renters </w:t>
      </w:r>
      <w:r w:rsidR="003C4192">
        <w:rPr>
          <w:b/>
        </w:rPr>
        <w:t>deprived of their livelihoods cannot afford to rent</w:t>
      </w:r>
    </w:p>
    <w:p w:rsidR="00A5022B" w:rsidRDefault="00A5022B" w:rsidP="00A5022B"/>
    <w:p w:rsidR="00A5022B" w:rsidRDefault="00A5022B" w:rsidP="00A5022B">
      <w:r>
        <w:t xml:space="preserve">The vulnerability of the renters in the post-earthquake reality is aggravated by the loss of livelihood opportunities. The loss of livelihood and income </w:t>
      </w:r>
      <w:r w:rsidR="00A73D81">
        <w:t xml:space="preserve">constitutes </w:t>
      </w:r>
      <w:r>
        <w:t xml:space="preserve">an additional obstacle to access to the rental market. In addition the renters are decapitaised since the Haitian rule is that the yearly amount of rent should be paid at the beginning of the year and only in the exceptional cases is paid every six months. </w:t>
      </w:r>
      <w:r w:rsidR="003C4192">
        <w:t>A</w:t>
      </w:r>
      <w:r w:rsidR="00F04B24">
        <w:t>t</w:t>
      </w:r>
      <w:r w:rsidR="003C4192">
        <w:t xml:space="preserve"> the time of the </w:t>
      </w:r>
      <w:r>
        <w:t>earthquake (12 January)</w:t>
      </w:r>
      <w:r w:rsidR="00F04B24">
        <w:t>,</w:t>
      </w:r>
      <w:r>
        <w:t xml:space="preserve"> </w:t>
      </w:r>
      <w:r w:rsidR="003C4192">
        <w:t>most</w:t>
      </w:r>
      <w:r>
        <w:t xml:space="preserve"> renters </w:t>
      </w:r>
      <w:r w:rsidR="00F04B24">
        <w:t xml:space="preserve">had already paid their annual rent in advance. Thus, they were not only rendered </w:t>
      </w:r>
      <w:r>
        <w:t xml:space="preserve">homeless </w:t>
      </w:r>
      <w:r w:rsidR="00F04B24">
        <w:t xml:space="preserve">but also left without </w:t>
      </w:r>
      <w:r>
        <w:t xml:space="preserve">money </w:t>
      </w:r>
      <w:r w:rsidR="00F04B24">
        <w:t xml:space="preserve">for yet another yearly </w:t>
      </w:r>
      <w:r>
        <w:t>rent payment</w:t>
      </w:r>
      <w:r w:rsidR="00F04B24">
        <w:t xml:space="preserve"> for another rental unit</w:t>
      </w:r>
      <w:r>
        <w:t>.</w:t>
      </w:r>
      <w:r w:rsidR="007C2D92">
        <w:t xml:space="preserve"> </w:t>
      </w:r>
      <w:r w:rsidR="007C2D92" w:rsidRPr="007C2D92">
        <w:t>Another problem faced by many former tenants is that their livelihoods prior to the earthquake were based on income–generating activities not related to land assets. Many made a living as small shop keepers, traders and local craftsmen, often operating in the informal economic sector. Large numbers of tenants depended on home-based enterprises, or on economic activities carried out from rented spaces in the neighbourhood (e.g. mechanical or carpentry workshops). All their savings were invested in improvements to their businesses and not to acquire land or housing. Thus, when they lost their rented homes they also lost their entire livelihoods and life-time investments. For these households it is very difficult to re-establish their livelihoods and escape the poverty trap. As the experience in other post-disadter contexts has shown, they need targeted assistance</w:t>
      </w:r>
      <w:r w:rsidR="007C2D92">
        <w:rPr>
          <w:rStyle w:val="FootnoteReference"/>
        </w:rPr>
        <w:footnoteReference w:id="4"/>
      </w:r>
    </w:p>
    <w:p w:rsidR="00A5022B" w:rsidRDefault="00A5022B" w:rsidP="00A5022B">
      <w:pPr>
        <w:rPr>
          <w:b/>
        </w:rPr>
      </w:pPr>
    </w:p>
    <w:p w:rsidR="00A5022B" w:rsidRPr="001C0E5D" w:rsidRDefault="00802414" w:rsidP="00A5022B">
      <w:pPr>
        <w:rPr>
          <w:b/>
        </w:rPr>
      </w:pPr>
      <w:r>
        <w:rPr>
          <w:b/>
        </w:rPr>
        <w:t xml:space="preserve">3.5 </w:t>
      </w:r>
      <w:r w:rsidR="00A5022B" w:rsidRPr="001C0E5D">
        <w:rPr>
          <w:b/>
        </w:rPr>
        <w:t xml:space="preserve">The Earthquake and the Legal Status of Rental Agreements </w:t>
      </w:r>
    </w:p>
    <w:p w:rsidR="00A5022B" w:rsidRDefault="00A5022B" w:rsidP="00A5022B"/>
    <w:p w:rsidR="00A5022B" w:rsidRDefault="00A5022B" w:rsidP="00A5022B">
      <w:pPr>
        <w:autoSpaceDE w:val="0"/>
        <w:autoSpaceDN w:val="0"/>
        <w:adjustRightInd w:val="0"/>
      </w:pPr>
      <w:r>
        <w:t>The earthquake ha</w:t>
      </w:r>
      <w:r w:rsidR="00F04B24">
        <w:t>s</w:t>
      </w:r>
      <w:r>
        <w:t xml:space="preserve"> raised issue of validity and enforceability of the pre-earthquake rental contracts (even in the rare case when they are formalized). According to the rule of the Civil law , a tradition followed by the Haitian Civil Code, Art.1087; Section VI, an agreement can be discharged when the object of an agreement (house) is destroyed </w:t>
      </w:r>
      <w:r w:rsidR="00F04B24">
        <w:t xml:space="preserve">through </w:t>
      </w:r>
      <w:r>
        <w:t xml:space="preserve">a cause of </w:t>
      </w:r>
      <w:r>
        <w:rPr>
          <w:i/>
        </w:rPr>
        <w:t>vis maior.</w:t>
      </w:r>
      <w:r>
        <w:t xml:space="preserve"> </w:t>
      </w:r>
    </w:p>
    <w:p w:rsidR="00A5022B" w:rsidRDefault="00A5022B" w:rsidP="00A5022B">
      <w:pPr>
        <w:rPr>
          <w:lang w:val="en-GB"/>
        </w:rPr>
      </w:pPr>
      <w:r>
        <w:t xml:space="preserve">Therefore proposing the forced restoration of pre-earthquake rental agreements would be legally doubtful and inapplicable in the practice. Instead of insisting on doubtful enforceability of the existing rent agreements, the better, most profiled and feasible option would be to </w:t>
      </w:r>
      <w:r w:rsidR="00F04B24">
        <w:t xml:space="preserve">establish </w:t>
      </w:r>
      <w:r>
        <w:t>the principles and procedural steps to support the renters aimed at creating right</w:t>
      </w:r>
      <w:r w:rsidR="00F04B24">
        <w:t>s</w:t>
      </w:r>
      <w:r>
        <w:t xml:space="preserve">-based </w:t>
      </w:r>
      <w:r w:rsidR="00F04B24">
        <w:t xml:space="preserve">and formal </w:t>
      </w:r>
      <w:r>
        <w:t>new agreements between owners and renters.</w:t>
      </w:r>
    </w:p>
    <w:p w:rsidR="004705E6" w:rsidRDefault="004705E6">
      <w:pPr>
        <w:rPr>
          <w:rFonts w:ascii="Arial" w:hAnsi="Arial" w:cs="Arial"/>
          <w:b/>
          <w:lang w:val="en-GB"/>
        </w:rPr>
      </w:pPr>
    </w:p>
    <w:p w:rsidR="00DE465C" w:rsidRPr="00A5022B" w:rsidRDefault="00802414">
      <w:pPr>
        <w:rPr>
          <w:rFonts w:ascii="Arial" w:hAnsi="Arial" w:cs="Arial"/>
          <w:b/>
          <w:lang w:val="en-GB"/>
        </w:rPr>
      </w:pPr>
      <w:r w:rsidRPr="00802414">
        <w:rPr>
          <w:rFonts w:ascii="Arial" w:hAnsi="Arial" w:cs="Arial"/>
          <w:b/>
          <w:lang w:val="en-GB"/>
        </w:rPr>
        <w:t>4)</w:t>
      </w:r>
      <w:r w:rsidR="00773CC1" w:rsidRPr="00802414">
        <w:rPr>
          <w:rFonts w:ascii="Arial" w:hAnsi="Arial" w:cs="Arial"/>
          <w:b/>
          <w:lang w:val="en-GB"/>
        </w:rPr>
        <w:t>.</w:t>
      </w:r>
      <w:r w:rsidR="00773CC1">
        <w:rPr>
          <w:rFonts w:ascii="Arial" w:hAnsi="Arial" w:cs="Arial"/>
          <w:b/>
          <w:lang w:val="en-GB"/>
        </w:rPr>
        <w:t xml:space="preserve"> </w:t>
      </w:r>
      <w:proofErr w:type="gramStart"/>
      <w:r w:rsidR="00773CC1">
        <w:rPr>
          <w:rFonts w:ascii="Arial" w:hAnsi="Arial" w:cs="Arial"/>
          <w:b/>
          <w:lang w:val="en-GB"/>
        </w:rPr>
        <w:t>What</w:t>
      </w:r>
      <w:proofErr w:type="gramEnd"/>
      <w:r w:rsidR="00773CC1">
        <w:rPr>
          <w:rFonts w:ascii="Arial" w:hAnsi="Arial" w:cs="Arial"/>
          <w:b/>
          <w:lang w:val="en-GB"/>
        </w:rPr>
        <w:t xml:space="preserve"> are the international h</w:t>
      </w:r>
      <w:r w:rsidR="00954B1D" w:rsidRPr="00A5022B">
        <w:rPr>
          <w:rFonts w:ascii="Arial" w:hAnsi="Arial" w:cs="Arial"/>
          <w:b/>
          <w:lang w:val="en-GB"/>
        </w:rPr>
        <w:t xml:space="preserve">uman rights standards protecting renter’s rights applicable in </w:t>
      </w:r>
      <w:smartTag w:uri="urn:schemas-microsoft-com:office:smarttags" w:element="country-region">
        <w:smartTag w:uri="urn:schemas-microsoft-com:office:smarttags" w:element="place">
          <w:r w:rsidR="00954B1D" w:rsidRPr="00A5022B">
            <w:rPr>
              <w:rFonts w:ascii="Arial" w:hAnsi="Arial" w:cs="Arial"/>
              <w:b/>
              <w:lang w:val="en-GB"/>
            </w:rPr>
            <w:t>Haiti</w:t>
          </w:r>
        </w:smartTag>
      </w:smartTag>
      <w:r w:rsidR="00954B1D" w:rsidRPr="00A5022B">
        <w:rPr>
          <w:rFonts w:ascii="Arial" w:hAnsi="Arial" w:cs="Arial"/>
          <w:b/>
          <w:lang w:val="en-GB"/>
        </w:rPr>
        <w:t xml:space="preserve">? </w:t>
      </w:r>
    </w:p>
    <w:p w:rsidR="00954B1D" w:rsidRDefault="00954B1D" w:rsidP="003C07BA">
      <w:pPr>
        <w:rPr>
          <w:lang w:val="en-GB"/>
        </w:rPr>
      </w:pPr>
    </w:p>
    <w:p w:rsidR="003C07BA" w:rsidRPr="003C07BA" w:rsidRDefault="003C07BA" w:rsidP="003C07BA">
      <w:r w:rsidRPr="003C07BA">
        <w:rPr>
          <w:lang w:val="en-GB"/>
        </w:rPr>
        <w:t xml:space="preserve">Protection and fulfilment </w:t>
      </w:r>
      <w:r w:rsidR="00D668DC">
        <w:rPr>
          <w:lang w:val="en-GB"/>
        </w:rPr>
        <w:t>of</w:t>
      </w:r>
      <w:r w:rsidR="00D668DC" w:rsidRPr="003C07BA">
        <w:rPr>
          <w:lang w:val="en-GB"/>
        </w:rPr>
        <w:t xml:space="preserve"> </w:t>
      </w:r>
      <w:r w:rsidRPr="003C07BA">
        <w:rPr>
          <w:lang w:val="en-GB"/>
        </w:rPr>
        <w:t xml:space="preserve">the international humanitarian standards is primarily </w:t>
      </w:r>
      <w:r w:rsidR="00D668DC" w:rsidRPr="003C07BA">
        <w:rPr>
          <w:lang w:val="en-GB"/>
        </w:rPr>
        <w:t xml:space="preserve">the </w:t>
      </w:r>
      <w:r w:rsidRPr="003C07BA">
        <w:rPr>
          <w:lang w:val="en-GB"/>
        </w:rPr>
        <w:t xml:space="preserve">responsibility of the </w:t>
      </w:r>
      <w:smartTag w:uri="urn:schemas-microsoft-com:office:smarttags" w:element="place">
        <w:smartTag w:uri="urn:schemas-microsoft-com:office:smarttags" w:element="PlaceName">
          <w:r w:rsidRPr="003C07BA">
            <w:rPr>
              <w:lang w:val="en-GB"/>
            </w:rPr>
            <w:t>Haitian</w:t>
          </w:r>
        </w:smartTag>
        <w:r w:rsidRPr="003C07BA">
          <w:rPr>
            <w:lang w:val="en-GB"/>
          </w:rPr>
          <w:t xml:space="preserve"> </w:t>
        </w:r>
        <w:smartTag w:uri="urn:schemas-microsoft-com:office:smarttags" w:element="PlaceType">
          <w:r w:rsidRPr="003C07BA">
            <w:rPr>
              <w:lang w:val="en-GB"/>
            </w:rPr>
            <w:t>State</w:t>
          </w:r>
        </w:smartTag>
      </w:smartTag>
      <w:r w:rsidRPr="003C07BA">
        <w:rPr>
          <w:lang w:val="en-GB"/>
        </w:rPr>
        <w:t xml:space="preserve">, as the states are directly responsible for such actions on their territory and under their jurisdiction. The obligation to ensure the respect, protection and fulfilment of the human rights is also the duty of the international humanitarian organisations involved in the post-disaster assistance in </w:t>
      </w:r>
      <w:smartTag w:uri="urn:schemas-microsoft-com:office:smarttags" w:element="country-region">
        <w:smartTag w:uri="urn:schemas-microsoft-com:office:smarttags" w:element="place">
          <w:r w:rsidRPr="003C07BA">
            <w:rPr>
              <w:lang w:val="en-GB"/>
            </w:rPr>
            <w:t>Haiti</w:t>
          </w:r>
        </w:smartTag>
      </w:smartTag>
      <w:r w:rsidRPr="003C07BA">
        <w:rPr>
          <w:lang w:val="en-GB"/>
        </w:rPr>
        <w:t>. They are obliged to ensure that these rights are protected in the interest of the people directly affected, beyond the strict wording of their institu</w:t>
      </w:r>
      <w:bookmarkStart w:id="2" w:name="OLE_LINK2"/>
      <w:r w:rsidR="00802414">
        <w:rPr>
          <w:lang w:val="en-GB"/>
        </w:rPr>
        <w:t xml:space="preserve">tional mandate </w:t>
      </w:r>
      <w:r w:rsidR="00802414" w:rsidRPr="003C07BA">
        <w:rPr>
          <w:lang w:val="en-GB"/>
        </w:rPr>
        <w:t>(Inter Agency Standing Committee -IASC Operational Guidelines)</w:t>
      </w:r>
      <w:r w:rsidR="00802414">
        <w:rPr>
          <w:lang w:val="en-GB"/>
        </w:rPr>
        <w:t>.</w:t>
      </w:r>
      <w:r w:rsidR="00D37869">
        <w:rPr>
          <w:rStyle w:val="FootnoteReference"/>
        </w:rPr>
        <w:footnoteReference w:id="5"/>
      </w:r>
    </w:p>
    <w:p w:rsidR="003C07BA" w:rsidRDefault="003C07BA" w:rsidP="003C07BA">
      <w:pPr>
        <w:rPr>
          <w:iCs/>
          <w:lang w:val="en-GB"/>
        </w:rPr>
      </w:pPr>
    </w:p>
    <w:p w:rsidR="003C07BA" w:rsidRPr="00773CC1" w:rsidRDefault="00802414" w:rsidP="003C07BA">
      <w:pPr>
        <w:rPr>
          <w:lang w:val="en-GB"/>
        </w:rPr>
      </w:pPr>
      <w:r>
        <w:rPr>
          <w:iCs/>
          <w:lang w:val="en-GB"/>
        </w:rPr>
        <w:t xml:space="preserve">The </w:t>
      </w:r>
      <w:r w:rsidR="003C07BA" w:rsidRPr="003C07BA">
        <w:rPr>
          <w:i/>
          <w:iCs/>
          <w:lang w:val="en-GB"/>
        </w:rPr>
        <w:t>International Covenant on Civil and Political Rights</w:t>
      </w:r>
      <w:r w:rsidR="003C07BA" w:rsidRPr="003C07BA">
        <w:rPr>
          <w:lang w:val="en-GB"/>
        </w:rPr>
        <w:t xml:space="preserve"> </w:t>
      </w:r>
      <w:r>
        <w:rPr>
          <w:lang w:val="en-GB"/>
        </w:rPr>
        <w:t>(</w:t>
      </w:r>
      <w:r w:rsidRPr="003C07BA">
        <w:t>ICCPR</w:t>
      </w:r>
      <w:r>
        <w:t>)</w:t>
      </w:r>
      <w:r w:rsidRPr="003C07BA">
        <w:rPr>
          <w:lang w:val="en-GB"/>
        </w:rPr>
        <w:t xml:space="preserve"> </w:t>
      </w:r>
      <w:r w:rsidR="003C07BA" w:rsidRPr="003C07BA">
        <w:rPr>
          <w:lang w:val="en-GB"/>
        </w:rPr>
        <w:t xml:space="preserve">prohibits discrimination against </w:t>
      </w:r>
      <w:r w:rsidR="003C07BA" w:rsidRPr="003C07BA">
        <w:rPr>
          <w:i/>
          <w:iCs/>
          <w:lang w:val="en-GB"/>
        </w:rPr>
        <w:t>inter alia</w:t>
      </w:r>
      <w:r w:rsidR="003C07BA" w:rsidRPr="003C07BA">
        <w:rPr>
          <w:lang w:val="en-GB"/>
        </w:rPr>
        <w:t xml:space="preserve"> informal or illegal occupiers on the basis of their property status.</w:t>
      </w:r>
      <w:bookmarkEnd w:id="2"/>
      <w:r w:rsidR="003C07BA" w:rsidRPr="003C07BA">
        <w:t>In practical terms it means that all victims of the Haitian earthquake are entitled to housing assistance in equal footing and that the eligibility for housing assistance should not be based on distinctions among renters</w:t>
      </w:r>
      <w:r w:rsidR="00D668DC">
        <w:t>/</w:t>
      </w:r>
      <w:r w:rsidR="003C07BA" w:rsidRPr="003C07BA">
        <w:t>tenants and landowners.</w:t>
      </w:r>
    </w:p>
    <w:p w:rsidR="003C07BA" w:rsidRPr="003C07BA" w:rsidRDefault="003C07BA" w:rsidP="003C07BA"/>
    <w:p w:rsidR="00954B1D" w:rsidRDefault="00954B1D" w:rsidP="00954B1D">
      <w:pPr>
        <w:pStyle w:val="FootnoteText"/>
        <w:rPr>
          <w:i/>
          <w:iCs/>
        </w:rPr>
      </w:pPr>
      <w:r>
        <w:t xml:space="preserve">The </w:t>
      </w:r>
      <w:r w:rsidR="002C3F98">
        <w:t xml:space="preserve">rights of renters in Haitian post disaster </w:t>
      </w:r>
      <w:r w:rsidR="00516CE5">
        <w:t xml:space="preserve">situation enjoy protection foreseen by </w:t>
      </w:r>
      <w:r w:rsidRPr="00516CE5">
        <w:rPr>
          <w:i/>
        </w:rPr>
        <w:t>Guiding Principles on Internal Displacement</w:t>
      </w:r>
      <w:r w:rsidR="00516CE5">
        <w:rPr>
          <w:rStyle w:val="FootnoteReference"/>
        </w:rPr>
        <w:footnoteReference w:id="6"/>
      </w:r>
      <w:r w:rsidR="00516CE5">
        <w:rPr>
          <w:i/>
        </w:rPr>
        <w:t xml:space="preserve">. </w:t>
      </w:r>
      <w:r w:rsidR="00880CEB">
        <w:rPr>
          <w:iCs/>
        </w:rPr>
        <w:t xml:space="preserve">All displaced </w:t>
      </w:r>
      <w:r w:rsidR="00773CC1">
        <w:rPr>
          <w:iCs/>
        </w:rPr>
        <w:t>persons,</w:t>
      </w:r>
      <w:r w:rsidR="00880CEB">
        <w:rPr>
          <w:iCs/>
        </w:rPr>
        <w:t xml:space="preserve"> including the renters have </w:t>
      </w:r>
      <w:r w:rsidR="00773CC1">
        <w:rPr>
          <w:iCs/>
        </w:rPr>
        <w:t>basic rights</w:t>
      </w:r>
      <w:r w:rsidR="00880CEB">
        <w:rPr>
          <w:iCs/>
        </w:rPr>
        <w:t xml:space="preserve"> of return to their place of origin</w:t>
      </w:r>
      <w:r w:rsidR="00880CEB">
        <w:rPr>
          <w:rStyle w:val="FootnoteReference"/>
          <w:iCs/>
        </w:rPr>
        <w:footnoteReference w:id="7"/>
      </w:r>
      <w:r w:rsidR="00880CEB">
        <w:rPr>
          <w:i/>
          <w:sz w:val="20"/>
          <w:szCs w:val="20"/>
        </w:rPr>
        <w:t>.</w:t>
      </w:r>
      <w:r w:rsidR="00880CEB" w:rsidRPr="00880CEB">
        <w:rPr>
          <w:iCs/>
        </w:rPr>
        <w:t xml:space="preserve"> </w:t>
      </w:r>
      <w:r w:rsidR="00880CEB">
        <w:rPr>
          <w:iCs/>
        </w:rPr>
        <w:t xml:space="preserve">This right to return to one’s home or habitual residence is also </w:t>
      </w:r>
      <w:proofErr w:type="gramStart"/>
      <w:r w:rsidR="00880CEB">
        <w:rPr>
          <w:iCs/>
        </w:rPr>
        <w:t>envisaged  by</w:t>
      </w:r>
      <w:proofErr w:type="gramEnd"/>
      <w:r w:rsidR="00880CEB">
        <w:rPr>
          <w:iCs/>
        </w:rPr>
        <w:t xml:space="preserve"> </w:t>
      </w:r>
      <w:r w:rsidR="00880CEB">
        <w:t>Pinheiro Principles</w:t>
      </w:r>
      <w:r w:rsidR="00880CEB">
        <w:rPr>
          <w:rStyle w:val="FootnoteReference"/>
        </w:rPr>
        <w:footnoteReference w:id="8"/>
      </w:r>
      <w:r w:rsidR="00880CEB">
        <w:t>.</w:t>
      </w:r>
      <w:r w:rsidR="00880CEB" w:rsidRPr="00B84BC5">
        <w:rPr>
          <w:i/>
          <w:lang w:val="hr-HR" w:eastAsia="it-IT"/>
        </w:rPr>
        <w:t xml:space="preserve"> </w:t>
      </w:r>
      <w:r>
        <w:t xml:space="preserve">In addition the </w:t>
      </w:r>
      <w:bookmarkStart w:id="4" w:name="OLE_LINK3"/>
      <w:r>
        <w:t xml:space="preserve">Pinheiro Principles </w:t>
      </w:r>
      <w:bookmarkEnd w:id="4"/>
      <w:r>
        <w:t>are more explicit stating that the return is not only referring to the formal ownership but it includes also different forms of tenants</w:t>
      </w:r>
      <w:r w:rsidR="00516CE5">
        <w:rPr>
          <w:rStyle w:val="FootnoteReference"/>
        </w:rPr>
        <w:footnoteReference w:id="9"/>
      </w:r>
      <w:r>
        <w:rPr>
          <w:i/>
          <w:iCs/>
        </w:rPr>
        <w:t>.</w:t>
      </w:r>
    </w:p>
    <w:p w:rsidR="000514D0" w:rsidRDefault="000514D0"/>
    <w:p w:rsidR="000514D0" w:rsidRPr="00F22D51" w:rsidRDefault="00591EA3">
      <w:pPr>
        <w:rPr>
          <w:rFonts w:ascii="Arial" w:hAnsi="Arial" w:cs="Arial"/>
        </w:rPr>
      </w:pPr>
      <w:r>
        <w:rPr>
          <w:rFonts w:ascii="Arial" w:hAnsi="Arial" w:cs="Arial"/>
          <w:b/>
        </w:rPr>
        <w:lastRenderedPageBreak/>
        <w:t xml:space="preserve">5) </w:t>
      </w:r>
      <w:r w:rsidR="00DF0BD1">
        <w:rPr>
          <w:rFonts w:ascii="Arial" w:hAnsi="Arial" w:cs="Arial"/>
          <w:b/>
        </w:rPr>
        <w:t>Facilitating the feasible</w:t>
      </w:r>
      <w:r w:rsidR="000514D0" w:rsidRPr="00F22D51">
        <w:rPr>
          <w:rFonts w:ascii="Arial" w:hAnsi="Arial" w:cs="Arial"/>
          <w:b/>
        </w:rPr>
        <w:t xml:space="preserve"> solutions for pre-earthquake renters should be based on the following principles: </w:t>
      </w:r>
    </w:p>
    <w:p w:rsidR="00506B48" w:rsidRPr="00506B48" w:rsidRDefault="00506B48" w:rsidP="00506B48">
      <w:pPr>
        <w:autoSpaceDE w:val="0"/>
        <w:autoSpaceDN w:val="0"/>
        <w:adjustRightInd w:val="0"/>
        <w:ind w:left="360"/>
      </w:pPr>
      <w:bookmarkStart w:id="5" w:name="_Toc158708129"/>
    </w:p>
    <w:p w:rsidR="00D11354" w:rsidRDefault="00D11354" w:rsidP="00506B48">
      <w:pPr>
        <w:numPr>
          <w:ilvl w:val="0"/>
          <w:numId w:val="3"/>
        </w:numPr>
        <w:autoSpaceDE w:val="0"/>
        <w:autoSpaceDN w:val="0"/>
        <w:adjustRightInd w:val="0"/>
      </w:pPr>
      <w:r>
        <w:rPr>
          <w:b/>
        </w:rPr>
        <w:t>Rights of return and restitution for displaced persons</w:t>
      </w:r>
      <w:bookmarkEnd w:id="5"/>
    </w:p>
    <w:p w:rsidR="00F22D51" w:rsidRPr="003361CC" w:rsidRDefault="00D11354" w:rsidP="00506B48">
      <w:pPr>
        <w:ind w:left="360"/>
      </w:pPr>
      <w:r>
        <w:t>All displaced persons, including the renters have a basic right of return to their place of</w:t>
      </w:r>
      <w:r w:rsidRPr="00D11354">
        <w:t xml:space="preserve"> </w:t>
      </w:r>
      <w:r w:rsidR="003361CC">
        <w:t xml:space="preserve">origin which includes </w:t>
      </w:r>
      <w:r>
        <w:t>a right of return to one's home or habitual place of residence.</w:t>
      </w:r>
      <w:r>
        <w:rPr>
          <w:rStyle w:val="FootnoteReference"/>
          <w:rFonts w:eastAsia="PMingLiU"/>
        </w:rPr>
        <w:footnoteReference w:id="10"/>
      </w:r>
      <w:r>
        <w:t xml:space="preserve"> </w:t>
      </w:r>
    </w:p>
    <w:p w:rsidR="00BC00AD" w:rsidRDefault="00BC00AD" w:rsidP="00BC00AD">
      <w:pPr>
        <w:widowControl w:val="0"/>
        <w:autoSpaceDE w:val="0"/>
        <w:autoSpaceDN w:val="0"/>
        <w:adjustRightInd w:val="0"/>
        <w:ind w:left="360"/>
      </w:pPr>
    </w:p>
    <w:p w:rsidR="00BC00AD" w:rsidRPr="00BC00AD" w:rsidRDefault="00BC00AD" w:rsidP="00BC00AD">
      <w:pPr>
        <w:widowControl w:val="0"/>
        <w:numPr>
          <w:ilvl w:val="0"/>
          <w:numId w:val="4"/>
        </w:numPr>
        <w:autoSpaceDE w:val="0"/>
        <w:autoSpaceDN w:val="0"/>
        <w:adjustRightInd w:val="0"/>
      </w:pPr>
      <w:r>
        <w:t xml:space="preserve"> </w:t>
      </w:r>
      <w:r w:rsidR="005F4ADB">
        <w:rPr>
          <w:b/>
        </w:rPr>
        <w:t>Voluntariness in</w:t>
      </w:r>
      <w:r w:rsidR="00B92110" w:rsidRPr="00ED6CFB">
        <w:rPr>
          <w:b/>
        </w:rPr>
        <w:t xml:space="preserve"> </w:t>
      </w:r>
      <w:r w:rsidRPr="00ED6CFB">
        <w:rPr>
          <w:b/>
        </w:rPr>
        <w:t>housing</w:t>
      </w:r>
      <w:r w:rsidRPr="00BC00AD">
        <w:rPr>
          <w:b/>
        </w:rPr>
        <w:t xml:space="preserve"> assistance</w:t>
      </w:r>
    </w:p>
    <w:p w:rsidR="00BC00AD" w:rsidRDefault="00BC00AD" w:rsidP="00BC00AD">
      <w:pPr>
        <w:widowControl w:val="0"/>
        <w:autoSpaceDE w:val="0"/>
        <w:autoSpaceDN w:val="0"/>
        <w:adjustRightInd w:val="0"/>
        <w:ind w:left="360"/>
      </w:pPr>
      <w:r>
        <w:t>Renters- post-earthquake victims are under no obligation to accept land or housing assistance.</w:t>
      </w:r>
    </w:p>
    <w:p w:rsidR="00BC00AD" w:rsidRDefault="00BC00AD" w:rsidP="00BC00AD">
      <w:pPr>
        <w:widowControl w:val="0"/>
        <w:autoSpaceDE w:val="0"/>
        <w:autoSpaceDN w:val="0"/>
        <w:adjustRightInd w:val="0"/>
        <w:ind w:left="360"/>
      </w:pPr>
    </w:p>
    <w:p w:rsidR="00BC00AD" w:rsidRDefault="00BC00AD" w:rsidP="00BC00AD">
      <w:pPr>
        <w:widowControl w:val="0"/>
        <w:numPr>
          <w:ilvl w:val="0"/>
          <w:numId w:val="4"/>
        </w:numPr>
        <w:autoSpaceDE w:val="0"/>
        <w:autoSpaceDN w:val="0"/>
        <w:adjustRightInd w:val="0"/>
      </w:pPr>
      <w:r w:rsidRPr="00BC00AD">
        <w:rPr>
          <w:b/>
        </w:rPr>
        <w:t>The housing needs of former renters is a part of housing assistance programme</w:t>
      </w:r>
      <w:r>
        <w:t xml:space="preserve"> </w:t>
      </w:r>
    </w:p>
    <w:p w:rsidR="00BC00AD" w:rsidRDefault="00BC00AD" w:rsidP="00BC00AD">
      <w:pPr>
        <w:widowControl w:val="0"/>
        <w:autoSpaceDE w:val="0"/>
        <w:autoSpaceDN w:val="0"/>
        <w:adjustRightInd w:val="0"/>
        <w:ind w:left="360"/>
      </w:pPr>
      <w:r>
        <w:t>International humanitarian community should actively assist the Haitian government to enact relevant regulations and policies that the former renters</w:t>
      </w:r>
      <w:r w:rsidR="00B92110">
        <w:t>’</w:t>
      </w:r>
      <w:r>
        <w:t xml:space="preserve"> rights are clearly addressed and included in post-disaster housing assistance.</w:t>
      </w:r>
    </w:p>
    <w:p w:rsidR="00F22D51" w:rsidRPr="00BC00AD" w:rsidRDefault="00F22D51" w:rsidP="00F22D51">
      <w:pPr>
        <w:jc w:val="both"/>
        <w:rPr>
          <w:b/>
        </w:rPr>
      </w:pPr>
    </w:p>
    <w:p w:rsidR="00F22D51" w:rsidRDefault="00F22D51" w:rsidP="00506B48">
      <w:pPr>
        <w:numPr>
          <w:ilvl w:val="0"/>
          <w:numId w:val="3"/>
        </w:numPr>
        <w:jc w:val="both"/>
        <w:rPr>
          <w:b/>
          <w:lang w:val="en-GB"/>
        </w:rPr>
      </w:pPr>
      <w:r>
        <w:rPr>
          <w:b/>
          <w:lang w:val="en-GB"/>
        </w:rPr>
        <w:t>The human rights standards should be the legal endorsement of all humanitarian work related to natural disasters.</w:t>
      </w:r>
    </w:p>
    <w:p w:rsidR="00F22D51" w:rsidRDefault="00F22D51" w:rsidP="00506B48">
      <w:pPr>
        <w:ind w:left="360"/>
        <w:jc w:val="both"/>
        <w:rPr>
          <w:lang w:val="en-GB"/>
        </w:rPr>
      </w:pPr>
      <w:r>
        <w:rPr>
          <w:lang w:val="en-GB"/>
        </w:rPr>
        <w:t xml:space="preserve">The respect for human rights is an integral part of the </w:t>
      </w:r>
      <w:bookmarkStart w:id="6" w:name="OLE_LINK6"/>
      <w:r>
        <w:rPr>
          <w:lang w:val="en-GB"/>
        </w:rPr>
        <w:t>post-d</w:t>
      </w:r>
      <w:r w:rsidR="002F4C05">
        <w:rPr>
          <w:lang w:val="en-GB"/>
        </w:rPr>
        <w:t>isaster humanitarian assistance.</w:t>
      </w:r>
      <w:r>
        <w:rPr>
          <w:lang w:val="en-GB"/>
        </w:rPr>
        <w:t xml:space="preserve"> </w:t>
      </w:r>
      <w:bookmarkEnd w:id="6"/>
      <w:r>
        <w:rPr>
          <w:lang w:val="en-GB"/>
        </w:rPr>
        <w:t>The agencies involved in post-disast</w:t>
      </w:r>
      <w:r w:rsidR="00506B48">
        <w:rPr>
          <w:lang w:val="en-GB"/>
        </w:rPr>
        <w:t>er humanitarian assistance</w:t>
      </w:r>
      <w:r>
        <w:rPr>
          <w:lang w:val="en-GB"/>
        </w:rPr>
        <w:t xml:space="preserve"> are obliged to ensure that these rights are protected in the interest of the people directly affected, beyond the strict wording of their institutional mandate. (Inter Agency Standing Committee -IASC Operational Guidelines)</w:t>
      </w:r>
    </w:p>
    <w:p w:rsidR="00591EA3" w:rsidRDefault="00591EA3" w:rsidP="00506B48">
      <w:pPr>
        <w:ind w:left="360"/>
        <w:jc w:val="both"/>
        <w:rPr>
          <w:lang w:val="en-GB"/>
        </w:rPr>
      </w:pPr>
    </w:p>
    <w:p w:rsidR="00591EA3" w:rsidRDefault="00591EA3" w:rsidP="00591EA3">
      <w:pPr>
        <w:numPr>
          <w:ilvl w:val="0"/>
          <w:numId w:val="3"/>
        </w:numPr>
        <w:rPr>
          <w:b/>
        </w:rPr>
      </w:pPr>
      <w:r>
        <w:rPr>
          <w:b/>
        </w:rPr>
        <w:t>Rights not to be discriminated against on the basis of property.</w:t>
      </w:r>
    </w:p>
    <w:p w:rsidR="00591EA3" w:rsidRDefault="00591EA3" w:rsidP="00591EA3">
      <w:pPr>
        <w:autoSpaceDE w:val="0"/>
        <w:autoSpaceDN w:val="0"/>
        <w:adjustRightInd w:val="0"/>
        <w:ind w:left="360"/>
      </w:pPr>
      <w:r>
        <w:t>All victims of the Haitian earthquake are entitled to housing assistance in equal footing and that the eligibility for housing assistance should not be based on distinctions among renters</w:t>
      </w:r>
      <w:r w:rsidR="00B92110">
        <w:t>/</w:t>
      </w:r>
      <w:r>
        <w:t>tenants and landowners. This discrimination against renters and squatters on the basis of their property status is prohibited under the International Covenant on Civil and Political Rights.</w:t>
      </w:r>
      <w:r>
        <w:rPr>
          <w:rStyle w:val="FootnoteReference"/>
          <w:rFonts w:eastAsia="PMingLiU"/>
        </w:rPr>
        <w:footnoteReference w:id="11"/>
      </w:r>
      <w:r>
        <w:t xml:space="preserve"> </w:t>
      </w:r>
    </w:p>
    <w:p w:rsidR="00383E3F" w:rsidRDefault="00383E3F" w:rsidP="00506B48">
      <w:pPr>
        <w:ind w:left="360"/>
        <w:jc w:val="both"/>
        <w:rPr>
          <w:lang w:val="en-GB"/>
        </w:rPr>
      </w:pPr>
    </w:p>
    <w:p w:rsidR="00632364" w:rsidRPr="00383E3F" w:rsidRDefault="00383E3F" w:rsidP="00383E3F">
      <w:pPr>
        <w:numPr>
          <w:ilvl w:val="0"/>
          <w:numId w:val="3"/>
        </w:numPr>
        <w:jc w:val="both"/>
        <w:rPr>
          <w:b/>
          <w:lang w:val="en-GB"/>
        </w:rPr>
      </w:pPr>
      <w:r w:rsidRPr="00383E3F">
        <w:rPr>
          <w:b/>
          <w:lang w:val="en-GB"/>
        </w:rPr>
        <w:t>The housing assistance for renters should prioritise voluntary return</w:t>
      </w:r>
    </w:p>
    <w:p w:rsidR="00632364" w:rsidRPr="00632364" w:rsidRDefault="00632364" w:rsidP="00632364">
      <w:pPr>
        <w:ind w:left="360"/>
        <w:jc w:val="both"/>
      </w:pPr>
      <w:r w:rsidRPr="00632364">
        <w:t>The proposed policy for housing assistance for the pre-earthquake renters should prioritize voluntary return to original locations, or at least beneficiary-driven identification of suitable locations, and avoid large-scale resettlement programs.</w:t>
      </w:r>
    </w:p>
    <w:p w:rsidR="00632364" w:rsidRPr="00632364" w:rsidRDefault="00632364" w:rsidP="00506B48">
      <w:pPr>
        <w:ind w:left="360"/>
        <w:jc w:val="both"/>
      </w:pPr>
    </w:p>
    <w:p w:rsidR="001C0E5D" w:rsidRDefault="001C0E5D" w:rsidP="00D11354"/>
    <w:p w:rsidR="00EF5F51" w:rsidRDefault="00EF5F51" w:rsidP="00D11354">
      <w:pPr>
        <w:sectPr w:rsidR="00EF5F51">
          <w:pgSz w:w="11906" w:h="16838"/>
          <w:pgMar w:top="1417" w:right="1134" w:bottom="1134" w:left="1134" w:header="708" w:footer="708" w:gutter="0"/>
          <w:cols w:space="708"/>
          <w:docGrid w:linePitch="360"/>
        </w:sectPr>
      </w:pPr>
    </w:p>
    <w:p w:rsidR="00EF5F51" w:rsidRDefault="00591EA3" w:rsidP="001D42F2">
      <w:pPr>
        <w:jc w:val="center"/>
        <w:rPr>
          <w:rFonts w:ascii="Arial" w:hAnsi="Arial" w:cs="Arial"/>
          <w:b/>
          <w:bCs/>
          <w:lang w:val="en-GB"/>
        </w:rPr>
      </w:pPr>
      <w:r>
        <w:rPr>
          <w:rFonts w:ascii="Arial" w:hAnsi="Arial" w:cs="Arial"/>
          <w:b/>
          <w:bCs/>
          <w:lang w:val="en-GB"/>
        </w:rPr>
        <w:lastRenderedPageBreak/>
        <w:t xml:space="preserve">6) </w:t>
      </w:r>
      <w:r w:rsidR="003155D1" w:rsidRPr="001D42F2">
        <w:rPr>
          <w:rFonts w:ascii="Arial" w:hAnsi="Arial" w:cs="Arial"/>
          <w:b/>
          <w:bCs/>
          <w:lang w:val="en-GB"/>
        </w:rPr>
        <w:t>Summary of policy options</w:t>
      </w:r>
    </w:p>
    <w:p w:rsidR="001D42F2" w:rsidRPr="001D42F2" w:rsidRDefault="001D42F2" w:rsidP="001D42F2">
      <w:pPr>
        <w:jc w:val="center"/>
        <w:rPr>
          <w:rFonts w:ascii="Arial" w:hAnsi="Arial" w:cs="Arial"/>
        </w:rPr>
      </w:pPr>
    </w:p>
    <w:tbl>
      <w:tblPr>
        <w:tblW w:w="1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3504"/>
        <w:gridCol w:w="3505"/>
        <w:gridCol w:w="4182"/>
      </w:tblGrid>
      <w:tr w:rsidR="004705E6" w:rsidTr="005307E4">
        <w:trPr>
          <w:trHeight w:val="136"/>
        </w:trPr>
        <w:tc>
          <w:tcPr>
            <w:tcW w:w="3504" w:type="dxa"/>
            <w:shd w:val="clear" w:color="auto" w:fill="F3F3F3"/>
          </w:tcPr>
          <w:p w:rsidR="004705E6" w:rsidRPr="005307E4" w:rsidRDefault="004705E6" w:rsidP="00D11354">
            <w:pPr>
              <w:rPr>
                <w:rFonts w:ascii="Arial" w:hAnsi="Arial" w:cs="Arial"/>
              </w:rPr>
            </w:pPr>
          </w:p>
        </w:tc>
        <w:tc>
          <w:tcPr>
            <w:tcW w:w="3504" w:type="dxa"/>
            <w:shd w:val="clear" w:color="auto" w:fill="F3F3F3"/>
          </w:tcPr>
          <w:p w:rsidR="004705E6" w:rsidRPr="005307E4" w:rsidRDefault="004705E6" w:rsidP="00D11354">
            <w:pPr>
              <w:rPr>
                <w:rFonts w:ascii="Arial" w:hAnsi="Arial" w:cs="Arial"/>
                <w:b/>
                <w:bCs/>
                <w:lang w:val="en-GB"/>
              </w:rPr>
            </w:pPr>
            <w:r w:rsidRPr="005307E4">
              <w:rPr>
                <w:rFonts w:ascii="Arial" w:hAnsi="Arial" w:cs="Arial"/>
                <w:b/>
                <w:bCs/>
                <w:lang w:val="en-GB"/>
              </w:rPr>
              <w:t xml:space="preserve">Implementation in </w:t>
            </w:r>
            <w:smartTag w:uri="urn:schemas-microsoft-com:office:smarttags" w:element="country-region">
              <w:smartTag w:uri="urn:schemas-microsoft-com:office:smarttags" w:element="place">
                <w:r w:rsidRPr="005307E4">
                  <w:rPr>
                    <w:rFonts w:ascii="Arial" w:hAnsi="Arial" w:cs="Arial"/>
                    <w:b/>
                    <w:bCs/>
                    <w:lang w:val="en-GB"/>
                  </w:rPr>
                  <w:t>Haiti</w:t>
                </w:r>
              </w:smartTag>
            </w:smartTag>
          </w:p>
        </w:tc>
        <w:tc>
          <w:tcPr>
            <w:tcW w:w="3505" w:type="dxa"/>
            <w:shd w:val="clear" w:color="auto" w:fill="F3F3F3"/>
          </w:tcPr>
          <w:p w:rsidR="004705E6" w:rsidRPr="005307E4" w:rsidRDefault="004705E6" w:rsidP="00D11354">
            <w:pPr>
              <w:rPr>
                <w:rFonts w:ascii="Arial" w:hAnsi="Arial" w:cs="Arial"/>
                <w:b/>
                <w:bCs/>
                <w:lang w:val="en-GB"/>
              </w:rPr>
            </w:pPr>
            <w:r w:rsidRPr="005307E4">
              <w:rPr>
                <w:rFonts w:ascii="Arial" w:hAnsi="Arial" w:cs="Arial"/>
                <w:b/>
                <w:bCs/>
                <w:lang w:val="en-GB"/>
              </w:rPr>
              <w:t>Strengths</w:t>
            </w:r>
          </w:p>
        </w:tc>
        <w:tc>
          <w:tcPr>
            <w:tcW w:w="4182" w:type="dxa"/>
            <w:shd w:val="clear" w:color="auto" w:fill="F3F3F3"/>
          </w:tcPr>
          <w:p w:rsidR="004705E6" w:rsidRPr="005307E4" w:rsidRDefault="004705E6" w:rsidP="00D11354">
            <w:pPr>
              <w:rPr>
                <w:rFonts w:ascii="Arial" w:hAnsi="Arial" w:cs="Arial"/>
                <w:b/>
                <w:bCs/>
                <w:lang w:val="en-GB"/>
              </w:rPr>
            </w:pPr>
            <w:r w:rsidRPr="005307E4">
              <w:rPr>
                <w:rFonts w:ascii="Arial" w:hAnsi="Arial" w:cs="Arial"/>
                <w:b/>
                <w:bCs/>
                <w:lang w:val="en-GB"/>
              </w:rPr>
              <w:t>Weaknesses</w:t>
            </w:r>
          </w:p>
        </w:tc>
      </w:tr>
      <w:tr w:rsidR="003155D1" w:rsidTr="005307E4">
        <w:trPr>
          <w:trHeight w:val="136"/>
        </w:trPr>
        <w:tc>
          <w:tcPr>
            <w:tcW w:w="3504" w:type="dxa"/>
            <w:shd w:val="clear" w:color="auto" w:fill="FFFFFF"/>
          </w:tcPr>
          <w:p w:rsidR="0063443E" w:rsidRPr="005307E4" w:rsidRDefault="0063443E" w:rsidP="00D11354">
            <w:pPr>
              <w:rPr>
                <w:rFonts w:ascii="Arial" w:hAnsi="Arial" w:cs="Arial"/>
                <w:b/>
                <w:sz w:val="18"/>
                <w:szCs w:val="18"/>
              </w:rPr>
            </w:pPr>
            <w:bookmarkStart w:id="7" w:name="OLE_LINK24"/>
            <w:bookmarkStart w:id="8" w:name="OLE_LINK4"/>
            <w:r w:rsidRPr="005307E4">
              <w:rPr>
                <w:rFonts w:ascii="Arial" w:hAnsi="Arial" w:cs="Arial"/>
                <w:b/>
                <w:sz w:val="18"/>
                <w:szCs w:val="18"/>
              </w:rPr>
              <w:t>Renters returning to “yellow” house,-option 1.</w:t>
            </w:r>
          </w:p>
          <w:p w:rsidR="003155D1" w:rsidRPr="005307E4" w:rsidRDefault="0063443E" w:rsidP="00D11354">
            <w:pPr>
              <w:rPr>
                <w:b/>
                <w:sz w:val="18"/>
                <w:szCs w:val="18"/>
              </w:rPr>
            </w:pPr>
            <w:r w:rsidRPr="005307E4">
              <w:rPr>
                <w:rFonts w:ascii="Arial" w:hAnsi="Arial" w:cs="Arial"/>
                <w:b/>
                <w:sz w:val="18"/>
                <w:szCs w:val="18"/>
              </w:rPr>
              <w:t xml:space="preserve"> </w:t>
            </w:r>
            <w:bookmarkEnd w:id="7"/>
            <w:r w:rsidRPr="005307E4">
              <w:rPr>
                <w:rFonts w:ascii="Arial" w:hAnsi="Arial" w:cs="Arial"/>
                <w:b/>
                <w:sz w:val="18"/>
                <w:szCs w:val="18"/>
              </w:rPr>
              <w:t xml:space="preserve">the owner’ house is reconstructed by the international community aid, under condition that the owner is obliged to sign a new contract with the former renters and take them for a transitional period with the </w:t>
            </w:r>
            <w:r w:rsidR="00924DFB" w:rsidRPr="005307E4">
              <w:rPr>
                <w:rFonts w:ascii="Arial" w:hAnsi="Arial" w:cs="Arial"/>
                <w:b/>
                <w:sz w:val="18"/>
                <w:szCs w:val="18"/>
              </w:rPr>
              <w:t xml:space="preserve">“pre-earthquake rent </w:t>
            </w:r>
            <w:bookmarkEnd w:id="8"/>
          </w:p>
        </w:tc>
        <w:tc>
          <w:tcPr>
            <w:tcW w:w="3504" w:type="dxa"/>
            <w:shd w:val="clear" w:color="auto" w:fill="FFFFFF"/>
          </w:tcPr>
          <w:p w:rsidR="0063443E" w:rsidRPr="005307E4" w:rsidRDefault="0063443E" w:rsidP="0063443E">
            <w:pPr>
              <w:rPr>
                <w:rFonts w:ascii="Arial" w:hAnsi="Arial" w:cs="Arial"/>
                <w:sz w:val="18"/>
                <w:szCs w:val="18"/>
              </w:rPr>
            </w:pPr>
            <w:r w:rsidRPr="005307E4">
              <w:rPr>
                <w:rFonts w:ascii="Arial" w:hAnsi="Arial" w:cs="Arial"/>
                <w:sz w:val="18"/>
                <w:szCs w:val="18"/>
              </w:rPr>
              <w:t xml:space="preserve">The </w:t>
            </w:r>
            <w:r w:rsidRPr="005307E4">
              <w:rPr>
                <w:rFonts w:ascii="Arial" w:hAnsi="Arial" w:cs="Arial"/>
                <w:sz w:val="18"/>
                <w:szCs w:val="18"/>
                <w:lang w:val="en-GB"/>
              </w:rPr>
              <w:t xml:space="preserve">government of </w:t>
            </w:r>
            <w:smartTag w:uri="urn:schemas-microsoft-com:office:smarttags" w:element="country-region">
              <w:smartTag w:uri="urn:schemas-microsoft-com:office:smarttags" w:element="place">
                <w:r w:rsidRPr="005307E4">
                  <w:rPr>
                    <w:rFonts w:ascii="Arial" w:hAnsi="Arial" w:cs="Arial"/>
                    <w:sz w:val="18"/>
                    <w:szCs w:val="18"/>
                    <w:lang w:val="en-GB"/>
                  </w:rPr>
                  <w:t>Haiti</w:t>
                </w:r>
              </w:smartTag>
            </w:smartTag>
            <w:r w:rsidRPr="005307E4">
              <w:rPr>
                <w:rFonts w:ascii="Arial" w:hAnsi="Arial" w:cs="Arial"/>
                <w:sz w:val="18"/>
                <w:szCs w:val="18"/>
                <w:lang w:val="en-GB"/>
              </w:rPr>
              <w:t xml:space="preserve"> (</w:t>
            </w:r>
            <w:r w:rsidRPr="005307E4">
              <w:rPr>
                <w:rFonts w:ascii="Arial" w:hAnsi="Arial" w:cs="Arial"/>
                <w:sz w:val="18"/>
                <w:szCs w:val="18"/>
              </w:rPr>
              <w:t>GoH</w:t>
            </w:r>
            <w:r w:rsidR="00B0664D" w:rsidRPr="005307E4">
              <w:rPr>
                <w:rFonts w:ascii="Arial" w:hAnsi="Arial" w:cs="Arial"/>
                <w:sz w:val="18"/>
                <w:szCs w:val="18"/>
              </w:rPr>
              <w:t>).</w:t>
            </w:r>
          </w:p>
          <w:p w:rsidR="00B0664D" w:rsidRPr="005307E4" w:rsidRDefault="00B0664D" w:rsidP="0063443E">
            <w:pPr>
              <w:rPr>
                <w:rFonts w:ascii="Arial" w:hAnsi="Arial" w:cs="Arial"/>
                <w:sz w:val="18"/>
                <w:szCs w:val="18"/>
              </w:rPr>
            </w:pPr>
          </w:p>
          <w:p w:rsidR="003155D1" w:rsidRPr="005307E4" w:rsidRDefault="0063443E" w:rsidP="0063443E">
            <w:pPr>
              <w:rPr>
                <w:sz w:val="18"/>
                <w:szCs w:val="18"/>
              </w:rPr>
            </w:pPr>
            <w:r w:rsidRPr="005307E4">
              <w:rPr>
                <w:rFonts w:ascii="Arial" w:hAnsi="Arial" w:cs="Arial"/>
                <w:sz w:val="18"/>
                <w:szCs w:val="18"/>
              </w:rPr>
              <w:t>The GoH mandates that all humanitarian agencies  incorporate these conditions into their aid activities</w:t>
            </w:r>
          </w:p>
        </w:tc>
        <w:tc>
          <w:tcPr>
            <w:tcW w:w="3505" w:type="dxa"/>
            <w:shd w:val="clear" w:color="auto" w:fill="FFFFFF"/>
          </w:tcPr>
          <w:p w:rsidR="0063443E" w:rsidRPr="005307E4" w:rsidRDefault="0063443E" w:rsidP="0063443E">
            <w:pPr>
              <w:rPr>
                <w:rFonts w:ascii="Arial" w:hAnsi="Arial" w:cs="Arial"/>
                <w:sz w:val="18"/>
                <w:szCs w:val="18"/>
              </w:rPr>
            </w:pPr>
            <w:r w:rsidRPr="005307E4">
              <w:rPr>
                <w:rFonts w:ascii="Arial" w:hAnsi="Arial" w:cs="Arial"/>
                <w:sz w:val="18"/>
                <w:szCs w:val="18"/>
              </w:rPr>
              <w:t>-Balanced and protective solution, the owners benefit from the international assistance, the renter’s tenure status is protected at least in a transitional period.</w:t>
            </w:r>
          </w:p>
          <w:p w:rsidR="0063443E" w:rsidRPr="005307E4" w:rsidRDefault="0063443E" w:rsidP="0063443E">
            <w:pPr>
              <w:rPr>
                <w:rFonts w:ascii="Calibri" w:hAnsi="Calibri" w:cs="Calibri"/>
                <w:sz w:val="18"/>
                <w:szCs w:val="18"/>
                <w:lang w:val="en-GB"/>
              </w:rPr>
            </w:pPr>
            <w:r w:rsidRPr="005307E4">
              <w:rPr>
                <w:rFonts w:ascii="Arial" w:hAnsi="Arial" w:cs="Arial"/>
                <w:sz w:val="18"/>
                <w:szCs w:val="18"/>
              </w:rPr>
              <w:t>-Aligns</w:t>
            </w:r>
            <w:r w:rsidRPr="005307E4">
              <w:rPr>
                <w:rFonts w:ascii="Calibri" w:hAnsi="Calibri" w:cs="Calibri"/>
                <w:sz w:val="18"/>
                <w:szCs w:val="18"/>
                <w:lang w:val="en-GB"/>
              </w:rPr>
              <w:t xml:space="preserve"> </w:t>
            </w:r>
            <w:r w:rsidRPr="005307E4">
              <w:rPr>
                <w:rFonts w:ascii="Arial" w:hAnsi="Arial" w:cs="Arial"/>
                <w:sz w:val="18"/>
                <w:szCs w:val="18"/>
                <w:lang w:val="en-GB"/>
              </w:rPr>
              <w:t>with neighbourhood approach to aid and repair/retrofit goals</w:t>
            </w:r>
            <w:r w:rsidRPr="005307E4">
              <w:rPr>
                <w:rFonts w:ascii="Calibri" w:hAnsi="Calibri" w:cs="Calibri"/>
                <w:sz w:val="18"/>
                <w:szCs w:val="18"/>
                <w:lang w:val="en-GB"/>
              </w:rPr>
              <w:t>.</w:t>
            </w:r>
          </w:p>
          <w:p w:rsidR="003155D1" w:rsidRPr="005307E4" w:rsidRDefault="0063443E" w:rsidP="0063443E">
            <w:pPr>
              <w:rPr>
                <w:sz w:val="18"/>
                <w:szCs w:val="18"/>
              </w:rPr>
            </w:pPr>
            <w:r w:rsidRPr="005307E4">
              <w:rPr>
                <w:rFonts w:ascii="Calibri" w:hAnsi="Calibri" w:cs="Calibri"/>
                <w:sz w:val="18"/>
                <w:szCs w:val="18"/>
                <w:lang w:val="en-GB"/>
              </w:rPr>
              <w:t xml:space="preserve">- </w:t>
            </w:r>
            <w:r w:rsidRPr="005307E4">
              <w:rPr>
                <w:rFonts w:ascii="Arial" w:hAnsi="Arial" w:cs="Arial"/>
                <w:sz w:val="18"/>
                <w:szCs w:val="18"/>
                <w:lang w:val="en-GB"/>
              </w:rPr>
              <w:t>Can be</w:t>
            </w:r>
            <w:r w:rsidRPr="005307E4">
              <w:rPr>
                <w:rFonts w:ascii="Calibri" w:hAnsi="Calibri" w:cs="Calibri"/>
                <w:sz w:val="18"/>
                <w:szCs w:val="18"/>
                <w:lang w:val="en-GB"/>
              </w:rPr>
              <w:t xml:space="preserve"> </w:t>
            </w:r>
            <w:r w:rsidRPr="005307E4">
              <w:rPr>
                <w:rFonts w:ascii="Arial" w:hAnsi="Arial" w:cs="Arial"/>
                <w:sz w:val="18"/>
                <w:szCs w:val="18"/>
                <w:lang w:val="en-GB"/>
              </w:rPr>
              <w:t>immediately incorporated into aid strategies</w:t>
            </w:r>
          </w:p>
        </w:tc>
        <w:tc>
          <w:tcPr>
            <w:tcW w:w="4182" w:type="dxa"/>
            <w:shd w:val="clear" w:color="auto" w:fill="FFFFFF"/>
          </w:tcPr>
          <w:p w:rsidR="0063443E" w:rsidRPr="005307E4" w:rsidRDefault="0063443E" w:rsidP="0063443E">
            <w:pPr>
              <w:rPr>
                <w:rFonts w:ascii="Arial" w:hAnsi="Arial" w:cs="Arial"/>
                <w:sz w:val="18"/>
                <w:szCs w:val="18"/>
              </w:rPr>
            </w:pPr>
            <w:r w:rsidRPr="005307E4">
              <w:rPr>
                <w:rFonts w:ascii="Arial" w:hAnsi="Arial" w:cs="Arial"/>
                <w:sz w:val="18"/>
                <w:szCs w:val="18"/>
              </w:rPr>
              <w:t>The owners may not always accept this condition.</w:t>
            </w:r>
          </w:p>
          <w:p w:rsidR="003155D1" w:rsidRPr="005307E4" w:rsidRDefault="0063443E" w:rsidP="0063443E">
            <w:pPr>
              <w:rPr>
                <w:sz w:val="18"/>
                <w:szCs w:val="18"/>
              </w:rPr>
            </w:pPr>
            <w:r w:rsidRPr="005307E4">
              <w:rPr>
                <w:rFonts w:ascii="Arial" w:hAnsi="Arial" w:cs="Arial"/>
                <w:sz w:val="18"/>
                <w:szCs w:val="18"/>
              </w:rPr>
              <w:t>Potentially it could create inequalities between the owners without renters, also eligible for reconstruction and the owners with the renters being subjected to this condition</w:t>
            </w:r>
          </w:p>
        </w:tc>
      </w:tr>
      <w:tr w:rsidR="005307E4" w:rsidRPr="005307E4" w:rsidTr="005307E4">
        <w:trPr>
          <w:trHeight w:val="136"/>
        </w:trPr>
        <w:tc>
          <w:tcPr>
            <w:tcW w:w="3504" w:type="dxa"/>
          </w:tcPr>
          <w:p w:rsidR="0063443E" w:rsidRPr="005307E4" w:rsidRDefault="0063443E" w:rsidP="00D11354">
            <w:pPr>
              <w:rPr>
                <w:rFonts w:ascii="Arial" w:hAnsi="Arial" w:cs="Arial"/>
                <w:b/>
                <w:sz w:val="18"/>
                <w:szCs w:val="18"/>
              </w:rPr>
            </w:pPr>
            <w:bookmarkStart w:id="9" w:name="OLE_LINK18"/>
            <w:r w:rsidRPr="005307E4">
              <w:rPr>
                <w:rFonts w:ascii="Arial" w:hAnsi="Arial" w:cs="Arial"/>
                <w:b/>
                <w:sz w:val="18"/>
                <w:szCs w:val="18"/>
              </w:rPr>
              <w:t xml:space="preserve">Renters returning to “yellow” house,-option 2 </w:t>
            </w:r>
          </w:p>
          <w:p w:rsidR="004B29F7" w:rsidRPr="005307E4" w:rsidRDefault="004A1BD5" w:rsidP="00D11354">
            <w:pPr>
              <w:rPr>
                <w:rFonts w:ascii="Arial" w:hAnsi="Arial" w:cs="Arial"/>
                <w:b/>
                <w:sz w:val="18"/>
                <w:szCs w:val="18"/>
              </w:rPr>
            </w:pPr>
            <w:r w:rsidRPr="005307E4">
              <w:rPr>
                <w:rFonts w:ascii="Arial" w:hAnsi="Arial" w:cs="Arial"/>
                <w:b/>
                <w:sz w:val="18"/>
                <w:szCs w:val="18"/>
              </w:rPr>
              <w:t>C</w:t>
            </w:r>
            <w:r w:rsidR="004B29F7" w:rsidRPr="005307E4">
              <w:rPr>
                <w:rFonts w:ascii="Arial" w:hAnsi="Arial" w:cs="Arial"/>
                <w:b/>
                <w:sz w:val="18"/>
                <w:szCs w:val="18"/>
              </w:rPr>
              <w:t xml:space="preserve">ommunity based rent-for-work model (the former renter is </w:t>
            </w:r>
            <w:bookmarkStart w:id="10" w:name="OLE_LINK16"/>
            <w:r w:rsidR="00122D19" w:rsidRPr="005307E4">
              <w:rPr>
                <w:rFonts w:ascii="Arial" w:hAnsi="Arial" w:cs="Arial"/>
                <w:b/>
                <w:sz w:val="18"/>
                <w:szCs w:val="18"/>
              </w:rPr>
              <w:t>“prioritis</w:t>
            </w:r>
            <w:r w:rsidR="00DE2A62" w:rsidRPr="005307E4">
              <w:rPr>
                <w:rFonts w:ascii="Arial" w:hAnsi="Arial" w:cs="Arial"/>
                <w:b/>
                <w:sz w:val="18"/>
                <w:szCs w:val="18"/>
              </w:rPr>
              <w:t>e</w:t>
            </w:r>
            <w:r w:rsidR="00122D19" w:rsidRPr="005307E4">
              <w:rPr>
                <w:rFonts w:ascii="Arial" w:hAnsi="Arial" w:cs="Arial"/>
                <w:b/>
                <w:sz w:val="18"/>
                <w:szCs w:val="18"/>
              </w:rPr>
              <w:t>d” in employment</w:t>
            </w:r>
            <w:r w:rsidR="00C25BF6" w:rsidRPr="005307E4">
              <w:rPr>
                <w:rFonts w:ascii="Arial" w:hAnsi="Arial" w:cs="Arial"/>
                <w:b/>
                <w:sz w:val="18"/>
                <w:szCs w:val="18"/>
              </w:rPr>
              <w:t xml:space="preserve"> in the reconstruction work </w:t>
            </w:r>
            <w:bookmarkEnd w:id="10"/>
            <w:r w:rsidR="00C25BF6" w:rsidRPr="005307E4">
              <w:rPr>
                <w:rFonts w:ascii="Arial" w:hAnsi="Arial" w:cs="Arial"/>
                <w:b/>
                <w:sz w:val="18"/>
                <w:szCs w:val="18"/>
              </w:rPr>
              <w:t>of the</w:t>
            </w:r>
            <w:r w:rsidR="00122D19" w:rsidRPr="005307E4">
              <w:rPr>
                <w:rFonts w:ascii="Arial" w:hAnsi="Arial" w:cs="Arial"/>
                <w:b/>
                <w:sz w:val="18"/>
                <w:szCs w:val="18"/>
              </w:rPr>
              <w:t xml:space="preserve"> owner</w:t>
            </w:r>
            <w:r w:rsidR="00A5069F" w:rsidRPr="005307E4">
              <w:rPr>
                <w:rFonts w:ascii="Arial" w:hAnsi="Arial" w:cs="Arial"/>
                <w:b/>
                <w:sz w:val="18"/>
                <w:szCs w:val="18"/>
              </w:rPr>
              <w:t>’s</w:t>
            </w:r>
            <w:r w:rsidR="00122D19" w:rsidRPr="005307E4">
              <w:rPr>
                <w:rFonts w:ascii="Arial" w:hAnsi="Arial" w:cs="Arial"/>
                <w:b/>
                <w:sz w:val="18"/>
                <w:szCs w:val="18"/>
              </w:rPr>
              <w:t xml:space="preserve"> “yellow” house </w:t>
            </w:r>
            <w:r w:rsidR="00DE2A62" w:rsidRPr="005307E4">
              <w:rPr>
                <w:rFonts w:ascii="Arial" w:hAnsi="Arial" w:cs="Arial"/>
                <w:b/>
                <w:sz w:val="18"/>
                <w:szCs w:val="18"/>
              </w:rPr>
              <w:t>and/</w:t>
            </w:r>
            <w:r w:rsidR="00122D19" w:rsidRPr="005307E4">
              <w:rPr>
                <w:rFonts w:ascii="Arial" w:hAnsi="Arial" w:cs="Arial"/>
                <w:b/>
                <w:sz w:val="18"/>
                <w:szCs w:val="18"/>
              </w:rPr>
              <w:t xml:space="preserve">or in the </w:t>
            </w:r>
            <w:r w:rsidR="005A5711" w:rsidRPr="005307E4">
              <w:rPr>
                <w:rFonts w:ascii="Arial" w:hAnsi="Arial" w:cs="Arial"/>
                <w:b/>
                <w:sz w:val="18"/>
                <w:szCs w:val="18"/>
              </w:rPr>
              <w:t>reconstruction</w:t>
            </w:r>
            <w:r w:rsidR="00122D19" w:rsidRPr="005307E4">
              <w:rPr>
                <w:rFonts w:ascii="Arial" w:hAnsi="Arial" w:cs="Arial"/>
                <w:b/>
                <w:sz w:val="18"/>
                <w:szCs w:val="18"/>
              </w:rPr>
              <w:t xml:space="preserve"> work</w:t>
            </w:r>
            <w:r w:rsidR="005A5711" w:rsidRPr="005307E4">
              <w:rPr>
                <w:rFonts w:ascii="Arial" w:hAnsi="Arial" w:cs="Arial"/>
                <w:b/>
                <w:sz w:val="18"/>
                <w:szCs w:val="18"/>
              </w:rPr>
              <w:t xml:space="preserve"> </w:t>
            </w:r>
            <w:r w:rsidR="00122D19" w:rsidRPr="005307E4">
              <w:rPr>
                <w:rFonts w:ascii="Arial" w:hAnsi="Arial" w:cs="Arial"/>
                <w:b/>
                <w:sz w:val="18"/>
                <w:szCs w:val="18"/>
              </w:rPr>
              <w:t>of the hous</w:t>
            </w:r>
            <w:r w:rsidR="00924DFB" w:rsidRPr="005307E4">
              <w:rPr>
                <w:rFonts w:ascii="Arial" w:hAnsi="Arial" w:cs="Arial"/>
                <w:b/>
                <w:sz w:val="18"/>
                <w:szCs w:val="18"/>
              </w:rPr>
              <w:t>es in the renter’s neighborhood</w:t>
            </w:r>
            <w:r w:rsidR="00C25BF6" w:rsidRPr="005307E4">
              <w:rPr>
                <w:rFonts w:ascii="Arial" w:hAnsi="Arial" w:cs="Arial"/>
                <w:b/>
                <w:sz w:val="18"/>
                <w:szCs w:val="18"/>
              </w:rPr>
              <w:t xml:space="preserve"> </w:t>
            </w:r>
            <w:bookmarkEnd w:id="9"/>
            <w:r w:rsidR="00DE2A62" w:rsidRPr="005307E4">
              <w:rPr>
                <w:rFonts w:ascii="Arial" w:hAnsi="Arial" w:cs="Arial"/>
                <w:b/>
                <w:sz w:val="18"/>
                <w:szCs w:val="18"/>
              </w:rPr>
              <w:t>(include reconstruction of infrastructure that serves the neighborhood an</w:t>
            </w:r>
            <w:r w:rsidR="00924DFB" w:rsidRPr="005307E4">
              <w:rPr>
                <w:rFonts w:ascii="Arial" w:hAnsi="Arial" w:cs="Arial"/>
                <w:b/>
                <w:sz w:val="18"/>
                <w:szCs w:val="18"/>
              </w:rPr>
              <w:t>d the house owners in that area</w:t>
            </w:r>
            <w:r w:rsidR="00DE2A62" w:rsidRPr="005307E4">
              <w:rPr>
                <w:rFonts w:ascii="Arial" w:hAnsi="Arial" w:cs="Arial"/>
                <w:b/>
                <w:sz w:val="18"/>
                <w:szCs w:val="18"/>
              </w:rPr>
              <w:t>)</w:t>
            </w:r>
          </w:p>
        </w:tc>
        <w:tc>
          <w:tcPr>
            <w:tcW w:w="3504" w:type="dxa"/>
          </w:tcPr>
          <w:p w:rsidR="004A1BD5" w:rsidRPr="005307E4" w:rsidRDefault="005A5711" w:rsidP="00D11354">
            <w:pPr>
              <w:rPr>
                <w:rFonts w:ascii="Arial" w:hAnsi="Arial" w:cs="Arial"/>
                <w:sz w:val="18"/>
                <w:szCs w:val="18"/>
              </w:rPr>
            </w:pPr>
            <w:r w:rsidRPr="005307E4">
              <w:rPr>
                <w:rFonts w:ascii="Arial" w:hAnsi="Arial" w:cs="Arial"/>
                <w:sz w:val="18"/>
                <w:szCs w:val="18"/>
              </w:rPr>
              <w:t xml:space="preserve">International humanitarian community. </w:t>
            </w:r>
          </w:p>
          <w:p w:rsidR="004A1BD5" w:rsidRPr="005307E4" w:rsidRDefault="004A1BD5" w:rsidP="00D11354">
            <w:pPr>
              <w:rPr>
                <w:rFonts w:ascii="Arial" w:hAnsi="Arial" w:cs="Arial"/>
                <w:sz w:val="18"/>
                <w:szCs w:val="18"/>
              </w:rPr>
            </w:pPr>
          </w:p>
          <w:p w:rsidR="003155D1" w:rsidRPr="005307E4" w:rsidRDefault="005A5711" w:rsidP="00D11354">
            <w:pPr>
              <w:rPr>
                <w:rFonts w:ascii="Arial" w:hAnsi="Arial" w:cs="Arial"/>
                <w:sz w:val="18"/>
                <w:szCs w:val="18"/>
              </w:rPr>
            </w:pPr>
            <w:r w:rsidRPr="005307E4">
              <w:rPr>
                <w:rFonts w:ascii="Arial" w:hAnsi="Arial" w:cs="Arial"/>
                <w:sz w:val="18"/>
                <w:szCs w:val="18"/>
              </w:rPr>
              <w:t>International/local NGOs involved in the reconstruction process.</w:t>
            </w:r>
          </w:p>
        </w:tc>
        <w:tc>
          <w:tcPr>
            <w:tcW w:w="3505" w:type="dxa"/>
          </w:tcPr>
          <w:p w:rsidR="00C8262E" w:rsidRPr="005307E4" w:rsidRDefault="004A1BD5" w:rsidP="00D11354">
            <w:pPr>
              <w:rPr>
                <w:rFonts w:ascii="Arial" w:hAnsi="Arial" w:cs="Arial"/>
                <w:sz w:val="18"/>
                <w:szCs w:val="18"/>
              </w:rPr>
            </w:pPr>
            <w:r w:rsidRPr="005307E4">
              <w:rPr>
                <w:rFonts w:ascii="Arial" w:hAnsi="Arial" w:cs="Arial"/>
                <w:sz w:val="18"/>
                <w:szCs w:val="18"/>
              </w:rPr>
              <w:t xml:space="preserve">Profiled </w:t>
            </w:r>
            <w:r w:rsidR="00C8262E" w:rsidRPr="005307E4">
              <w:rPr>
                <w:rFonts w:ascii="Arial" w:hAnsi="Arial" w:cs="Arial"/>
                <w:sz w:val="18"/>
                <w:szCs w:val="18"/>
              </w:rPr>
              <w:t xml:space="preserve">approach </w:t>
            </w:r>
            <w:r w:rsidR="007E1280" w:rsidRPr="005307E4">
              <w:rPr>
                <w:rFonts w:ascii="Arial" w:hAnsi="Arial" w:cs="Arial"/>
                <w:sz w:val="18"/>
                <w:szCs w:val="18"/>
              </w:rPr>
              <w:t>focusing on the direct</w:t>
            </w:r>
            <w:r w:rsidR="00215408" w:rsidRPr="005307E4">
              <w:rPr>
                <w:rFonts w:ascii="Arial" w:hAnsi="Arial" w:cs="Arial"/>
                <w:sz w:val="18"/>
                <w:szCs w:val="18"/>
              </w:rPr>
              <w:t xml:space="preserve"> beneficiaries (tenants and owners)</w:t>
            </w:r>
          </w:p>
          <w:p w:rsidR="00C8262E" w:rsidRPr="005307E4" w:rsidRDefault="00C8262E" w:rsidP="00D11354">
            <w:pPr>
              <w:rPr>
                <w:rFonts w:ascii="Arial" w:hAnsi="Arial" w:cs="Arial"/>
                <w:sz w:val="18"/>
                <w:szCs w:val="18"/>
              </w:rPr>
            </w:pPr>
          </w:p>
          <w:p w:rsidR="00157309" w:rsidRPr="005307E4" w:rsidRDefault="004A1BD5" w:rsidP="00D11354">
            <w:pPr>
              <w:rPr>
                <w:rFonts w:ascii="Arial" w:hAnsi="Arial" w:cs="Arial"/>
                <w:sz w:val="18"/>
                <w:szCs w:val="18"/>
                <w:lang w:val="en-GB"/>
              </w:rPr>
            </w:pPr>
            <w:r w:rsidRPr="005307E4">
              <w:rPr>
                <w:rFonts w:ascii="Arial" w:hAnsi="Arial" w:cs="Arial"/>
                <w:sz w:val="18"/>
                <w:szCs w:val="18"/>
              </w:rPr>
              <w:t>-</w:t>
            </w:r>
            <w:r w:rsidR="00215408" w:rsidRPr="005307E4">
              <w:rPr>
                <w:rFonts w:ascii="Arial" w:hAnsi="Arial" w:cs="Arial"/>
                <w:sz w:val="18"/>
                <w:szCs w:val="18"/>
              </w:rPr>
              <w:t>Balanced-</w:t>
            </w:r>
            <w:r w:rsidRPr="005307E4">
              <w:rPr>
                <w:rFonts w:ascii="Arial" w:hAnsi="Arial" w:cs="Arial"/>
                <w:sz w:val="18"/>
                <w:szCs w:val="18"/>
              </w:rPr>
              <w:t>creating win-win situation, tenants are enabled to return and landlords could maintain their tenants</w:t>
            </w:r>
          </w:p>
        </w:tc>
        <w:tc>
          <w:tcPr>
            <w:tcW w:w="4182" w:type="dxa"/>
          </w:tcPr>
          <w:p w:rsidR="00F6781D" w:rsidRPr="005307E4" w:rsidRDefault="00747209" w:rsidP="00D11354">
            <w:pPr>
              <w:rPr>
                <w:rFonts w:ascii="Arial" w:hAnsi="Arial" w:cs="Arial"/>
                <w:sz w:val="18"/>
                <w:szCs w:val="18"/>
              </w:rPr>
            </w:pPr>
            <w:r w:rsidRPr="005307E4">
              <w:rPr>
                <w:rFonts w:ascii="Arial" w:hAnsi="Arial" w:cs="Arial"/>
                <w:sz w:val="18"/>
                <w:szCs w:val="18"/>
              </w:rPr>
              <w:t xml:space="preserve"> By prioritizing the former renter in employment in the reconstruction work, may potentially create inequalities among the IDPs in need for employment.</w:t>
            </w:r>
          </w:p>
          <w:p w:rsidR="00F6781D" w:rsidRPr="005307E4" w:rsidRDefault="00F6781D" w:rsidP="00D11354">
            <w:pPr>
              <w:rPr>
                <w:rFonts w:ascii="Arial" w:hAnsi="Arial" w:cs="Arial"/>
                <w:sz w:val="18"/>
                <w:szCs w:val="18"/>
              </w:rPr>
            </w:pPr>
          </w:p>
          <w:p w:rsidR="00F12B61" w:rsidRPr="005307E4" w:rsidRDefault="00F6781D" w:rsidP="00D11354">
            <w:pPr>
              <w:rPr>
                <w:rFonts w:ascii="Arial" w:hAnsi="Arial" w:cs="Arial"/>
                <w:sz w:val="18"/>
                <w:szCs w:val="18"/>
              </w:rPr>
            </w:pPr>
            <w:r w:rsidRPr="005307E4">
              <w:rPr>
                <w:rFonts w:ascii="Arial" w:hAnsi="Arial" w:cs="Arial"/>
                <w:sz w:val="18"/>
                <w:szCs w:val="18"/>
              </w:rPr>
              <w:t xml:space="preserve">Reconstruction work doesn’t seem to be a priority at the moment in </w:t>
            </w:r>
            <w:smartTag w:uri="urn:schemas-microsoft-com:office:smarttags" w:element="country-region">
              <w:smartTag w:uri="urn:schemas-microsoft-com:office:smarttags" w:element="place">
                <w:r w:rsidRPr="005307E4">
                  <w:rPr>
                    <w:rFonts w:ascii="Arial" w:hAnsi="Arial" w:cs="Arial"/>
                    <w:sz w:val="18"/>
                    <w:szCs w:val="18"/>
                  </w:rPr>
                  <w:t>Haiti</w:t>
                </w:r>
              </w:smartTag>
            </w:smartTag>
            <w:r w:rsidRPr="005307E4">
              <w:rPr>
                <w:rFonts w:ascii="Arial" w:hAnsi="Arial" w:cs="Arial"/>
                <w:sz w:val="18"/>
                <w:szCs w:val="18"/>
              </w:rPr>
              <w:t>. It has not started yet!</w:t>
            </w:r>
          </w:p>
        </w:tc>
      </w:tr>
      <w:tr w:rsidR="005307E4" w:rsidRPr="005307E4" w:rsidTr="005307E4">
        <w:trPr>
          <w:trHeight w:val="136"/>
        </w:trPr>
        <w:tc>
          <w:tcPr>
            <w:tcW w:w="3504" w:type="dxa"/>
          </w:tcPr>
          <w:p w:rsidR="00924DFB" w:rsidRPr="005307E4" w:rsidRDefault="00924DFB" w:rsidP="00D11354">
            <w:pPr>
              <w:rPr>
                <w:rFonts w:ascii="Arial" w:hAnsi="Arial" w:cs="Arial"/>
                <w:b/>
                <w:sz w:val="18"/>
                <w:szCs w:val="18"/>
              </w:rPr>
            </w:pPr>
            <w:bookmarkStart w:id="11" w:name="OLE_LINK25"/>
            <w:bookmarkStart w:id="12" w:name="OLE_LINK27"/>
          </w:p>
          <w:p w:rsidR="003155D1" w:rsidRPr="005307E4" w:rsidRDefault="00D906A8" w:rsidP="00D11354">
            <w:pPr>
              <w:rPr>
                <w:rFonts w:ascii="Arial" w:hAnsi="Arial" w:cs="Arial"/>
                <w:b/>
                <w:sz w:val="18"/>
                <w:szCs w:val="18"/>
              </w:rPr>
            </w:pPr>
            <w:r w:rsidRPr="005307E4">
              <w:rPr>
                <w:rFonts w:ascii="Arial" w:hAnsi="Arial" w:cs="Arial"/>
                <w:b/>
                <w:sz w:val="18"/>
                <w:szCs w:val="18"/>
              </w:rPr>
              <w:t>Renters returning to “green</w:t>
            </w:r>
            <w:r w:rsidR="00F12B61" w:rsidRPr="005307E4">
              <w:rPr>
                <w:rFonts w:ascii="Arial" w:hAnsi="Arial" w:cs="Arial"/>
                <w:b/>
                <w:sz w:val="18"/>
                <w:szCs w:val="18"/>
              </w:rPr>
              <w:t>” house</w:t>
            </w:r>
            <w:bookmarkEnd w:id="11"/>
            <w:r w:rsidRPr="005307E4">
              <w:rPr>
                <w:rFonts w:ascii="Arial" w:hAnsi="Arial" w:cs="Arial"/>
                <w:b/>
                <w:sz w:val="18"/>
                <w:szCs w:val="18"/>
              </w:rPr>
              <w:t>s</w:t>
            </w:r>
            <w:r w:rsidR="006B2E3F" w:rsidRPr="005307E4">
              <w:rPr>
                <w:rFonts w:ascii="Arial" w:hAnsi="Arial" w:cs="Arial"/>
                <w:b/>
                <w:sz w:val="18"/>
                <w:szCs w:val="18"/>
              </w:rPr>
              <w:t xml:space="preserve"> (previous owner) or to new houses</w:t>
            </w:r>
            <w:r w:rsidR="00F12B61" w:rsidRPr="005307E4">
              <w:rPr>
                <w:rFonts w:ascii="Arial" w:hAnsi="Arial" w:cs="Arial"/>
                <w:b/>
                <w:sz w:val="18"/>
                <w:szCs w:val="18"/>
              </w:rPr>
              <w:t xml:space="preserve">-rental </w:t>
            </w:r>
            <w:r w:rsidR="00CD3FC2" w:rsidRPr="005307E4">
              <w:rPr>
                <w:rFonts w:ascii="Arial" w:hAnsi="Arial" w:cs="Arial"/>
                <w:b/>
                <w:sz w:val="18"/>
                <w:szCs w:val="18"/>
              </w:rPr>
              <w:t>subsidy-</w:t>
            </w:r>
            <w:r w:rsidRPr="005307E4">
              <w:rPr>
                <w:rFonts w:ascii="Arial" w:hAnsi="Arial" w:cs="Arial"/>
                <w:b/>
                <w:sz w:val="18"/>
                <w:szCs w:val="18"/>
              </w:rPr>
              <w:t xml:space="preserve">in </w:t>
            </w:r>
            <w:r w:rsidR="00CD3FC2" w:rsidRPr="005307E4">
              <w:rPr>
                <w:rFonts w:ascii="Arial" w:hAnsi="Arial" w:cs="Arial"/>
                <w:b/>
                <w:sz w:val="18"/>
                <w:szCs w:val="18"/>
              </w:rPr>
              <w:t>general</w:t>
            </w:r>
            <w:r w:rsidRPr="005307E4">
              <w:rPr>
                <w:rFonts w:ascii="Arial" w:hAnsi="Arial" w:cs="Arial"/>
                <w:b/>
                <w:sz w:val="18"/>
                <w:szCs w:val="18"/>
              </w:rPr>
              <w:t xml:space="preserve"> (without conditions)</w:t>
            </w:r>
            <w:r w:rsidR="00534CD3" w:rsidRPr="005307E4">
              <w:rPr>
                <w:rFonts w:ascii="Arial" w:hAnsi="Arial" w:cs="Arial"/>
                <w:b/>
                <w:sz w:val="18"/>
                <w:szCs w:val="18"/>
              </w:rPr>
              <w:t xml:space="preserve">, cash or </w:t>
            </w:r>
            <w:r w:rsidR="006B2E3F" w:rsidRPr="005307E4">
              <w:rPr>
                <w:rFonts w:ascii="Arial" w:hAnsi="Arial" w:cs="Arial"/>
                <w:b/>
                <w:sz w:val="18"/>
                <w:szCs w:val="18"/>
              </w:rPr>
              <w:t>vouchers</w:t>
            </w:r>
            <w:bookmarkEnd w:id="12"/>
          </w:p>
        </w:tc>
        <w:tc>
          <w:tcPr>
            <w:tcW w:w="3504" w:type="dxa"/>
          </w:tcPr>
          <w:p w:rsidR="00D906A8" w:rsidRPr="005307E4" w:rsidRDefault="00D906A8" w:rsidP="00D906A8">
            <w:pPr>
              <w:rPr>
                <w:rFonts w:ascii="Arial" w:hAnsi="Arial" w:cs="Arial"/>
                <w:sz w:val="18"/>
                <w:szCs w:val="18"/>
                <w:lang w:val="en-GB"/>
              </w:rPr>
            </w:pPr>
            <w:bookmarkStart w:id="13" w:name="OLE_LINK29"/>
            <w:r w:rsidRPr="005307E4">
              <w:rPr>
                <w:rFonts w:ascii="Arial" w:hAnsi="Arial" w:cs="Arial"/>
                <w:sz w:val="18"/>
                <w:szCs w:val="18"/>
                <w:lang w:val="en-GB"/>
              </w:rPr>
              <w:t xml:space="preserve">The </w:t>
            </w:r>
            <w:r w:rsidR="00732FB1" w:rsidRPr="005307E4">
              <w:rPr>
                <w:rFonts w:ascii="Arial" w:hAnsi="Arial" w:cs="Arial"/>
                <w:sz w:val="18"/>
                <w:szCs w:val="18"/>
                <w:lang w:val="en-GB"/>
              </w:rPr>
              <w:t xml:space="preserve">GoH </w:t>
            </w:r>
            <w:r w:rsidRPr="005307E4">
              <w:rPr>
                <w:rFonts w:ascii="Arial" w:hAnsi="Arial" w:cs="Arial"/>
                <w:sz w:val="18"/>
                <w:szCs w:val="18"/>
                <w:lang w:val="en-GB"/>
              </w:rPr>
              <w:t xml:space="preserve">and humanitarian aid organizations can offer direct rent </w:t>
            </w:r>
            <w:r w:rsidR="00A5069F" w:rsidRPr="005307E4">
              <w:rPr>
                <w:rFonts w:ascii="Arial" w:hAnsi="Arial" w:cs="Arial"/>
                <w:sz w:val="18"/>
                <w:szCs w:val="18"/>
                <w:lang w:val="en-GB"/>
              </w:rPr>
              <w:t>support</w:t>
            </w:r>
            <w:r w:rsidR="00534CD3" w:rsidRPr="005307E4">
              <w:rPr>
                <w:rFonts w:ascii="Arial" w:hAnsi="Arial" w:cs="Arial"/>
                <w:sz w:val="18"/>
                <w:szCs w:val="18"/>
                <w:lang w:val="en-GB"/>
              </w:rPr>
              <w:t>.</w:t>
            </w:r>
          </w:p>
          <w:bookmarkEnd w:id="13"/>
          <w:p w:rsidR="003155D1" w:rsidRPr="005307E4" w:rsidRDefault="003155D1" w:rsidP="00D11354">
            <w:pPr>
              <w:rPr>
                <w:rFonts w:ascii="Arial" w:hAnsi="Arial" w:cs="Arial"/>
                <w:sz w:val="18"/>
                <w:szCs w:val="18"/>
              </w:rPr>
            </w:pPr>
          </w:p>
        </w:tc>
        <w:tc>
          <w:tcPr>
            <w:tcW w:w="3505" w:type="dxa"/>
          </w:tcPr>
          <w:p w:rsidR="00D906A8" w:rsidRPr="005307E4" w:rsidRDefault="008C63EE" w:rsidP="005307E4">
            <w:pPr>
              <w:ind w:left="-12"/>
              <w:rPr>
                <w:rFonts w:ascii="Arial" w:hAnsi="Arial" w:cs="Arial"/>
                <w:sz w:val="18"/>
                <w:szCs w:val="18"/>
                <w:lang w:val="en-GB"/>
              </w:rPr>
            </w:pPr>
            <w:r w:rsidRPr="005307E4">
              <w:rPr>
                <w:rFonts w:ascii="Arial" w:hAnsi="Arial" w:cs="Arial"/>
                <w:sz w:val="18"/>
                <w:szCs w:val="18"/>
              </w:rPr>
              <w:t>-</w:t>
            </w:r>
            <w:r w:rsidR="00E511D2" w:rsidRPr="005307E4">
              <w:rPr>
                <w:rFonts w:ascii="Arial" w:hAnsi="Arial" w:cs="Arial"/>
                <w:sz w:val="18"/>
                <w:szCs w:val="18"/>
              </w:rPr>
              <w:t xml:space="preserve">It </w:t>
            </w:r>
            <w:r w:rsidR="00E511D2" w:rsidRPr="005307E4">
              <w:rPr>
                <w:rFonts w:ascii="Arial" w:hAnsi="Arial" w:cs="Arial"/>
                <w:sz w:val="18"/>
                <w:szCs w:val="18"/>
                <w:lang w:val="en-GB"/>
              </w:rPr>
              <w:t>i</w:t>
            </w:r>
            <w:r w:rsidR="00D906A8" w:rsidRPr="005307E4">
              <w:rPr>
                <w:rFonts w:ascii="Arial" w:hAnsi="Arial" w:cs="Arial"/>
                <w:sz w:val="18"/>
                <w:szCs w:val="18"/>
                <w:lang w:val="en-GB"/>
              </w:rPr>
              <w:t>s effective in helping the most vulnerable who are unable to engage in self-help or autoconstruction aid schemes</w:t>
            </w:r>
            <w:r w:rsidRPr="005307E4">
              <w:rPr>
                <w:rFonts w:ascii="Arial" w:hAnsi="Arial" w:cs="Arial"/>
                <w:sz w:val="18"/>
                <w:szCs w:val="18"/>
                <w:lang w:val="en-GB"/>
              </w:rPr>
              <w:t>.</w:t>
            </w:r>
          </w:p>
          <w:p w:rsidR="002F0507" w:rsidRPr="005307E4" w:rsidRDefault="002F0507" w:rsidP="005307E4">
            <w:pPr>
              <w:ind w:left="-12"/>
              <w:rPr>
                <w:rFonts w:ascii="Arial" w:hAnsi="Arial" w:cs="Arial"/>
                <w:sz w:val="18"/>
                <w:szCs w:val="18"/>
                <w:lang w:val="en-GB"/>
              </w:rPr>
            </w:pPr>
          </w:p>
          <w:p w:rsidR="00D906A8" w:rsidRPr="005307E4" w:rsidRDefault="00D906A8" w:rsidP="005307E4">
            <w:pPr>
              <w:ind w:left="-12"/>
              <w:rPr>
                <w:rFonts w:ascii="Arial" w:hAnsi="Arial" w:cs="Arial"/>
                <w:sz w:val="18"/>
                <w:szCs w:val="18"/>
                <w:lang w:val="en-GB"/>
              </w:rPr>
            </w:pPr>
            <w:r w:rsidRPr="005307E4">
              <w:rPr>
                <w:rFonts w:ascii="Arial" w:hAnsi="Arial" w:cs="Arial"/>
                <w:sz w:val="18"/>
                <w:szCs w:val="18"/>
                <w:lang w:val="en-GB"/>
              </w:rPr>
              <w:t>-</w:t>
            </w:r>
            <w:r w:rsidR="00E511D2" w:rsidRPr="005307E4">
              <w:rPr>
                <w:rFonts w:ascii="Arial" w:hAnsi="Arial" w:cs="Arial"/>
                <w:sz w:val="18"/>
                <w:szCs w:val="18"/>
                <w:lang w:val="en-GB"/>
              </w:rPr>
              <w:t>It d</w:t>
            </w:r>
            <w:r w:rsidRPr="005307E4">
              <w:rPr>
                <w:rFonts w:ascii="Arial" w:hAnsi="Arial" w:cs="Arial"/>
                <w:sz w:val="18"/>
                <w:szCs w:val="18"/>
                <w:lang w:val="en-GB"/>
              </w:rPr>
              <w:t>irectly assuages problems of decapitalized renters.</w:t>
            </w:r>
          </w:p>
          <w:p w:rsidR="008C63EE" w:rsidRPr="005307E4" w:rsidRDefault="008C63EE" w:rsidP="005307E4">
            <w:pPr>
              <w:ind w:left="-12"/>
              <w:rPr>
                <w:rFonts w:ascii="Arial" w:hAnsi="Arial" w:cs="Arial"/>
                <w:sz w:val="18"/>
                <w:szCs w:val="18"/>
                <w:lang w:val="en-GB"/>
              </w:rPr>
            </w:pPr>
          </w:p>
          <w:p w:rsidR="00D906A8" w:rsidRPr="005307E4" w:rsidRDefault="00D906A8" w:rsidP="005307E4">
            <w:pPr>
              <w:ind w:left="-12"/>
              <w:rPr>
                <w:rFonts w:ascii="Arial" w:hAnsi="Arial" w:cs="Arial"/>
                <w:sz w:val="18"/>
                <w:szCs w:val="18"/>
                <w:lang w:val="en-GB"/>
              </w:rPr>
            </w:pPr>
            <w:r w:rsidRPr="005307E4">
              <w:rPr>
                <w:rFonts w:ascii="Arial" w:hAnsi="Arial" w:cs="Arial"/>
                <w:sz w:val="18"/>
                <w:szCs w:val="18"/>
                <w:lang w:val="en-GB"/>
              </w:rPr>
              <w:t>-</w:t>
            </w:r>
            <w:r w:rsidR="00E511D2" w:rsidRPr="005307E4">
              <w:rPr>
                <w:rFonts w:ascii="Arial" w:hAnsi="Arial" w:cs="Arial"/>
                <w:sz w:val="18"/>
                <w:szCs w:val="18"/>
                <w:lang w:val="en-GB"/>
              </w:rPr>
              <w:t>It e</w:t>
            </w:r>
            <w:r w:rsidRPr="005307E4">
              <w:rPr>
                <w:rFonts w:ascii="Arial" w:hAnsi="Arial" w:cs="Arial"/>
                <w:sz w:val="18"/>
                <w:szCs w:val="18"/>
                <w:lang w:val="en-GB"/>
              </w:rPr>
              <w:t>ncourages return to the neighbourhoods from camps</w:t>
            </w:r>
          </w:p>
          <w:p w:rsidR="003155D1" w:rsidRPr="005307E4" w:rsidRDefault="003155D1" w:rsidP="00D11354">
            <w:pPr>
              <w:rPr>
                <w:rFonts w:ascii="Arial" w:hAnsi="Arial" w:cs="Arial"/>
                <w:sz w:val="18"/>
                <w:szCs w:val="18"/>
              </w:rPr>
            </w:pPr>
          </w:p>
        </w:tc>
        <w:tc>
          <w:tcPr>
            <w:tcW w:w="4182" w:type="dxa"/>
          </w:tcPr>
          <w:p w:rsidR="00534CD3" w:rsidRPr="005307E4" w:rsidRDefault="00E51667" w:rsidP="005307E4">
            <w:pPr>
              <w:ind w:left="-19"/>
              <w:rPr>
                <w:rFonts w:ascii="Arial" w:hAnsi="Arial" w:cs="Arial"/>
                <w:sz w:val="18"/>
                <w:szCs w:val="18"/>
                <w:lang w:val="en-GB"/>
              </w:rPr>
            </w:pPr>
            <w:r w:rsidRPr="005307E4">
              <w:rPr>
                <w:rFonts w:ascii="Arial" w:hAnsi="Arial" w:cs="Arial"/>
                <w:sz w:val="18"/>
                <w:szCs w:val="18"/>
                <w:lang w:val="en-GB"/>
              </w:rPr>
              <w:t>-</w:t>
            </w:r>
            <w:r w:rsidR="00534CD3" w:rsidRPr="005307E4">
              <w:rPr>
                <w:rFonts w:ascii="Arial" w:hAnsi="Arial" w:cs="Arial"/>
                <w:sz w:val="18"/>
                <w:szCs w:val="18"/>
                <w:lang w:val="en-GB"/>
              </w:rPr>
              <w:t>Difficult to identify the genuine owners/renters (</w:t>
            </w:r>
            <w:r w:rsidR="00AA2DBB" w:rsidRPr="005307E4">
              <w:rPr>
                <w:rFonts w:ascii="Arial" w:hAnsi="Arial" w:cs="Arial"/>
                <w:sz w:val="18"/>
                <w:szCs w:val="18"/>
                <w:lang w:val="en-GB"/>
              </w:rPr>
              <w:t xml:space="preserve">dysfunctional </w:t>
            </w:r>
            <w:r w:rsidR="00534CD3" w:rsidRPr="005307E4">
              <w:rPr>
                <w:rFonts w:ascii="Arial" w:hAnsi="Arial" w:cs="Arial"/>
                <w:sz w:val="18"/>
                <w:szCs w:val="18"/>
                <w:lang w:val="en-GB"/>
              </w:rPr>
              <w:t xml:space="preserve">land registration) and </w:t>
            </w:r>
            <w:r w:rsidRPr="005307E4">
              <w:rPr>
                <w:rFonts w:ascii="Arial" w:hAnsi="Arial" w:cs="Arial"/>
                <w:sz w:val="18"/>
                <w:szCs w:val="18"/>
                <w:lang w:val="en-GB"/>
              </w:rPr>
              <w:t xml:space="preserve">widespread </w:t>
            </w:r>
            <w:r w:rsidR="00534CD3" w:rsidRPr="005307E4">
              <w:rPr>
                <w:rFonts w:ascii="Arial" w:hAnsi="Arial" w:cs="Arial"/>
                <w:sz w:val="18"/>
                <w:szCs w:val="18"/>
                <w:lang w:val="en-GB"/>
              </w:rPr>
              <w:t>non formalised re</w:t>
            </w:r>
            <w:r w:rsidRPr="005307E4">
              <w:rPr>
                <w:rFonts w:ascii="Arial" w:hAnsi="Arial" w:cs="Arial"/>
                <w:sz w:val="18"/>
                <w:szCs w:val="18"/>
                <w:lang w:val="en-GB"/>
              </w:rPr>
              <w:t>n</w:t>
            </w:r>
            <w:r w:rsidR="00534CD3" w:rsidRPr="005307E4">
              <w:rPr>
                <w:rFonts w:ascii="Arial" w:hAnsi="Arial" w:cs="Arial"/>
                <w:sz w:val="18"/>
                <w:szCs w:val="18"/>
                <w:lang w:val="en-GB"/>
              </w:rPr>
              <w:t>t contracts.</w:t>
            </w:r>
          </w:p>
          <w:p w:rsidR="00D906A8" w:rsidRPr="005307E4" w:rsidRDefault="00E51667" w:rsidP="005307E4">
            <w:pPr>
              <w:ind w:left="-19"/>
              <w:rPr>
                <w:rFonts w:ascii="Arial" w:hAnsi="Arial" w:cs="Arial"/>
                <w:sz w:val="18"/>
                <w:szCs w:val="18"/>
                <w:lang w:val="en-GB"/>
              </w:rPr>
            </w:pPr>
            <w:r w:rsidRPr="005307E4">
              <w:rPr>
                <w:rFonts w:ascii="Arial" w:hAnsi="Arial" w:cs="Arial"/>
                <w:sz w:val="18"/>
                <w:szCs w:val="18"/>
                <w:lang w:val="en-GB"/>
              </w:rPr>
              <w:t>-</w:t>
            </w:r>
            <w:r w:rsidR="00D906A8" w:rsidRPr="005307E4">
              <w:rPr>
                <w:rFonts w:ascii="Arial" w:hAnsi="Arial" w:cs="Arial"/>
                <w:sz w:val="18"/>
                <w:szCs w:val="18"/>
                <w:lang w:val="en-GB"/>
              </w:rPr>
              <w:t>Unsustainable in the long term; conditions the beneficiary to receive aid without commensurate input</w:t>
            </w:r>
            <w:r w:rsidR="00E511D2" w:rsidRPr="005307E4">
              <w:rPr>
                <w:rFonts w:ascii="Arial" w:hAnsi="Arial" w:cs="Arial"/>
                <w:sz w:val="18"/>
                <w:szCs w:val="18"/>
                <w:lang w:val="en-GB"/>
              </w:rPr>
              <w:t>.</w:t>
            </w:r>
          </w:p>
          <w:p w:rsidR="008C63EE" w:rsidRPr="005307E4" w:rsidRDefault="00E51667" w:rsidP="005307E4">
            <w:pPr>
              <w:ind w:left="-19"/>
              <w:rPr>
                <w:rFonts w:ascii="Arial" w:hAnsi="Arial" w:cs="Arial"/>
                <w:sz w:val="18"/>
                <w:szCs w:val="18"/>
                <w:lang w:val="en-GB"/>
              </w:rPr>
            </w:pPr>
            <w:r w:rsidRPr="005307E4">
              <w:rPr>
                <w:rFonts w:ascii="Arial" w:hAnsi="Arial" w:cs="Arial"/>
                <w:sz w:val="18"/>
                <w:szCs w:val="18"/>
                <w:lang w:val="en-GB"/>
              </w:rPr>
              <w:t>-</w:t>
            </w:r>
            <w:r w:rsidR="00D906A8" w:rsidRPr="005307E4">
              <w:rPr>
                <w:rFonts w:ascii="Arial" w:hAnsi="Arial" w:cs="Arial"/>
                <w:sz w:val="18"/>
                <w:szCs w:val="18"/>
                <w:lang w:val="en-GB"/>
              </w:rPr>
              <w:t xml:space="preserve">Informal rental contracts may not be applicable or could pose obstacles in implementation. </w:t>
            </w:r>
          </w:p>
          <w:p w:rsidR="008C63EE" w:rsidRPr="005307E4" w:rsidRDefault="008C63EE" w:rsidP="005307E4">
            <w:pPr>
              <w:ind w:left="-19"/>
              <w:rPr>
                <w:rFonts w:ascii="Arial" w:hAnsi="Arial" w:cs="Arial"/>
                <w:sz w:val="18"/>
                <w:szCs w:val="18"/>
                <w:lang w:val="en-GB"/>
              </w:rPr>
            </w:pPr>
            <w:r w:rsidRPr="005307E4">
              <w:rPr>
                <w:rFonts w:ascii="Arial" w:hAnsi="Arial" w:cs="Arial"/>
                <w:sz w:val="18"/>
                <w:szCs w:val="18"/>
                <w:lang w:val="en-GB"/>
              </w:rPr>
              <w:t>-</w:t>
            </w:r>
            <w:r w:rsidR="000554C2" w:rsidRPr="005307E4">
              <w:rPr>
                <w:rFonts w:ascii="Arial" w:hAnsi="Arial" w:cs="Arial"/>
                <w:sz w:val="18"/>
                <w:szCs w:val="18"/>
                <w:lang w:val="en-GB"/>
              </w:rPr>
              <w:t>Under funded at the moment.</w:t>
            </w:r>
          </w:p>
          <w:p w:rsidR="00E144E7" w:rsidRPr="005307E4" w:rsidRDefault="008C63EE" w:rsidP="005307E4">
            <w:pPr>
              <w:ind w:left="-19"/>
              <w:rPr>
                <w:rFonts w:ascii="Arial" w:hAnsi="Arial" w:cs="Arial"/>
                <w:sz w:val="18"/>
                <w:szCs w:val="18"/>
                <w:lang w:val="en-GB"/>
              </w:rPr>
            </w:pPr>
            <w:r w:rsidRPr="005307E4">
              <w:rPr>
                <w:rFonts w:ascii="Calibri" w:hAnsi="Calibri" w:cs="Calibri"/>
                <w:sz w:val="18"/>
                <w:szCs w:val="18"/>
                <w:lang w:val="en-GB"/>
              </w:rPr>
              <w:t xml:space="preserve"> </w:t>
            </w:r>
            <w:r w:rsidRPr="005307E4">
              <w:rPr>
                <w:rFonts w:ascii="Arial" w:hAnsi="Arial" w:cs="Arial"/>
                <w:sz w:val="18"/>
                <w:szCs w:val="18"/>
                <w:lang w:val="en-GB"/>
              </w:rPr>
              <w:t>Acts as a subsidy to owners, an already advantaged portion of the population</w:t>
            </w:r>
          </w:p>
        </w:tc>
      </w:tr>
      <w:tr w:rsidR="005307E4" w:rsidRPr="005307E4" w:rsidTr="005307E4">
        <w:trPr>
          <w:trHeight w:val="136"/>
        </w:trPr>
        <w:tc>
          <w:tcPr>
            <w:tcW w:w="3504" w:type="dxa"/>
          </w:tcPr>
          <w:p w:rsidR="003155D1" w:rsidRPr="005307E4" w:rsidRDefault="008C63EE" w:rsidP="00D11354">
            <w:pPr>
              <w:rPr>
                <w:rFonts w:ascii="Arial" w:hAnsi="Arial" w:cs="Arial"/>
                <w:b/>
                <w:sz w:val="18"/>
                <w:szCs w:val="18"/>
              </w:rPr>
            </w:pPr>
            <w:bookmarkStart w:id="14" w:name="OLE_LINK19"/>
            <w:bookmarkStart w:id="15" w:name="OLE_LINK17"/>
            <w:r w:rsidRPr="005307E4">
              <w:rPr>
                <w:rFonts w:ascii="Arial" w:hAnsi="Arial" w:cs="Arial"/>
                <w:b/>
                <w:sz w:val="18"/>
                <w:szCs w:val="18"/>
              </w:rPr>
              <w:t xml:space="preserve">Renters returning to “green” </w:t>
            </w:r>
            <w:bookmarkStart w:id="16" w:name="OLE_LINK7"/>
            <w:r w:rsidRPr="005307E4">
              <w:rPr>
                <w:rFonts w:ascii="Arial" w:hAnsi="Arial" w:cs="Arial"/>
                <w:b/>
                <w:sz w:val="18"/>
                <w:szCs w:val="18"/>
              </w:rPr>
              <w:t xml:space="preserve">houses </w:t>
            </w:r>
            <w:bookmarkStart w:id="17" w:name="OLE_LINK8"/>
            <w:r w:rsidRPr="005307E4">
              <w:rPr>
                <w:rFonts w:ascii="Arial" w:hAnsi="Arial" w:cs="Arial"/>
                <w:b/>
                <w:sz w:val="18"/>
                <w:szCs w:val="18"/>
              </w:rPr>
              <w:t>(previous owner) or to new houses</w:t>
            </w:r>
            <w:bookmarkEnd w:id="16"/>
            <w:bookmarkEnd w:id="17"/>
            <w:r w:rsidRPr="005307E4">
              <w:rPr>
                <w:rFonts w:ascii="Arial" w:hAnsi="Arial" w:cs="Arial"/>
                <w:b/>
                <w:sz w:val="18"/>
                <w:szCs w:val="18"/>
              </w:rPr>
              <w:t xml:space="preserve">-rental subsidy in initially limited period followed by </w:t>
            </w:r>
            <w:bookmarkStart w:id="18" w:name="OLE_LINK10"/>
            <w:r w:rsidRPr="005307E4">
              <w:rPr>
                <w:rFonts w:ascii="Arial" w:hAnsi="Arial" w:cs="Arial"/>
                <w:b/>
                <w:sz w:val="18"/>
                <w:szCs w:val="18"/>
              </w:rPr>
              <w:t xml:space="preserve">creation of </w:t>
            </w:r>
            <w:r w:rsidR="00377E63" w:rsidRPr="005307E4">
              <w:rPr>
                <w:rFonts w:ascii="Arial" w:hAnsi="Arial" w:cs="Arial"/>
                <w:b/>
                <w:sz w:val="18"/>
                <w:szCs w:val="18"/>
              </w:rPr>
              <w:t>livelihood opportunities</w:t>
            </w:r>
            <w:bookmarkEnd w:id="18"/>
            <w:r w:rsidR="00377E63" w:rsidRPr="005307E4">
              <w:rPr>
                <w:rFonts w:ascii="Arial" w:hAnsi="Arial" w:cs="Arial"/>
                <w:b/>
                <w:sz w:val="18"/>
                <w:szCs w:val="18"/>
              </w:rPr>
              <w:t>.</w:t>
            </w:r>
            <w:bookmarkEnd w:id="15"/>
          </w:p>
        </w:tc>
        <w:tc>
          <w:tcPr>
            <w:tcW w:w="3504" w:type="dxa"/>
          </w:tcPr>
          <w:p w:rsidR="00B841BF" w:rsidRPr="005307E4" w:rsidRDefault="00D96555" w:rsidP="00B841BF">
            <w:pPr>
              <w:rPr>
                <w:rFonts w:ascii="Arial" w:hAnsi="Arial" w:cs="Arial"/>
                <w:sz w:val="18"/>
                <w:szCs w:val="18"/>
                <w:lang w:val="en-GB"/>
              </w:rPr>
            </w:pPr>
            <w:bookmarkStart w:id="19" w:name="OLE_LINK9"/>
            <w:bookmarkStart w:id="20" w:name="OLE_LINK12"/>
            <w:r w:rsidRPr="005307E4">
              <w:rPr>
                <w:rFonts w:ascii="Arial" w:hAnsi="Arial" w:cs="Arial"/>
                <w:sz w:val="18"/>
                <w:szCs w:val="18"/>
                <w:lang w:val="en-GB"/>
              </w:rPr>
              <w:t xml:space="preserve">The GoH </w:t>
            </w:r>
            <w:r w:rsidR="00B841BF" w:rsidRPr="005307E4">
              <w:rPr>
                <w:rFonts w:ascii="Arial" w:hAnsi="Arial" w:cs="Arial"/>
                <w:sz w:val="18"/>
                <w:szCs w:val="18"/>
                <w:lang w:val="en-GB"/>
              </w:rPr>
              <w:t xml:space="preserve">and humanitarian aid organizations </w:t>
            </w:r>
            <w:bookmarkEnd w:id="20"/>
            <w:r w:rsidR="00B841BF" w:rsidRPr="005307E4">
              <w:rPr>
                <w:rFonts w:ascii="Arial" w:hAnsi="Arial" w:cs="Arial"/>
                <w:sz w:val="18"/>
                <w:szCs w:val="18"/>
                <w:lang w:val="en-GB"/>
              </w:rPr>
              <w:t>can offer direct rental contribution followed by different livelihood programmes</w:t>
            </w:r>
            <w:r w:rsidR="003372D6" w:rsidRPr="005307E4">
              <w:rPr>
                <w:rFonts w:ascii="Arial" w:hAnsi="Arial" w:cs="Arial"/>
                <w:sz w:val="18"/>
                <w:szCs w:val="18"/>
                <w:lang w:val="en-GB"/>
              </w:rPr>
              <w:t xml:space="preserve"> and micro credit</w:t>
            </w:r>
            <w:r w:rsidR="00B841BF" w:rsidRPr="005307E4">
              <w:rPr>
                <w:rFonts w:ascii="Arial" w:hAnsi="Arial" w:cs="Arial"/>
                <w:sz w:val="18"/>
                <w:szCs w:val="18"/>
                <w:lang w:val="en-GB"/>
              </w:rPr>
              <w:t xml:space="preserve"> </w:t>
            </w:r>
          </w:p>
          <w:bookmarkEnd w:id="19"/>
          <w:p w:rsidR="003155D1" w:rsidRPr="005307E4" w:rsidRDefault="003155D1" w:rsidP="005307E4">
            <w:pPr>
              <w:ind w:left="-6"/>
              <w:rPr>
                <w:rFonts w:ascii="Arial" w:hAnsi="Arial" w:cs="Arial"/>
                <w:sz w:val="18"/>
                <w:szCs w:val="18"/>
                <w:lang w:val="en-GB"/>
              </w:rPr>
            </w:pPr>
          </w:p>
        </w:tc>
        <w:tc>
          <w:tcPr>
            <w:tcW w:w="3505" w:type="dxa"/>
          </w:tcPr>
          <w:p w:rsidR="003155D1" w:rsidRPr="005307E4" w:rsidRDefault="00B841BF" w:rsidP="005307E4">
            <w:pPr>
              <w:ind w:left="-12"/>
              <w:rPr>
                <w:rFonts w:ascii="Arial" w:hAnsi="Arial" w:cs="Arial"/>
                <w:sz w:val="18"/>
                <w:szCs w:val="18"/>
              </w:rPr>
            </w:pPr>
            <w:r w:rsidRPr="005307E4">
              <w:rPr>
                <w:rFonts w:ascii="Arial" w:hAnsi="Arial" w:cs="Arial"/>
                <w:sz w:val="18"/>
                <w:szCs w:val="18"/>
              </w:rPr>
              <w:t xml:space="preserve">It is </w:t>
            </w:r>
            <w:r w:rsidR="0084316E" w:rsidRPr="005307E4">
              <w:rPr>
                <w:rFonts w:ascii="Arial" w:hAnsi="Arial" w:cs="Arial"/>
                <w:sz w:val="18"/>
                <w:szCs w:val="18"/>
              </w:rPr>
              <w:t xml:space="preserve">a </w:t>
            </w:r>
            <w:r w:rsidRPr="005307E4">
              <w:rPr>
                <w:rFonts w:ascii="Arial" w:hAnsi="Arial" w:cs="Arial"/>
                <w:sz w:val="18"/>
                <w:szCs w:val="18"/>
              </w:rPr>
              <w:t>more balanced approach, it does not create dependency on external internatio</w:t>
            </w:r>
            <w:r w:rsidR="003372D6" w:rsidRPr="005307E4">
              <w:rPr>
                <w:rFonts w:ascii="Arial" w:hAnsi="Arial" w:cs="Arial"/>
                <w:sz w:val="18"/>
                <w:szCs w:val="18"/>
              </w:rPr>
              <w:t>nal/domestic aid and assistance in</w:t>
            </w:r>
            <w:r w:rsidR="0084316E" w:rsidRPr="005307E4">
              <w:rPr>
                <w:rFonts w:ascii="Arial" w:hAnsi="Arial" w:cs="Arial"/>
                <w:sz w:val="18"/>
                <w:szCs w:val="18"/>
              </w:rPr>
              <w:t xml:space="preserve"> </w:t>
            </w:r>
            <w:proofErr w:type="gramStart"/>
            <w:r w:rsidR="0084316E" w:rsidRPr="005307E4">
              <w:rPr>
                <w:rFonts w:ascii="Arial" w:hAnsi="Arial" w:cs="Arial"/>
                <w:sz w:val="18"/>
                <w:szCs w:val="18"/>
              </w:rPr>
              <w:t xml:space="preserve">the </w:t>
            </w:r>
            <w:r w:rsidR="003372D6" w:rsidRPr="005307E4">
              <w:rPr>
                <w:rFonts w:ascii="Arial" w:hAnsi="Arial" w:cs="Arial"/>
                <w:sz w:val="18"/>
                <w:szCs w:val="18"/>
              </w:rPr>
              <w:t xml:space="preserve"> mid</w:t>
            </w:r>
            <w:proofErr w:type="gramEnd"/>
            <w:r w:rsidR="003372D6" w:rsidRPr="005307E4">
              <w:rPr>
                <w:rFonts w:ascii="Arial" w:hAnsi="Arial" w:cs="Arial"/>
                <w:sz w:val="18"/>
                <w:szCs w:val="18"/>
              </w:rPr>
              <w:t xml:space="preserve"> –long term.</w:t>
            </w:r>
          </w:p>
          <w:p w:rsidR="002F0507" w:rsidRPr="005307E4" w:rsidRDefault="0084316E" w:rsidP="005307E4">
            <w:pPr>
              <w:ind w:left="-12"/>
              <w:rPr>
                <w:rFonts w:ascii="Arial" w:hAnsi="Arial" w:cs="Arial"/>
                <w:sz w:val="18"/>
                <w:szCs w:val="18"/>
              </w:rPr>
            </w:pPr>
            <w:r w:rsidRPr="005307E4">
              <w:rPr>
                <w:rFonts w:ascii="Arial" w:hAnsi="Arial" w:cs="Arial"/>
                <w:sz w:val="18"/>
                <w:szCs w:val="18"/>
              </w:rPr>
              <w:t>It offers</w:t>
            </w:r>
            <w:r w:rsidR="002F0507" w:rsidRPr="005307E4">
              <w:rPr>
                <w:rFonts w:ascii="Arial" w:hAnsi="Arial" w:cs="Arial"/>
                <w:sz w:val="18"/>
                <w:szCs w:val="18"/>
              </w:rPr>
              <w:t xml:space="preserve"> </w:t>
            </w:r>
            <w:r w:rsidRPr="005307E4">
              <w:rPr>
                <w:rFonts w:ascii="Arial" w:hAnsi="Arial" w:cs="Arial"/>
                <w:sz w:val="18"/>
                <w:szCs w:val="18"/>
              </w:rPr>
              <w:t xml:space="preserve">a </w:t>
            </w:r>
            <w:r w:rsidR="002F0507" w:rsidRPr="005307E4">
              <w:rPr>
                <w:rFonts w:ascii="Arial" w:hAnsi="Arial" w:cs="Arial"/>
                <w:sz w:val="18"/>
                <w:szCs w:val="18"/>
              </w:rPr>
              <w:t xml:space="preserve">more </w:t>
            </w:r>
            <w:r w:rsidR="003372D6" w:rsidRPr="005307E4">
              <w:rPr>
                <w:rFonts w:ascii="Arial" w:hAnsi="Arial" w:cs="Arial"/>
                <w:sz w:val="18"/>
                <w:szCs w:val="18"/>
              </w:rPr>
              <w:t>self-</w:t>
            </w:r>
            <w:r w:rsidR="002F0507" w:rsidRPr="005307E4">
              <w:rPr>
                <w:rFonts w:ascii="Arial" w:hAnsi="Arial" w:cs="Arial"/>
                <w:sz w:val="18"/>
                <w:szCs w:val="18"/>
              </w:rPr>
              <w:t xml:space="preserve">sustainable profiled approach based on </w:t>
            </w:r>
            <w:r w:rsidR="003372D6" w:rsidRPr="005307E4">
              <w:rPr>
                <w:rFonts w:ascii="Arial" w:hAnsi="Arial" w:cs="Arial"/>
                <w:sz w:val="18"/>
                <w:szCs w:val="18"/>
              </w:rPr>
              <w:t>the renters need.</w:t>
            </w:r>
          </w:p>
        </w:tc>
        <w:tc>
          <w:tcPr>
            <w:tcW w:w="4182" w:type="dxa"/>
          </w:tcPr>
          <w:p w:rsidR="0068575D" w:rsidRPr="005307E4" w:rsidRDefault="0068575D" w:rsidP="00D11354">
            <w:pPr>
              <w:rPr>
                <w:rFonts w:ascii="Arial" w:hAnsi="Arial" w:cs="Arial"/>
                <w:sz w:val="18"/>
                <w:szCs w:val="18"/>
              </w:rPr>
            </w:pPr>
            <w:bookmarkStart w:id="21" w:name="OLE_LINK11"/>
            <w:r w:rsidRPr="005307E4">
              <w:rPr>
                <w:rFonts w:ascii="Arial" w:hAnsi="Arial" w:cs="Arial"/>
                <w:sz w:val="18"/>
                <w:szCs w:val="18"/>
              </w:rPr>
              <w:t xml:space="preserve">The second part of activities (creation of livelihood opportunities) is not immediate. </w:t>
            </w:r>
          </w:p>
          <w:bookmarkEnd w:id="21"/>
          <w:p w:rsidR="003155D1" w:rsidRPr="005307E4" w:rsidRDefault="0068575D" w:rsidP="00D11354">
            <w:pPr>
              <w:rPr>
                <w:rFonts w:ascii="Arial" w:hAnsi="Arial" w:cs="Arial"/>
                <w:sz w:val="18"/>
                <w:szCs w:val="18"/>
              </w:rPr>
            </w:pPr>
            <w:r w:rsidRPr="005307E4">
              <w:rPr>
                <w:rFonts w:ascii="Arial" w:hAnsi="Arial" w:cs="Arial"/>
                <w:sz w:val="18"/>
                <w:szCs w:val="18"/>
              </w:rPr>
              <w:t>T</w:t>
            </w:r>
            <w:r w:rsidR="00FB140A" w:rsidRPr="005307E4">
              <w:rPr>
                <w:rFonts w:ascii="Arial" w:hAnsi="Arial" w:cs="Arial"/>
                <w:sz w:val="18"/>
                <w:szCs w:val="18"/>
              </w:rPr>
              <w:t>o propose and implement specific livelihood programs take</w:t>
            </w:r>
            <w:r w:rsidR="003372D6" w:rsidRPr="005307E4">
              <w:rPr>
                <w:rFonts w:ascii="Arial" w:hAnsi="Arial" w:cs="Arial"/>
                <w:sz w:val="18"/>
                <w:szCs w:val="18"/>
              </w:rPr>
              <w:t>s</w:t>
            </w:r>
            <w:r w:rsidR="00FB140A" w:rsidRPr="005307E4">
              <w:rPr>
                <w:rFonts w:ascii="Arial" w:hAnsi="Arial" w:cs="Arial"/>
                <w:sz w:val="18"/>
                <w:szCs w:val="18"/>
              </w:rPr>
              <w:t xml:space="preserve"> time</w:t>
            </w:r>
          </w:p>
          <w:p w:rsidR="003372D6" w:rsidRPr="005307E4" w:rsidRDefault="003372D6" w:rsidP="00D11354">
            <w:pPr>
              <w:rPr>
                <w:rFonts w:ascii="Arial" w:hAnsi="Arial" w:cs="Arial"/>
                <w:sz w:val="18"/>
                <w:szCs w:val="18"/>
              </w:rPr>
            </w:pPr>
            <w:r w:rsidRPr="005307E4">
              <w:rPr>
                <w:rFonts w:ascii="Arial" w:hAnsi="Arial" w:cs="Arial"/>
                <w:sz w:val="18"/>
                <w:szCs w:val="18"/>
              </w:rPr>
              <w:t>Offering the profiled approach requires needs assessment survey at community level</w:t>
            </w:r>
          </w:p>
        </w:tc>
      </w:tr>
      <w:tr w:rsidR="005307E4" w:rsidRPr="005307E4" w:rsidTr="005307E4">
        <w:trPr>
          <w:trHeight w:val="136"/>
        </w:trPr>
        <w:tc>
          <w:tcPr>
            <w:tcW w:w="3504" w:type="dxa"/>
          </w:tcPr>
          <w:p w:rsidR="0068575D" w:rsidRPr="005307E4" w:rsidRDefault="0068575D">
            <w:pPr>
              <w:rPr>
                <w:rFonts w:ascii="Arial" w:hAnsi="Arial" w:cs="Arial"/>
                <w:b/>
                <w:sz w:val="18"/>
                <w:szCs w:val="18"/>
              </w:rPr>
            </w:pPr>
            <w:bookmarkStart w:id="22" w:name="OLE_LINK20"/>
            <w:bookmarkEnd w:id="14"/>
            <w:r w:rsidRPr="005307E4">
              <w:rPr>
                <w:rFonts w:ascii="Arial" w:hAnsi="Arial" w:cs="Arial"/>
                <w:b/>
                <w:sz w:val="18"/>
                <w:szCs w:val="18"/>
              </w:rPr>
              <w:t xml:space="preserve">Sub-category of </w:t>
            </w:r>
            <w:r w:rsidR="0084316E" w:rsidRPr="005307E4">
              <w:rPr>
                <w:rFonts w:ascii="Arial" w:hAnsi="Arial" w:cs="Arial"/>
                <w:b/>
                <w:sz w:val="18"/>
                <w:szCs w:val="18"/>
              </w:rPr>
              <w:t xml:space="preserve">the </w:t>
            </w:r>
            <w:r w:rsidRPr="005307E4">
              <w:rPr>
                <w:rFonts w:ascii="Arial" w:hAnsi="Arial" w:cs="Arial"/>
                <w:b/>
                <w:sz w:val="18"/>
                <w:szCs w:val="18"/>
              </w:rPr>
              <w:t>above category,</w:t>
            </w:r>
          </w:p>
          <w:p w:rsidR="00D96555" w:rsidRPr="005307E4" w:rsidRDefault="008C63EE">
            <w:pPr>
              <w:rPr>
                <w:rFonts w:ascii="Arial" w:hAnsi="Arial" w:cs="Arial"/>
                <w:b/>
                <w:sz w:val="18"/>
                <w:szCs w:val="18"/>
                <w:lang w:val="en-GB"/>
              </w:rPr>
            </w:pPr>
            <w:r w:rsidRPr="005307E4">
              <w:rPr>
                <w:rFonts w:ascii="Arial" w:hAnsi="Arial" w:cs="Arial"/>
                <w:b/>
                <w:sz w:val="18"/>
                <w:szCs w:val="18"/>
              </w:rPr>
              <w:t>Renters returning to “green” houses</w:t>
            </w:r>
            <w:r w:rsidRPr="005307E4">
              <w:rPr>
                <w:rFonts w:ascii="Calibri" w:hAnsi="Calibri" w:cs="Calibri"/>
                <w:sz w:val="18"/>
                <w:szCs w:val="18"/>
                <w:lang w:val="en-GB"/>
              </w:rPr>
              <w:t xml:space="preserve"> </w:t>
            </w:r>
            <w:r w:rsidR="00D96555" w:rsidRPr="005307E4">
              <w:rPr>
                <w:rFonts w:ascii="Arial" w:hAnsi="Arial" w:cs="Arial"/>
                <w:b/>
                <w:sz w:val="18"/>
                <w:szCs w:val="18"/>
              </w:rPr>
              <w:t>(previous owner) or to new houses, Rental</w:t>
            </w:r>
            <w:r w:rsidR="00D96555" w:rsidRPr="005307E4">
              <w:rPr>
                <w:rFonts w:ascii="Arial" w:hAnsi="Arial" w:cs="Arial"/>
                <w:b/>
                <w:sz w:val="18"/>
                <w:szCs w:val="18"/>
                <w:lang w:val="en-GB"/>
              </w:rPr>
              <w:t xml:space="preserve"> subsidy integrated with a </w:t>
            </w:r>
            <w:r w:rsidR="00D96555" w:rsidRPr="005307E4">
              <w:rPr>
                <w:rFonts w:ascii="Arial" w:hAnsi="Arial" w:cs="Arial"/>
                <w:b/>
                <w:sz w:val="18"/>
                <w:szCs w:val="18"/>
                <w:lang w:val="en-GB"/>
              </w:rPr>
              <w:lastRenderedPageBreak/>
              <w:t>specific self-</w:t>
            </w:r>
            <w:r w:rsidR="0068575D" w:rsidRPr="005307E4">
              <w:rPr>
                <w:rFonts w:ascii="Arial" w:hAnsi="Arial" w:cs="Arial"/>
                <w:b/>
                <w:sz w:val="18"/>
                <w:szCs w:val="18"/>
                <w:lang w:val="en-GB"/>
              </w:rPr>
              <w:t>sustainable</w:t>
            </w:r>
            <w:r w:rsidR="00D96555" w:rsidRPr="005307E4">
              <w:rPr>
                <w:rFonts w:ascii="Arial" w:hAnsi="Arial" w:cs="Arial"/>
                <w:b/>
                <w:sz w:val="18"/>
                <w:szCs w:val="18"/>
                <w:lang w:val="en-GB"/>
              </w:rPr>
              <w:t xml:space="preserve"> programmes in favour of particularly vulnerable populations</w:t>
            </w:r>
          </w:p>
          <w:p w:rsidR="003155D1" w:rsidRPr="005307E4" w:rsidRDefault="00D96555">
            <w:pPr>
              <w:rPr>
                <w:rFonts w:ascii="Arial" w:hAnsi="Arial" w:cs="Arial"/>
                <w:b/>
                <w:sz w:val="18"/>
                <w:szCs w:val="18"/>
              </w:rPr>
            </w:pPr>
            <w:r w:rsidRPr="005307E4">
              <w:rPr>
                <w:rFonts w:ascii="Arial" w:hAnsi="Arial" w:cs="Arial"/>
                <w:b/>
                <w:sz w:val="18"/>
                <w:szCs w:val="18"/>
                <w:lang w:val="en-GB"/>
              </w:rPr>
              <w:t>(</w:t>
            </w:r>
            <w:proofErr w:type="gramStart"/>
            <w:r w:rsidR="00273105" w:rsidRPr="005307E4">
              <w:rPr>
                <w:rFonts w:ascii="Arial" w:hAnsi="Arial" w:cs="Arial"/>
                <w:b/>
                <w:sz w:val="18"/>
                <w:szCs w:val="18"/>
              </w:rPr>
              <w:t>single</w:t>
            </w:r>
            <w:proofErr w:type="gramEnd"/>
            <w:r w:rsidR="00273105" w:rsidRPr="005307E4">
              <w:rPr>
                <w:rFonts w:ascii="Arial" w:hAnsi="Arial" w:cs="Arial"/>
                <w:b/>
                <w:sz w:val="18"/>
                <w:szCs w:val="18"/>
              </w:rPr>
              <w:t xml:space="preserve"> women (widows) heads of </w:t>
            </w:r>
            <w:r w:rsidRPr="005307E4">
              <w:rPr>
                <w:rFonts w:ascii="Arial" w:hAnsi="Arial" w:cs="Arial"/>
                <w:b/>
                <w:sz w:val="18"/>
                <w:szCs w:val="18"/>
              </w:rPr>
              <w:t>household</w:t>
            </w:r>
            <w:r w:rsidR="00273105" w:rsidRPr="005307E4">
              <w:rPr>
                <w:rFonts w:ascii="Arial" w:hAnsi="Arial" w:cs="Arial"/>
                <w:b/>
                <w:sz w:val="18"/>
                <w:szCs w:val="18"/>
              </w:rPr>
              <w:t>.</w:t>
            </w:r>
            <w:bookmarkEnd w:id="22"/>
          </w:p>
        </w:tc>
        <w:tc>
          <w:tcPr>
            <w:tcW w:w="3504" w:type="dxa"/>
          </w:tcPr>
          <w:p w:rsidR="0068575D" w:rsidRPr="005307E4" w:rsidRDefault="0068575D" w:rsidP="00D96555">
            <w:pPr>
              <w:rPr>
                <w:rFonts w:ascii="Arial" w:hAnsi="Arial" w:cs="Arial"/>
                <w:sz w:val="18"/>
                <w:szCs w:val="18"/>
                <w:lang w:val="en-GB"/>
              </w:rPr>
            </w:pPr>
          </w:p>
          <w:p w:rsidR="00D96555" w:rsidRPr="005307E4" w:rsidRDefault="00D96555" w:rsidP="00D96555">
            <w:pPr>
              <w:rPr>
                <w:rFonts w:ascii="Arial" w:hAnsi="Arial" w:cs="Arial"/>
                <w:sz w:val="18"/>
                <w:szCs w:val="18"/>
                <w:lang w:val="en-GB"/>
              </w:rPr>
            </w:pPr>
            <w:r w:rsidRPr="005307E4">
              <w:rPr>
                <w:rFonts w:ascii="Arial" w:hAnsi="Arial" w:cs="Arial"/>
                <w:sz w:val="18"/>
                <w:szCs w:val="18"/>
                <w:lang w:val="en-GB"/>
              </w:rPr>
              <w:t xml:space="preserve">The GoH and humanitarian </w:t>
            </w:r>
            <w:r w:rsidR="0068575D" w:rsidRPr="005307E4">
              <w:rPr>
                <w:rFonts w:ascii="Arial" w:hAnsi="Arial" w:cs="Arial"/>
                <w:sz w:val="18"/>
                <w:szCs w:val="18"/>
                <w:lang w:val="en-GB"/>
              </w:rPr>
              <w:t>aid organizations can offer</w:t>
            </w:r>
            <w:r w:rsidRPr="005307E4">
              <w:rPr>
                <w:rFonts w:ascii="Arial" w:hAnsi="Arial" w:cs="Arial"/>
                <w:sz w:val="18"/>
                <w:szCs w:val="18"/>
                <w:lang w:val="en-GB"/>
              </w:rPr>
              <w:t xml:space="preserve"> direct rental subsidy integrated by </w:t>
            </w:r>
            <w:r w:rsidR="0068575D" w:rsidRPr="005307E4">
              <w:rPr>
                <w:rFonts w:ascii="Arial" w:hAnsi="Arial" w:cs="Arial"/>
                <w:sz w:val="18"/>
                <w:szCs w:val="18"/>
                <w:lang w:val="en-GB"/>
              </w:rPr>
              <w:t>more specific self-</w:t>
            </w:r>
            <w:r w:rsidR="0068575D" w:rsidRPr="005307E4">
              <w:rPr>
                <w:rFonts w:ascii="Arial" w:hAnsi="Arial" w:cs="Arial"/>
                <w:sz w:val="18"/>
                <w:szCs w:val="18"/>
                <w:lang w:val="en-GB"/>
              </w:rPr>
              <w:lastRenderedPageBreak/>
              <w:t>sustainable programme in favour of the most vulnerable disaster- affected categories of IDPs.</w:t>
            </w:r>
          </w:p>
          <w:p w:rsidR="003155D1" w:rsidRPr="005307E4" w:rsidRDefault="003155D1">
            <w:pPr>
              <w:rPr>
                <w:rFonts w:ascii="Arial" w:hAnsi="Arial" w:cs="Arial"/>
                <w:sz w:val="18"/>
                <w:szCs w:val="18"/>
                <w:lang w:val="en-GB"/>
              </w:rPr>
            </w:pPr>
          </w:p>
        </w:tc>
        <w:tc>
          <w:tcPr>
            <w:tcW w:w="3505" w:type="dxa"/>
          </w:tcPr>
          <w:p w:rsidR="0068575D" w:rsidRPr="005307E4" w:rsidRDefault="0068575D">
            <w:pPr>
              <w:rPr>
                <w:rFonts w:ascii="Arial" w:hAnsi="Arial" w:cs="Arial"/>
                <w:sz w:val="18"/>
                <w:szCs w:val="18"/>
                <w:lang w:val="en-GB"/>
              </w:rPr>
            </w:pPr>
          </w:p>
          <w:p w:rsidR="00D96555" w:rsidRPr="005307E4" w:rsidRDefault="00D96555">
            <w:pPr>
              <w:rPr>
                <w:rFonts w:ascii="Arial" w:hAnsi="Arial" w:cs="Arial"/>
                <w:sz w:val="18"/>
                <w:szCs w:val="18"/>
              </w:rPr>
            </w:pPr>
            <w:r w:rsidRPr="005307E4">
              <w:rPr>
                <w:rFonts w:ascii="Arial" w:hAnsi="Arial" w:cs="Arial"/>
                <w:sz w:val="18"/>
                <w:szCs w:val="18"/>
              </w:rPr>
              <w:t xml:space="preserve">Focused approach, the </w:t>
            </w:r>
            <w:r w:rsidR="00273105" w:rsidRPr="005307E4">
              <w:rPr>
                <w:rFonts w:ascii="Arial" w:hAnsi="Arial" w:cs="Arial"/>
                <w:sz w:val="18"/>
                <w:szCs w:val="18"/>
              </w:rPr>
              <w:t>“sub-category” which deserves a more profiled attention and protection.</w:t>
            </w:r>
          </w:p>
          <w:p w:rsidR="003155D1" w:rsidRPr="005307E4" w:rsidRDefault="00D96555">
            <w:pPr>
              <w:rPr>
                <w:rFonts w:ascii="Arial" w:hAnsi="Arial" w:cs="Arial"/>
                <w:sz w:val="18"/>
                <w:szCs w:val="18"/>
              </w:rPr>
            </w:pPr>
            <w:r w:rsidRPr="005307E4">
              <w:rPr>
                <w:rFonts w:ascii="Arial" w:hAnsi="Arial" w:cs="Arial"/>
                <w:sz w:val="18"/>
                <w:szCs w:val="18"/>
              </w:rPr>
              <w:lastRenderedPageBreak/>
              <w:t xml:space="preserve">Prioritizing the most vulnerable </w:t>
            </w:r>
            <w:r w:rsidR="00273105" w:rsidRPr="005307E4">
              <w:rPr>
                <w:rFonts w:ascii="Arial" w:hAnsi="Arial" w:cs="Arial"/>
                <w:sz w:val="18"/>
                <w:szCs w:val="18"/>
              </w:rPr>
              <w:t>in housing assistance t</w:t>
            </w:r>
            <w:r w:rsidRPr="005307E4">
              <w:rPr>
                <w:rFonts w:ascii="Arial" w:hAnsi="Arial" w:cs="Arial"/>
                <w:sz w:val="18"/>
                <w:szCs w:val="18"/>
              </w:rPr>
              <w:t>h</w:t>
            </w:r>
            <w:r w:rsidR="00273105" w:rsidRPr="005307E4">
              <w:rPr>
                <w:rFonts w:ascii="Arial" w:hAnsi="Arial" w:cs="Arial"/>
                <w:sz w:val="18"/>
                <w:szCs w:val="18"/>
              </w:rPr>
              <w:t>rough a profiled protection-based housing programme.</w:t>
            </w:r>
          </w:p>
        </w:tc>
        <w:tc>
          <w:tcPr>
            <w:tcW w:w="4182" w:type="dxa"/>
          </w:tcPr>
          <w:p w:rsidR="00FD615D" w:rsidRPr="005307E4" w:rsidRDefault="00FD615D">
            <w:pPr>
              <w:rPr>
                <w:rFonts w:ascii="Arial" w:hAnsi="Arial" w:cs="Arial"/>
                <w:sz w:val="18"/>
                <w:szCs w:val="18"/>
              </w:rPr>
            </w:pPr>
          </w:p>
          <w:p w:rsidR="0068575D" w:rsidRPr="005307E4" w:rsidRDefault="0068575D">
            <w:pPr>
              <w:rPr>
                <w:rFonts w:ascii="Arial" w:hAnsi="Arial" w:cs="Arial"/>
                <w:sz w:val="18"/>
                <w:szCs w:val="18"/>
              </w:rPr>
            </w:pPr>
            <w:r w:rsidRPr="005307E4">
              <w:rPr>
                <w:rFonts w:ascii="Arial" w:hAnsi="Arial" w:cs="Arial"/>
                <w:sz w:val="18"/>
                <w:szCs w:val="18"/>
              </w:rPr>
              <w:t xml:space="preserve">See above, the creation of livelihood opportunities cannot be immediate. </w:t>
            </w:r>
          </w:p>
          <w:p w:rsidR="0068575D" w:rsidRPr="005307E4" w:rsidRDefault="0068575D">
            <w:pPr>
              <w:rPr>
                <w:rFonts w:ascii="Arial" w:hAnsi="Arial" w:cs="Arial"/>
                <w:sz w:val="18"/>
                <w:szCs w:val="18"/>
              </w:rPr>
            </w:pPr>
          </w:p>
          <w:p w:rsidR="003155D1" w:rsidRPr="005307E4" w:rsidRDefault="009706C0">
            <w:pPr>
              <w:rPr>
                <w:rFonts w:ascii="Arial" w:hAnsi="Arial" w:cs="Arial"/>
                <w:sz w:val="18"/>
                <w:szCs w:val="18"/>
              </w:rPr>
            </w:pPr>
            <w:r w:rsidRPr="005307E4">
              <w:rPr>
                <w:rFonts w:ascii="Arial" w:hAnsi="Arial" w:cs="Arial"/>
                <w:sz w:val="18"/>
                <w:szCs w:val="18"/>
              </w:rPr>
              <w:lastRenderedPageBreak/>
              <w:t xml:space="preserve">Selection of beneficiaries and profiling the </w:t>
            </w:r>
            <w:r w:rsidR="0068575D" w:rsidRPr="005307E4">
              <w:rPr>
                <w:rFonts w:ascii="Arial" w:hAnsi="Arial" w:cs="Arial"/>
                <w:sz w:val="18"/>
                <w:szCs w:val="18"/>
              </w:rPr>
              <w:t>specific</w:t>
            </w:r>
            <w:r w:rsidRPr="005307E4">
              <w:rPr>
                <w:rFonts w:ascii="Arial" w:hAnsi="Arial" w:cs="Arial"/>
                <w:sz w:val="18"/>
                <w:szCs w:val="18"/>
              </w:rPr>
              <w:t xml:space="preserve"> self suitable </w:t>
            </w:r>
            <w:r w:rsidR="0068575D" w:rsidRPr="005307E4">
              <w:rPr>
                <w:rFonts w:ascii="Arial" w:hAnsi="Arial" w:cs="Arial"/>
                <w:sz w:val="18"/>
                <w:szCs w:val="18"/>
              </w:rPr>
              <w:t>programme</w:t>
            </w:r>
            <w:r w:rsidRPr="005307E4">
              <w:rPr>
                <w:rFonts w:ascii="Arial" w:hAnsi="Arial" w:cs="Arial"/>
                <w:sz w:val="18"/>
                <w:szCs w:val="18"/>
              </w:rPr>
              <w:t xml:space="preserve"> needs analysis and takes time.</w:t>
            </w:r>
          </w:p>
        </w:tc>
      </w:tr>
      <w:tr w:rsidR="005307E4" w:rsidRPr="005307E4" w:rsidTr="005307E4">
        <w:trPr>
          <w:trHeight w:val="3028"/>
        </w:trPr>
        <w:tc>
          <w:tcPr>
            <w:tcW w:w="3504" w:type="dxa"/>
          </w:tcPr>
          <w:p w:rsidR="00AA2DBB" w:rsidRPr="005307E4" w:rsidRDefault="00AA2DBB">
            <w:pPr>
              <w:rPr>
                <w:rFonts w:ascii="Arial" w:hAnsi="Arial" w:cs="Arial"/>
                <w:b/>
                <w:sz w:val="18"/>
                <w:szCs w:val="18"/>
                <w:lang w:val="en-GB"/>
              </w:rPr>
            </w:pPr>
          </w:p>
          <w:p w:rsidR="00AA2DBB" w:rsidRPr="005307E4" w:rsidRDefault="00AA2DBB">
            <w:pPr>
              <w:rPr>
                <w:rFonts w:ascii="Arial" w:hAnsi="Arial" w:cs="Arial"/>
                <w:b/>
                <w:sz w:val="18"/>
                <w:szCs w:val="18"/>
                <w:lang w:val="en-GB"/>
              </w:rPr>
            </w:pPr>
          </w:p>
          <w:p w:rsidR="003155D1" w:rsidRPr="005307E4" w:rsidRDefault="004A02A7">
            <w:pPr>
              <w:rPr>
                <w:rFonts w:ascii="Arial" w:hAnsi="Arial" w:cs="Arial"/>
                <w:b/>
                <w:sz w:val="18"/>
                <w:szCs w:val="18"/>
              </w:rPr>
            </w:pPr>
            <w:r w:rsidRPr="005307E4">
              <w:rPr>
                <w:rFonts w:ascii="Arial" w:hAnsi="Arial" w:cs="Arial"/>
                <w:b/>
                <w:sz w:val="18"/>
                <w:szCs w:val="18"/>
                <w:lang w:val="en-GB"/>
              </w:rPr>
              <w:t xml:space="preserve">Temporary </w:t>
            </w:r>
            <w:r w:rsidRPr="005307E4">
              <w:rPr>
                <w:rFonts w:ascii="Arial" w:hAnsi="Arial" w:cs="Arial"/>
                <w:b/>
                <w:sz w:val="18"/>
                <w:szCs w:val="18"/>
              </w:rPr>
              <w:t xml:space="preserve"> Resettlement of former renters (unwilling or unable to return to their previous places of origin) to new locations</w:t>
            </w:r>
          </w:p>
        </w:tc>
        <w:tc>
          <w:tcPr>
            <w:tcW w:w="3504" w:type="dxa"/>
          </w:tcPr>
          <w:p w:rsidR="0084316E" w:rsidRPr="005307E4" w:rsidRDefault="0084316E">
            <w:pPr>
              <w:rPr>
                <w:rFonts w:ascii="Arial" w:hAnsi="Arial" w:cs="Arial"/>
                <w:sz w:val="18"/>
                <w:szCs w:val="18"/>
                <w:lang w:val="en-GB"/>
              </w:rPr>
            </w:pPr>
          </w:p>
          <w:p w:rsidR="003155D1" w:rsidRPr="005307E4" w:rsidRDefault="00F16D96">
            <w:pPr>
              <w:rPr>
                <w:rFonts w:ascii="Arial" w:hAnsi="Arial" w:cs="Arial"/>
                <w:sz w:val="18"/>
                <w:szCs w:val="18"/>
              </w:rPr>
            </w:pPr>
            <w:r w:rsidRPr="005307E4">
              <w:rPr>
                <w:rFonts w:ascii="Arial" w:hAnsi="Arial" w:cs="Arial"/>
                <w:sz w:val="18"/>
                <w:szCs w:val="18"/>
                <w:lang w:val="en-GB"/>
              </w:rPr>
              <w:t>The GoH and international humanitarian community agreed on a temporary resettlement plan.</w:t>
            </w:r>
          </w:p>
        </w:tc>
        <w:tc>
          <w:tcPr>
            <w:tcW w:w="3505" w:type="dxa"/>
          </w:tcPr>
          <w:p w:rsidR="00F16D96" w:rsidRPr="005307E4" w:rsidRDefault="00F16D96" w:rsidP="00F16D96">
            <w:pPr>
              <w:rPr>
                <w:rFonts w:ascii="Arial" w:hAnsi="Arial" w:cs="Arial"/>
                <w:sz w:val="18"/>
                <w:szCs w:val="18"/>
                <w:lang w:val="en-GB"/>
              </w:rPr>
            </w:pPr>
          </w:p>
          <w:p w:rsidR="003155D1" w:rsidRPr="005307E4" w:rsidRDefault="00F16D96" w:rsidP="00F16D96">
            <w:pPr>
              <w:rPr>
                <w:rFonts w:ascii="Arial" w:hAnsi="Arial" w:cs="Arial"/>
                <w:sz w:val="18"/>
                <w:szCs w:val="18"/>
                <w:lang w:val="en-GB"/>
              </w:rPr>
            </w:pPr>
            <w:r w:rsidRPr="005307E4">
              <w:rPr>
                <w:rFonts w:ascii="Arial" w:hAnsi="Arial" w:cs="Arial"/>
                <w:sz w:val="18"/>
                <w:szCs w:val="18"/>
                <w:lang w:val="en-GB"/>
              </w:rPr>
              <w:t>Fast, it provides an immediate option.</w:t>
            </w:r>
          </w:p>
          <w:p w:rsidR="00F16D96" w:rsidRPr="005307E4" w:rsidRDefault="00F16D96" w:rsidP="00F16D96">
            <w:pPr>
              <w:rPr>
                <w:rFonts w:ascii="Arial" w:hAnsi="Arial" w:cs="Arial"/>
                <w:sz w:val="18"/>
                <w:szCs w:val="18"/>
                <w:lang w:val="en-GB"/>
              </w:rPr>
            </w:pPr>
          </w:p>
          <w:p w:rsidR="00F16D96" w:rsidRPr="005307E4" w:rsidRDefault="00F16D96" w:rsidP="00F16D96">
            <w:pPr>
              <w:rPr>
                <w:rFonts w:ascii="Arial" w:hAnsi="Arial" w:cs="Arial"/>
                <w:sz w:val="18"/>
                <w:szCs w:val="18"/>
                <w:lang w:val="en-GB"/>
              </w:rPr>
            </w:pPr>
            <w:r w:rsidRPr="005307E4">
              <w:rPr>
                <w:rFonts w:ascii="Arial" w:hAnsi="Arial" w:cs="Arial"/>
                <w:sz w:val="18"/>
                <w:szCs w:val="18"/>
                <w:lang w:val="en-GB"/>
              </w:rPr>
              <w:t>Beneficiaries are assisted and in permanent contact with humanitarian agencies.</w:t>
            </w:r>
          </w:p>
        </w:tc>
        <w:tc>
          <w:tcPr>
            <w:tcW w:w="4182" w:type="dxa"/>
          </w:tcPr>
          <w:p w:rsidR="00AA2DBB" w:rsidRPr="005307E4" w:rsidRDefault="00AA2DBB" w:rsidP="00BF7289">
            <w:pPr>
              <w:rPr>
                <w:rFonts w:ascii="Arial" w:hAnsi="Arial" w:cs="Arial"/>
                <w:sz w:val="18"/>
                <w:szCs w:val="18"/>
              </w:rPr>
            </w:pPr>
            <w:bookmarkStart w:id="23" w:name="OLE_LINK13"/>
          </w:p>
          <w:p w:rsidR="00BF7289" w:rsidRPr="005307E4" w:rsidRDefault="00BF7289" w:rsidP="00BF7289">
            <w:pPr>
              <w:rPr>
                <w:rFonts w:ascii="Arial" w:hAnsi="Arial" w:cs="Arial"/>
                <w:sz w:val="18"/>
                <w:szCs w:val="18"/>
              </w:rPr>
            </w:pPr>
            <w:r w:rsidRPr="005307E4">
              <w:rPr>
                <w:rFonts w:ascii="Arial" w:hAnsi="Arial" w:cs="Arial"/>
                <w:sz w:val="18"/>
                <w:szCs w:val="18"/>
              </w:rPr>
              <w:t xml:space="preserve">The resettlement always represents the </w:t>
            </w:r>
            <w:r w:rsidR="00FC3903" w:rsidRPr="005307E4">
              <w:rPr>
                <w:rFonts w:ascii="Arial" w:hAnsi="Arial" w:cs="Arial"/>
                <w:sz w:val="18"/>
                <w:szCs w:val="18"/>
              </w:rPr>
              <w:t xml:space="preserve">dislocation </w:t>
            </w:r>
            <w:r w:rsidRPr="005307E4">
              <w:rPr>
                <w:rFonts w:ascii="Arial" w:hAnsi="Arial" w:cs="Arial"/>
                <w:sz w:val="18"/>
                <w:szCs w:val="18"/>
              </w:rPr>
              <w:t>of the renters from their previous social and economic environment.</w:t>
            </w:r>
          </w:p>
          <w:bookmarkEnd w:id="23"/>
          <w:p w:rsidR="00F16D96" w:rsidRPr="005307E4" w:rsidRDefault="00F16D96" w:rsidP="00F16D96">
            <w:pPr>
              <w:rPr>
                <w:rFonts w:ascii="Arial" w:hAnsi="Arial" w:cs="Arial"/>
                <w:sz w:val="18"/>
                <w:szCs w:val="18"/>
                <w:lang w:val="en-GB"/>
              </w:rPr>
            </w:pPr>
            <w:r w:rsidRPr="005307E4">
              <w:rPr>
                <w:rFonts w:ascii="Arial" w:hAnsi="Arial" w:cs="Arial"/>
                <w:sz w:val="18"/>
                <w:szCs w:val="18"/>
                <w:lang w:val="en-GB"/>
              </w:rPr>
              <w:t>Humanitarians face a dilemma of</w:t>
            </w:r>
          </w:p>
          <w:p w:rsidR="00BF7289" w:rsidRPr="005307E4" w:rsidRDefault="00F16D96" w:rsidP="00F16D96">
            <w:pPr>
              <w:rPr>
                <w:rFonts w:ascii="Arial" w:hAnsi="Arial" w:cs="Arial"/>
                <w:sz w:val="18"/>
                <w:szCs w:val="18"/>
              </w:rPr>
            </w:pPr>
            <w:r w:rsidRPr="005307E4">
              <w:rPr>
                <w:rFonts w:ascii="Arial" w:hAnsi="Arial" w:cs="Arial"/>
                <w:sz w:val="18"/>
                <w:szCs w:val="18"/>
                <w:lang w:val="en-GB"/>
              </w:rPr>
              <w:t>‘</w:t>
            </w:r>
            <w:proofErr w:type="gramStart"/>
            <w:r w:rsidRPr="005307E4">
              <w:rPr>
                <w:rFonts w:ascii="Arial" w:hAnsi="Arial" w:cs="Arial"/>
                <w:sz w:val="18"/>
                <w:szCs w:val="18"/>
                <w:lang w:val="en-GB"/>
              </w:rPr>
              <w:t>investing</w:t>
            </w:r>
            <w:proofErr w:type="gramEnd"/>
            <w:r w:rsidRPr="005307E4">
              <w:rPr>
                <w:rFonts w:ascii="Arial" w:hAnsi="Arial" w:cs="Arial"/>
                <w:sz w:val="18"/>
                <w:szCs w:val="18"/>
                <w:lang w:val="en-GB"/>
              </w:rPr>
              <w:t xml:space="preserve"> too much’ by which temporary camps invariably become permanent.</w:t>
            </w:r>
          </w:p>
          <w:p w:rsidR="00CC2E48" w:rsidRPr="005307E4" w:rsidRDefault="001D42F2">
            <w:pPr>
              <w:rPr>
                <w:rFonts w:ascii="Arial" w:hAnsi="Arial" w:cs="Arial"/>
                <w:b/>
                <w:sz w:val="18"/>
                <w:szCs w:val="18"/>
              </w:rPr>
            </w:pPr>
            <w:r w:rsidRPr="005307E4">
              <w:rPr>
                <w:rFonts w:ascii="Arial" w:hAnsi="Arial" w:cs="Arial"/>
                <w:sz w:val="18"/>
                <w:szCs w:val="18"/>
              </w:rPr>
              <w:t xml:space="preserve">Not so positive experience with the </w:t>
            </w:r>
            <w:r w:rsidR="00FD7E43" w:rsidRPr="005307E4">
              <w:rPr>
                <w:rFonts w:ascii="Arial" w:hAnsi="Arial" w:cs="Arial"/>
                <w:sz w:val="18"/>
                <w:szCs w:val="18"/>
              </w:rPr>
              <w:t>temporary resettlement plans carried ou</w:t>
            </w:r>
            <w:r w:rsidRPr="005307E4">
              <w:rPr>
                <w:rFonts w:ascii="Arial" w:hAnsi="Arial" w:cs="Arial"/>
                <w:sz w:val="18"/>
                <w:szCs w:val="18"/>
              </w:rPr>
              <w:t xml:space="preserve">t so far </w:t>
            </w:r>
            <w:r w:rsidR="00F16D96" w:rsidRPr="005307E4">
              <w:rPr>
                <w:rFonts w:ascii="Arial" w:hAnsi="Arial" w:cs="Arial"/>
                <w:sz w:val="18"/>
                <w:szCs w:val="18"/>
              </w:rPr>
              <w:t>in Haiti</w:t>
            </w:r>
            <w:proofErr w:type="gramStart"/>
            <w:r w:rsidR="00F16D96" w:rsidRPr="005307E4">
              <w:rPr>
                <w:rFonts w:ascii="Arial" w:hAnsi="Arial" w:cs="Arial"/>
                <w:sz w:val="18"/>
                <w:szCs w:val="18"/>
              </w:rPr>
              <w:t>.</w:t>
            </w:r>
            <w:r w:rsidRPr="005307E4">
              <w:rPr>
                <w:rFonts w:ascii="Arial" w:hAnsi="Arial" w:cs="Arial"/>
                <w:sz w:val="18"/>
                <w:szCs w:val="18"/>
              </w:rPr>
              <w:t>(</w:t>
            </w:r>
            <w:proofErr w:type="gramEnd"/>
            <w:r w:rsidRPr="005307E4">
              <w:rPr>
                <w:rFonts w:ascii="Arial" w:hAnsi="Arial" w:cs="Arial"/>
                <w:sz w:val="18"/>
                <w:szCs w:val="18"/>
              </w:rPr>
              <w:t>Corrail, Tabbare Issa).</w:t>
            </w:r>
          </w:p>
        </w:tc>
      </w:tr>
      <w:tr w:rsidR="005307E4" w:rsidRPr="005307E4" w:rsidTr="005307E4">
        <w:trPr>
          <w:trHeight w:val="1953"/>
        </w:trPr>
        <w:tc>
          <w:tcPr>
            <w:tcW w:w="3504" w:type="dxa"/>
          </w:tcPr>
          <w:p w:rsidR="003155D1" w:rsidRPr="005307E4" w:rsidRDefault="004A02A7">
            <w:pPr>
              <w:rPr>
                <w:rFonts w:ascii="Arial" w:hAnsi="Arial" w:cs="Arial"/>
                <w:sz w:val="18"/>
                <w:szCs w:val="18"/>
              </w:rPr>
            </w:pPr>
            <w:bookmarkStart w:id="24" w:name="OLE_LINK15"/>
            <w:r w:rsidRPr="005307E4">
              <w:rPr>
                <w:rFonts w:ascii="Arial" w:hAnsi="Arial" w:cs="Arial"/>
                <w:b/>
                <w:sz w:val="18"/>
                <w:szCs w:val="18"/>
              </w:rPr>
              <w:t xml:space="preserve">Permanent </w:t>
            </w:r>
            <w:r w:rsidR="00BF7289" w:rsidRPr="005307E4">
              <w:rPr>
                <w:rFonts w:ascii="Arial" w:hAnsi="Arial" w:cs="Arial"/>
                <w:b/>
                <w:sz w:val="18"/>
                <w:szCs w:val="18"/>
              </w:rPr>
              <w:t>Resettlement of former renters (unwilling or unable to return to their previous places of origin) to new locations</w:t>
            </w:r>
            <w:bookmarkEnd w:id="24"/>
          </w:p>
        </w:tc>
        <w:tc>
          <w:tcPr>
            <w:tcW w:w="3504" w:type="dxa"/>
          </w:tcPr>
          <w:p w:rsidR="003155D1" w:rsidRPr="005307E4" w:rsidRDefault="00BF7289">
            <w:pPr>
              <w:rPr>
                <w:rFonts w:ascii="Arial" w:hAnsi="Arial" w:cs="Arial"/>
                <w:sz w:val="18"/>
                <w:szCs w:val="18"/>
              </w:rPr>
            </w:pPr>
            <w:bookmarkStart w:id="25" w:name="OLE_LINK14"/>
            <w:r w:rsidRPr="005307E4">
              <w:rPr>
                <w:rFonts w:ascii="Arial" w:hAnsi="Arial" w:cs="Arial"/>
                <w:sz w:val="18"/>
                <w:szCs w:val="18"/>
                <w:lang w:val="en-GB"/>
              </w:rPr>
              <w:t xml:space="preserve">The GoH and international humanitarian community agreed on a </w:t>
            </w:r>
            <w:r w:rsidR="00F16D96" w:rsidRPr="005307E4">
              <w:rPr>
                <w:rFonts w:ascii="Arial" w:hAnsi="Arial" w:cs="Arial"/>
                <w:sz w:val="18"/>
                <w:szCs w:val="18"/>
                <w:lang w:val="en-GB"/>
              </w:rPr>
              <w:t xml:space="preserve">permanent </w:t>
            </w:r>
            <w:r w:rsidRPr="005307E4">
              <w:rPr>
                <w:rFonts w:ascii="Arial" w:hAnsi="Arial" w:cs="Arial"/>
                <w:sz w:val="18"/>
                <w:szCs w:val="18"/>
                <w:lang w:val="en-GB"/>
              </w:rPr>
              <w:t>resettlement plan.</w:t>
            </w:r>
            <w:bookmarkEnd w:id="25"/>
          </w:p>
        </w:tc>
        <w:tc>
          <w:tcPr>
            <w:tcW w:w="3505" w:type="dxa"/>
          </w:tcPr>
          <w:p w:rsidR="00BF7289" w:rsidRPr="005307E4" w:rsidRDefault="00BF7289" w:rsidP="00BF7289">
            <w:pPr>
              <w:rPr>
                <w:rFonts w:ascii="Arial" w:hAnsi="Arial" w:cs="Arial"/>
                <w:sz w:val="18"/>
                <w:szCs w:val="18"/>
              </w:rPr>
            </w:pPr>
            <w:r w:rsidRPr="005307E4">
              <w:rPr>
                <w:rFonts w:ascii="Arial" w:hAnsi="Arial" w:cs="Arial"/>
                <w:sz w:val="18"/>
                <w:szCs w:val="18"/>
              </w:rPr>
              <w:t>Can offer a permanent solution and reinforce the renter</w:t>
            </w:r>
            <w:r w:rsidR="00FC3903" w:rsidRPr="005307E4">
              <w:rPr>
                <w:rFonts w:ascii="Arial" w:hAnsi="Arial" w:cs="Arial"/>
                <w:sz w:val="18"/>
                <w:szCs w:val="18"/>
              </w:rPr>
              <w:t>s’</w:t>
            </w:r>
            <w:r w:rsidRPr="005307E4">
              <w:rPr>
                <w:rFonts w:ascii="Arial" w:hAnsi="Arial" w:cs="Arial"/>
                <w:sz w:val="18"/>
                <w:szCs w:val="18"/>
              </w:rPr>
              <w:t xml:space="preserve"> existing tenure rights. i.e. the renters  could from previous renter status became an house or plot owner (it depends on the resettlement plan conditions)</w:t>
            </w:r>
          </w:p>
          <w:p w:rsidR="003155D1" w:rsidRPr="005307E4" w:rsidRDefault="003155D1">
            <w:pPr>
              <w:rPr>
                <w:rFonts w:ascii="Arial" w:hAnsi="Arial" w:cs="Arial"/>
                <w:sz w:val="18"/>
                <w:szCs w:val="18"/>
              </w:rPr>
            </w:pPr>
          </w:p>
        </w:tc>
        <w:tc>
          <w:tcPr>
            <w:tcW w:w="4182" w:type="dxa"/>
          </w:tcPr>
          <w:p w:rsidR="003B6E73" w:rsidRPr="005307E4" w:rsidRDefault="00BF7289">
            <w:pPr>
              <w:rPr>
                <w:rFonts w:ascii="Arial" w:hAnsi="Arial" w:cs="Arial"/>
                <w:sz w:val="18"/>
                <w:szCs w:val="18"/>
              </w:rPr>
            </w:pPr>
            <w:r w:rsidRPr="005307E4">
              <w:rPr>
                <w:rFonts w:ascii="Arial" w:hAnsi="Arial" w:cs="Arial"/>
                <w:sz w:val="18"/>
                <w:szCs w:val="18"/>
              </w:rPr>
              <w:t xml:space="preserve">Any </w:t>
            </w:r>
            <w:proofErr w:type="gramStart"/>
            <w:r w:rsidRPr="005307E4">
              <w:rPr>
                <w:rFonts w:ascii="Arial" w:hAnsi="Arial" w:cs="Arial"/>
                <w:sz w:val="18"/>
                <w:szCs w:val="18"/>
              </w:rPr>
              <w:t>reset</w:t>
            </w:r>
            <w:r w:rsidR="00AA2DBB" w:rsidRPr="005307E4">
              <w:rPr>
                <w:rFonts w:ascii="Arial" w:hAnsi="Arial" w:cs="Arial"/>
                <w:sz w:val="18"/>
                <w:szCs w:val="18"/>
              </w:rPr>
              <w:t>tlement</w:t>
            </w:r>
            <w:r w:rsidRPr="005307E4">
              <w:rPr>
                <w:rFonts w:ascii="Arial" w:hAnsi="Arial" w:cs="Arial"/>
                <w:sz w:val="18"/>
                <w:szCs w:val="18"/>
              </w:rPr>
              <w:t xml:space="preserve"> deprive</w:t>
            </w:r>
            <w:proofErr w:type="gramEnd"/>
            <w:r w:rsidRPr="005307E4">
              <w:rPr>
                <w:rFonts w:ascii="Arial" w:hAnsi="Arial" w:cs="Arial"/>
                <w:sz w:val="18"/>
                <w:szCs w:val="18"/>
              </w:rPr>
              <w:t xml:space="preserve"> </w:t>
            </w:r>
            <w:r w:rsidR="00F16D96" w:rsidRPr="005307E4">
              <w:rPr>
                <w:rFonts w:ascii="Arial" w:hAnsi="Arial" w:cs="Arial"/>
                <w:sz w:val="18"/>
                <w:szCs w:val="18"/>
              </w:rPr>
              <w:t xml:space="preserve">renters from their existing </w:t>
            </w:r>
            <w:r w:rsidRPr="005307E4">
              <w:rPr>
                <w:rFonts w:ascii="Arial" w:hAnsi="Arial" w:cs="Arial"/>
                <w:sz w:val="18"/>
                <w:szCs w:val="18"/>
              </w:rPr>
              <w:t>social and economic environment.</w:t>
            </w:r>
            <w:r w:rsidR="00AA2DBB" w:rsidRPr="005307E4">
              <w:rPr>
                <w:rFonts w:ascii="Arial" w:hAnsi="Arial" w:cs="Arial"/>
                <w:sz w:val="18"/>
                <w:szCs w:val="18"/>
              </w:rPr>
              <w:t xml:space="preserve"> </w:t>
            </w:r>
            <w:r w:rsidR="00F6781D" w:rsidRPr="005307E4">
              <w:rPr>
                <w:rFonts w:ascii="Arial" w:hAnsi="Arial" w:cs="Arial"/>
                <w:sz w:val="18"/>
                <w:szCs w:val="18"/>
              </w:rPr>
              <w:t xml:space="preserve">It is not </w:t>
            </w:r>
            <w:proofErr w:type="gramStart"/>
            <w:r w:rsidR="00F6781D" w:rsidRPr="005307E4">
              <w:rPr>
                <w:rFonts w:ascii="Arial" w:hAnsi="Arial" w:cs="Arial"/>
                <w:sz w:val="18"/>
                <w:szCs w:val="18"/>
              </w:rPr>
              <w:t>immediate,</w:t>
            </w:r>
            <w:proofErr w:type="gramEnd"/>
            <w:r w:rsidRPr="005307E4">
              <w:rPr>
                <w:rFonts w:ascii="Arial" w:hAnsi="Arial" w:cs="Arial"/>
                <w:sz w:val="18"/>
                <w:szCs w:val="18"/>
              </w:rPr>
              <w:t xml:space="preserve"> resettlement site should meet certain precise criteria, availability of infrastructure, services, transport and livelihood.</w:t>
            </w:r>
            <w:r w:rsidR="00FC3903" w:rsidRPr="005307E4">
              <w:rPr>
                <w:rFonts w:ascii="Arial" w:hAnsi="Arial" w:cs="Arial"/>
                <w:sz w:val="18"/>
                <w:szCs w:val="18"/>
              </w:rPr>
              <w:t xml:space="preserve"> </w:t>
            </w:r>
            <w:r w:rsidR="00B00527" w:rsidRPr="005307E4">
              <w:rPr>
                <w:rFonts w:ascii="Arial" w:hAnsi="Arial" w:cs="Arial"/>
                <w:sz w:val="18"/>
                <w:szCs w:val="18"/>
              </w:rPr>
              <w:t xml:space="preserve">The integration of livelihood opportunities into such a </w:t>
            </w:r>
            <w:r w:rsidR="00AA2DBB" w:rsidRPr="005307E4">
              <w:rPr>
                <w:rFonts w:ascii="Arial" w:hAnsi="Arial" w:cs="Arial"/>
                <w:sz w:val="18"/>
                <w:szCs w:val="18"/>
              </w:rPr>
              <w:t xml:space="preserve">resettlement is indeed crucial. </w:t>
            </w:r>
            <w:r w:rsidR="00FC3903" w:rsidRPr="005307E4">
              <w:rPr>
                <w:rFonts w:ascii="Arial" w:hAnsi="Arial" w:cs="Arial"/>
                <w:sz w:val="18"/>
                <w:szCs w:val="18"/>
              </w:rPr>
              <w:t>Homeownership has its price</w:t>
            </w:r>
            <w:r w:rsidR="00B00527" w:rsidRPr="005307E4">
              <w:rPr>
                <w:rFonts w:ascii="Arial" w:hAnsi="Arial" w:cs="Arial"/>
                <w:sz w:val="18"/>
                <w:szCs w:val="18"/>
              </w:rPr>
              <w:t xml:space="preserve">, i.e. paying for services, property tax, ensuring repairs/maintenance, etc. </w:t>
            </w:r>
          </w:p>
          <w:p w:rsidR="003155D1" w:rsidRPr="005307E4" w:rsidRDefault="00B00527">
            <w:pPr>
              <w:rPr>
                <w:rFonts w:ascii="Arial" w:hAnsi="Arial" w:cs="Arial"/>
                <w:sz w:val="18"/>
                <w:szCs w:val="18"/>
              </w:rPr>
            </w:pPr>
            <w:r w:rsidRPr="005307E4">
              <w:rPr>
                <w:rFonts w:ascii="Arial" w:hAnsi="Arial" w:cs="Arial"/>
                <w:sz w:val="18"/>
                <w:szCs w:val="18"/>
              </w:rPr>
              <w:t>Poor homeowners can often not afford this and then may have to move out.</w:t>
            </w:r>
          </w:p>
        </w:tc>
      </w:tr>
    </w:tbl>
    <w:p w:rsidR="004705E6" w:rsidRDefault="004705E6" w:rsidP="00D11354"/>
    <w:p w:rsidR="0043327C" w:rsidRDefault="0043327C" w:rsidP="00D11354">
      <w:pPr>
        <w:sectPr w:rsidR="0043327C" w:rsidSect="00EF5F51">
          <w:pgSz w:w="16838" w:h="11906" w:orient="landscape"/>
          <w:pgMar w:top="1134" w:right="1134" w:bottom="1134" w:left="1418" w:header="709" w:footer="709" w:gutter="0"/>
          <w:cols w:space="708"/>
          <w:docGrid w:linePitch="360"/>
        </w:sectPr>
      </w:pPr>
      <w:r>
        <w:t>.</w:t>
      </w:r>
    </w:p>
    <w:p w:rsidR="00054711" w:rsidRDefault="00054711" w:rsidP="00D11354"/>
    <w:p w:rsidR="0050247F" w:rsidRPr="0050247F" w:rsidRDefault="0050247F" w:rsidP="0050247F">
      <w:pPr>
        <w:pStyle w:val="NormalWeb"/>
        <w:rPr>
          <w:rFonts w:ascii="Arial" w:hAnsi="Arial" w:cs="Arial"/>
          <w:b/>
          <w:bCs/>
          <w:lang w:val="en-GB"/>
        </w:rPr>
      </w:pPr>
      <w:r w:rsidRPr="0050247F">
        <w:rPr>
          <w:rFonts w:ascii="Arial" w:hAnsi="Arial" w:cs="Arial"/>
          <w:b/>
          <w:bCs/>
          <w:lang w:val="en-GB"/>
        </w:rPr>
        <w:t xml:space="preserve">7) Recommended </w:t>
      </w:r>
      <w:proofErr w:type="gramStart"/>
      <w:r w:rsidRPr="0050247F">
        <w:rPr>
          <w:rFonts w:ascii="Arial" w:hAnsi="Arial" w:cs="Arial"/>
          <w:b/>
          <w:bCs/>
          <w:lang w:val="en-GB"/>
        </w:rPr>
        <w:t>Approach(</w:t>
      </w:r>
      <w:proofErr w:type="gramEnd"/>
      <w:r w:rsidRPr="0050247F">
        <w:rPr>
          <w:rFonts w:ascii="Arial" w:hAnsi="Arial" w:cs="Arial"/>
          <w:b/>
          <w:bCs/>
          <w:lang w:val="en-GB"/>
        </w:rPr>
        <w:t xml:space="preserve">es) </w:t>
      </w:r>
    </w:p>
    <w:p w:rsidR="0050247F" w:rsidRDefault="0050247F" w:rsidP="0050247F">
      <w:pPr>
        <w:pStyle w:val="NormalWeb"/>
        <w:rPr>
          <w:rFonts w:ascii="Times New Roman" w:hAnsi="Times New Roman" w:cs="Times New Roman"/>
          <w:lang w:val="en-GB"/>
        </w:rPr>
      </w:pPr>
      <w:r>
        <w:rPr>
          <w:rFonts w:ascii="Times New Roman" w:hAnsi="Times New Roman" w:cs="Times New Roman"/>
          <w:lang w:val="en-GB"/>
        </w:rPr>
        <w:t xml:space="preserve">The strategic priority of the international community and the Haitian authorities for assisting the former renters should be focused on supporting increased livelihood opportunities. </w:t>
      </w:r>
    </w:p>
    <w:p w:rsidR="0050247F" w:rsidRDefault="0050247F" w:rsidP="0050247F">
      <w:pPr>
        <w:pStyle w:val="NormalWeb"/>
        <w:rPr>
          <w:rFonts w:ascii="Times New Roman" w:hAnsi="Times New Roman" w:cs="Times New Roman"/>
          <w:lang w:val="en-GB"/>
        </w:rPr>
      </w:pPr>
      <w:r>
        <w:rPr>
          <w:rFonts w:ascii="Times New Roman" w:hAnsi="Times New Roman" w:cs="Times New Roman"/>
          <w:lang w:val="en-GB"/>
        </w:rPr>
        <w:t>Following this strategic approach, the creation of livelihood opportunities should be supported in its initial stage by offering rental subsidy in form of voucher or cash. The rental subsidy can al</w:t>
      </w:r>
      <w:r w:rsidR="00B00527">
        <w:rPr>
          <w:rFonts w:ascii="Times New Roman" w:hAnsi="Times New Roman" w:cs="Times New Roman"/>
          <w:lang w:val="en-GB"/>
        </w:rPr>
        <w:t>so be</w:t>
      </w:r>
      <w:r>
        <w:rPr>
          <w:rFonts w:ascii="Times New Roman" w:hAnsi="Times New Roman" w:cs="Times New Roman"/>
          <w:lang w:val="en-GB"/>
        </w:rPr>
        <w:t xml:space="preserve"> substitute</w:t>
      </w:r>
      <w:r w:rsidR="00B00527">
        <w:rPr>
          <w:rFonts w:ascii="Times New Roman" w:hAnsi="Times New Roman" w:cs="Times New Roman"/>
          <w:lang w:val="en-GB"/>
        </w:rPr>
        <w:t>d</w:t>
      </w:r>
      <w:r>
        <w:rPr>
          <w:rFonts w:ascii="Times New Roman" w:hAnsi="Times New Roman" w:cs="Times New Roman"/>
          <w:lang w:val="en-GB"/>
        </w:rPr>
        <w:t xml:space="preserve"> by priority employment </w:t>
      </w:r>
      <w:r w:rsidR="00B00527">
        <w:rPr>
          <w:rFonts w:ascii="Times New Roman" w:hAnsi="Times New Roman" w:cs="Times New Roman"/>
          <w:lang w:val="en-GB"/>
        </w:rPr>
        <w:t xml:space="preserve">of </w:t>
      </w:r>
      <w:r>
        <w:rPr>
          <w:rFonts w:ascii="Times New Roman" w:hAnsi="Times New Roman" w:cs="Times New Roman"/>
          <w:lang w:val="en-GB"/>
        </w:rPr>
        <w:t>former renters in housing and infrastructure reconstruction works in the</w:t>
      </w:r>
      <w:r w:rsidR="0075192A">
        <w:rPr>
          <w:rFonts w:ascii="Times New Roman" w:hAnsi="Times New Roman" w:cs="Times New Roman"/>
          <w:lang w:val="en-GB"/>
        </w:rPr>
        <w:t>ir former</w:t>
      </w:r>
      <w:r>
        <w:rPr>
          <w:rFonts w:ascii="Times New Roman" w:hAnsi="Times New Roman" w:cs="Times New Roman"/>
          <w:lang w:val="en-GB"/>
        </w:rPr>
        <w:t xml:space="preserve"> owners</w:t>
      </w:r>
      <w:r w:rsidR="0075192A">
        <w:rPr>
          <w:rFonts w:ascii="Times New Roman" w:hAnsi="Times New Roman" w:cs="Times New Roman"/>
          <w:lang w:val="en-GB"/>
        </w:rPr>
        <w:t>’</w:t>
      </w:r>
      <w:r>
        <w:rPr>
          <w:rFonts w:ascii="Times New Roman" w:hAnsi="Times New Roman" w:cs="Times New Roman"/>
          <w:lang w:val="en-GB"/>
        </w:rPr>
        <w:t xml:space="preserve"> house </w:t>
      </w:r>
      <w:r w:rsidR="0075192A">
        <w:rPr>
          <w:rFonts w:ascii="Times New Roman" w:hAnsi="Times New Roman" w:cs="Times New Roman"/>
          <w:lang w:val="en-GB"/>
        </w:rPr>
        <w:t>and/or in the</w:t>
      </w:r>
      <w:r>
        <w:rPr>
          <w:rFonts w:ascii="Times New Roman" w:hAnsi="Times New Roman" w:cs="Times New Roman"/>
          <w:lang w:val="en-GB"/>
        </w:rPr>
        <w:t xml:space="preserve"> neighbourhood. In above cases the reconstruction assistance is financed by international actors.</w:t>
      </w:r>
    </w:p>
    <w:p w:rsidR="0050247F" w:rsidRDefault="0050247F" w:rsidP="0050247F">
      <w:pPr>
        <w:pStyle w:val="NormalWeb"/>
        <w:rPr>
          <w:rFonts w:ascii="Times New Roman" w:hAnsi="Times New Roman" w:cs="Times New Roman"/>
          <w:lang w:val="en-GB"/>
        </w:rPr>
      </w:pPr>
      <w:r>
        <w:rPr>
          <w:rFonts w:ascii="Times New Roman" w:hAnsi="Times New Roman" w:cs="Times New Roman"/>
          <w:lang w:val="en-GB"/>
        </w:rPr>
        <w:t>Since this initial assistance in both situations, the reconstruction and the direct financial assistance for housing</w:t>
      </w:r>
      <w:r w:rsidR="00EF6393">
        <w:rPr>
          <w:rFonts w:ascii="Times New Roman" w:hAnsi="Times New Roman" w:cs="Times New Roman"/>
          <w:lang w:val="en-GB"/>
        </w:rPr>
        <w:t>,</w:t>
      </w:r>
      <w:r>
        <w:rPr>
          <w:rFonts w:ascii="Times New Roman" w:hAnsi="Times New Roman" w:cs="Times New Roman"/>
          <w:lang w:val="en-GB"/>
        </w:rPr>
        <w:t xml:space="preserve"> is only temporary, such approach should be linked up from the beginning with complementary income-generating support measures. In this sense it would be crucial to assure availability of micro-finance sources with active assistance of the NGOs and other organizations in distributing and using those funds. </w:t>
      </w:r>
    </w:p>
    <w:p w:rsidR="0050247F" w:rsidRDefault="0050247F" w:rsidP="0050247F">
      <w:pPr>
        <w:pStyle w:val="NormalWeb"/>
        <w:rPr>
          <w:rFonts w:ascii="Times New Roman" w:hAnsi="Times New Roman" w:cs="Times New Roman"/>
          <w:lang w:val="en-GB"/>
        </w:rPr>
      </w:pPr>
      <w:r>
        <w:rPr>
          <w:rFonts w:ascii="Times New Roman" w:hAnsi="Times New Roman" w:cs="Times New Roman"/>
          <w:lang w:val="en-GB"/>
        </w:rPr>
        <w:t xml:space="preserve">Based on this general approach, as explained in the table, it will be possible to </w:t>
      </w:r>
      <w:r w:rsidR="00EF6393">
        <w:rPr>
          <w:rFonts w:ascii="Times New Roman" w:hAnsi="Times New Roman" w:cs="Times New Roman"/>
          <w:lang w:val="en-GB"/>
        </w:rPr>
        <w:t xml:space="preserve">offer </w:t>
      </w:r>
      <w:r>
        <w:rPr>
          <w:rFonts w:ascii="Times New Roman" w:hAnsi="Times New Roman" w:cs="Times New Roman"/>
          <w:lang w:val="en-GB"/>
        </w:rPr>
        <w:t xml:space="preserve">at least 3 different pilot proposals which could be personalized </w:t>
      </w:r>
      <w:r w:rsidR="00EF6393">
        <w:rPr>
          <w:rFonts w:ascii="Times New Roman" w:hAnsi="Times New Roman" w:cs="Times New Roman"/>
          <w:lang w:val="en-GB"/>
        </w:rPr>
        <w:t>based on</w:t>
      </w:r>
      <w:r>
        <w:rPr>
          <w:rFonts w:ascii="Times New Roman" w:hAnsi="Times New Roman" w:cs="Times New Roman"/>
          <w:lang w:val="en-GB"/>
        </w:rPr>
        <w:t xml:space="preserve"> the beneficiary needs depending on the situation in the field. In all proposals it should be distinguished the temporary and m</w:t>
      </w:r>
      <w:r w:rsidR="0043327C">
        <w:rPr>
          <w:rFonts w:ascii="Times New Roman" w:hAnsi="Times New Roman" w:cs="Times New Roman"/>
          <w:lang w:val="en-GB"/>
        </w:rPr>
        <w:t>e</w:t>
      </w:r>
      <w:r>
        <w:rPr>
          <w:rFonts w:ascii="Times New Roman" w:hAnsi="Times New Roman" w:cs="Times New Roman"/>
          <w:lang w:val="en-GB"/>
        </w:rPr>
        <w:t>d</w:t>
      </w:r>
      <w:r w:rsidR="0043327C">
        <w:rPr>
          <w:rFonts w:ascii="Times New Roman" w:hAnsi="Times New Roman" w:cs="Times New Roman"/>
          <w:lang w:val="en-GB"/>
        </w:rPr>
        <w:t>ium</w:t>
      </w:r>
      <w:r>
        <w:rPr>
          <w:rFonts w:ascii="Times New Roman" w:hAnsi="Times New Roman" w:cs="Times New Roman"/>
          <w:lang w:val="en-GB"/>
        </w:rPr>
        <w:t xml:space="preserve">-term solutions. </w:t>
      </w:r>
    </w:p>
    <w:p w:rsidR="0050247F" w:rsidRDefault="0050247F" w:rsidP="0050247F">
      <w:pPr>
        <w:pStyle w:val="NormalWeb"/>
        <w:numPr>
          <w:ilvl w:val="0"/>
          <w:numId w:val="6"/>
        </w:numPr>
        <w:rPr>
          <w:rFonts w:ascii="Times New Roman" w:hAnsi="Times New Roman" w:cs="Times New Roman"/>
          <w:b/>
          <w:lang w:val="en-GB"/>
        </w:rPr>
      </w:pPr>
      <w:r>
        <w:rPr>
          <w:rFonts w:ascii="Times New Roman" w:hAnsi="Times New Roman" w:cs="Times New Roman"/>
          <w:b/>
          <w:lang w:val="en-GB"/>
        </w:rPr>
        <w:t xml:space="preserve">Renters returning to a house which needs to be repaired “yellow” house </w:t>
      </w:r>
    </w:p>
    <w:p w:rsidR="0050247F" w:rsidRDefault="0050247F" w:rsidP="0050247F">
      <w:pPr>
        <w:pStyle w:val="NormalWeb"/>
        <w:ind w:left="360"/>
        <w:rPr>
          <w:rFonts w:ascii="Times New Roman" w:hAnsi="Times New Roman" w:cs="Times New Roman"/>
          <w:lang w:val="en-GB"/>
        </w:rPr>
      </w:pPr>
      <w:r>
        <w:rPr>
          <w:rFonts w:ascii="Times New Roman" w:hAnsi="Times New Roman" w:cs="Times New Roman"/>
          <w:i/>
          <w:lang w:val="en-GB"/>
        </w:rPr>
        <w:t>Temporary solution</w:t>
      </w:r>
      <w:r>
        <w:rPr>
          <w:rFonts w:ascii="Times New Roman" w:hAnsi="Times New Roman" w:cs="Times New Roman"/>
          <w:lang w:val="en-GB"/>
        </w:rPr>
        <w:t xml:space="preserve">: the owner’ house is reconstructed by the international community aid. The former renter is “prioritized” in the employment for the reconstruction work of the owner of the “yellow” house or in the reconstruction work in the neighbourhood. </w:t>
      </w:r>
    </w:p>
    <w:p w:rsidR="0050247F" w:rsidRDefault="0050247F" w:rsidP="0050247F">
      <w:pPr>
        <w:pStyle w:val="NormalWeb"/>
        <w:ind w:left="360"/>
        <w:rPr>
          <w:rFonts w:ascii="Times New Roman" w:hAnsi="Times New Roman" w:cs="Times New Roman"/>
          <w:lang w:val="en-GB"/>
        </w:rPr>
      </w:pPr>
      <w:r>
        <w:rPr>
          <w:rFonts w:ascii="Times New Roman" w:hAnsi="Times New Roman" w:cs="Times New Roman"/>
          <w:i/>
          <w:lang w:val="en-GB"/>
        </w:rPr>
        <w:t>M</w:t>
      </w:r>
      <w:r w:rsidR="0043327C">
        <w:rPr>
          <w:rFonts w:ascii="Times New Roman" w:hAnsi="Times New Roman" w:cs="Times New Roman"/>
          <w:i/>
          <w:lang w:val="en-GB"/>
        </w:rPr>
        <w:t>e</w:t>
      </w:r>
      <w:r>
        <w:rPr>
          <w:rFonts w:ascii="Times New Roman" w:hAnsi="Times New Roman" w:cs="Times New Roman"/>
          <w:i/>
          <w:lang w:val="en-GB"/>
        </w:rPr>
        <w:t>d</w:t>
      </w:r>
      <w:r w:rsidR="0043327C">
        <w:rPr>
          <w:rFonts w:ascii="Times New Roman" w:hAnsi="Times New Roman" w:cs="Times New Roman"/>
          <w:i/>
          <w:lang w:val="en-GB"/>
        </w:rPr>
        <w:t>ium</w:t>
      </w:r>
      <w:r>
        <w:rPr>
          <w:rFonts w:ascii="Times New Roman" w:hAnsi="Times New Roman" w:cs="Times New Roman"/>
          <w:i/>
          <w:lang w:val="en-GB"/>
        </w:rPr>
        <w:t>-term solution</w:t>
      </w:r>
      <w:r>
        <w:rPr>
          <w:rFonts w:ascii="Times New Roman" w:hAnsi="Times New Roman" w:cs="Times New Roman"/>
          <w:lang w:val="en-GB"/>
        </w:rPr>
        <w:t xml:space="preserve">: the renter and his family are assisted (by NGOs) under livelihood programme. </w:t>
      </w:r>
    </w:p>
    <w:p w:rsidR="0050247F" w:rsidRDefault="0050247F" w:rsidP="0050247F">
      <w:pPr>
        <w:pStyle w:val="NormalWeb"/>
        <w:numPr>
          <w:ilvl w:val="0"/>
          <w:numId w:val="6"/>
        </w:numPr>
        <w:rPr>
          <w:rFonts w:ascii="Times New Roman" w:hAnsi="Times New Roman" w:cs="Times New Roman"/>
          <w:b/>
          <w:lang w:val="en-GB"/>
        </w:rPr>
      </w:pPr>
      <w:r>
        <w:rPr>
          <w:rFonts w:ascii="Times New Roman" w:hAnsi="Times New Roman" w:cs="Times New Roman"/>
          <w:b/>
          <w:lang w:val="en-GB"/>
        </w:rPr>
        <w:t xml:space="preserve">Renters returning to “green” houses (previous owner) or to new houses </w:t>
      </w:r>
    </w:p>
    <w:p w:rsidR="0050247F" w:rsidRDefault="0050247F" w:rsidP="0050247F">
      <w:pPr>
        <w:pStyle w:val="NormalWeb"/>
        <w:ind w:firstLine="360"/>
        <w:rPr>
          <w:rFonts w:ascii="Times New Roman" w:hAnsi="Times New Roman" w:cs="Times New Roman"/>
          <w:lang w:val="en-GB"/>
        </w:rPr>
      </w:pPr>
      <w:r>
        <w:rPr>
          <w:rFonts w:ascii="Times New Roman" w:hAnsi="Times New Roman" w:cs="Times New Roman"/>
          <w:i/>
          <w:lang w:val="en-GB"/>
        </w:rPr>
        <w:t>Temporary solution</w:t>
      </w:r>
      <w:r>
        <w:rPr>
          <w:rFonts w:ascii="Times New Roman" w:hAnsi="Times New Roman" w:cs="Times New Roman"/>
          <w:lang w:val="en-GB"/>
        </w:rPr>
        <w:t xml:space="preserve">: the renter receives the rental subsidy (cash or vouchers) </w:t>
      </w:r>
    </w:p>
    <w:p w:rsidR="0050247F" w:rsidRDefault="0050247F" w:rsidP="0050247F">
      <w:pPr>
        <w:pStyle w:val="NormalWeb"/>
        <w:ind w:left="360"/>
        <w:rPr>
          <w:rFonts w:ascii="Times New Roman" w:hAnsi="Times New Roman" w:cs="Times New Roman"/>
          <w:lang w:val="en-GB"/>
        </w:rPr>
      </w:pPr>
      <w:r>
        <w:rPr>
          <w:rFonts w:ascii="Times New Roman" w:hAnsi="Times New Roman" w:cs="Times New Roman"/>
          <w:i/>
          <w:lang w:val="en-GB"/>
        </w:rPr>
        <w:t>M</w:t>
      </w:r>
      <w:r w:rsidR="0043327C">
        <w:rPr>
          <w:rFonts w:ascii="Times New Roman" w:hAnsi="Times New Roman" w:cs="Times New Roman"/>
          <w:i/>
          <w:lang w:val="en-GB"/>
        </w:rPr>
        <w:t>e</w:t>
      </w:r>
      <w:r>
        <w:rPr>
          <w:rFonts w:ascii="Times New Roman" w:hAnsi="Times New Roman" w:cs="Times New Roman"/>
          <w:i/>
          <w:lang w:val="en-GB"/>
        </w:rPr>
        <w:t>d</w:t>
      </w:r>
      <w:r w:rsidR="0043327C">
        <w:rPr>
          <w:rFonts w:ascii="Times New Roman" w:hAnsi="Times New Roman" w:cs="Times New Roman"/>
          <w:i/>
          <w:lang w:val="en-GB"/>
        </w:rPr>
        <w:t>ium</w:t>
      </w:r>
      <w:r>
        <w:rPr>
          <w:rFonts w:ascii="Times New Roman" w:hAnsi="Times New Roman" w:cs="Times New Roman"/>
          <w:i/>
          <w:lang w:val="en-GB"/>
        </w:rPr>
        <w:t>-term solution</w:t>
      </w:r>
      <w:r>
        <w:rPr>
          <w:rFonts w:ascii="Times New Roman" w:hAnsi="Times New Roman" w:cs="Times New Roman"/>
          <w:lang w:val="en-GB"/>
        </w:rPr>
        <w:t xml:space="preserve">: this temporary financial assistance is integrated with a livelihood programme offered by NGOs. </w:t>
      </w:r>
    </w:p>
    <w:p w:rsidR="0050247F" w:rsidRDefault="0050247F" w:rsidP="0050247F">
      <w:pPr>
        <w:pStyle w:val="NormalWeb"/>
        <w:numPr>
          <w:ilvl w:val="0"/>
          <w:numId w:val="6"/>
        </w:numPr>
        <w:rPr>
          <w:rFonts w:ascii="Times New Roman" w:hAnsi="Times New Roman" w:cs="Times New Roman"/>
          <w:lang w:val="en-GB"/>
        </w:rPr>
      </w:pPr>
      <w:r>
        <w:rPr>
          <w:rFonts w:ascii="Times New Roman" w:hAnsi="Times New Roman" w:cs="Times New Roman"/>
          <w:b/>
          <w:lang w:val="en-GB"/>
        </w:rPr>
        <w:t xml:space="preserve">Following the specific needs of the disaster affected population it would be possible to identify a sub-category </w:t>
      </w:r>
      <w:r w:rsidR="00EF6393">
        <w:rPr>
          <w:rFonts w:ascii="Times New Roman" w:hAnsi="Times New Roman" w:cs="Times New Roman"/>
          <w:b/>
          <w:lang w:val="en-GB"/>
        </w:rPr>
        <w:t xml:space="preserve">of </w:t>
      </w:r>
      <w:r>
        <w:rPr>
          <w:rFonts w:ascii="Times New Roman" w:hAnsi="Times New Roman" w:cs="Times New Roman"/>
          <w:b/>
          <w:lang w:val="en-GB"/>
        </w:rPr>
        <w:t xml:space="preserve">vulnerable </w:t>
      </w:r>
      <w:r w:rsidR="00EF6393">
        <w:rPr>
          <w:rFonts w:ascii="Times New Roman" w:hAnsi="Times New Roman" w:cs="Times New Roman"/>
          <w:b/>
          <w:lang w:val="en-GB"/>
        </w:rPr>
        <w:t xml:space="preserve">persons </w:t>
      </w:r>
      <w:r>
        <w:rPr>
          <w:rFonts w:ascii="Times New Roman" w:hAnsi="Times New Roman" w:cs="Times New Roman"/>
          <w:b/>
          <w:lang w:val="en-GB"/>
        </w:rPr>
        <w:t>- renters returning to “green” houses (previous owner) or to new houses.</w:t>
      </w:r>
    </w:p>
    <w:p w:rsidR="0050247F" w:rsidRDefault="0050247F" w:rsidP="0050247F">
      <w:pPr>
        <w:pStyle w:val="NormalWeb"/>
        <w:ind w:firstLine="360"/>
        <w:rPr>
          <w:rFonts w:ascii="Times New Roman" w:hAnsi="Times New Roman" w:cs="Times New Roman"/>
          <w:lang w:val="en-GB"/>
        </w:rPr>
      </w:pPr>
      <w:r>
        <w:rPr>
          <w:rFonts w:ascii="Times New Roman" w:hAnsi="Times New Roman" w:cs="Times New Roman"/>
          <w:i/>
          <w:lang w:val="en-GB"/>
        </w:rPr>
        <w:t>Temporary solution</w:t>
      </w:r>
      <w:r>
        <w:rPr>
          <w:rFonts w:ascii="Times New Roman" w:hAnsi="Times New Roman" w:cs="Times New Roman"/>
          <w:lang w:val="en-GB"/>
        </w:rPr>
        <w:t xml:space="preserve">: Renters receive the rental subsidy in form of cash or voucher </w:t>
      </w:r>
    </w:p>
    <w:p w:rsidR="0050247F" w:rsidRDefault="0050247F" w:rsidP="0050247F">
      <w:pPr>
        <w:pStyle w:val="NormalWeb"/>
        <w:ind w:left="360"/>
        <w:rPr>
          <w:rFonts w:ascii="Times New Roman" w:hAnsi="Times New Roman" w:cs="Times New Roman"/>
          <w:lang w:val="en-GB"/>
        </w:rPr>
      </w:pPr>
      <w:r>
        <w:rPr>
          <w:rFonts w:ascii="Times New Roman" w:hAnsi="Times New Roman" w:cs="Times New Roman"/>
          <w:i/>
          <w:lang w:val="en-GB"/>
        </w:rPr>
        <w:t>M</w:t>
      </w:r>
      <w:r w:rsidR="00EF6393">
        <w:rPr>
          <w:rFonts w:ascii="Times New Roman" w:hAnsi="Times New Roman" w:cs="Times New Roman"/>
          <w:i/>
          <w:lang w:val="en-GB"/>
        </w:rPr>
        <w:t>e</w:t>
      </w:r>
      <w:r>
        <w:rPr>
          <w:rFonts w:ascii="Times New Roman" w:hAnsi="Times New Roman" w:cs="Times New Roman"/>
          <w:i/>
          <w:lang w:val="en-GB"/>
        </w:rPr>
        <w:t>d</w:t>
      </w:r>
      <w:r w:rsidR="00EF6393">
        <w:rPr>
          <w:rFonts w:ascii="Times New Roman" w:hAnsi="Times New Roman" w:cs="Times New Roman"/>
          <w:i/>
          <w:lang w:val="en-GB"/>
        </w:rPr>
        <w:t>ium</w:t>
      </w:r>
      <w:r>
        <w:rPr>
          <w:rFonts w:ascii="Times New Roman" w:hAnsi="Times New Roman" w:cs="Times New Roman"/>
          <w:i/>
          <w:lang w:val="en-GB"/>
        </w:rPr>
        <w:t>-term solution</w:t>
      </w:r>
      <w:r>
        <w:rPr>
          <w:rFonts w:ascii="Times New Roman" w:hAnsi="Times New Roman" w:cs="Times New Roman"/>
          <w:lang w:val="en-GB"/>
        </w:rPr>
        <w:t xml:space="preserve">: This financial assistance is followed by a specific self-sustainable programme in favour of particularly vulnerable populations. </w:t>
      </w:r>
    </w:p>
    <w:p w:rsidR="00C010C8" w:rsidRPr="0050247F" w:rsidRDefault="00C010C8">
      <w:pPr>
        <w:rPr>
          <w:lang w:val="en-GB"/>
        </w:rPr>
      </w:pPr>
    </w:p>
    <w:sectPr w:rsidR="00C010C8" w:rsidRPr="0050247F" w:rsidSect="00054711">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7E4" w:rsidRDefault="005307E4">
      <w:r>
        <w:separator/>
      </w:r>
    </w:p>
  </w:endnote>
  <w:endnote w:type="continuationSeparator" w:id="0">
    <w:p w:rsidR="005307E4" w:rsidRDefault="005307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7E4" w:rsidRDefault="005307E4">
      <w:r>
        <w:separator/>
      </w:r>
    </w:p>
  </w:footnote>
  <w:footnote w:type="continuationSeparator" w:id="0">
    <w:p w:rsidR="005307E4" w:rsidRDefault="005307E4">
      <w:r>
        <w:continuationSeparator/>
      </w:r>
    </w:p>
  </w:footnote>
  <w:footnote w:id="1">
    <w:p w:rsidR="000A68BE" w:rsidRPr="00CC340B" w:rsidRDefault="000A68BE" w:rsidP="00A5022B">
      <w:pPr>
        <w:pStyle w:val="FootnoteText"/>
        <w:rPr>
          <w:sz w:val="20"/>
          <w:szCs w:val="20"/>
        </w:rPr>
      </w:pPr>
      <w:r w:rsidRPr="00CC340B">
        <w:rPr>
          <w:rStyle w:val="FootnoteReference"/>
          <w:sz w:val="20"/>
          <w:szCs w:val="20"/>
        </w:rPr>
        <w:footnoteRef/>
      </w:r>
      <w:r w:rsidRPr="00CC340B">
        <w:rPr>
          <w:sz w:val="20"/>
          <w:szCs w:val="20"/>
        </w:rPr>
        <w:t xml:space="preserve"> UNHABITAT is organizing a Pilot program “Participatory Enumeration Exercise” with its cooperating partners to be applied to </w:t>
      </w:r>
      <w:smartTag w:uri="urn:schemas-microsoft-com:office:smarttags" w:element="place">
        <w:smartTag w:uri="urn:schemas-microsoft-com:office:smarttags" w:element="PlaceType">
          <w:r w:rsidRPr="00CC340B">
            <w:rPr>
              <w:sz w:val="20"/>
              <w:szCs w:val="20"/>
            </w:rPr>
            <w:t>Fort</w:t>
          </w:r>
        </w:smartTag>
        <w:r w:rsidRPr="00CC340B">
          <w:rPr>
            <w:sz w:val="20"/>
            <w:szCs w:val="20"/>
          </w:rPr>
          <w:t xml:space="preserve"> </w:t>
        </w:r>
        <w:smartTag w:uri="urn:schemas-microsoft-com:office:smarttags" w:element="PlaceName">
          <w:r w:rsidRPr="00CC340B">
            <w:rPr>
              <w:sz w:val="20"/>
              <w:szCs w:val="20"/>
            </w:rPr>
            <w:t>Mercredi</w:t>
          </w:r>
        </w:smartTag>
      </w:smartTag>
      <w:r w:rsidRPr="00CC340B">
        <w:rPr>
          <w:sz w:val="20"/>
          <w:szCs w:val="20"/>
        </w:rPr>
        <w:t xml:space="preserve"> </w:t>
      </w:r>
      <w:proofErr w:type="gramStart"/>
      <w:r w:rsidRPr="00CC340B">
        <w:rPr>
          <w:sz w:val="20"/>
          <w:szCs w:val="20"/>
        </w:rPr>
        <w:t>quarter, that</w:t>
      </w:r>
      <w:proofErr w:type="gramEnd"/>
      <w:r w:rsidRPr="00CC340B">
        <w:rPr>
          <w:sz w:val="20"/>
          <w:szCs w:val="20"/>
        </w:rPr>
        <w:t xml:space="preserve"> will be a first evidence of the existing tenure forms in this quarter. </w:t>
      </w:r>
    </w:p>
  </w:footnote>
  <w:footnote w:id="2">
    <w:p w:rsidR="000A68BE" w:rsidRPr="00CC340B" w:rsidRDefault="000A68BE" w:rsidP="00A5022B">
      <w:pPr>
        <w:pStyle w:val="FootnoteText"/>
        <w:rPr>
          <w:sz w:val="20"/>
          <w:szCs w:val="20"/>
        </w:rPr>
      </w:pPr>
      <w:r w:rsidRPr="00CC340B">
        <w:rPr>
          <w:rStyle w:val="FootnoteReference"/>
          <w:sz w:val="20"/>
          <w:szCs w:val="20"/>
        </w:rPr>
        <w:footnoteRef/>
      </w:r>
      <w:r w:rsidRPr="00CC340B">
        <w:rPr>
          <w:sz w:val="20"/>
          <w:szCs w:val="20"/>
        </w:rPr>
        <w:t xml:space="preserve"> 1947 Law of </w:t>
      </w:r>
      <w:smartTag w:uri="urn:schemas-microsoft-com:office:smarttags" w:element="date">
        <w:smartTagPr>
          <w:attr w:name="Month" w:val="9"/>
          <w:attr w:name="Day" w:val="14"/>
          <w:attr w:name="Year" w:val="1947"/>
        </w:smartTagPr>
        <w:r w:rsidRPr="00CC340B">
          <w:rPr>
            <w:sz w:val="20"/>
            <w:szCs w:val="20"/>
          </w:rPr>
          <w:t>14 September 1947</w:t>
        </w:r>
      </w:smartTag>
      <w:r w:rsidRPr="00CC340B">
        <w:rPr>
          <w:sz w:val="20"/>
          <w:szCs w:val="20"/>
        </w:rPr>
        <w:t xml:space="preserve">, on Regulation of the Rent of Houses, Apartments, Hotels, Shops. </w:t>
      </w:r>
    </w:p>
  </w:footnote>
  <w:footnote w:id="3">
    <w:p w:rsidR="000A68BE" w:rsidRPr="003C7D23" w:rsidRDefault="000A68BE" w:rsidP="00A5022B">
      <w:pPr>
        <w:pStyle w:val="FootnoteText"/>
        <w:rPr>
          <w:lang w:val="en-GB"/>
        </w:rPr>
      </w:pPr>
      <w:r w:rsidRPr="00CC340B">
        <w:rPr>
          <w:rStyle w:val="FootnoteReference"/>
          <w:sz w:val="20"/>
          <w:szCs w:val="20"/>
        </w:rPr>
        <w:footnoteRef/>
      </w:r>
      <w:r w:rsidRPr="00CC340B">
        <w:rPr>
          <w:sz w:val="20"/>
          <w:szCs w:val="20"/>
        </w:rPr>
        <w:t xml:space="preserve"> </w:t>
      </w:r>
      <w:r w:rsidRPr="00CC340B">
        <w:rPr>
          <w:sz w:val="20"/>
          <w:szCs w:val="20"/>
        </w:rPr>
        <w:fldChar w:fldCharType="begin"/>
      </w:r>
      <w:r w:rsidRPr="00CC340B">
        <w:rPr>
          <w:sz w:val="20"/>
          <w:szCs w:val="20"/>
        </w:rPr>
        <w:instrText xml:space="preserve"> ADDIN ZOTERO_ITEM {"citationItems":[{"uri":["http://zotero.org/users/local/W7zopNts/items/4DPFJPD9"]}]} </w:instrText>
      </w:r>
      <w:r w:rsidRPr="00CC340B">
        <w:rPr>
          <w:sz w:val="20"/>
          <w:szCs w:val="20"/>
        </w:rPr>
        <w:fldChar w:fldCharType="separate"/>
      </w:r>
      <w:r w:rsidRPr="00CC340B">
        <w:rPr>
          <w:sz w:val="20"/>
          <w:szCs w:val="20"/>
        </w:rPr>
        <w:t xml:space="preserve">Sam Dixon and Julius Holt, “Port-au-Prince Urban Baseline </w:t>
      </w:r>
      <w:proofErr w:type="gramStart"/>
      <w:r w:rsidRPr="00CC340B">
        <w:rPr>
          <w:sz w:val="20"/>
          <w:szCs w:val="20"/>
        </w:rPr>
        <w:t>An</w:t>
      </w:r>
      <w:proofErr w:type="gramEnd"/>
      <w:r w:rsidRPr="00CC340B">
        <w:rPr>
          <w:sz w:val="20"/>
          <w:szCs w:val="20"/>
        </w:rPr>
        <w:t xml:space="preserve"> Assessment of Food and Livelihood Security in Port-au-Prince” (USAID FEWS NET, 2009).</w:t>
      </w:r>
      <w:r w:rsidRPr="00CC340B">
        <w:rPr>
          <w:sz w:val="20"/>
          <w:szCs w:val="20"/>
        </w:rPr>
        <w:fldChar w:fldCharType="end"/>
      </w:r>
    </w:p>
  </w:footnote>
  <w:footnote w:id="4">
    <w:p w:rsidR="000A68BE" w:rsidRPr="007C2D92" w:rsidRDefault="000A68BE">
      <w:pPr>
        <w:pStyle w:val="FootnoteText"/>
        <w:rPr>
          <w:sz w:val="20"/>
          <w:szCs w:val="20"/>
        </w:rPr>
      </w:pPr>
      <w:r>
        <w:rPr>
          <w:rStyle w:val="FootnoteReference"/>
        </w:rPr>
        <w:footnoteRef/>
      </w:r>
      <w:r>
        <w:t xml:space="preserve"> </w:t>
      </w:r>
      <w:r>
        <w:rPr>
          <w:sz w:val="20"/>
          <w:szCs w:val="20"/>
        </w:rPr>
        <w:t xml:space="preserve">The current situation of tenets in Hiati is similar to the one in post-Tsunami </w:t>
      </w:r>
      <w:smartTag w:uri="urn:schemas-microsoft-com:office:smarttags" w:element="country-region">
        <w:smartTag w:uri="urn:schemas-microsoft-com:office:smarttags" w:element="place">
          <w:r>
            <w:rPr>
              <w:sz w:val="20"/>
              <w:szCs w:val="20"/>
            </w:rPr>
            <w:t>Indonesia</w:t>
          </w:r>
        </w:smartTag>
      </w:smartTag>
      <w:r>
        <w:rPr>
          <w:sz w:val="20"/>
          <w:szCs w:val="20"/>
        </w:rPr>
        <w:t xml:space="preserve">. See: Daniel Fitzpatrick, Oxfam International Policy Paper, Access to Housing for Renters and Squatters in Tsunami-Affected </w:t>
      </w:r>
      <w:smartTag w:uri="urn:schemas-microsoft-com:office:smarttags" w:element="country-region">
        <w:smartTag w:uri="urn:schemas-microsoft-com:office:smarttags" w:element="place">
          <w:r>
            <w:rPr>
              <w:sz w:val="20"/>
              <w:szCs w:val="20"/>
            </w:rPr>
            <w:t>Indonesia</w:t>
          </w:r>
        </w:smartTag>
      </w:smartTag>
      <w:r>
        <w:rPr>
          <w:sz w:val="20"/>
          <w:szCs w:val="20"/>
        </w:rPr>
        <w:t xml:space="preserve"> (May 2007).</w:t>
      </w:r>
    </w:p>
  </w:footnote>
  <w:footnote w:id="5">
    <w:p w:rsidR="000A68BE" w:rsidRPr="00D37869" w:rsidRDefault="000A68BE">
      <w:pPr>
        <w:pStyle w:val="FootnoteText"/>
        <w:rPr>
          <w:sz w:val="20"/>
          <w:szCs w:val="20"/>
        </w:rPr>
      </w:pPr>
      <w:r>
        <w:rPr>
          <w:rStyle w:val="FootnoteReference"/>
        </w:rPr>
        <w:footnoteRef/>
      </w:r>
      <w:proofErr w:type="gramStart"/>
      <w:r>
        <w:rPr>
          <w:sz w:val="20"/>
          <w:szCs w:val="20"/>
        </w:rPr>
        <w:t xml:space="preserve">Ratified by </w:t>
      </w:r>
      <w:smartTag w:uri="urn:schemas-microsoft-com:office:smarttags" w:element="country-region">
        <w:smartTag w:uri="urn:schemas-microsoft-com:office:smarttags" w:element="place">
          <w:r>
            <w:rPr>
              <w:sz w:val="20"/>
              <w:szCs w:val="20"/>
            </w:rPr>
            <w:t>Haiti</w:t>
          </w:r>
        </w:smartTag>
      </w:smartTag>
      <w:r>
        <w:rPr>
          <w:sz w:val="20"/>
          <w:szCs w:val="20"/>
        </w:rPr>
        <w:t xml:space="preserve"> by Decree of </w:t>
      </w:r>
      <w:smartTag w:uri="urn:schemas-microsoft-com:office:smarttags" w:element="date">
        <w:smartTagPr>
          <w:attr w:name="Year" w:val="1990"/>
          <w:attr w:name="Day" w:val="23"/>
          <w:attr w:name="Month" w:val="11"/>
        </w:smartTagPr>
        <w:r>
          <w:rPr>
            <w:sz w:val="20"/>
            <w:szCs w:val="20"/>
          </w:rPr>
          <w:t>23 November 1990</w:t>
        </w:r>
      </w:smartTag>
      <w:r>
        <w:rPr>
          <w:sz w:val="20"/>
          <w:szCs w:val="20"/>
        </w:rPr>
        <w:t>.</w:t>
      </w:r>
      <w:proofErr w:type="gramEnd"/>
    </w:p>
  </w:footnote>
  <w:footnote w:id="6">
    <w:p w:rsidR="000A68BE" w:rsidRPr="00516CE5" w:rsidRDefault="000A68BE" w:rsidP="00516CE5">
      <w:pPr>
        <w:pStyle w:val="FootnoteText"/>
        <w:rPr>
          <w:iCs/>
          <w:sz w:val="20"/>
          <w:szCs w:val="20"/>
        </w:rPr>
      </w:pPr>
      <w:r>
        <w:rPr>
          <w:rStyle w:val="FootnoteReference"/>
        </w:rPr>
        <w:footnoteRef/>
      </w:r>
      <w:r>
        <w:t xml:space="preserve"> </w:t>
      </w:r>
      <w:r w:rsidRPr="00880CEB">
        <w:rPr>
          <w:i/>
          <w:iCs/>
          <w:sz w:val="20"/>
          <w:szCs w:val="20"/>
        </w:rPr>
        <w:t>Competent authorities have the duty and responsibility to assist returned and/or resettled internally displaced persons to recover, to the maximum extent possible, their property and possessions which they left behind or were dispossessed of upon their displacement. When recovery of such property and possessions is not possible, competent authorities shall provide or assist these persons in obtaining appropriate compensation or another form of just reparation.</w:t>
      </w:r>
    </w:p>
  </w:footnote>
  <w:footnote w:id="7">
    <w:p w:rsidR="000A68BE" w:rsidRPr="00880CEB" w:rsidRDefault="000A68BE">
      <w:pPr>
        <w:pStyle w:val="FootnoteText"/>
      </w:pPr>
      <w:r>
        <w:rPr>
          <w:rStyle w:val="FootnoteReference"/>
        </w:rPr>
        <w:footnoteRef/>
      </w:r>
      <w:r>
        <w:t xml:space="preserve"> </w:t>
      </w:r>
      <w:bookmarkStart w:id="3" w:name="OLE_LINK1"/>
      <w:r w:rsidRPr="00880CEB">
        <w:rPr>
          <w:i/>
          <w:sz w:val="20"/>
          <w:szCs w:val="20"/>
        </w:rPr>
        <w:t>Guiding Principles on Internal Displacement</w:t>
      </w:r>
      <w:r w:rsidRPr="00880CEB">
        <w:rPr>
          <w:sz w:val="20"/>
          <w:szCs w:val="20"/>
        </w:rPr>
        <w:t xml:space="preserve">, United Nations, </w:t>
      </w:r>
      <w:bookmarkEnd w:id="3"/>
      <w:r w:rsidRPr="00880CEB">
        <w:rPr>
          <w:sz w:val="20"/>
          <w:szCs w:val="20"/>
        </w:rPr>
        <w:t>E/CN.4/1998/53/Add.2 (1998), principle 28</w:t>
      </w:r>
      <w:r>
        <w:rPr>
          <w:sz w:val="20"/>
          <w:szCs w:val="20"/>
        </w:rPr>
        <w:t>.</w:t>
      </w:r>
    </w:p>
  </w:footnote>
  <w:footnote w:id="8">
    <w:p w:rsidR="000A68BE" w:rsidRPr="00880CEB" w:rsidRDefault="000A68BE">
      <w:pPr>
        <w:pStyle w:val="FootnoteText"/>
      </w:pPr>
      <w:r>
        <w:rPr>
          <w:rStyle w:val="FootnoteReference"/>
        </w:rPr>
        <w:footnoteRef/>
      </w:r>
      <w:r>
        <w:t xml:space="preserve"> </w:t>
      </w:r>
      <w:r w:rsidRPr="00B84BC5">
        <w:rPr>
          <w:i/>
          <w:iCs/>
          <w:sz w:val="20"/>
          <w:szCs w:val="20"/>
          <w:lang w:val="hr-HR"/>
        </w:rPr>
        <w:t xml:space="preserve">Principles on Housing </w:t>
      </w:r>
      <w:r w:rsidRPr="00FC3D62">
        <w:rPr>
          <w:i/>
          <w:iCs/>
          <w:sz w:val="20"/>
          <w:szCs w:val="20"/>
          <w:lang w:val="hr-HR"/>
        </w:rPr>
        <w:t>and Property Restitution for Refugees and Displaced Persons</w:t>
      </w:r>
      <w:r w:rsidRPr="00FC3D62">
        <w:rPr>
          <w:iCs/>
          <w:sz w:val="20"/>
          <w:szCs w:val="20"/>
          <w:lang w:val="hr-HR"/>
        </w:rPr>
        <w:t>, United Nations, E/CN.4/Sub.2/2005/17 (2005) arts 2.1, 13.1, 21.1;</w:t>
      </w:r>
    </w:p>
  </w:footnote>
  <w:footnote w:id="9">
    <w:p w:rsidR="000A68BE" w:rsidRPr="00516CE5" w:rsidRDefault="000A68BE" w:rsidP="00516CE5">
      <w:pPr>
        <w:pStyle w:val="FootnoteText"/>
        <w:rPr>
          <w:sz w:val="20"/>
          <w:szCs w:val="20"/>
        </w:rPr>
      </w:pPr>
      <w:r>
        <w:rPr>
          <w:rStyle w:val="FootnoteReference"/>
        </w:rPr>
        <w:footnoteRef/>
      </w:r>
      <w:r>
        <w:t xml:space="preserve"> </w:t>
      </w:r>
      <w:r>
        <w:rPr>
          <w:i/>
          <w:sz w:val="20"/>
          <w:szCs w:val="20"/>
        </w:rPr>
        <w:t xml:space="preserve"> </w:t>
      </w:r>
      <w:r w:rsidRPr="00B84BC5">
        <w:rPr>
          <w:i/>
          <w:sz w:val="20"/>
          <w:szCs w:val="20"/>
        </w:rPr>
        <w:t>Principles on Housing and Property Restitution for Refugees and Displaced Persons</w:t>
      </w:r>
      <w:r w:rsidRPr="00B84BC5">
        <w:rPr>
          <w:sz w:val="20"/>
          <w:szCs w:val="20"/>
        </w:rPr>
        <w:t>, United Nations, E/CN.4/Sub.2/2005/17 (2005</w:t>
      </w:r>
      <w:r>
        <w:rPr>
          <w:sz w:val="20"/>
          <w:szCs w:val="20"/>
        </w:rPr>
        <w:t xml:space="preserve"> “Pinhero Principles”, Principle 16 states </w:t>
      </w:r>
      <w:r w:rsidRPr="00516CE5">
        <w:rPr>
          <w:sz w:val="20"/>
          <w:szCs w:val="20"/>
        </w:rPr>
        <w:t>that:</w:t>
      </w:r>
    </w:p>
    <w:p w:rsidR="000A68BE" w:rsidRDefault="000A68BE" w:rsidP="00880CEB">
      <w:pPr>
        <w:rPr>
          <w:sz w:val="20"/>
          <w:szCs w:val="20"/>
        </w:rPr>
      </w:pPr>
      <w:r w:rsidRPr="00880CEB">
        <w:rPr>
          <w:i/>
          <w:iCs/>
          <w:sz w:val="20"/>
          <w:szCs w:val="20"/>
        </w:rPr>
        <w:t>States should ensure that the rights of tenants</w:t>
      </w:r>
      <w:r w:rsidRPr="00880CEB">
        <w:rPr>
          <w:i/>
          <w:sz w:val="20"/>
          <w:szCs w:val="20"/>
        </w:rPr>
        <w:t xml:space="preserve"> </w:t>
      </w:r>
      <w:r w:rsidRPr="00880CEB">
        <w:rPr>
          <w:i/>
          <w:iCs/>
          <w:sz w:val="20"/>
          <w:szCs w:val="20"/>
        </w:rPr>
        <w:t>and other legitimate occupants or users of housing, land and property are recognized within restitution programmes. To the maximum extent possible, States should ensure that such persons are able to return to and repossess and use their housing, land and property in a similar manner to those possessing formal ownership rights</w:t>
      </w:r>
      <w:r w:rsidRPr="00B84BC5">
        <w:rPr>
          <w:sz w:val="20"/>
          <w:szCs w:val="20"/>
        </w:rPr>
        <w:t>)</w:t>
      </w:r>
      <w:r>
        <w:rPr>
          <w:sz w:val="20"/>
          <w:szCs w:val="20"/>
        </w:rPr>
        <w:t>.</w:t>
      </w:r>
    </w:p>
    <w:p w:rsidR="000A68BE" w:rsidRPr="004705E6" w:rsidRDefault="000A68BE" w:rsidP="004705E6">
      <w:pPr>
        <w:rPr>
          <w:sz w:val="20"/>
          <w:szCs w:val="20"/>
        </w:rPr>
      </w:pPr>
      <w:r>
        <w:t>Also</w:t>
      </w:r>
      <w:r w:rsidRPr="00B84BC5">
        <w:t xml:space="preserve"> art 10</w:t>
      </w:r>
      <w:r>
        <w:t xml:space="preserve">.1; </w:t>
      </w:r>
    </w:p>
  </w:footnote>
  <w:footnote w:id="10">
    <w:p w:rsidR="000A68BE" w:rsidRDefault="000A68BE" w:rsidP="00D11354">
      <w:pPr>
        <w:pStyle w:val="FootnoteText"/>
      </w:pPr>
      <w:r w:rsidRPr="00F22D51">
        <w:rPr>
          <w:rStyle w:val="FootnoteReference"/>
          <w:sz w:val="20"/>
          <w:szCs w:val="20"/>
        </w:rPr>
        <w:footnoteRef/>
      </w:r>
      <w:r w:rsidRPr="00F22D51">
        <w:rPr>
          <w:sz w:val="20"/>
          <w:szCs w:val="20"/>
        </w:rPr>
        <w:t xml:space="preserve"> </w:t>
      </w:r>
      <w:r w:rsidRPr="00F22D51">
        <w:rPr>
          <w:i/>
          <w:sz w:val="20"/>
          <w:szCs w:val="20"/>
        </w:rPr>
        <w:t>Principles on Housing and Property Restitution for Refugees and Displaced Persons</w:t>
      </w:r>
      <w:r w:rsidRPr="00F22D51">
        <w:rPr>
          <w:sz w:val="20"/>
          <w:szCs w:val="20"/>
        </w:rPr>
        <w:t>, United Nations, E/CN.4/Sub.2/2005/17 (2005) arts 2.1, 13.1, 21.1;</w:t>
      </w:r>
    </w:p>
  </w:footnote>
  <w:footnote w:id="11">
    <w:p w:rsidR="000A68BE" w:rsidRPr="00F22D51" w:rsidRDefault="000A68BE" w:rsidP="00591EA3">
      <w:pPr>
        <w:pStyle w:val="FootnoteText"/>
        <w:rPr>
          <w:sz w:val="20"/>
          <w:szCs w:val="20"/>
        </w:rPr>
      </w:pPr>
      <w:r w:rsidRPr="00F22D51">
        <w:rPr>
          <w:rStyle w:val="FootnoteReference"/>
          <w:sz w:val="20"/>
          <w:szCs w:val="20"/>
        </w:rPr>
        <w:footnoteRef/>
      </w:r>
      <w:r w:rsidRPr="00F22D51">
        <w:rPr>
          <w:sz w:val="20"/>
          <w:szCs w:val="20"/>
        </w:rPr>
        <w:t xml:space="preserve"> </w:t>
      </w:r>
      <w:proofErr w:type="gramStart"/>
      <w:r w:rsidRPr="00F22D51">
        <w:rPr>
          <w:sz w:val="20"/>
          <w:szCs w:val="20"/>
        </w:rPr>
        <w:t>Arts.</w:t>
      </w:r>
      <w:proofErr w:type="gramEnd"/>
      <w:r w:rsidRPr="00F22D51">
        <w:rPr>
          <w:sz w:val="20"/>
          <w:szCs w:val="20"/>
        </w:rPr>
        <w:t xml:space="preserve"> </w:t>
      </w:r>
      <w:proofErr w:type="gramStart"/>
      <w:r w:rsidRPr="00F22D51">
        <w:rPr>
          <w:sz w:val="20"/>
          <w:szCs w:val="20"/>
        </w:rPr>
        <w:t>2, 24, 26.</w:t>
      </w:r>
      <w:proofErr w:type="gramEnd"/>
      <w:r w:rsidRPr="00F22D51">
        <w:rPr>
          <w:sz w:val="20"/>
          <w:szCs w:val="20"/>
        </w:rPr>
        <w:t xml:space="preserve">  See also </w:t>
      </w:r>
      <w:r w:rsidRPr="00F22D51">
        <w:rPr>
          <w:i/>
          <w:sz w:val="20"/>
          <w:szCs w:val="20"/>
        </w:rPr>
        <w:t>Principles on Housing and Property Restitution for Refugees and Displaced Persons</w:t>
      </w:r>
      <w:r w:rsidRPr="00F22D51">
        <w:rPr>
          <w:sz w:val="20"/>
          <w:szCs w:val="20"/>
        </w:rPr>
        <w:t xml:space="preserve">, United Nations, E/CN.4/Sub.2/2005/17 (2005) art 3.1; </w:t>
      </w:r>
      <w:r w:rsidRPr="00F22D51">
        <w:rPr>
          <w:i/>
          <w:sz w:val="20"/>
          <w:szCs w:val="20"/>
        </w:rPr>
        <w:t>Guiding Principles on Internal Displacement</w:t>
      </w:r>
      <w:r w:rsidRPr="00F22D51">
        <w:rPr>
          <w:sz w:val="20"/>
          <w:szCs w:val="20"/>
        </w:rPr>
        <w:t>, United Nations, E/CN.4/1998/53/Add.2 (1998) principles 1, 4, 22;</w:t>
      </w:r>
      <w:r w:rsidRPr="00F22D51">
        <w:rPr>
          <w:i/>
          <w:sz w:val="20"/>
          <w:szCs w:val="20"/>
        </w:rPr>
        <w:t xml:space="preserve"> Comprehensive Human Rights Guidelines </w:t>
      </w:r>
      <w:proofErr w:type="gramStart"/>
      <w:r w:rsidRPr="00F22D51">
        <w:rPr>
          <w:i/>
          <w:sz w:val="20"/>
          <w:szCs w:val="20"/>
        </w:rPr>
        <w:t>On</w:t>
      </w:r>
      <w:proofErr w:type="gramEnd"/>
      <w:r w:rsidRPr="00F22D51">
        <w:rPr>
          <w:i/>
          <w:sz w:val="20"/>
          <w:szCs w:val="20"/>
        </w:rPr>
        <w:t xml:space="preserve"> Development-Based Displacement</w:t>
      </w:r>
      <w:r w:rsidRPr="00F22D51">
        <w:rPr>
          <w:sz w:val="20"/>
          <w:szCs w:val="20"/>
        </w:rPr>
        <w:t>, United Nations, E/CN.4/Sub.2/1997/7 (1997) art 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E170B"/>
    <w:multiLevelType w:val="hybridMultilevel"/>
    <w:tmpl w:val="53626BC0"/>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412B562F"/>
    <w:multiLevelType w:val="hybridMultilevel"/>
    <w:tmpl w:val="A83C9F6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2FC4F38"/>
    <w:multiLevelType w:val="hybridMultilevel"/>
    <w:tmpl w:val="6F70AF00"/>
    <w:lvl w:ilvl="0" w:tplc="0F20A138">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634B0757"/>
    <w:multiLevelType w:val="multilevel"/>
    <w:tmpl w:val="964A22EC"/>
    <w:lvl w:ilvl="0">
      <w:start w:val="1"/>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
    <w:nsid w:val="71F515C6"/>
    <w:multiLevelType w:val="hybridMultilevel"/>
    <w:tmpl w:val="16842E8E"/>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3B0C"/>
    <w:rsid w:val="0000197A"/>
    <w:rsid w:val="00003CC7"/>
    <w:rsid w:val="0000446D"/>
    <w:rsid w:val="00006F59"/>
    <w:rsid w:val="00007004"/>
    <w:rsid w:val="00007E7E"/>
    <w:rsid w:val="00010D6D"/>
    <w:rsid w:val="00011D89"/>
    <w:rsid w:val="00013B3D"/>
    <w:rsid w:val="00014943"/>
    <w:rsid w:val="00017FC2"/>
    <w:rsid w:val="00021EC4"/>
    <w:rsid w:val="000233E6"/>
    <w:rsid w:val="000237B5"/>
    <w:rsid w:val="00023807"/>
    <w:rsid w:val="000244B5"/>
    <w:rsid w:val="000269BE"/>
    <w:rsid w:val="0002729F"/>
    <w:rsid w:val="00030A8F"/>
    <w:rsid w:val="00031320"/>
    <w:rsid w:val="000464CD"/>
    <w:rsid w:val="00047C3F"/>
    <w:rsid w:val="00050AD7"/>
    <w:rsid w:val="000514D0"/>
    <w:rsid w:val="00051DB3"/>
    <w:rsid w:val="0005389D"/>
    <w:rsid w:val="00054711"/>
    <w:rsid w:val="000554C2"/>
    <w:rsid w:val="00061168"/>
    <w:rsid w:val="00061B2D"/>
    <w:rsid w:val="00064B4F"/>
    <w:rsid w:val="000658AE"/>
    <w:rsid w:val="000660C8"/>
    <w:rsid w:val="00066888"/>
    <w:rsid w:val="0007292F"/>
    <w:rsid w:val="00074514"/>
    <w:rsid w:val="00076783"/>
    <w:rsid w:val="000800FB"/>
    <w:rsid w:val="0008313A"/>
    <w:rsid w:val="00091CAA"/>
    <w:rsid w:val="0009545F"/>
    <w:rsid w:val="000A1EF8"/>
    <w:rsid w:val="000A68BE"/>
    <w:rsid w:val="000A6FD0"/>
    <w:rsid w:val="000B09E0"/>
    <w:rsid w:val="000B1BE4"/>
    <w:rsid w:val="000B41C7"/>
    <w:rsid w:val="000B4F50"/>
    <w:rsid w:val="000B58F9"/>
    <w:rsid w:val="000C06C9"/>
    <w:rsid w:val="000C181F"/>
    <w:rsid w:val="000C68AF"/>
    <w:rsid w:val="000C774D"/>
    <w:rsid w:val="000D18C3"/>
    <w:rsid w:val="000D24F4"/>
    <w:rsid w:val="000D630A"/>
    <w:rsid w:val="000D794A"/>
    <w:rsid w:val="000E2930"/>
    <w:rsid w:val="000E4D44"/>
    <w:rsid w:val="000E5717"/>
    <w:rsid w:val="000E6F7E"/>
    <w:rsid w:val="000E7FE2"/>
    <w:rsid w:val="000F0890"/>
    <w:rsid w:val="000F2C0E"/>
    <w:rsid w:val="000F50E6"/>
    <w:rsid w:val="000F6D3F"/>
    <w:rsid w:val="000F7DD4"/>
    <w:rsid w:val="0010191A"/>
    <w:rsid w:val="001042EB"/>
    <w:rsid w:val="00104B3D"/>
    <w:rsid w:val="00104FA5"/>
    <w:rsid w:val="00105A55"/>
    <w:rsid w:val="00106D07"/>
    <w:rsid w:val="001074D8"/>
    <w:rsid w:val="00111635"/>
    <w:rsid w:val="00112702"/>
    <w:rsid w:val="0011369B"/>
    <w:rsid w:val="00113CCD"/>
    <w:rsid w:val="00113F0E"/>
    <w:rsid w:val="001149F4"/>
    <w:rsid w:val="00115F34"/>
    <w:rsid w:val="00117B52"/>
    <w:rsid w:val="00122D19"/>
    <w:rsid w:val="00123CE0"/>
    <w:rsid w:val="0012561A"/>
    <w:rsid w:val="00127A9B"/>
    <w:rsid w:val="00132643"/>
    <w:rsid w:val="001346DE"/>
    <w:rsid w:val="00137789"/>
    <w:rsid w:val="00140A6A"/>
    <w:rsid w:val="00143E86"/>
    <w:rsid w:val="00152140"/>
    <w:rsid w:val="00154170"/>
    <w:rsid w:val="00154D8D"/>
    <w:rsid w:val="00157309"/>
    <w:rsid w:val="00161C5C"/>
    <w:rsid w:val="00161C7E"/>
    <w:rsid w:val="00166472"/>
    <w:rsid w:val="00166916"/>
    <w:rsid w:val="001676B6"/>
    <w:rsid w:val="001705F8"/>
    <w:rsid w:val="0017633E"/>
    <w:rsid w:val="001811E0"/>
    <w:rsid w:val="00182600"/>
    <w:rsid w:val="00184204"/>
    <w:rsid w:val="00184B75"/>
    <w:rsid w:val="00185651"/>
    <w:rsid w:val="001865F7"/>
    <w:rsid w:val="00186685"/>
    <w:rsid w:val="001871B0"/>
    <w:rsid w:val="001900E8"/>
    <w:rsid w:val="00193B3F"/>
    <w:rsid w:val="0019637A"/>
    <w:rsid w:val="00196961"/>
    <w:rsid w:val="001A1347"/>
    <w:rsid w:val="001A27C8"/>
    <w:rsid w:val="001A3509"/>
    <w:rsid w:val="001B074F"/>
    <w:rsid w:val="001B5034"/>
    <w:rsid w:val="001B67D2"/>
    <w:rsid w:val="001C0E5D"/>
    <w:rsid w:val="001C30C9"/>
    <w:rsid w:val="001D42F2"/>
    <w:rsid w:val="001D7487"/>
    <w:rsid w:val="001E2936"/>
    <w:rsid w:val="001E2C54"/>
    <w:rsid w:val="001E433E"/>
    <w:rsid w:val="001E631C"/>
    <w:rsid w:val="001F12C4"/>
    <w:rsid w:val="001F4733"/>
    <w:rsid w:val="001F53AE"/>
    <w:rsid w:val="001F7C9C"/>
    <w:rsid w:val="002008AA"/>
    <w:rsid w:val="00206D9B"/>
    <w:rsid w:val="00211E81"/>
    <w:rsid w:val="00213975"/>
    <w:rsid w:val="00214EE9"/>
    <w:rsid w:val="00215408"/>
    <w:rsid w:val="00215633"/>
    <w:rsid w:val="00220B64"/>
    <w:rsid w:val="0022410B"/>
    <w:rsid w:val="00224867"/>
    <w:rsid w:val="002261EF"/>
    <w:rsid w:val="00227A56"/>
    <w:rsid w:val="0023162A"/>
    <w:rsid w:val="002411DF"/>
    <w:rsid w:val="00241771"/>
    <w:rsid w:val="002422F1"/>
    <w:rsid w:val="00247941"/>
    <w:rsid w:val="00247DDA"/>
    <w:rsid w:val="0025301C"/>
    <w:rsid w:val="00254870"/>
    <w:rsid w:val="00256ED1"/>
    <w:rsid w:val="002579ED"/>
    <w:rsid w:val="00261918"/>
    <w:rsid w:val="00262762"/>
    <w:rsid w:val="00263688"/>
    <w:rsid w:val="00264BC7"/>
    <w:rsid w:val="002653AE"/>
    <w:rsid w:val="00266135"/>
    <w:rsid w:val="0026719A"/>
    <w:rsid w:val="00271F6B"/>
    <w:rsid w:val="00272511"/>
    <w:rsid w:val="00272617"/>
    <w:rsid w:val="00273105"/>
    <w:rsid w:val="00274841"/>
    <w:rsid w:val="00274F31"/>
    <w:rsid w:val="00282E3F"/>
    <w:rsid w:val="00283476"/>
    <w:rsid w:val="002913C5"/>
    <w:rsid w:val="00291973"/>
    <w:rsid w:val="00293D00"/>
    <w:rsid w:val="00295DEB"/>
    <w:rsid w:val="002A5A4F"/>
    <w:rsid w:val="002B28BC"/>
    <w:rsid w:val="002B37A7"/>
    <w:rsid w:val="002B3DDF"/>
    <w:rsid w:val="002B4BED"/>
    <w:rsid w:val="002B5039"/>
    <w:rsid w:val="002C3B0C"/>
    <w:rsid w:val="002C3F98"/>
    <w:rsid w:val="002C5E99"/>
    <w:rsid w:val="002C6EAF"/>
    <w:rsid w:val="002D4D5B"/>
    <w:rsid w:val="002D4D94"/>
    <w:rsid w:val="002D6820"/>
    <w:rsid w:val="002D7AFB"/>
    <w:rsid w:val="002E2524"/>
    <w:rsid w:val="002E385E"/>
    <w:rsid w:val="002E4DB3"/>
    <w:rsid w:val="002E5EB5"/>
    <w:rsid w:val="002E6064"/>
    <w:rsid w:val="002F0507"/>
    <w:rsid w:val="002F21D0"/>
    <w:rsid w:val="002F4C05"/>
    <w:rsid w:val="002F5330"/>
    <w:rsid w:val="002F5C9F"/>
    <w:rsid w:val="002F71DA"/>
    <w:rsid w:val="002F7296"/>
    <w:rsid w:val="00300BC6"/>
    <w:rsid w:val="00301EFD"/>
    <w:rsid w:val="003055D4"/>
    <w:rsid w:val="00311272"/>
    <w:rsid w:val="00311A8B"/>
    <w:rsid w:val="003137C6"/>
    <w:rsid w:val="003146D3"/>
    <w:rsid w:val="003155D1"/>
    <w:rsid w:val="003165C5"/>
    <w:rsid w:val="00317206"/>
    <w:rsid w:val="0031758C"/>
    <w:rsid w:val="00325E37"/>
    <w:rsid w:val="0032637C"/>
    <w:rsid w:val="00330B68"/>
    <w:rsid w:val="00332003"/>
    <w:rsid w:val="00332377"/>
    <w:rsid w:val="003361CC"/>
    <w:rsid w:val="003372D6"/>
    <w:rsid w:val="00337708"/>
    <w:rsid w:val="00337746"/>
    <w:rsid w:val="00341C6A"/>
    <w:rsid w:val="00355D34"/>
    <w:rsid w:val="003565DE"/>
    <w:rsid w:val="00356B61"/>
    <w:rsid w:val="00356CCB"/>
    <w:rsid w:val="00361FD7"/>
    <w:rsid w:val="00363E55"/>
    <w:rsid w:val="003641E9"/>
    <w:rsid w:val="00372388"/>
    <w:rsid w:val="00373F07"/>
    <w:rsid w:val="00375DA3"/>
    <w:rsid w:val="0037784A"/>
    <w:rsid w:val="00377E63"/>
    <w:rsid w:val="003804E3"/>
    <w:rsid w:val="00382EFA"/>
    <w:rsid w:val="00383D7C"/>
    <w:rsid w:val="00383E3F"/>
    <w:rsid w:val="00386D72"/>
    <w:rsid w:val="00387C6A"/>
    <w:rsid w:val="0039021A"/>
    <w:rsid w:val="003929D3"/>
    <w:rsid w:val="0039377A"/>
    <w:rsid w:val="00393E1B"/>
    <w:rsid w:val="00393E4E"/>
    <w:rsid w:val="00397471"/>
    <w:rsid w:val="003A0144"/>
    <w:rsid w:val="003A041A"/>
    <w:rsid w:val="003A26AC"/>
    <w:rsid w:val="003A2C14"/>
    <w:rsid w:val="003B04C3"/>
    <w:rsid w:val="003B2631"/>
    <w:rsid w:val="003B363C"/>
    <w:rsid w:val="003B6E73"/>
    <w:rsid w:val="003C07BA"/>
    <w:rsid w:val="003C2499"/>
    <w:rsid w:val="003C30BE"/>
    <w:rsid w:val="003C3EC1"/>
    <w:rsid w:val="003C4192"/>
    <w:rsid w:val="003C4744"/>
    <w:rsid w:val="003C4AE3"/>
    <w:rsid w:val="003C6A4C"/>
    <w:rsid w:val="003C6D50"/>
    <w:rsid w:val="003D02ED"/>
    <w:rsid w:val="003D04D1"/>
    <w:rsid w:val="003D0A9A"/>
    <w:rsid w:val="003D1091"/>
    <w:rsid w:val="003D1BDE"/>
    <w:rsid w:val="003D4DB7"/>
    <w:rsid w:val="003D6FA6"/>
    <w:rsid w:val="003E0E96"/>
    <w:rsid w:val="003E3CA9"/>
    <w:rsid w:val="003E6BEA"/>
    <w:rsid w:val="003F004D"/>
    <w:rsid w:val="003F586E"/>
    <w:rsid w:val="004026B4"/>
    <w:rsid w:val="00403DC0"/>
    <w:rsid w:val="00404E38"/>
    <w:rsid w:val="00406349"/>
    <w:rsid w:val="00406B08"/>
    <w:rsid w:val="0041171D"/>
    <w:rsid w:val="00411D52"/>
    <w:rsid w:val="00412432"/>
    <w:rsid w:val="00415D27"/>
    <w:rsid w:val="00416CB3"/>
    <w:rsid w:val="004175B9"/>
    <w:rsid w:val="00417A95"/>
    <w:rsid w:val="00417FF7"/>
    <w:rsid w:val="004203A2"/>
    <w:rsid w:val="00421462"/>
    <w:rsid w:val="004216BF"/>
    <w:rsid w:val="00422734"/>
    <w:rsid w:val="00425F49"/>
    <w:rsid w:val="00430DE1"/>
    <w:rsid w:val="0043151F"/>
    <w:rsid w:val="00432AE8"/>
    <w:rsid w:val="00432FCA"/>
    <w:rsid w:val="0043327C"/>
    <w:rsid w:val="004349FA"/>
    <w:rsid w:val="004367AF"/>
    <w:rsid w:val="00436F77"/>
    <w:rsid w:val="00441044"/>
    <w:rsid w:val="004446F2"/>
    <w:rsid w:val="0044538D"/>
    <w:rsid w:val="004462A4"/>
    <w:rsid w:val="00446449"/>
    <w:rsid w:val="00446D5D"/>
    <w:rsid w:val="00453DFB"/>
    <w:rsid w:val="00460B7D"/>
    <w:rsid w:val="00461AD0"/>
    <w:rsid w:val="00467D8C"/>
    <w:rsid w:val="004705E6"/>
    <w:rsid w:val="004739B1"/>
    <w:rsid w:val="0047453F"/>
    <w:rsid w:val="00475428"/>
    <w:rsid w:val="004773E6"/>
    <w:rsid w:val="00481E64"/>
    <w:rsid w:val="00494208"/>
    <w:rsid w:val="00494930"/>
    <w:rsid w:val="004953B9"/>
    <w:rsid w:val="004A02A7"/>
    <w:rsid w:val="004A1627"/>
    <w:rsid w:val="004A1BD5"/>
    <w:rsid w:val="004A643E"/>
    <w:rsid w:val="004A72C7"/>
    <w:rsid w:val="004B0B18"/>
    <w:rsid w:val="004B19EC"/>
    <w:rsid w:val="004B1E2F"/>
    <w:rsid w:val="004B2404"/>
    <w:rsid w:val="004B249F"/>
    <w:rsid w:val="004B29F7"/>
    <w:rsid w:val="004B41BB"/>
    <w:rsid w:val="004B4678"/>
    <w:rsid w:val="004C1517"/>
    <w:rsid w:val="004C2B65"/>
    <w:rsid w:val="004C2D0C"/>
    <w:rsid w:val="004C40B3"/>
    <w:rsid w:val="004C5014"/>
    <w:rsid w:val="004C72A4"/>
    <w:rsid w:val="004C74A7"/>
    <w:rsid w:val="004D56D2"/>
    <w:rsid w:val="004E7A14"/>
    <w:rsid w:val="004F54DE"/>
    <w:rsid w:val="004F69AD"/>
    <w:rsid w:val="0050247F"/>
    <w:rsid w:val="00506B48"/>
    <w:rsid w:val="005072C2"/>
    <w:rsid w:val="005124F1"/>
    <w:rsid w:val="00512F0D"/>
    <w:rsid w:val="00513171"/>
    <w:rsid w:val="005141B5"/>
    <w:rsid w:val="00516CE5"/>
    <w:rsid w:val="00517345"/>
    <w:rsid w:val="005224E2"/>
    <w:rsid w:val="00524A80"/>
    <w:rsid w:val="005255E6"/>
    <w:rsid w:val="0052562C"/>
    <w:rsid w:val="00527D6C"/>
    <w:rsid w:val="005307E4"/>
    <w:rsid w:val="00531615"/>
    <w:rsid w:val="00531F81"/>
    <w:rsid w:val="00534C52"/>
    <w:rsid w:val="00534CD3"/>
    <w:rsid w:val="005364CA"/>
    <w:rsid w:val="0053703C"/>
    <w:rsid w:val="00544050"/>
    <w:rsid w:val="0054497A"/>
    <w:rsid w:val="00546305"/>
    <w:rsid w:val="005466F3"/>
    <w:rsid w:val="00550B75"/>
    <w:rsid w:val="00554ED3"/>
    <w:rsid w:val="005565BB"/>
    <w:rsid w:val="00560287"/>
    <w:rsid w:val="00561662"/>
    <w:rsid w:val="005638AB"/>
    <w:rsid w:val="005660F2"/>
    <w:rsid w:val="00583414"/>
    <w:rsid w:val="00585670"/>
    <w:rsid w:val="00591EA3"/>
    <w:rsid w:val="005922A3"/>
    <w:rsid w:val="00594BA7"/>
    <w:rsid w:val="005975CB"/>
    <w:rsid w:val="005A0EEF"/>
    <w:rsid w:val="005A206E"/>
    <w:rsid w:val="005A28B5"/>
    <w:rsid w:val="005A35F3"/>
    <w:rsid w:val="005A5711"/>
    <w:rsid w:val="005A6D8A"/>
    <w:rsid w:val="005A7D31"/>
    <w:rsid w:val="005B1ECB"/>
    <w:rsid w:val="005B2F2E"/>
    <w:rsid w:val="005B4A2F"/>
    <w:rsid w:val="005B6926"/>
    <w:rsid w:val="005B6D9F"/>
    <w:rsid w:val="005B78E0"/>
    <w:rsid w:val="005B7C36"/>
    <w:rsid w:val="005C1981"/>
    <w:rsid w:val="005C22E4"/>
    <w:rsid w:val="005C2BD0"/>
    <w:rsid w:val="005C4DF5"/>
    <w:rsid w:val="005C644A"/>
    <w:rsid w:val="005C68D8"/>
    <w:rsid w:val="005C7114"/>
    <w:rsid w:val="005C726F"/>
    <w:rsid w:val="005C7A0E"/>
    <w:rsid w:val="005D1504"/>
    <w:rsid w:val="005D1637"/>
    <w:rsid w:val="005D309B"/>
    <w:rsid w:val="005D5CF3"/>
    <w:rsid w:val="005D5D20"/>
    <w:rsid w:val="005D7BDE"/>
    <w:rsid w:val="005D7C32"/>
    <w:rsid w:val="005E1AF3"/>
    <w:rsid w:val="005E1E89"/>
    <w:rsid w:val="005E71AC"/>
    <w:rsid w:val="005E7B13"/>
    <w:rsid w:val="005F0E3C"/>
    <w:rsid w:val="005F1636"/>
    <w:rsid w:val="005F1863"/>
    <w:rsid w:val="005F29A1"/>
    <w:rsid w:val="005F4ADB"/>
    <w:rsid w:val="005F7396"/>
    <w:rsid w:val="00601BB4"/>
    <w:rsid w:val="00603D54"/>
    <w:rsid w:val="006043EB"/>
    <w:rsid w:val="0060489D"/>
    <w:rsid w:val="00604B03"/>
    <w:rsid w:val="0061168F"/>
    <w:rsid w:val="00612A2E"/>
    <w:rsid w:val="00612C9F"/>
    <w:rsid w:val="00613DEA"/>
    <w:rsid w:val="006147A1"/>
    <w:rsid w:val="0061604E"/>
    <w:rsid w:val="006215D0"/>
    <w:rsid w:val="0062482E"/>
    <w:rsid w:val="00624B77"/>
    <w:rsid w:val="006251C1"/>
    <w:rsid w:val="00632364"/>
    <w:rsid w:val="0063443E"/>
    <w:rsid w:val="00634F11"/>
    <w:rsid w:val="006361D6"/>
    <w:rsid w:val="006368B2"/>
    <w:rsid w:val="006425BD"/>
    <w:rsid w:val="006427E5"/>
    <w:rsid w:val="006445B9"/>
    <w:rsid w:val="006452B0"/>
    <w:rsid w:val="006457B6"/>
    <w:rsid w:val="00645ADA"/>
    <w:rsid w:val="00646FAE"/>
    <w:rsid w:val="00647EEE"/>
    <w:rsid w:val="006536D8"/>
    <w:rsid w:val="00654509"/>
    <w:rsid w:val="00654F90"/>
    <w:rsid w:val="00656A7B"/>
    <w:rsid w:val="00656B2F"/>
    <w:rsid w:val="00664E1B"/>
    <w:rsid w:val="00665627"/>
    <w:rsid w:val="00666BE5"/>
    <w:rsid w:val="00670C5B"/>
    <w:rsid w:val="00671FAA"/>
    <w:rsid w:val="0068087D"/>
    <w:rsid w:val="00681F7B"/>
    <w:rsid w:val="00682A75"/>
    <w:rsid w:val="00683A60"/>
    <w:rsid w:val="00684E7C"/>
    <w:rsid w:val="0068575D"/>
    <w:rsid w:val="00687D78"/>
    <w:rsid w:val="00691358"/>
    <w:rsid w:val="00696F8A"/>
    <w:rsid w:val="006A068D"/>
    <w:rsid w:val="006A1C23"/>
    <w:rsid w:val="006A5882"/>
    <w:rsid w:val="006A632A"/>
    <w:rsid w:val="006B0E69"/>
    <w:rsid w:val="006B0EA4"/>
    <w:rsid w:val="006B2E3F"/>
    <w:rsid w:val="006B37AF"/>
    <w:rsid w:val="006B3F83"/>
    <w:rsid w:val="006B4ED4"/>
    <w:rsid w:val="006B61AE"/>
    <w:rsid w:val="006C260D"/>
    <w:rsid w:val="006C7B34"/>
    <w:rsid w:val="006C7CC0"/>
    <w:rsid w:val="006D3568"/>
    <w:rsid w:val="006D5984"/>
    <w:rsid w:val="006D7C7B"/>
    <w:rsid w:val="006E122D"/>
    <w:rsid w:val="006E31BC"/>
    <w:rsid w:val="006E41F4"/>
    <w:rsid w:val="006E71C1"/>
    <w:rsid w:val="006F0395"/>
    <w:rsid w:val="006F201E"/>
    <w:rsid w:val="006F2DEF"/>
    <w:rsid w:val="006F6A23"/>
    <w:rsid w:val="00702E73"/>
    <w:rsid w:val="00703755"/>
    <w:rsid w:val="00703ACA"/>
    <w:rsid w:val="00704C1C"/>
    <w:rsid w:val="00704C93"/>
    <w:rsid w:val="0070584B"/>
    <w:rsid w:val="00711AEE"/>
    <w:rsid w:val="00711F2B"/>
    <w:rsid w:val="00714A6D"/>
    <w:rsid w:val="0072183F"/>
    <w:rsid w:val="007255CC"/>
    <w:rsid w:val="007264A3"/>
    <w:rsid w:val="00730479"/>
    <w:rsid w:val="00731411"/>
    <w:rsid w:val="00731A30"/>
    <w:rsid w:val="0073212F"/>
    <w:rsid w:val="00732FB1"/>
    <w:rsid w:val="007330C0"/>
    <w:rsid w:val="00734404"/>
    <w:rsid w:val="0073688F"/>
    <w:rsid w:val="007368A6"/>
    <w:rsid w:val="00740B80"/>
    <w:rsid w:val="0074170F"/>
    <w:rsid w:val="00742DEC"/>
    <w:rsid w:val="007458AF"/>
    <w:rsid w:val="007464C6"/>
    <w:rsid w:val="00746680"/>
    <w:rsid w:val="00747209"/>
    <w:rsid w:val="00747606"/>
    <w:rsid w:val="00750CFF"/>
    <w:rsid w:val="007513C7"/>
    <w:rsid w:val="0075192A"/>
    <w:rsid w:val="00751B37"/>
    <w:rsid w:val="00752FD7"/>
    <w:rsid w:val="00753997"/>
    <w:rsid w:val="0076180F"/>
    <w:rsid w:val="00761AA3"/>
    <w:rsid w:val="00761D4B"/>
    <w:rsid w:val="00764289"/>
    <w:rsid w:val="00766545"/>
    <w:rsid w:val="007701FC"/>
    <w:rsid w:val="0077126E"/>
    <w:rsid w:val="0077329F"/>
    <w:rsid w:val="00773CC1"/>
    <w:rsid w:val="00776456"/>
    <w:rsid w:val="007771B7"/>
    <w:rsid w:val="00777946"/>
    <w:rsid w:val="007815C6"/>
    <w:rsid w:val="00782070"/>
    <w:rsid w:val="00782130"/>
    <w:rsid w:val="00783331"/>
    <w:rsid w:val="007843F5"/>
    <w:rsid w:val="00785AE8"/>
    <w:rsid w:val="007867E8"/>
    <w:rsid w:val="00793137"/>
    <w:rsid w:val="00794569"/>
    <w:rsid w:val="007951C7"/>
    <w:rsid w:val="00795E73"/>
    <w:rsid w:val="007960B5"/>
    <w:rsid w:val="007A0A34"/>
    <w:rsid w:val="007A30CA"/>
    <w:rsid w:val="007A4169"/>
    <w:rsid w:val="007B3C0C"/>
    <w:rsid w:val="007B485F"/>
    <w:rsid w:val="007B694A"/>
    <w:rsid w:val="007B78FF"/>
    <w:rsid w:val="007C2D92"/>
    <w:rsid w:val="007C46B8"/>
    <w:rsid w:val="007C6722"/>
    <w:rsid w:val="007C7412"/>
    <w:rsid w:val="007D17C2"/>
    <w:rsid w:val="007D2780"/>
    <w:rsid w:val="007D2E80"/>
    <w:rsid w:val="007D3B7B"/>
    <w:rsid w:val="007D5AE0"/>
    <w:rsid w:val="007D6D14"/>
    <w:rsid w:val="007E1280"/>
    <w:rsid w:val="007E46A2"/>
    <w:rsid w:val="007F034B"/>
    <w:rsid w:val="007F1753"/>
    <w:rsid w:val="007F295E"/>
    <w:rsid w:val="007F7907"/>
    <w:rsid w:val="007F7F3E"/>
    <w:rsid w:val="0080044B"/>
    <w:rsid w:val="0080059D"/>
    <w:rsid w:val="00800D2D"/>
    <w:rsid w:val="00802414"/>
    <w:rsid w:val="00805577"/>
    <w:rsid w:val="00805ABE"/>
    <w:rsid w:val="0080696A"/>
    <w:rsid w:val="00807E4D"/>
    <w:rsid w:val="00807FF8"/>
    <w:rsid w:val="008102DA"/>
    <w:rsid w:val="00814314"/>
    <w:rsid w:val="00814784"/>
    <w:rsid w:val="00814E25"/>
    <w:rsid w:val="008153F1"/>
    <w:rsid w:val="008165E0"/>
    <w:rsid w:val="00817ABA"/>
    <w:rsid w:val="00820D58"/>
    <w:rsid w:val="00826C44"/>
    <w:rsid w:val="0083001F"/>
    <w:rsid w:val="008316F6"/>
    <w:rsid w:val="0083171C"/>
    <w:rsid w:val="00832501"/>
    <w:rsid w:val="008333DA"/>
    <w:rsid w:val="0083588D"/>
    <w:rsid w:val="00836501"/>
    <w:rsid w:val="0083747D"/>
    <w:rsid w:val="008430F2"/>
    <w:rsid w:val="0084316E"/>
    <w:rsid w:val="008465AD"/>
    <w:rsid w:val="0084662B"/>
    <w:rsid w:val="008530B0"/>
    <w:rsid w:val="00853843"/>
    <w:rsid w:val="0085798B"/>
    <w:rsid w:val="00860298"/>
    <w:rsid w:val="00861082"/>
    <w:rsid w:val="00861B3D"/>
    <w:rsid w:val="00862398"/>
    <w:rsid w:val="008657C5"/>
    <w:rsid w:val="008678DB"/>
    <w:rsid w:val="00872394"/>
    <w:rsid w:val="00877796"/>
    <w:rsid w:val="00880CEB"/>
    <w:rsid w:val="008814A3"/>
    <w:rsid w:val="008816AA"/>
    <w:rsid w:val="00885DF6"/>
    <w:rsid w:val="008860B9"/>
    <w:rsid w:val="00887494"/>
    <w:rsid w:val="00887E88"/>
    <w:rsid w:val="00891C1A"/>
    <w:rsid w:val="00893178"/>
    <w:rsid w:val="00895797"/>
    <w:rsid w:val="00895A02"/>
    <w:rsid w:val="008969B2"/>
    <w:rsid w:val="0089758E"/>
    <w:rsid w:val="008A1786"/>
    <w:rsid w:val="008A19EB"/>
    <w:rsid w:val="008B40F2"/>
    <w:rsid w:val="008B48CE"/>
    <w:rsid w:val="008C135C"/>
    <w:rsid w:val="008C2CEA"/>
    <w:rsid w:val="008C5470"/>
    <w:rsid w:val="008C63EE"/>
    <w:rsid w:val="008D63F2"/>
    <w:rsid w:val="008D6FF1"/>
    <w:rsid w:val="008E0000"/>
    <w:rsid w:val="008E29A6"/>
    <w:rsid w:val="008E53C2"/>
    <w:rsid w:val="008F02BA"/>
    <w:rsid w:val="008F3ED7"/>
    <w:rsid w:val="008F61FE"/>
    <w:rsid w:val="008F71E5"/>
    <w:rsid w:val="00900202"/>
    <w:rsid w:val="009011BA"/>
    <w:rsid w:val="00901D34"/>
    <w:rsid w:val="00901E29"/>
    <w:rsid w:val="0090366C"/>
    <w:rsid w:val="00904D05"/>
    <w:rsid w:val="00906148"/>
    <w:rsid w:val="00906834"/>
    <w:rsid w:val="00912749"/>
    <w:rsid w:val="0091557E"/>
    <w:rsid w:val="009156CB"/>
    <w:rsid w:val="00917C0F"/>
    <w:rsid w:val="00922986"/>
    <w:rsid w:val="00922E05"/>
    <w:rsid w:val="00924DFB"/>
    <w:rsid w:val="009310BB"/>
    <w:rsid w:val="0093372F"/>
    <w:rsid w:val="00936024"/>
    <w:rsid w:val="00937D65"/>
    <w:rsid w:val="00940580"/>
    <w:rsid w:val="009405BC"/>
    <w:rsid w:val="00941AAC"/>
    <w:rsid w:val="009422D2"/>
    <w:rsid w:val="00942B60"/>
    <w:rsid w:val="00944E7F"/>
    <w:rsid w:val="00945009"/>
    <w:rsid w:val="00945D32"/>
    <w:rsid w:val="00946041"/>
    <w:rsid w:val="009503B4"/>
    <w:rsid w:val="00954640"/>
    <w:rsid w:val="00954B1D"/>
    <w:rsid w:val="009557A1"/>
    <w:rsid w:val="009559F2"/>
    <w:rsid w:val="009569BE"/>
    <w:rsid w:val="00956A08"/>
    <w:rsid w:val="009579E8"/>
    <w:rsid w:val="00960FFE"/>
    <w:rsid w:val="00962867"/>
    <w:rsid w:val="009631AA"/>
    <w:rsid w:val="009704C5"/>
    <w:rsid w:val="009706C0"/>
    <w:rsid w:val="00971661"/>
    <w:rsid w:val="00973181"/>
    <w:rsid w:val="009773D0"/>
    <w:rsid w:val="00977C07"/>
    <w:rsid w:val="0098184C"/>
    <w:rsid w:val="00982481"/>
    <w:rsid w:val="00983096"/>
    <w:rsid w:val="0098499D"/>
    <w:rsid w:val="00986F26"/>
    <w:rsid w:val="00990C46"/>
    <w:rsid w:val="00992AC8"/>
    <w:rsid w:val="00993701"/>
    <w:rsid w:val="0099388A"/>
    <w:rsid w:val="00993BDC"/>
    <w:rsid w:val="009973A9"/>
    <w:rsid w:val="009A654D"/>
    <w:rsid w:val="009B1397"/>
    <w:rsid w:val="009B3E24"/>
    <w:rsid w:val="009B7FA4"/>
    <w:rsid w:val="009C2C93"/>
    <w:rsid w:val="009C70F8"/>
    <w:rsid w:val="009D19BD"/>
    <w:rsid w:val="009D204B"/>
    <w:rsid w:val="009D3BB7"/>
    <w:rsid w:val="009D58AE"/>
    <w:rsid w:val="009E094A"/>
    <w:rsid w:val="009E0F83"/>
    <w:rsid w:val="009E416C"/>
    <w:rsid w:val="009E5338"/>
    <w:rsid w:val="009E5646"/>
    <w:rsid w:val="009E6426"/>
    <w:rsid w:val="009F02B5"/>
    <w:rsid w:val="009F412D"/>
    <w:rsid w:val="009F55BD"/>
    <w:rsid w:val="009F5DED"/>
    <w:rsid w:val="009F605A"/>
    <w:rsid w:val="009F60FF"/>
    <w:rsid w:val="009F630F"/>
    <w:rsid w:val="009F6A25"/>
    <w:rsid w:val="00A00ED0"/>
    <w:rsid w:val="00A03971"/>
    <w:rsid w:val="00A0476C"/>
    <w:rsid w:val="00A0482A"/>
    <w:rsid w:val="00A162A5"/>
    <w:rsid w:val="00A2001D"/>
    <w:rsid w:val="00A31367"/>
    <w:rsid w:val="00A32531"/>
    <w:rsid w:val="00A338BD"/>
    <w:rsid w:val="00A34DB1"/>
    <w:rsid w:val="00A41E1A"/>
    <w:rsid w:val="00A444AF"/>
    <w:rsid w:val="00A4626D"/>
    <w:rsid w:val="00A5022B"/>
    <w:rsid w:val="00A5069F"/>
    <w:rsid w:val="00A532B1"/>
    <w:rsid w:val="00A5521B"/>
    <w:rsid w:val="00A56F4B"/>
    <w:rsid w:val="00A57451"/>
    <w:rsid w:val="00A600D3"/>
    <w:rsid w:val="00A60635"/>
    <w:rsid w:val="00A67D8D"/>
    <w:rsid w:val="00A71FD5"/>
    <w:rsid w:val="00A72AA6"/>
    <w:rsid w:val="00A738B0"/>
    <w:rsid w:val="00A73D81"/>
    <w:rsid w:val="00A74AF8"/>
    <w:rsid w:val="00A80069"/>
    <w:rsid w:val="00A83057"/>
    <w:rsid w:val="00A8533E"/>
    <w:rsid w:val="00A87CE2"/>
    <w:rsid w:val="00A90828"/>
    <w:rsid w:val="00A91ABA"/>
    <w:rsid w:val="00A93F16"/>
    <w:rsid w:val="00A97467"/>
    <w:rsid w:val="00AA130A"/>
    <w:rsid w:val="00AA217E"/>
    <w:rsid w:val="00AA2D1C"/>
    <w:rsid w:val="00AA2DBB"/>
    <w:rsid w:val="00AA39B5"/>
    <w:rsid w:val="00AA69D2"/>
    <w:rsid w:val="00AB13CE"/>
    <w:rsid w:val="00AB1635"/>
    <w:rsid w:val="00AB4D1D"/>
    <w:rsid w:val="00AB6C37"/>
    <w:rsid w:val="00AC0F8D"/>
    <w:rsid w:val="00AC1DEF"/>
    <w:rsid w:val="00AC40DA"/>
    <w:rsid w:val="00AD0E8E"/>
    <w:rsid w:val="00AD6050"/>
    <w:rsid w:val="00AE39C3"/>
    <w:rsid w:val="00AE56B4"/>
    <w:rsid w:val="00AE5E85"/>
    <w:rsid w:val="00AE7483"/>
    <w:rsid w:val="00AF0FE3"/>
    <w:rsid w:val="00AF10EC"/>
    <w:rsid w:val="00AF17C3"/>
    <w:rsid w:val="00AF216A"/>
    <w:rsid w:val="00AF23DA"/>
    <w:rsid w:val="00AF26BF"/>
    <w:rsid w:val="00B00527"/>
    <w:rsid w:val="00B00BDF"/>
    <w:rsid w:val="00B02CD6"/>
    <w:rsid w:val="00B03A13"/>
    <w:rsid w:val="00B04D1F"/>
    <w:rsid w:val="00B04F12"/>
    <w:rsid w:val="00B05B79"/>
    <w:rsid w:val="00B0664D"/>
    <w:rsid w:val="00B07592"/>
    <w:rsid w:val="00B12157"/>
    <w:rsid w:val="00B1286E"/>
    <w:rsid w:val="00B16BE4"/>
    <w:rsid w:val="00B16D5D"/>
    <w:rsid w:val="00B27ED7"/>
    <w:rsid w:val="00B27F9F"/>
    <w:rsid w:val="00B34A64"/>
    <w:rsid w:val="00B37E11"/>
    <w:rsid w:val="00B37EE4"/>
    <w:rsid w:val="00B408FA"/>
    <w:rsid w:val="00B41518"/>
    <w:rsid w:val="00B41A01"/>
    <w:rsid w:val="00B446DE"/>
    <w:rsid w:val="00B44D41"/>
    <w:rsid w:val="00B44DFD"/>
    <w:rsid w:val="00B45C0B"/>
    <w:rsid w:val="00B46273"/>
    <w:rsid w:val="00B52739"/>
    <w:rsid w:val="00B52758"/>
    <w:rsid w:val="00B5564D"/>
    <w:rsid w:val="00B61B97"/>
    <w:rsid w:val="00B624AC"/>
    <w:rsid w:val="00B65796"/>
    <w:rsid w:val="00B66658"/>
    <w:rsid w:val="00B74EFC"/>
    <w:rsid w:val="00B82A0F"/>
    <w:rsid w:val="00B8345E"/>
    <w:rsid w:val="00B841BF"/>
    <w:rsid w:val="00B8481B"/>
    <w:rsid w:val="00B84BC5"/>
    <w:rsid w:val="00B850D5"/>
    <w:rsid w:val="00B851E6"/>
    <w:rsid w:val="00B86121"/>
    <w:rsid w:val="00B864E9"/>
    <w:rsid w:val="00B8775A"/>
    <w:rsid w:val="00B92110"/>
    <w:rsid w:val="00B96646"/>
    <w:rsid w:val="00B968D4"/>
    <w:rsid w:val="00B97294"/>
    <w:rsid w:val="00B97F07"/>
    <w:rsid w:val="00BA0831"/>
    <w:rsid w:val="00BA0B5C"/>
    <w:rsid w:val="00BA55B3"/>
    <w:rsid w:val="00BA7807"/>
    <w:rsid w:val="00BA7F09"/>
    <w:rsid w:val="00BB1437"/>
    <w:rsid w:val="00BB1733"/>
    <w:rsid w:val="00BB3AB7"/>
    <w:rsid w:val="00BB6FC5"/>
    <w:rsid w:val="00BC00AD"/>
    <w:rsid w:val="00BC21AE"/>
    <w:rsid w:val="00BC3FE2"/>
    <w:rsid w:val="00BC59A9"/>
    <w:rsid w:val="00BD34D3"/>
    <w:rsid w:val="00BD352C"/>
    <w:rsid w:val="00BD3A82"/>
    <w:rsid w:val="00BD3DC8"/>
    <w:rsid w:val="00BD4FF0"/>
    <w:rsid w:val="00BD6E43"/>
    <w:rsid w:val="00BE1268"/>
    <w:rsid w:val="00BE3320"/>
    <w:rsid w:val="00BE3CF2"/>
    <w:rsid w:val="00BE4076"/>
    <w:rsid w:val="00BE4870"/>
    <w:rsid w:val="00BE4DD5"/>
    <w:rsid w:val="00BE7C96"/>
    <w:rsid w:val="00BF04FF"/>
    <w:rsid w:val="00BF0AD0"/>
    <w:rsid w:val="00BF2048"/>
    <w:rsid w:val="00BF4945"/>
    <w:rsid w:val="00BF4B0A"/>
    <w:rsid w:val="00BF58DB"/>
    <w:rsid w:val="00BF6902"/>
    <w:rsid w:val="00BF6F3E"/>
    <w:rsid w:val="00BF7289"/>
    <w:rsid w:val="00C010C8"/>
    <w:rsid w:val="00C03A78"/>
    <w:rsid w:val="00C04973"/>
    <w:rsid w:val="00C04D28"/>
    <w:rsid w:val="00C061D4"/>
    <w:rsid w:val="00C065FC"/>
    <w:rsid w:val="00C06A33"/>
    <w:rsid w:val="00C079D8"/>
    <w:rsid w:val="00C10AF0"/>
    <w:rsid w:val="00C11BC9"/>
    <w:rsid w:val="00C12BD6"/>
    <w:rsid w:val="00C13620"/>
    <w:rsid w:val="00C20839"/>
    <w:rsid w:val="00C20A97"/>
    <w:rsid w:val="00C21618"/>
    <w:rsid w:val="00C221E2"/>
    <w:rsid w:val="00C226AB"/>
    <w:rsid w:val="00C22A35"/>
    <w:rsid w:val="00C22F3D"/>
    <w:rsid w:val="00C239B3"/>
    <w:rsid w:val="00C24C83"/>
    <w:rsid w:val="00C25BF6"/>
    <w:rsid w:val="00C26883"/>
    <w:rsid w:val="00C33C0B"/>
    <w:rsid w:val="00C42196"/>
    <w:rsid w:val="00C438CB"/>
    <w:rsid w:val="00C44EE1"/>
    <w:rsid w:val="00C465FE"/>
    <w:rsid w:val="00C53761"/>
    <w:rsid w:val="00C53F6C"/>
    <w:rsid w:val="00C55E06"/>
    <w:rsid w:val="00C560B5"/>
    <w:rsid w:val="00C5702F"/>
    <w:rsid w:val="00C60297"/>
    <w:rsid w:val="00C60CCD"/>
    <w:rsid w:val="00C636D9"/>
    <w:rsid w:val="00C65FD2"/>
    <w:rsid w:val="00C70794"/>
    <w:rsid w:val="00C711B1"/>
    <w:rsid w:val="00C72A25"/>
    <w:rsid w:val="00C75CAF"/>
    <w:rsid w:val="00C777C6"/>
    <w:rsid w:val="00C822CF"/>
    <w:rsid w:val="00C8262E"/>
    <w:rsid w:val="00C85C3F"/>
    <w:rsid w:val="00C863DF"/>
    <w:rsid w:val="00C86787"/>
    <w:rsid w:val="00C8705D"/>
    <w:rsid w:val="00C91598"/>
    <w:rsid w:val="00C92980"/>
    <w:rsid w:val="00CA0BE7"/>
    <w:rsid w:val="00CA16CE"/>
    <w:rsid w:val="00CA1A06"/>
    <w:rsid w:val="00CA2C9A"/>
    <w:rsid w:val="00CA3AB3"/>
    <w:rsid w:val="00CA6726"/>
    <w:rsid w:val="00CB0983"/>
    <w:rsid w:val="00CB0E20"/>
    <w:rsid w:val="00CB29D0"/>
    <w:rsid w:val="00CB2F7E"/>
    <w:rsid w:val="00CB43B8"/>
    <w:rsid w:val="00CB5773"/>
    <w:rsid w:val="00CB5B6B"/>
    <w:rsid w:val="00CC2615"/>
    <w:rsid w:val="00CC2E48"/>
    <w:rsid w:val="00CC340B"/>
    <w:rsid w:val="00CD3200"/>
    <w:rsid w:val="00CD3487"/>
    <w:rsid w:val="00CD3FC2"/>
    <w:rsid w:val="00CD53A3"/>
    <w:rsid w:val="00CD6921"/>
    <w:rsid w:val="00CD6F8A"/>
    <w:rsid w:val="00CD7BD4"/>
    <w:rsid w:val="00CE1C78"/>
    <w:rsid w:val="00CE2CD9"/>
    <w:rsid w:val="00CE478F"/>
    <w:rsid w:val="00CE768E"/>
    <w:rsid w:val="00CF0586"/>
    <w:rsid w:val="00CF28F0"/>
    <w:rsid w:val="00CF60B0"/>
    <w:rsid w:val="00CF6169"/>
    <w:rsid w:val="00CF6F83"/>
    <w:rsid w:val="00CF79AD"/>
    <w:rsid w:val="00D11354"/>
    <w:rsid w:val="00D1170C"/>
    <w:rsid w:val="00D11EC5"/>
    <w:rsid w:val="00D152D5"/>
    <w:rsid w:val="00D15E15"/>
    <w:rsid w:val="00D20D84"/>
    <w:rsid w:val="00D2346B"/>
    <w:rsid w:val="00D24C88"/>
    <w:rsid w:val="00D27377"/>
    <w:rsid w:val="00D30546"/>
    <w:rsid w:val="00D33A37"/>
    <w:rsid w:val="00D34EBC"/>
    <w:rsid w:val="00D37869"/>
    <w:rsid w:val="00D42952"/>
    <w:rsid w:val="00D43739"/>
    <w:rsid w:val="00D449EB"/>
    <w:rsid w:val="00D45FCE"/>
    <w:rsid w:val="00D52E9B"/>
    <w:rsid w:val="00D53895"/>
    <w:rsid w:val="00D548B8"/>
    <w:rsid w:val="00D55FB9"/>
    <w:rsid w:val="00D60584"/>
    <w:rsid w:val="00D61604"/>
    <w:rsid w:val="00D65E67"/>
    <w:rsid w:val="00D6641E"/>
    <w:rsid w:val="00D668DC"/>
    <w:rsid w:val="00D66DE9"/>
    <w:rsid w:val="00D675E1"/>
    <w:rsid w:val="00D708FC"/>
    <w:rsid w:val="00D73BFE"/>
    <w:rsid w:val="00D74887"/>
    <w:rsid w:val="00D775BD"/>
    <w:rsid w:val="00D80E87"/>
    <w:rsid w:val="00D815F2"/>
    <w:rsid w:val="00D8688D"/>
    <w:rsid w:val="00D8695C"/>
    <w:rsid w:val="00D906A8"/>
    <w:rsid w:val="00D92745"/>
    <w:rsid w:val="00D9324C"/>
    <w:rsid w:val="00D96555"/>
    <w:rsid w:val="00DA044F"/>
    <w:rsid w:val="00DA1A49"/>
    <w:rsid w:val="00DA1E3F"/>
    <w:rsid w:val="00DA4B1B"/>
    <w:rsid w:val="00DA4DE3"/>
    <w:rsid w:val="00DB015B"/>
    <w:rsid w:val="00DB1FED"/>
    <w:rsid w:val="00DB4AB8"/>
    <w:rsid w:val="00DC0459"/>
    <w:rsid w:val="00DC12B1"/>
    <w:rsid w:val="00DC1404"/>
    <w:rsid w:val="00DC4A6D"/>
    <w:rsid w:val="00DC4ABE"/>
    <w:rsid w:val="00DC7B63"/>
    <w:rsid w:val="00DD3B0C"/>
    <w:rsid w:val="00DD3F7C"/>
    <w:rsid w:val="00DD4829"/>
    <w:rsid w:val="00DD52F6"/>
    <w:rsid w:val="00DD6124"/>
    <w:rsid w:val="00DE29DD"/>
    <w:rsid w:val="00DE2A62"/>
    <w:rsid w:val="00DE465C"/>
    <w:rsid w:val="00DE56B9"/>
    <w:rsid w:val="00DF0BD1"/>
    <w:rsid w:val="00DF1C5D"/>
    <w:rsid w:val="00DF52A4"/>
    <w:rsid w:val="00DF537E"/>
    <w:rsid w:val="00DF5AF7"/>
    <w:rsid w:val="00DF60DD"/>
    <w:rsid w:val="00DF7221"/>
    <w:rsid w:val="00DF746A"/>
    <w:rsid w:val="00E00253"/>
    <w:rsid w:val="00E02D04"/>
    <w:rsid w:val="00E04217"/>
    <w:rsid w:val="00E0652B"/>
    <w:rsid w:val="00E06AD0"/>
    <w:rsid w:val="00E06D45"/>
    <w:rsid w:val="00E06DA0"/>
    <w:rsid w:val="00E06DF3"/>
    <w:rsid w:val="00E1140B"/>
    <w:rsid w:val="00E12CB1"/>
    <w:rsid w:val="00E144E7"/>
    <w:rsid w:val="00E25C04"/>
    <w:rsid w:val="00E262BE"/>
    <w:rsid w:val="00E33E4F"/>
    <w:rsid w:val="00E37B20"/>
    <w:rsid w:val="00E41AF9"/>
    <w:rsid w:val="00E42B09"/>
    <w:rsid w:val="00E46007"/>
    <w:rsid w:val="00E463B4"/>
    <w:rsid w:val="00E473C9"/>
    <w:rsid w:val="00E50A94"/>
    <w:rsid w:val="00E511D2"/>
    <w:rsid w:val="00E51667"/>
    <w:rsid w:val="00E51B66"/>
    <w:rsid w:val="00E52FD4"/>
    <w:rsid w:val="00E53829"/>
    <w:rsid w:val="00E548E3"/>
    <w:rsid w:val="00E549AC"/>
    <w:rsid w:val="00E54A08"/>
    <w:rsid w:val="00E60A27"/>
    <w:rsid w:val="00E61C90"/>
    <w:rsid w:val="00E61CF3"/>
    <w:rsid w:val="00E656A7"/>
    <w:rsid w:val="00E65E1B"/>
    <w:rsid w:val="00E6699E"/>
    <w:rsid w:val="00E67038"/>
    <w:rsid w:val="00E7058D"/>
    <w:rsid w:val="00E73629"/>
    <w:rsid w:val="00E76817"/>
    <w:rsid w:val="00E82F1D"/>
    <w:rsid w:val="00E83D44"/>
    <w:rsid w:val="00E857F1"/>
    <w:rsid w:val="00E87D44"/>
    <w:rsid w:val="00E9090E"/>
    <w:rsid w:val="00E95A3D"/>
    <w:rsid w:val="00E96B50"/>
    <w:rsid w:val="00EB0995"/>
    <w:rsid w:val="00EB269C"/>
    <w:rsid w:val="00EB445F"/>
    <w:rsid w:val="00EB44EE"/>
    <w:rsid w:val="00EB46BF"/>
    <w:rsid w:val="00EB4B06"/>
    <w:rsid w:val="00EB72B2"/>
    <w:rsid w:val="00EC0DE0"/>
    <w:rsid w:val="00EC2165"/>
    <w:rsid w:val="00EC24D1"/>
    <w:rsid w:val="00EC352B"/>
    <w:rsid w:val="00EC4D5B"/>
    <w:rsid w:val="00ED0D65"/>
    <w:rsid w:val="00ED1A2E"/>
    <w:rsid w:val="00ED1AFA"/>
    <w:rsid w:val="00ED39C3"/>
    <w:rsid w:val="00ED4F43"/>
    <w:rsid w:val="00ED68C7"/>
    <w:rsid w:val="00ED692C"/>
    <w:rsid w:val="00ED6CFB"/>
    <w:rsid w:val="00ED6F21"/>
    <w:rsid w:val="00EE06A8"/>
    <w:rsid w:val="00EE526C"/>
    <w:rsid w:val="00EF40E7"/>
    <w:rsid w:val="00EF541E"/>
    <w:rsid w:val="00EF59EC"/>
    <w:rsid w:val="00EF5F51"/>
    <w:rsid w:val="00EF6393"/>
    <w:rsid w:val="00EF795A"/>
    <w:rsid w:val="00EF7D81"/>
    <w:rsid w:val="00F00342"/>
    <w:rsid w:val="00F04B24"/>
    <w:rsid w:val="00F06029"/>
    <w:rsid w:val="00F07C3E"/>
    <w:rsid w:val="00F114B5"/>
    <w:rsid w:val="00F11DFD"/>
    <w:rsid w:val="00F11FAC"/>
    <w:rsid w:val="00F12B61"/>
    <w:rsid w:val="00F13128"/>
    <w:rsid w:val="00F147A9"/>
    <w:rsid w:val="00F15108"/>
    <w:rsid w:val="00F16D96"/>
    <w:rsid w:val="00F21A1B"/>
    <w:rsid w:val="00F228B6"/>
    <w:rsid w:val="00F22C63"/>
    <w:rsid w:val="00F22D51"/>
    <w:rsid w:val="00F24C10"/>
    <w:rsid w:val="00F30C98"/>
    <w:rsid w:val="00F37C5C"/>
    <w:rsid w:val="00F41B96"/>
    <w:rsid w:val="00F43973"/>
    <w:rsid w:val="00F475E8"/>
    <w:rsid w:val="00F518EA"/>
    <w:rsid w:val="00F521DA"/>
    <w:rsid w:val="00F526E6"/>
    <w:rsid w:val="00F5276D"/>
    <w:rsid w:val="00F5380F"/>
    <w:rsid w:val="00F56CBC"/>
    <w:rsid w:val="00F57AE9"/>
    <w:rsid w:val="00F57F16"/>
    <w:rsid w:val="00F60039"/>
    <w:rsid w:val="00F627F9"/>
    <w:rsid w:val="00F6781D"/>
    <w:rsid w:val="00F72FA3"/>
    <w:rsid w:val="00F7472F"/>
    <w:rsid w:val="00F750CF"/>
    <w:rsid w:val="00F803D6"/>
    <w:rsid w:val="00F81707"/>
    <w:rsid w:val="00F84C53"/>
    <w:rsid w:val="00F869F7"/>
    <w:rsid w:val="00F90C90"/>
    <w:rsid w:val="00F93937"/>
    <w:rsid w:val="00F93DEF"/>
    <w:rsid w:val="00F95163"/>
    <w:rsid w:val="00F95EB4"/>
    <w:rsid w:val="00F95F99"/>
    <w:rsid w:val="00F976F2"/>
    <w:rsid w:val="00FA3FBA"/>
    <w:rsid w:val="00FA4E4F"/>
    <w:rsid w:val="00FA6DA5"/>
    <w:rsid w:val="00FA774B"/>
    <w:rsid w:val="00FB140A"/>
    <w:rsid w:val="00FB1498"/>
    <w:rsid w:val="00FB155C"/>
    <w:rsid w:val="00FB52FB"/>
    <w:rsid w:val="00FC0D84"/>
    <w:rsid w:val="00FC1146"/>
    <w:rsid w:val="00FC15F4"/>
    <w:rsid w:val="00FC1623"/>
    <w:rsid w:val="00FC31F7"/>
    <w:rsid w:val="00FC33B7"/>
    <w:rsid w:val="00FC3903"/>
    <w:rsid w:val="00FC3D62"/>
    <w:rsid w:val="00FC60C3"/>
    <w:rsid w:val="00FC6BA6"/>
    <w:rsid w:val="00FC6E0F"/>
    <w:rsid w:val="00FD4E29"/>
    <w:rsid w:val="00FD50AA"/>
    <w:rsid w:val="00FD5799"/>
    <w:rsid w:val="00FD615D"/>
    <w:rsid w:val="00FD7E43"/>
    <w:rsid w:val="00FE4633"/>
    <w:rsid w:val="00FE66DC"/>
    <w:rsid w:val="00FE6FD2"/>
    <w:rsid w:val="00FF3E92"/>
    <w:rsid w:val="00FF58DC"/>
    <w:rsid w:val="00FF5927"/>
    <w:rsid w:val="00FF6233"/>
    <w:rsid w:val="00FF72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4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noteTextChar">
    <w:name w:val="Footnote Text Char"/>
    <w:aliases w:val="ft Char,single space Char"/>
    <w:basedOn w:val="DefaultParagraphFont"/>
    <w:link w:val="FootnoteText"/>
    <w:rsid w:val="00954B1D"/>
    <w:rPr>
      <w:sz w:val="24"/>
      <w:szCs w:val="24"/>
      <w:lang w:val="en-US" w:eastAsia="en-US" w:bidi="ar-SA"/>
    </w:rPr>
  </w:style>
  <w:style w:type="paragraph" w:styleId="FootnoteText">
    <w:name w:val="footnote text"/>
    <w:aliases w:val="ft,single space"/>
    <w:basedOn w:val="Normal"/>
    <w:link w:val="FootnoteTextChar"/>
    <w:semiHidden/>
    <w:rsid w:val="00954B1D"/>
  </w:style>
  <w:style w:type="character" w:styleId="FootnoteReference">
    <w:name w:val="footnote reference"/>
    <w:basedOn w:val="DefaultParagraphFont"/>
    <w:semiHidden/>
    <w:rsid w:val="00516CE5"/>
    <w:rPr>
      <w:vertAlign w:val="superscript"/>
    </w:rPr>
  </w:style>
  <w:style w:type="character" w:customStyle="1" w:styleId="Carattere5">
    <w:name w:val=" Carattere5"/>
    <w:basedOn w:val="DefaultParagraphFont"/>
    <w:semiHidden/>
    <w:rsid w:val="002D6820"/>
    <w:rPr>
      <w:rFonts w:ascii="Times New Roman" w:eastAsia="PMingLiU" w:hAnsi="Times New Roman" w:cs="Times New Roman"/>
      <w:sz w:val="20"/>
      <w:szCs w:val="20"/>
      <w:lang w:val="en-US" w:eastAsia="zh-TW"/>
    </w:rPr>
  </w:style>
  <w:style w:type="table" w:styleId="TableGrid">
    <w:name w:val="Table Grid"/>
    <w:basedOn w:val="TableNormal"/>
    <w:rsid w:val="00315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57309"/>
    <w:rPr>
      <w:rFonts w:ascii="Tahoma" w:hAnsi="Tahoma" w:cs="Tahoma"/>
      <w:sz w:val="16"/>
      <w:szCs w:val="16"/>
    </w:rPr>
  </w:style>
  <w:style w:type="paragraph" w:styleId="NormalWeb">
    <w:name w:val="Normal (Web)"/>
    <w:basedOn w:val="Normal"/>
    <w:rsid w:val="0050247F"/>
    <w:pPr>
      <w:spacing w:before="100" w:beforeAutospacing="1" w:after="100" w:afterAutospacing="1"/>
    </w:pPr>
    <w:rPr>
      <w:rFonts w:ascii="Arial Unicode MS" w:eastAsia="Arial Unicode MS" w:hAnsi="Arial Unicode MS" w:cs="Arial Unicode MS"/>
      <w:lang w:val="it-IT" w:eastAsia="it-IT"/>
    </w:rPr>
  </w:style>
  <w:style w:type="character" w:styleId="CommentReference">
    <w:name w:val="annotation reference"/>
    <w:basedOn w:val="DefaultParagraphFont"/>
    <w:semiHidden/>
    <w:rsid w:val="00293D00"/>
    <w:rPr>
      <w:sz w:val="16"/>
      <w:szCs w:val="16"/>
    </w:rPr>
  </w:style>
  <w:style w:type="paragraph" w:styleId="CommentText">
    <w:name w:val="annotation text"/>
    <w:basedOn w:val="Normal"/>
    <w:semiHidden/>
    <w:rsid w:val="00293D00"/>
    <w:rPr>
      <w:sz w:val="20"/>
      <w:szCs w:val="20"/>
    </w:rPr>
  </w:style>
  <w:style w:type="paragraph" w:styleId="CommentSubject">
    <w:name w:val="annotation subject"/>
    <w:basedOn w:val="CommentText"/>
    <w:next w:val="CommentText"/>
    <w:semiHidden/>
    <w:rsid w:val="00293D00"/>
    <w:rPr>
      <w:b/>
      <w:bCs/>
    </w:rPr>
  </w:style>
</w:styles>
</file>

<file path=word/webSettings.xml><?xml version="1.0" encoding="utf-8"?>
<w:webSettings xmlns:r="http://schemas.openxmlformats.org/officeDocument/2006/relationships" xmlns:w="http://schemas.openxmlformats.org/wordprocessingml/2006/main">
  <w:divs>
    <w:div w:id="41561617">
      <w:bodyDiv w:val="1"/>
      <w:marLeft w:val="0"/>
      <w:marRight w:val="0"/>
      <w:marTop w:val="0"/>
      <w:marBottom w:val="0"/>
      <w:divBdr>
        <w:top w:val="none" w:sz="0" w:space="0" w:color="auto"/>
        <w:left w:val="none" w:sz="0" w:space="0" w:color="auto"/>
        <w:bottom w:val="none" w:sz="0" w:space="0" w:color="auto"/>
        <w:right w:val="none" w:sz="0" w:space="0" w:color="auto"/>
      </w:divBdr>
    </w:div>
    <w:div w:id="50076033">
      <w:bodyDiv w:val="1"/>
      <w:marLeft w:val="0"/>
      <w:marRight w:val="0"/>
      <w:marTop w:val="0"/>
      <w:marBottom w:val="0"/>
      <w:divBdr>
        <w:top w:val="none" w:sz="0" w:space="0" w:color="auto"/>
        <w:left w:val="none" w:sz="0" w:space="0" w:color="auto"/>
        <w:bottom w:val="none" w:sz="0" w:space="0" w:color="auto"/>
        <w:right w:val="none" w:sz="0" w:space="0" w:color="auto"/>
      </w:divBdr>
    </w:div>
    <w:div w:id="83886391">
      <w:bodyDiv w:val="1"/>
      <w:marLeft w:val="0"/>
      <w:marRight w:val="0"/>
      <w:marTop w:val="0"/>
      <w:marBottom w:val="0"/>
      <w:divBdr>
        <w:top w:val="none" w:sz="0" w:space="0" w:color="auto"/>
        <w:left w:val="none" w:sz="0" w:space="0" w:color="auto"/>
        <w:bottom w:val="none" w:sz="0" w:space="0" w:color="auto"/>
        <w:right w:val="none" w:sz="0" w:space="0" w:color="auto"/>
      </w:divBdr>
    </w:div>
    <w:div w:id="111050658">
      <w:bodyDiv w:val="1"/>
      <w:marLeft w:val="0"/>
      <w:marRight w:val="0"/>
      <w:marTop w:val="0"/>
      <w:marBottom w:val="0"/>
      <w:divBdr>
        <w:top w:val="none" w:sz="0" w:space="0" w:color="auto"/>
        <w:left w:val="none" w:sz="0" w:space="0" w:color="auto"/>
        <w:bottom w:val="none" w:sz="0" w:space="0" w:color="auto"/>
        <w:right w:val="none" w:sz="0" w:space="0" w:color="auto"/>
      </w:divBdr>
    </w:div>
    <w:div w:id="131557427">
      <w:bodyDiv w:val="1"/>
      <w:marLeft w:val="0"/>
      <w:marRight w:val="0"/>
      <w:marTop w:val="0"/>
      <w:marBottom w:val="0"/>
      <w:divBdr>
        <w:top w:val="none" w:sz="0" w:space="0" w:color="auto"/>
        <w:left w:val="none" w:sz="0" w:space="0" w:color="auto"/>
        <w:bottom w:val="none" w:sz="0" w:space="0" w:color="auto"/>
        <w:right w:val="none" w:sz="0" w:space="0" w:color="auto"/>
      </w:divBdr>
    </w:div>
    <w:div w:id="168181022">
      <w:bodyDiv w:val="1"/>
      <w:marLeft w:val="0"/>
      <w:marRight w:val="0"/>
      <w:marTop w:val="0"/>
      <w:marBottom w:val="0"/>
      <w:divBdr>
        <w:top w:val="none" w:sz="0" w:space="0" w:color="auto"/>
        <w:left w:val="none" w:sz="0" w:space="0" w:color="auto"/>
        <w:bottom w:val="none" w:sz="0" w:space="0" w:color="auto"/>
        <w:right w:val="none" w:sz="0" w:space="0" w:color="auto"/>
      </w:divBdr>
    </w:div>
    <w:div w:id="175853801">
      <w:bodyDiv w:val="1"/>
      <w:marLeft w:val="0"/>
      <w:marRight w:val="0"/>
      <w:marTop w:val="0"/>
      <w:marBottom w:val="0"/>
      <w:divBdr>
        <w:top w:val="none" w:sz="0" w:space="0" w:color="auto"/>
        <w:left w:val="none" w:sz="0" w:space="0" w:color="auto"/>
        <w:bottom w:val="none" w:sz="0" w:space="0" w:color="auto"/>
        <w:right w:val="none" w:sz="0" w:space="0" w:color="auto"/>
      </w:divBdr>
    </w:div>
    <w:div w:id="183248130">
      <w:bodyDiv w:val="1"/>
      <w:marLeft w:val="0"/>
      <w:marRight w:val="0"/>
      <w:marTop w:val="0"/>
      <w:marBottom w:val="0"/>
      <w:divBdr>
        <w:top w:val="none" w:sz="0" w:space="0" w:color="auto"/>
        <w:left w:val="none" w:sz="0" w:space="0" w:color="auto"/>
        <w:bottom w:val="none" w:sz="0" w:space="0" w:color="auto"/>
        <w:right w:val="none" w:sz="0" w:space="0" w:color="auto"/>
      </w:divBdr>
    </w:div>
    <w:div w:id="269554788">
      <w:bodyDiv w:val="1"/>
      <w:marLeft w:val="0"/>
      <w:marRight w:val="0"/>
      <w:marTop w:val="0"/>
      <w:marBottom w:val="0"/>
      <w:divBdr>
        <w:top w:val="none" w:sz="0" w:space="0" w:color="auto"/>
        <w:left w:val="none" w:sz="0" w:space="0" w:color="auto"/>
        <w:bottom w:val="none" w:sz="0" w:space="0" w:color="auto"/>
        <w:right w:val="none" w:sz="0" w:space="0" w:color="auto"/>
      </w:divBdr>
    </w:div>
    <w:div w:id="288629552">
      <w:bodyDiv w:val="1"/>
      <w:marLeft w:val="0"/>
      <w:marRight w:val="0"/>
      <w:marTop w:val="0"/>
      <w:marBottom w:val="0"/>
      <w:divBdr>
        <w:top w:val="none" w:sz="0" w:space="0" w:color="auto"/>
        <w:left w:val="none" w:sz="0" w:space="0" w:color="auto"/>
        <w:bottom w:val="none" w:sz="0" w:space="0" w:color="auto"/>
        <w:right w:val="none" w:sz="0" w:space="0" w:color="auto"/>
      </w:divBdr>
    </w:div>
    <w:div w:id="296839189">
      <w:bodyDiv w:val="1"/>
      <w:marLeft w:val="0"/>
      <w:marRight w:val="0"/>
      <w:marTop w:val="0"/>
      <w:marBottom w:val="0"/>
      <w:divBdr>
        <w:top w:val="none" w:sz="0" w:space="0" w:color="auto"/>
        <w:left w:val="none" w:sz="0" w:space="0" w:color="auto"/>
        <w:bottom w:val="none" w:sz="0" w:space="0" w:color="auto"/>
        <w:right w:val="none" w:sz="0" w:space="0" w:color="auto"/>
      </w:divBdr>
    </w:div>
    <w:div w:id="302736910">
      <w:bodyDiv w:val="1"/>
      <w:marLeft w:val="0"/>
      <w:marRight w:val="0"/>
      <w:marTop w:val="0"/>
      <w:marBottom w:val="0"/>
      <w:divBdr>
        <w:top w:val="none" w:sz="0" w:space="0" w:color="auto"/>
        <w:left w:val="none" w:sz="0" w:space="0" w:color="auto"/>
        <w:bottom w:val="none" w:sz="0" w:space="0" w:color="auto"/>
        <w:right w:val="none" w:sz="0" w:space="0" w:color="auto"/>
      </w:divBdr>
    </w:div>
    <w:div w:id="344597480">
      <w:bodyDiv w:val="1"/>
      <w:marLeft w:val="0"/>
      <w:marRight w:val="0"/>
      <w:marTop w:val="0"/>
      <w:marBottom w:val="0"/>
      <w:divBdr>
        <w:top w:val="none" w:sz="0" w:space="0" w:color="auto"/>
        <w:left w:val="none" w:sz="0" w:space="0" w:color="auto"/>
        <w:bottom w:val="none" w:sz="0" w:space="0" w:color="auto"/>
        <w:right w:val="none" w:sz="0" w:space="0" w:color="auto"/>
      </w:divBdr>
    </w:div>
    <w:div w:id="429934382">
      <w:bodyDiv w:val="1"/>
      <w:marLeft w:val="0"/>
      <w:marRight w:val="0"/>
      <w:marTop w:val="0"/>
      <w:marBottom w:val="0"/>
      <w:divBdr>
        <w:top w:val="none" w:sz="0" w:space="0" w:color="auto"/>
        <w:left w:val="none" w:sz="0" w:space="0" w:color="auto"/>
        <w:bottom w:val="none" w:sz="0" w:space="0" w:color="auto"/>
        <w:right w:val="none" w:sz="0" w:space="0" w:color="auto"/>
      </w:divBdr>
    </w:div>
    <w:div w:id="441456575">
      <w:bodyDiv w:val="1"/>
      <w:marLeft w:val="0"/>
      <w:marRight w:val="0"/>
      <w:marTop w:val="0"/>
      <w:marBottom w:val="0"/>
      <w:divBdr>
        <w:top w:val="none" w:sz="0" w:space="0" w:color="auto"/>
        <w:left w:val="none" w:sz="0" w:space="0" w:color="auto"/>
        <w:bottom w:val="none" w:sz="0" w:space="0" w:color="auto"/>
        <w:right w:val="none" w:sz="0" w:space="0" w:color="auto"/>
      </w:divBdr>
    </w:div>
    <w:div w:id="476460574">
      <w:bodyDiv w:val="1"/>
      <w:marLeft w:val="0"/>
      <w:marRight w:val="0"/>
      <w:marTop w:val="0"/>
      <w:marBottom w:val="0"/>
      <w:divBdr>
        <w:top w:val="none" w:sz="0" w:space="0" w:color="auto"/>
        <w:left w:val="none" w:sz="0" w:space="0" w:color="auto"/>
        <w:bottom w:val="none" w:sz="0" w:space="0" w:color="auto"/>
        <w:right w:val="none" w:sz="0" w:space="0" w:color="auto"/>
      </w:divBdr>
    </w:div>
    <w:div w:id="776871297">
      <w:bodyDiv w:val="1"/>
      <w:marLeft w:val="0"/>
      <w:marRight w:val="0"/>
      <w:marTop w:val="0"/>
      <w:marBottom w:val="0"/>
      <w:divBdr>
        <w:top w:val="none" w:sz="0" w:space="0" w:color="auto"/>
        <w:left w:val="none" w:sz="0" w:space="0" w:color="auto"/>
        <w:bottom w:val="none" w:sz="0" w:space="0" w:color="auto"/>
        <w:right w:val="none" w:sz="0" w:space="0" w:color="auto"/>
      </w:divBdr>
    </w:div>
    <w:div w:id="865100044">
      <w:bodyDiv w:val="1"/>
      <w:marLeft w:val="0"/>
      <w:marRight w:val="0"/>
      <w:marTop w:val="0"/>
      <w:marBottom w:val="0"/>
      <w:divBdr>
        <w:top w:val="none" w:sz="0" w:space="0" w:color="auto"/>
        <w:left w:val="none" w:sz="0" w:space="0" w:color="auto"/>
        <w:bottom w:val="none" w:sz="0" w:space="0" w:color="auto"/>
        <w:right w:val="none" w:sz="0" w:space="0" w:color="auto"/>
      </w:divBdr>
    </w:div>
    <w:div w:id="881476984">
      <w:bodyDiv w:val="1"/>
      <w:marLeft w:val="0"/>
      <w:marRight w:val="0"/>
      <w:marTop w:val="0"/>
      <w:marBottom w:val="0"/>
      <w:divBdr>
        <w:top w:val="none" w:sz="0" w:space="0" w:color="auto"/>
        <w:left w:val="none" w:sz="0" w:space="0" w:color="auto"/>
        <w:bottom w:val="none" w:sz="0" w:space="0" w:color="auto"/>
        <w:right w:val="none" w:sz="0" w:space="0" w:color="auto"/>
      </w:divBdr>
    </w:div>
    <w:div w:id="884487448">
      <w:bodyDiv w:val="1"/>
      <w:marLeft w:val="0"/>
      <w:marRight w:val="0"/>
      <w:marTop w:val="0"/>
      <w:marBottom w:val="0"/>
      <w:divBdr>
        <w:top w:val="none" w:sz="0" w:space="0" w:color="auto"/>
        <w:left w:val="none" w:sz="0" w:space="0" w:color="auto"/>
        <w:bottom w:val="none" w:sz="0" w:space="0" w:color="auto"/>
        <w:right w:val="none" w:sz="0" w:space="0" w:color="auto"/>
      </w:divBdr>
    </w:div>
    <w:div w:id="951280273">
      <w:bodyDiv w:val="1"/>
      <w:marLeft w:val="0"/>
      <w:marRight w:val="0"/>
      <w:marTop w:val="0"/>
      <w:marBottom w:val="0"/>
      <w:divBdr>
        <w:top w:val="none" w:sz="0" w:space="0" w:color="auto"/>
        <w:left w:val="none" w:sz="0" w:space="0" w:color="auto"/>
        <w:bottom w:val="none" w:sz="0" w:space="0" w:color="auto"/>
        <w:right w:val="none" w:sz="0" w:space="0" w:color="auto"/>
      </w:divBdr>
    </w:div>
    <w:div w:id="1166895342">
      <w:bodyDiv w:val="1"/>
      <w:marLeft w:val="0"/>
      <w:marRight w:val="0"/>
      <w:marTop w:val="0"/>
      <w:marBottom w:val="0"/>
      <w:divBdr>
        <w:top w:val="none" w:sz="0" w:space="0" w:color="auto"/>
        <w:left w:val="none" w:sz="0" w:space="0" w:color="auto"/>
        <w:bottom w:val="none" w:sz="0" w:space="0" w:color="auto"/>
        <w:right w:val="none" w:sz="0" w:space="0" w:color="auto"/>
      </w:divBdr>
    </w:div>
    <w:div w:id="1181116754">
      <w:bodyDiv w:val="1"/>
      <w:marLeft w:val="0"/>
      <w:marRight w:val="0"/>
      <w:marTop w:val="0"/>
      <w:marBottom w:val="0"/>
      <w:divBdr>
        <w:top w:val="none" w:sz="0" w:space="0" w:color="auto"/>
        <w:left w:val="none" w:sz="0" w:space="0" w:color="auto"/>
        <w:bottom w:val="none" w:sz="0" w:space="0" w:color="auto"/>
        <w:right w:val="none" w:sz="0" w:space="0" w:color="auto"/>
      </w:divBdr>
    </w:div>
    <w:div w:id="1222402204">
      <w:bodyDiv w:val="1"/>
      <w:marLeft w:val="0"/>
      <w:marRight w:val="0"/>
      <w:marTop w:val="0"/>
      <w:marBottom w:val="0"/>
      <w:divBdr>
        <w:top w:val="none" w:sz="0" w:space="0" w:color="auto"/>
        <w:left w:val="none" w:sz="0" w:space="0" w:color="auto"/>
        <w:bottom w:val="none" w:sz="0" w:space="0" w:color="auto"/>
        <w:right w:val="none" w:sz="0" w:space="0" w:color="auto"/>
      </w:divBdr>
    </w:div>
    <w:div w:id="1237664336">
      <w:bodyDiv w:val="1"/>
      <w:marLeft w:val="0"/>
      <w:marRight w:val="0"/>
      <w:marTop w:val="0"/>
      <w:marBottom w:val="0"/>
      <w:divBdr>
        <w:top w:val="none" w:sz="0" w:space="0" w:color="auto"/>
        <w:left w:val="none" w:sz="0" w:space="0" w:color="auto"/>
        <w:bottom w:val="none" w:sz="0" w:space="0" w:color="auto"/>
        <w:right w:val="none" w:sz="0" w:space="0" w:color="auto"/>
      </w:divBdr>
    </w:div>
    <w:div w:id="1287614584">
      <w:bodyDiv w:val="1"/>
      <w:marLeft w:val="0"/>
      <w:marRight w:val="0"/>
      <w:marTop w:val="0"/>
      <w:marBottom w:val="0"/>
      <w:divBdr>
        <w:top w:val="none" w:sz="0" w:space="0" w:color="auto"/>
        <w:left w:val="none" w:sz="0" w:space="0" w:color="auto"/>
        <w:bottom w:val="none" w:sz="0" w:space="0" w:color="auto"/>
        <w:right w:val="none" w:sz="0" w:space="0" w:color="auto"/>
      </w:divBdr>
    </w:div>
    <w:div w:id="1359282262">
      <w:bodyDiv w:val="1"/>
      <w:marLeft w:val="0"/>
      <w:marRight w:val="0"/>
      <w:marTop w:val="0"/>
      <w:marBottom w:val="0"/>
      <w:divBdr>
        <w:top w:val="none" w:sz="0" w:space="0" w:color="auto"/>
        <w:left w:val="none" w:sz="0" w:space="0" w:color="auto"/>
        <w:bottom w:val="none" w:sz="0" w:space="0" w:color="auto"/>
        <w:right w:val="none" w:sz="0" w:space="0" w:color="auto"/>
      </w:divBdr>
    </w:div>
    <w:div w:id="1456949490">
      <w:bodyDiv w:val="1"/>
      <w:marLeft w:val="0"/>
      <w:marRight w:val="0"/>
      <w:marTop w:val="0"/>
      <w:marBottom w:val="0"/>
      <w:divBdr>
        <w:top w:val="none" w:sz="0" w:space="0" w:color="auto"/>
        <w:left w:val="none" w:sz="0" w:space="0" w:color="auto"/>
        <w:bottom w:val="none" w:sz="0" w:space="0" w:color="auto"/>
        <w:right w:val="none" w:sz="0" w:space="0" w:color="auto"/>
      </w:divBdr>
    </w:div>
    <w:div w:id="1463764222">
      <w:bodyDiv w:val="1"/>
      <w:marLeft w:val="0"/>
      <w:marRight w:val="0"/>
      <w:marTop w:val="0"/>
      <w:marBottom w:val="0"/>
      <w:divBdr>
        <w:top w:val="none" w:sz="0" w:space="0" w:color="auto"/>
        <w:left w:val="none" w:sz="0" w:space="0" w:color="auto"/>
        <w:bottom w:val="none" w:sz="0" w:space="0" w:color="auto"/>
        <w:right w:val="none" w:sz="0" w:space="0" w:color="auto"/>
      </w:divBdr>
    </w:div>
    <w:div w:id="1480725877">
      <w:bodyDiv w:val="1"/>
      <w:marLeft w:val="0"/>
      <w:marRight w:val="0"/>
      <w:marTop w:val="0"/>
      <w:marBottom w:val="0"/>
      <w:divBdr>
        <w:top w:val="none" w:sz="0" w:space="0" w:color="auto"/>
        <w:left w:val="none" w:sz="0" w:space="0" w:color="auto"/>
        <w:bottom w:val="none" w:sz="0" w:space="0" w:color="auto"/>
        <w:right w:val="none" w:sz="0" w:space="0" w:color="auto"/>
      </w:divBdr>
    </w:div>
    <w:div w:id="1614938645">
      <w:bodyDiv w:val="1"/>
      <w:marLeft w:val="0"/>
      <w:marRight w:val="0"/>
      <w:marTop w:val="0"/>
      <w:marBottom w:val="0"/>
      <w:divBdr>
        <w:top w:val="none" w:sz="0" w:space="0" w:color="auto"/>
        <w:left w:val="none" w:sz="0" w:space="0" w:color="auto"/>
        <w:bottom w:val="none" w:sz="0" w:space="0" w:color="auto"/>
        <w:right w:val="none" w:sz="0" w:space="0" w:color="auto"/>
      </w:divBdr>
    </w:div>
    <w:div w:id="1671104208">
      <w:bodyDiv w:val="1"/>
      <w:marLeft w:val="0"/>
      <w:marRight w:val="0"/>
      <w:marTop w:val="0"/>
      <w:marBottom w:val="0"/>
      <w:divBdr>
        <w:top w:val="none" w:sz="0" w:space="0" w:color="auto"/>
        <w:left w:val="none" w:sz="0" w:space="0" w:color="auto"/>
        <w:bottom w:val="none" w:sz="0" w:space="0" w:color="auto"/>
        <w:right w:val="none" w:sz="0" w:space="0" w:color="auto"/>
      </w:divBdr>
    </w:div>
    <w:div w:id="1672414225">
      <w:bodyDiv w:val="1"/>
      <w:marLeft w:val="0"/>
      <w:marRight w:val="0"/>
      <w:marTop w:val="0"/>
      <w:marBottom w:val="0"/>
      <w:divBdr>
        <w:top w:val="none" w:sz="0" w:space="0" w:color="auto"/>
        <w:left w:val="none" w:sz="0" w:space="0" w:color="auto"/>
        <w:bottom w:val="none" w:sz="0" w:space="0" w:color="auto"/>
        <w:right w:val="none" w:sz="0" w:space="0" w:color="auto"/>
      </w:divBdr>
    </w:div>
    <w:div w:id="1701004077">
      <w:bodyDiv w:val="1"/>
      <w:marLeft w:val="0"/>
      <w:marRight w:val="0"/>
      <w:marTop w:val="0"/>
      <w:marBottom w:val="0"/>
      <w:divBdr>
        <w:top w:val="none" w:sz="0" w:space="0" w:color="auto"/>
        <w:left w:val="none" w:sz="0" w:space="0" w:color="auto"/>
        <w:bottom w:val="none" w:sz="0" w:space="0" w:color="auto"/>
        <w:right w:val="none" w:sz="0" w:space="0" w:color="auto"/>
      </w:divBdr>
    </w:div>
    <w:div w:id="1722242715">
      <w:bodyDiv w:val="1"/>
      <w:marLeft w:val="0"/>
      <w:marRight w:val="0"/>
      <w:marTop w:val="0"/>
      <w:marBottom w:val="0"/>
      <w:divBdr>
        <w:top w:val="none" w:sz="0" w:space="0" w:color="auto"/>
        <w:left w:val="none" w:sz="0" w:space="0" w:color="auto"/>
        <w:bottom w:val="none" w:sz="0" w:space="0" w:color="auto"/>
        <w:right w:val="none" w:sz="0" w:space="0" w:color="auto"/>
      </w:divBdr>
    </w:div>
    <w:div w:id="1787001537">
      <w:bodyDiv w:val="1"/>
      <w:marLeft w:val="0"/>
      <w:marRight w:val="0"/>
      <w:marTop w:val="0"/>
      <w:marBottom w:val="0"/>
      <w:divBdr>
        <w:top w:val="none" w:sz="0" w:space="0" w:color="auto"/>
        <w:left w:val="none" w:sz="0" w:space="0" w:color="auto"/>
        <w:bottom w:val="none" w:sz="0" w:space="0" w:color="auto"/>
        <w:right w:val="none" w:sz="0" w:space="0" w:color="auto"/>
      </w:divBdr>
    </w:div>
    <w:div w:id="1820536618">
      <w:bodyDiv w:val="1"/>
      <w:marLeft w:val="0"/>
      <w:marRight w:val="0"/>
      <w:marTop w:val="0"/>
      <w:marBottom w:val="0"/>
      <w:divBdr>
        <w:top w:val="none" w:sz="0" w:space="0" w:color="auto"/>
        <w:left w:val="none" w:sz="0" w:space="0" w:color="auto"/>
        <w:bottom w:val="none" w:sz="0" w:space="0" w:color="auto"/>
        <w:right w:val="none" w:sz="0" w:space="0" w:color="auto"/>
      </w:divBdr>
    </w:div>
    <w:div w:id="1838298946">
      <w:bodyDiv w:val="1"/>
      <w:marLeft w:val="0"/>
      <w:marRight w:val="0"/>
      <w:marTop w:val="0"/>
      <w:marBottom w:val="0"/>
      <w:divBdr>
        <w:top w:val="none" w:sz="0" w:space="0" w:color="auto"/>
        <w:left w:val="none" w:sz="0" w:space="0" w:color="auto"/>
        <w:bottom w:val="none" w:sz="0" w:space="0" w:color="auto"/>
        <w:right w:val="none" w:sz="0" w:space="0" w:color="auto"/>
      </w:divBdr>
    </w:div>
    <w:div w:id="1888058775">
      <w:bodyDiv w:val="1"/>
      <w:marLeft w:val="0"/>
      <w:marRight w:val="0"/>
      <w:marTop w:val="0"/>
      <w:marBottom w:val="0"/>
      <w:divBdr>
        <w:top w:val="none" w:sz="0" w:space="0" w:color="auto"/>
        <w:left w:val="none" w:sz="0" w:space="0" w:color="auto"/>
        <w:bottom w:val="none" w:sz="0" w:space="0" w:color="auto"/>
        <w:right w:val="none" w:sz="0" w:space="0" w:color="auto"/>
      </w:divBdr>
    </w:div>
    <w:div w:id="1924952383">
      <w:bodyDiv w:val="1"/>
      <w:marLeft w:val="0"/>
      <w:marRight w:val="0"/>
      <w:marTop w:val="0"/>
      <w:marBottom w:val="0"/>
      <w:divBdr>
        <w:top w:val="none" w:sz="0" w:space="0" w:color="auto"/>
        <w:left w:val="none" w:sz="0" w:space="0" w:color="auto"/>
        <w:bottom w:val="none" w:sz="0" w:space="0" w:color="auto"/>
        <w:right w:val="none" w:sz="0" w:space="0" w:color="auto"/>
      </w:divBdr>
    </w:div>
    <w:div w:id="2106419168">
      <w:bodyDiv w:val="1"/>
      <w:marLeft w:val="0"/>
      <w:marRight w:val="0"/>
      <w:marTop w:val="0"/>
      <w:marBottom w:val="0"/>
      <w:divBdr>
        <w:top w:val="none" w:sz="0" w:space="0" w:color="auto"/>
        <w:left w:val="none" w:sz="0" w:space="0" w:color="auto"/>
        <w:bottom w:val="none" w:sz="0" w:space="0" w:color="auto"/>
        <w:right w:val="none" w:sz="0" w:space="0" w:color="auto"/>
      </w:divBdr>
    </w:div>
    <w:div w:id="2111388055">
      <w:bodyDiv w:val="1"/>
      <w:marLeft w:val="0"/>
      <w:marRight w:val="0"/>
      <w:marTop w:val="0"/>
      <w:marBottom w:val="0"/>
      <w:divBdr>
        <w:top w:val="none" w:sz="0" w:space="0" w:color="auto"/>
        <w:left w:val="none" w:sz="0" w:space="0" w:color="auto"/>
        <w:bottom w:val="none" w:sz="0" w:space="0" w:color="auto"/>
        <w:right w:val="none" w:sz="0" w:space="0" w:color="auto"/>
      </w:divBdr>
    </w:div>
    <w:div w:id="21465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TermInfo xmlns="http://schemas.microsoft.com/office/infopath/2007/PartnerControls">
          <TermName xmlns="http://schemas.microsoft.com/office/infopath/2007/PartnerControls">Land Tenure</TermName>
          <TermId xmlns="http://schemas.microsoft.com/office/infopath/2007/PartnerControls">4af5ca4e-9a08-4985-9a40-7dd25761d3b5</TermId>
        </TermInfo>
      </Term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/Americas/Haiti/HaitiEarthquake2010/_layouts/WebsioPreviewField/preview.aspx?ID=6749fd8b-79ad-40a9-a088-8c9e0adfdb9f&amp;WebID=1c7e86dd-0e5d-438c-992a-1c2f3f739c75&amp;SiteID=0e29c24b-3e6a-4c7c-8cc1-69b27805b55c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134</Value>
      <Value>16</Value>
      <Value>40</Value>
      <Value>39</Value>
      <Value>130</Value>
      <Value>11</Value>
      <Value>120</Value>
      <Value>4</Value>
      <Value>49</Value>
      <Value>15</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true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Strategic Framework</TermName>
          <TermId xmlns="http://schemas.microsoft.com/office/infopath/2007/PartnerControls">bb49dd97-7db3-4922-b333-78f63663360c</TermId>
        </TermInfo>
        <TermInfo xmlns="http://schemas.microsoft.com/office/infopath/2007/PartnerControls">
          <TermName xmlns="http://schemas.microsoft.com/office/infopath/2007/PartnerControls">Advocacy</TermName>
          <TermId xmlns="http://schemas.microsoft.com/office/infopath/2007/PartnerControls">cf41eb53-2714-4497-9f55-2b3a6c79205f</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2010-08-06T05:00:00+00:00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An analysis of the current status of land tenure for tenants in Haiti, as well as potential means to work towards ensuring secure land tenure in the future.</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g2834a0a4b5b445382f80b4d1c20b873>
  </documentManagement>
</p:properties>
</file>

<file path=customXml/itemProps1.xml><?xml version="1.0" encoding="utf-8"?>
<ds:datastoreItem xmlns:ds="http://schemas.openxmlformats.org/officeDocument/2006/customXml" ds:itemID="{E9137F10-1E93-40A7-B475-627F220FEA26}"/>
</file>

<file path=customXml/itemProps2.xml><?xml version="1.0" encoding="utf-8"?>
<ds:datastoreItem xmlns:ds="http://schemas.openxmlformats.org/officeDocument/2006/customXml" ds:itemID="{2B0E2E81-6465-4137-9001-F30E557C7DA0}"/>
</file>

<file path=customXml/itemProps3.xml><?xml version="1.0" encoding="utf-8"?>
<ds:datastoreItem xmlns:ds="http://schemas.openxmlformats.org/officeDocument/2006/customXml" ds:itemID="{6F6CB37B-3CCB-4788-936B-B37D6D6A200E}"/>
</file>

<file path=docProps/app.xml><?xml version="1.0" encoding="utf-8"?>
<Properties xmlns="http://schemas.openxmlformats.org/officeDocument/2006/extended-properties" xmlns:vt="http://schemas.openxmlformats.org/officeDocument/2006/docPropsVTypes">
  <Template>Normal.dotm</Template>
  <TotalTime>2</TotalTime>
  <Pages>7</Pages>
  <Words>2870</Words>
  <Characters>16363</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Protection Cluster</vt:lpstr>
    </vt:vector>
  </TitlesOfParts>
  <Company>Grizli777</Company>
  <LinksUpToDate>false</LinksUpToDate>
  <CharactersWithSpaces>19195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HLP Renters' Tenure Policy options 100806 VM</dc:title>
  <dc:creator>Hugh</dc:creator>
  <cp:lastModifiedBy>Hugh Earp</cp:lastModifiedBy>
  <cp:revision>2</cp:revision>
  <dcterms:created xsi:type="dcterms:W3CDTF">2011-09-30T15:08:00Z</dcterms:created>
  <dcterms:modified xsi:type="dcterms:W3CDTF">2011-09-30T15:08:00Z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134;#Strategic Framework|bb49dd97-7db3-4922-b333-78f63663360c;#130;#Advocacy|cf41eb53-2714-4497-9f55-2b3a6c79205f</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120;#Land Tenure|4af5ca4e-9a08-4985-9a40-7dd25761d3b5</vt:lpwstr>
  </property>
  <property fmtid="{D5CDD505-2E9C-101B-9397-08002B2CF9AE}" pid="24" name="Event Type">
    <vt:lpwstr>44;#Earthquake|b1e55d7f-42fe-4729-a412-f81796823767</vt:lpwstr>
  </property>
  <property fmtid="{D5CDD505-2E9C-101B-9397-08002B2CF9AE}" pid="25" name="RoutingRuleDescription">
    <vt:lpwstr>An analysis of the current status of land tenure for tenants in Haiti, as well as potential means to work towards ensuring secure land tenure in the future.</vt:lpwstr>
  </property>
  <property fmtid="{D5CDD505-2E9C-101B-9397-08002B2CF9AE}" pid="28" name="Response Site">
    <vt:lpwstr>Haiti Earthquake 2010</vt:lpwstr>
  </property>
</Properties>
</file>