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5A8F5" w14:textId="723A3059" w:rsidR="00650CDC" w:rsidRPr="001171B8" w:rsidRDefault="00650CDC" w:rsidP="00650CDC">
      <w:pPr>
        <w:pStyle w:val="Header"/>
        <w:rPr>
          <w:rFonts w:ascii="Verdana" w:hAnsi="Verdana"/>
          <w:sz w:val="14"/>
          <w:szCs w:val="14"/>
        </w:rPr>
      </w:pPr>
      <w:bookmarkStart w:id="0" w:name="_GoBack"/>
      <w:bookmarkEnd w:id="0"/>
      <w:r>
        <w:rPr>
          <w:noProof/>
          <w:lang w:val="en-US"/>
        </w:rPr>
        <w:drawing>
          <wp:anchor distT="0" distB="0" distL="114300" distR="114300" simplePos="0" relativeHeight="251659264" behindDoc="0" locked="0" layoutInCell="1" allowOverlap="1" wp14:anchorId="3AB6D2E7" wp14:editId="3F5DB429">
            <wp:simplePos x="0" y="0"/>
            <wp:positionH relativeFrom="margin">
              <wp:posOffset>51435</wp:posOffset>
            </wp:positionH>
            <wp:positionV relativeFrom="paragraph">
              <wp:posOffset>19685</wp:posOffset>
            </wp:positionV>
            <wp:extent cx="398780" cy="349250"/>
            <wp:effectExtent l="0" t="0" r="1270" b="0"/>
            <wp:wrapSquare wrapText="right"/>
            <wp:docPr id="1" name="Picture 1"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78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Shelter Cluster</w:t>
      </w:r>
      <w:r>
        <w:rPr>
          <w:rFonts w:ascii="Verdana" w:hAnsi="Verdana"/>
          <w:b/>
          <w:color w:val="7F1416"/>
          <w:sz w:val="16"/>
          <w:szCs w:val="16"/>
        </w:rPr>
        <w:t xml:space="preserve"> Palestine</w:t>
      </w:r>
    </w:p>
    <w:p w14:paraId="43EF8BF5" w14:textId="77777777" w:rsidR="00650CDC" w:rsidRDefault="00650CDC" w:rsidP="00650CDC">
      <w:pPr>
        <w:pStyle w:val="Header"/>
        <w:rPr>
          <w:rFonts w:ascii="Verdana" w:hAnsi="Verdana"/>
          <w:color w:val="7F1416"/>
          <w:sz w:val="12"/>
          <w:szCs w:val="12"/>
        </w:rPr>
      </w:pPr>
      <w:r>
        <w:rPr>
          <w:rFonts w:ascii="Verdana" w:hAnsi="Verdana"/>
          <w:color w:val="7F1416"/>
          <w:sz w:val="12"/>
          <w:szCs w:val="12"/>
        </w:rPr>
        <w:t>www.ShelterPalestine.org</w:t>
      </w:r>
    </w:p>
    <w:p w14:paraId="49F8E03A" w14:textId="77777777" w:rsidR="00650CDC" w:rsidRDefault="00650CDC" w:rsidP="00650CDC">
      <w:pPr>
        <w:pStyle w:val="Header"/>
        <w:rPr>
          <w:rFonts w:ascii="Verdana" w:hAnsi="Verdana"/>
          <w:color w:val="7F1416"/>
          <w:sz w:val="12"/>
          <w:szCs w:val="12"/>
        </w:rPr>
      </w:pPr>
      <w:r>
        <w:rPr>
          <w:rFonts w:ascii="Verdana" w:hAnsi="Verdana"/>
          <w:color w:val="7F1416"/>
          <w:sz w:val="12"/>
          <w:szCs w:val="12"/>
        </w:rPr>
        <w:t>www.ShelterCluster.org</w:t>
      </w:r>
    </w:p>
    <w:p w14:paraId="3AA3E146" w14:textId="638AFB4D" w:rsidR="00650CDC" w:rsidRPr="00650CDC" w:rsidRDefault="00650CDC" w:rsidP="00650CDC">
      <w:pPr>
        <w:pStyle w:val="Header"/>
        <w:rPr>
          <w:rFonts w:ascii="Verdana" w:hAnsi="Verdana"/>
          <w:color w:val="7F1416"/>
          <w:sz w:val="12"/>
          <w:szCs w:val="12"/>
        </w:rPr>
      </w:pPr>
      <w:r w:rsidRPr="005C324F">
        <w:rPr>
          <w:rFonts w:ascii="Verdana" w:hAnsi="Verdana"/>
          <w:color w:val="595959"/>
          <w:sz w:val="12"/>
          <w:szCs w:val="12"/>
        </w:rPr>
        <w:t>Coordinating Humanitarian Shelter</w:t>
      </w:r>
    </w:p>
    <w:p w14:paraId="0E209170" w14:textId="77777777" w:rsidR="00211FD4" w:rsidRPr="0033504B" w:rsidRDefault="00211FD4">
      <w:pPr>
        <w:rPr>
          <w:b/>
          <w:szCs w:val="22"/>
        </w:rPr>
      </w:pPr>
    </w:p>
    <w:p w14:paraId="263A88A8" w14:textId="77777777" w:rsidR="00211FD4" w:rsidRDefault="00211FD4">
      <w:pPr>
        <w:rPr>
          <w:b/>
          <w:sz w:val="36"/>
          <w:szCs w:val="36"/>
        </w:rPr>
      </w:pPr>
      <w:r>
        <w:rPr>
          <w:b/>
          <w:sz w:val="36"/>
          <w:szCs w:val="36"/>
        </w:rPr>
        <w:t>Gaza response update</w:t>
      </w:r>
    </w:p>
    <w:p w14:paraId="78E913EA" w14:textId="6E9032AC" w:rsidR="00FC5826" w:rsidRDefault="00E659CB">
      <w:pPr>
        <w:rPr>
          <w:b/>
        </w:rPr>
      </w:pPr>
      <w:r>
        <w:rPr>
          <w:b/>
        </w:rPr>
        <w:t>11</w:t>
      </w:r>
      <w:r w:rsidR="006E4FA7" w:rsidRPr="005D4808">
        <w:rPr>
          <w:b/>
        </w:rPr>
        <w:t xml:space="preserve"> </w:t>
      </w:r>
      <w:r w:rsidR="007F07A9" w:rsidRPr="005D4808">
        <w:rPr>
          <w:b/>
        </w:rPr>
        <w:t>October</w:t>
      </w:r>
      <w:r w:rsidR="006E4FA7" w:rsidRPr="005D4808">
        <w:rPr>
          <w:b/>
        </w:rPr>
        <w:t xml:space="preserve"> 2014</w:t>
      </w:r>
    </w:p>
    <w:p w14:paraId="20ADEE8C" w14:textId="77777777" w:rsidR="00FC5826" w:rsidRDefault="00FC5826">
      <w:pPr>
        <w:rPr>
          <w:b/>
        </w:rPr>
      </w:pPr>
    </w:p>
    <w:p w14:paraId="282F2301" w14:textId="77777777" w:rsidR="00C812E3" w:rsidRDefault="00C812E3" w:rsidP="00C812E3">
      <w:r>
        <w:rPr>
          <w:noProof/>
          <w:lang w:val="en-US"/>
        </w:rPr>
        <w:drawing>
          <wp:inline distT="0" distB="0" distL="0" distR="0" wp14:anchorId="403C9EDD" wp14:editId="5977082F">
            <wp:extent cx="3088640" cy="20578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eilbrighton:Desktop:Gaza photos :10601086_10152342358287076_1389671154_n.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88640" cy="2057806"/>
                    </a:xfrm>
                    <a:prstGeom prst="rect">
                      <a:avLst/>
                    </a:prstGeom>
                    <a:noFill/>
                    <a:ln>
                      <a:noFill/>
                    </a:ln>
                  </pic:spPr>
                </pic:pic>
              </a:graphicData>
            </a:graphic>
          </wp:inline>
        </w:drawing>
      </w:r>
    </w:p>
    <w:p w14:paraId="4EFE2D3B" w14:textId="55E4DB3B" w:rsidR="00C812E3" w:rsidRPr="00C812E3" w:rsidRDefault="005D4808" w:rsidP="00C812E3">
      <w:pPr>
        <w:rPr>
          <w:i/>
          <w:sz w:val="16"/>
          <w:szCs w:val="16"/>
        </w:rPr>
      </w:pPr>
      <w:r>
        <w:rPr>
          <w:i/>
          <w:sz w:val="16"/>
          <w:szCs w:val="16"/>
        </w:rPr>
        <w:t xml:space="preserve">Photo credit: </w:t>
      </w:r>
      <w:r w:rsidR="00C812E3" w:rsidRPr="00C812E3">
        <w:rPr>
          <w:i/>
          <w:sz w:val="16"/>
          <w:szCs w:val="16"/>
        </w:rPr>
        <w:t>NRC</w:t>
      </w:r>
    </w:p>
    <w:p w14:paraId="1B80B11F" w14:textId="335E981C" w:rsidR="00FC5826" w:rsidRDefault="000069D4" w:rsidP="00C812E3">
      <w:pPr>
        <w:pStyle w:val="Heading1"/>
      </w:pPr>
      <w:r>
        <w:t xml:space="preserve">Key </w:t>
      </w:r>
      <w:r w:rsidRPr="001240E3">
        <w:t>points</w:t>
      </w:r>
    </w:p>
    <w:p w14:paraId="6722A81E" w14:textId="46797C47" w:rsidR="005D4808" w:rsidRDefault="005D4808" w:rsidP="005D4808">
      <w:pPr>
        <w:pStyle w:val="ListParagraph"/>
        <w:numPr>
          <w:ilvl w:val="0"/>
          <w:numId w:val="8"/>
        </w:numPr>
        <w:jc w:val="both"/>
      </w:pPr>
      <w:r w:rsidRPr="00A35507">
        <w:t>Agreement reached between UNRW</w:t>
      </w:r>
      <w:r w:rsidR="00A26C8A">
        <w:t>A, UNDP and Ministry of Public W</w:t>
      </w:r>
      <w:r w:rsidRPr="00A35507">
        <w:t>ork</w:t>
      </w:r>
      <w:r w:rsidR="00A26C8A">
        <w:t>s</w:t>
      </w:r>
      <w:r w:rsidRPr="00A35507">
        <w:t xml:space="preserve"> and </w:t>
      </w:r>
      <w:r w:rsidR="00A26C8A">
        <w:t>H</w:t>
      </w:r>
      <w:r w:rsidRPr="00A35507">
        <w:t xml:space="preserve">ousing to undertake a shelter survey to identify level of damages and needs and inform the reconstruction process. These assessments are nearly completed. </w:t>
      </w:r>
    </w:p>
    <w:p w14:paraId="6F339CC1" w14:textId="77777777" w:rsidR="005D4808" w:rsidRDefault="005D4808" w:rsidP="005D4808">
      <w:pPr>
        <w:pStyle w:val="ListParagraph"/>
        <w:numPr>
          <w:ilvl w:val="0"/>
          <w:numId w:val="0"/>
        </w:numPr>
        <w:ind w:left="360"/>
        <w:jc w:val="both"/>
      </w:pPr>
    </w:p>
    <w:p w14:paraId="1099C63A" w14:textId="6FC065A2" w:rsidR="005D4808" w:rsidRDefault="005D4808" w:rsidP="005D4808">
      <w:pPr>
        <w:pStyle w:val="ListParagraph"/>
        <w:numPr>
          <w:ilvl w:val="0"/>
          <w:numId w:val="8"/>
        </w:numPr>
        <w:jc w:val="both"/>
      </w:pPr>
      <w:r w:rsidRPr="00A35507">
        <w:t xml:space="preserve">Payments to some </w:t>
      </w:r>
      <w:r w:rsidR="00232A5F">
        <w:t xml:space="preserve">affected </w:t>
      </w:r>
      <w:r w:rsidRPr="00A35507">
        <w:t>Palestinian refugee families have commenced and are being provided to all those eligible over coming weeks.</w:t>
      </w:r>
    </w:p>
    <w:p w14:paraId="22AC8602" w14:textId="7656485A" w:rsidR="005D4808" w:rsidRPr="00A35507" w:rsidRDefault="005D4808" w:rsidP="005D4808">
      <w:pPr>
        <w:pStyle w:val="ListParagraph"/>
        <w:numPr>
          <w:ilvl w:val="0"/>
          <w:numId w:val="0"/>
        </w:numPr>
        <w:ind w:left="360"/>
        <w:jc w:val="both"/>
      </w:pPr>
      <w:r w:rsidRPr="00A35507">
        <w:t xml:space="preserve"> </w:t>
      </w:r>
    </w:p>
    <w:p w14:paraId="39B82B5C" w14:textId="77777777" w:rsidR="005D4808" w:rsidRDefault="005D4808" w:rsidP="005D4808">
      <w:pPr>
        <w:pStyle w:val="ListParagraph"/>
        <w:numPr>
          <w:ilvl w:val="0"/>
          <w:numId w:val="8"/>
        </w:numPr>
        <w:jc w:val="both"/>
      </w:pPr>
      <w:r w:rsidRPr="00A35507">
        <w:t>Immediate action to winterise damaged housing units and collective centres is required.  Rain has already fallen once in the Gaza strip, demonstrating that drainage systems are damaged and pointing to likely flooding.</w:t>
      </w:r>
    </w:p>
    <w:p w14:paraId="47124D38" w14:textId="77777777" w:rsidR="005D4808" w:rsidRDefault="005D4808" w:rsidP="005D4808">
      <w:pPr>
        <w:pStyle w:val="ListParagraph"/>
        <w:numPr>
          <w:ilvl w:val="0"/>
          <w:numId w:val="0"/>
        </w:numPr>
        <w:ind w:left="426"/>
        <w:jc w:val="both"/>
      </w:pPr>
    </w:p>
    <w:p w14:paraId="747AB5A6" w14:textId="6964475B" w:rsidR="005D4808" w:rsidRPr="00A35507" w:rsidRDefault="005D4808" w:rsidP="005D4808">
      <w:pPr>
        <w:pStyle w:val="ListParagraph"/>
        <w:numPr>
          <w:ilvl w:val="0"/>
          <w:numId w:val="8"/>
        </w:numPr>
        <w:jc w:val="both"/>
      </w:pPr>
      <w:r w:rsidRPr="00A35507">
        <w:t>Gap analysis on Household NFI and Hygiene kit distribution are available in the Shelter Cluster Situation Report, published by OCHA.</w:t>
      </w:r>
    </w:p>
    <w:p w14:paraId="3DE1D768" w14:textId="77777777" w:rsidR="00FC5826" w:rsidRPr="00FC5826" w:rsidRDefault="00FC5826" w:rsidP="001240E3">
      <w:pPr>
        <w:pStyle w:val="Heading1"/>
      </w:pPr>
      <w:r w:rsidRPr="00FC5826">
        <w:t>Background</w:t>
      </w:r>
    </w:p>
    <w:p w14:paraId="08591375" w14:textId="77777777" w:rsidR="00D61F3C" w:rsidRDefault="00D61F3C" w:rsidP="00FC5826"/>
    <w:p w14:paraId="6CF902D0" w14:textId="64A4F560" w:rsidR="005D4808" w:rsidRDefault="005D4808" w:rsidP="00FC5826">
      <w:r w:rsidRPr="005D4808">
        <w:t xml:space="preserve">The scale of damage and </w:t>
      </w:r>
      <w:r w:rsidRPr="00553928">
        <w:t xml:space="preserve">displacement resulting from Operation “Protective Edge” is unprecedented in the Gaza Strip in recent history. Current estimates indicate that </w:t>
      </w:r>
      <w:r w:rsidR="0033504B" w:rsidRPr="00553928">
        <w:t>29</w:t>
      </w:r>
      <w:r w:rsidRPr="00553928">
        <w:t xml:space="preserve">% of the </w:t>
      </w:r>
      <w:r w:rsidR="0051290A" w:rsidRPr="00553928">
        <w:t>housing stock has been affected</w:t>
      </w:r>
      <w:r w:rsidRPr="00553928">
        <w:t xml:space="preserve"> </w:t>
      </w:r>
      <w:r w:rsidR="0051290A" w:rsidRPr="00553928">
        <w:t xml:space="preserve">overall </w:t>
      </w:r>
      <w:r w:rsidRPr="00553928">
        <w:t xml:space="preserve">and </w:t>
      </w:r>
      <w:r w:rsidR="0033504B" w:rsidRPr="00553928">
        <w:t>nearly 6</w:t>
      </w:r>
      <w:r w:rsidRPr="00553928">
        <w:t>% of</w:t>
      </w:r>
      <w:r w:rsidRPr="005D4808">
        <w:t xml:space="preserve"> the housing stock has been severely damaged or destroyed.</w:t>
      </w:r>
    </w:p>
    <w:p w14:paraId="71C5B474" w14:textId="77777777" w:rsidR="005D4808" w:rsidRDefault="005D4808" w:rsidP="00FC5826"/>
    <w:tbl>
      <w:tblPr>
        <w:tblW w:w="4280" w:type="dxa"/>
        <w:tblInd w:w="93" w:type="dxa"/>
        <w:tblLook w:val="04A0" w:firstRow="1" w:lastRow="0" w:firstColumn="1" w:lastColumn="0" w:noHBand="0" w:noVBand="1"/>
      </w:tblPr>
      <w:tblGrid>
        <w:gridCol w:w="1300"/>
        <w:gridCol w:w="1380"/>
        <w:gridCol w:w="1600"/>
      </w:tblGrid>
      <w:tr w:rsidR="00D61F3C" w:rsidRPr="00D61F3C" w14:paraId="56619DE4" w14:textId="77777777" w:rsidTr="00D61F3C">
        <w:trPr>
          <w:trHeight w:val="495"/>
        </w:trPr>
        <w:tc>
          <w:tcPr>
            <w:tcW w:w="1300" w:type="dxa"/>
            <w:tcBorders>
              <w:top w:val="nil"/>
              <w:left w:val="nil"/>
              <w:bottom w:val="nil"/>
              <w:right w:val="single" w:sz="8" w:space="0" w:color="auto"/>
            </w:tcBorders>
            <w:shd w:val="clear" w:color="auto" w:fill="auto"/>
            <w:noWrap/>
            <w:hideMark/>
          </w:tcPr>
          <w:p w14:paraId="25EEF5C9" w14:textId="77777777" w:rsidR="00D61F3C" w:rsidRPr="00D61F3C" w:rsidRDefault="00D61F3C" w:rsidP="00D61F3C">
            <w:pPr>
              <w:jc w:val="left"/>
              <w:rPr>
                <w:rFonts w:ascii="Cambria" w:eastAsia="Times New Roman" w:hAnsi="Cambria" w:cs="Times New Roman"/>
                <w:color w:val="000000"/>
                <w:sz w:val="24"/>
                <w:lang w:val="en-GB" w:eastAsia="en-GB"/>
              </w:rPr>
            </w:pPr>
            <w:r w:rsidRPr="00D61F3C">
              <w:rPr>
                <w:rFonts w:ascii="Cambria" w:eastAsia="Times New Roman" w:hAnsi="Cambria" w:cs="Times New Roman"/>
                <w:color w:val="000000"/>
                <w:sz w:val="24"/>
                <w:lang w:val="en-GB" w:eastAsia="en-GB"/>
              </w:rPr>
              <w:t> </w:t>
            </w:r>
          </w:p>
        </w:tc>
        <w:tc>
          <w:tcPr>
            <w:tcW w:w="2980" w:type="dxa"/>
            <w:gridSpan w:val="2"/>
            <w:tcBorders>
              <w:top w:val="single" w:sz="8" w:space="0" w:color="auto"/>
              <w:left w:val="nil"/>
              <w:bottom w:val="single" w:sz="8" w:space="0" w:color="auto"/>
              <w:right w:val="single" w:sz="8" w:space="0" w:color="000000"/>
            </w:tcBorders>
            <w:shd w:val="clear" w:color="000000" w:fill="D9D9D9"/>
            <w:vAlign w:val="center"/>
            <w:hideMark/>
          </w:tcPr>
          <w:p w14:paraId="5B57E7B9" w14:textId="77777777" w:rsidR="00D61F3C" w:rsidRPr="00D61F3C" w:rsidRDefault="00D61F3C" w:rsidP="00D61F3C">
            <w:pPr>
              <w:jc w:val="center"/>
              <w:rPr>
                <w:rFonts w:eastAsia="Times New Roman" w:cs="Arial"/>
                <w:b/>
                <w:bCs/>
                <w:color w:val="000000"/>
                <w:sz w:val="16"/>
                <w:szCs w:val="16"/>
                <w:lang w:val="en-GB" w:eastAsia="en-GB"/>
              </w:rPr>
            </w:pPr>
            <w:r w:rsidRPr="00D61F3C">
              <w:rPr>
                <w:rFonts w:eastAsia="Times New Roman" w:cs="Arial"/>
                <w:b/>
                <w:bCs/>
                <w:color w:val="000000"/>
                <w:sz w:val="16"/>
                <w:szCs w:val="16"/>
                <w:lang w:eastAsia="en-GB"/>
              </w:rPr>
              <w:t xml:space="preserve">Housing Unit Damage Estimates </w:t>
            </w:r>
            <w:r w:rsidRPr="00D61F3C">
              <w:rPr>
                <w:rFonts w:eastAsia="Times New Roman" w:cs="Arial"/>
                <w:b/>
                <w:bCs/>
                <w:color w:val="000000"/>
                <w:sz w:val="16"/>
                <w:szCs w:val="16"/>
                <w:lang w:eastAsia="en-GB"/>
              </w:rPr>
              <w:br/>
            </w:r>
            <w:r w:rsidRPr="00D61F3C">
              <w:rPr>
                <w:rFonts w:eastAsia="Times New Roman" w:cs="Arial"/>
                <w:color w:val="000000"/>
                <w:sz w:val="16"/>
                <w:szCs w:val="16"/>
                <w:lang w:eastAsia="en-GB"/>
              </w:rPr>
              <w:t>(at 09 October 2014)</w:t>
            </w:r>
          </w:p>
        </w:tc>
      </w:tr>
      <w:tr w:rsidR="00D61F3C" w:rsidRPr="00D61F3C" w14:paraId="482E5622" w14:textId="77777777" w:rsidTr="00D61F3C">
        <w:trPr>
          <w:trHeight w:val="315"/>
        </w:trPr>
        <w:tc>
          <w:tcPr>
            <w:tcW w:w="1300" w:type="dxa"/>
            <w:vMerge w:val="restart"/>
            <w:tcBorders>
              <w:top w:val="nil"/>
              <w:left w:val="nil"/>
              <w:bottom w:val="single" w:sz="8" w:space="0" w:color="000000"/>
              <w:right w:val="single" w:sz="8" w:space="0" w:color="auto"/>
            </w:tcBorders>
            <w:shd w:val="clear" w:color="auto" w:fill="auto"/>
            <w:noWrap/>
            <w:vAlign w:val="center"/>
            <w:hideMark/>
          </w:tcPr>
          <w:p w14:paraId="79F30D11" w14:textId="77777777" w:rsidR="00D61F3C" w:rsidRPr="00D61F3C" w:rsidRDefault="00D61F3C" w:rsidP="00D61F3C">
            <w:pPr>
              <w:rPr>
                <w:rFonts w:eastAsia="Times New Roman" w:cs="Arial"/>
                <w:color w:val="000000"/>
                <w:sz w:val="16"/>
                <w:szCs w:val="16"/>
                <w:lang w:val="en-GB" w:eastAsia="en-GB"/>
              </w:rPr>
            </w:pPr>
            <w:r w:rsidRPr="00D61F3C">
              <w:rPr>
                <w:rFonts w:eastAsia="Times New Roman" w:cs="Arial"/>
                <w:color w:val="000000"/>
                <w:sz w:val="16"/>
                <w:szCs w:val="16"/>
                <w:lang w:eastAsia="en-GB"/>
              </w:rPr>
              <w:t> </w:t>
            </w:r>
          </w:p>
        </w:tc>
        <w:tc>
          <w:tcPr>
            <w:tcW w:w="138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C492BD3" w14:textId="77777777" w:rsidR="00D61F3C" w:rsidRPr="00D61F3C" w:rsidRDefault="00D61F3C" w:rsidP="00D61F3C">
            <w:pPr>
              <w:jc w:val="center"/>
              <w:rPr>
                <w:rFonts w:eastAsia="Times New Roman" w:cs="Arial"/>
                <w:b/>
                <w:bCs/>
                <w:color w:val="000000"/>
                <w:sz w:val="16"/>
                <w:szCs w:val="16"/>
                <w:lang w:val="en-GB" w:eastAsia="en-GB"/>
              </w:rPr>
            </w:pPr>
            <w:r w:rsidRPr="00D61F3C">
              <w:rPr>
                <w:rFonts w:eastAsia="Times New Roman" w:cs="Arial"/>
                <w:b/>
                <w:bCs/>
                <w:color w:val="000000"/>
                <w:sz w:val="16"/>
                <w:szCs w:val="16"/>
                <w:lang w:eastAsia="en-GB"/>
              </w:rPr>
              <w:t>Minor and Major</w:t>
            </w:r>
          </w:p>
        </w:tc>
        <w:tc>
          <w:tcPr>
            <w:tcW w:w="1600" w:type="dxa"/>
            <w:tcBorders>
              <w:top w:val="nil"/>
              <w:left w:val="nil"/>
              <w:bottom w:val="nil"/>
              <w:right w:val="single" w:sz="8" w:space="0" w:color="auto"/>
            </w:tcBorders>
            <w:shd w:val="clear" w:color="000000" w:fill="D9D9D9"/>
            <w:noWrap/>
            <w:vAlign w:val="center"/>
            <w:hideMark/>
          </w:tcPr>
          <w:p w14:paraId="1E23382A" w14:textId="77777777" w:rsidR="00D61F3C" w:rsidRPr="00D61F3C" w:rsidRDefault="00D61F3C" w:rsidP="00D61F3C">
            <w:pPr>
              <w:jc w:val="center"/>
              <w:rPr>
                <w:rFonts w:eastAsia="Times New Roman" w:cs="Arial"/>
                <w:b/>
                <w:bCs/>
                <w:color w:val="000000"/>
                <w:sz w:val="16"/>
                <w:szCs w:val="16"/>
                <w:lang w:val="en-GB" w:eastAsia="en-GB"/>
              </w:rPr>
            </w:pPr>
            <w:r w:rsidRPr="00D61F3C">
              <w:rPr>
                <w:rFonts w:eastAsia="Times New Roman" w:cs="Arial"/>
                <w:b/>
                <w:bCs/>
                <w:color w:val="000000"/>
                <w:sz w:val="16"/>
                <w:szCs w:val="16"/>
                <w:lang w:eastAsia="en-GB"/>
              </w:rPr>
              <w:t xml:space="preserve">Severe and </w:t>
            </w:r>
          </w:p>
        </w:tc>
      </w:tr>
      <w:tr w:rsidR="00D61F3C" w:rsidRPr="00D61F3C" w14:paraId="5388073B" w14:textId="77777777" w:rsidTr="00D61F3C">
        <w:trPr>
          <w:trHeight w:val="315"/>
        </w:trPr>
        <w:tc>
          <w:tcPr>
            <w:tcW w:w="1300" w:type="dxa"/>
            <w:vMerge/>
            <w:tcBorders>
              <w:top w:val="nil"/>
              <w:left w:val="nil"/>
              <w:bottom w:val="single" w:sz="8" w:space="0" w:color="000000"/>
              <w:right w:val="single" w:sz="8" w:space="0" w:color="auto"/>
            </w:tcBorders>
            <w:vAlign w:val="center"/>
            <w:hideMark/>
          </w:tcPr>
          <w:p w14:paraId="34AB3D01" w14:textId="77777777" w:rsidR="00D61F3C" w:rsidRPr="00D61F3C" w:rsidRDefault="00D61F3C" w:rsidP="00D61F3C">
            <w:pPr>
              <w:jc w:val="left"/>
              <w:rPr>
                <w:rFonts w:eastAsia="Times New Roman" w:cs="Arial"/>
                <w:color w:val="000000"/>
                <w:sz w:val="16"/>
                <w:szCs w:val="16"/>
                <w:lang w:val="en-GB" w:eastAsia="en-GB"/>
              </w:rPr>
            </w:pPr>
          </w:p>
        </w:tc>
        <w:tc>
          <w:tcPr>
            <w:tcW w:w="1380" w:type="dxa"/>
            <w:vMerge/>
            <w:tcBorders>
              <w:top w:val="nil"/>
              <w:left w:val="single" w:sz="8" w:space="0" w:color="auto"/>
              <w:bottom w:val="single" w:sz="8" w:space="0" w:color="000000"/>
              <w:right w:val="single" w:sz="8" w:space="0" w:color="auto"/>
            </w:tcBorders>
            <w:vAlign w:val="center"/>
            <w:hideMark/>
          </w:tcPr>
          <w:p w14:paraId="2850235C" w14:textId="77777777" w:rsidR="00D61F3C" w:rsidRPr="00D61F3C" w:rsidRDefault="00D61F3C" w:rsidP="00D61F3C">
            <w:pPr>
              <w:jc w:val="left"/>
              <w:rPr>
                <w:rFonts w:eastAsia="Times New Roman" w:cs="Arial"/>
                <w:b/>
                <w:bCs/>
                <w:color w:val="000000"/>
                <w:sz w:val="16"/>
                <w:szCs w:val="16"/>
                <w:lang w:val="en-GB" w:eastAsia="en-GB"/>
              </w:rPr>
            </w:pPr>
          </w:p>
        </w:tc>
        <w:tc>
          <w:tcPr>
            <w:tcW w:w="1600" w:type="dxa"/>
            <w:tcBorders>
              <w:top w:val="nil"/>
              <w:left w:val="nil"/>
              <w:bottom w:val="single" w:sz="8" w:space="0" w:color="auto"/>
              <w:right w:val="single" w:sz="8" w:space="0" w:color="auto"/>
            </w:tcBorders>
            <w:shd w:val="clear" w:color="000000" w:fill="D9D9D9"/>
            <w:noWrap/>
            <w:vAlign w:val="center"/>
            <w:hideMark/>
          </w:tcPr>
          <w:p w14:paraId="25694BA7" w14:textId="77777777" w:rsidR="00D61F3C" w:rsidRPr="00D61F3C" w:rsidRDefault="00D61F3C" w:rsidP="00D61F3C">
            <w:pPr>
              <w:jc w:val="center"/>
              <w:rPr>
                <w:rFonts w:eastAsia="Times New Roman" w:cs="Arial"/>
                <w:b/>
                <w:bCs/>
                <w:color w:val="000000"/>
                <w:sz w:val="16"/>
                <w:szCs w:val="16"/>
                <w:lang w:eastAsia="en-GB"/>
              </w:rPr>
            </w:pPr>
            <w:r w:rsidRPr="00D61F3C">
              <w:rPr>
                <w:rFonts w:eastAsia="Times New Roman" w:cs="Arial"/>
                <w:b/>
                <w:bCs/>
                <w:color w:val="000000"/>
                <w:sz w:val="16"/>
                <w:szCs w:val="16"/>
                <w:lang w:eastAsia="en-GB"/>
              </w:rPr>
              <w:t>Destroyed</w:t>
            </w:r>
          </w:p>
        </w:tc>
      </w:tr>
      <w:tr w:rsidR="00D61F3C" w:rsidRPr="00D61F3C" w14:paraId="14D2C247" w14:textId="77777777" w:rsidTr="00D61F3C">
        <w:trPr>
          <w:trHeight w:val="315"/>
        </w:trPr>
        <w:tc>
          <w:tcPr>
            <w:tcW w:w="1300" w:type="dxa"/>
            <w:tcBorders>
              <w:top w:val="nil"/>
              <w:left w:val="single" w:sz="8" w:space="0" w:color="auto"/>
              <w:bottom w:val="nil"/>
              <w:right w:val="single" w:sz="8" w:space="0" w:color="auto"/>
            </w:tcBorders>
            <w:shd w:val="clear" w:color="auto" w:fill="auto"/>
            <w:noWrap/>
            <w:vAlign w:val="center"/>
            <w:hideMark/>
          </w:tcPr>
          <w:p w14:paraId="248A39CD" w14:textId="77777777" w:rsidR="00D61F3C" w:rsidRPr="00D61F3C" w:rsidRDefault="00D61F3C" w:rsidP="00D61F3C">
            <w:pPr>
              <w:jc w:val="left"/>
              <w:rPr>
                <w:rFonts w:eastAsia="Times New Roman" w:cs="Arial"/>
                <w:b/>
                <w:bCs/>
                <w:color w:val="000000"/>
                <w:sz w:val="16"/>
                <w:szCs w:val="16"/>
                <w:lang w:val="en-GB" w:eastAsia="en-GB"/>
              </w:rPr>
            </w:pPr>
            <w:r w:rsidRPr="00D61F3C">
              <w:rPr>
                <w:rFonts w:eastAsia="Times New Roman" w:cs="Arial"/>
                <w:b/>
                <w:bCs/>
                <w:color w:val="000000"/>
                <w:sz w:val="16"/>
                <w:szCs w:val="16"/>
                <w:lang w:eastAsia="en-GB"/>
              </w:rPr>
              <w:t>TOTAL</w:t>
            </w:r>
          </w:p>
        </w:tc>
        <w:tc>
          <w:tcPr>
            <w:tcW w:w="13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D83F5E" w14:textId="77777777" w:rsidR="00D61F3C" w:rsidRPr="00D61F3C" w:rsidRDefault="00D61F3C" w:rsidP="00D61F3C">
            <w:pPr>
              <w:jc w:val="center"/>
              <w:rPr>
                <w:rFonts w:eastAsia="Times New Roman" w:cs="Arial"/>
                <w:b/>
                <w:bCs/>
                <w:color w:val="000000"/>
                <w:sz w:val="16"/>
                <w:szCs w:val="16"/>
                <w:lang w:val="en-GB" w:eastAsia="en-GB"/>
              </w:rPr>
            </w:pPr>
            <w:r w:rsidRPr="00D61F3C">
              <w:rPr>
                <w:rFonts w:eastAsia="Times New Roman" w:cs="Arial"/>
                <w:b/>
                <w:bCs/>
                <w:color w:val="000000"/>
                <w:sz w:val="16"/>
                <w:szCs w:val="16"/>
                <w:lang w:eastAsia="en-GB"/>
              </w:rPr>
              <w:t>80,000</w:t>
            </w:r>
          </w:p>
        </w:tc>
        <w:tc>
          <w:tcPr>
            <w:tcW w:w="16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03E772" w14:textId="77777777" w:rsidR="00D61F3C" w:rsidRPr="00D61F3C" w:rsidRDefault="00D61F3C" w:rsidP="00D61F3C">
            <w:pPr>
              <w:jc w:val="center"/>
              <w:rPr>
                <w:rFonts w:eastAsia="Times New Roman" w:cs="Arial"/>
                <w:b/>
                <w:bCs/>
                <w:color w:val="000000"/>
                <w:sz w:val="16"/>
                <w:szCs w:val="16"/>
                <w:lang w:val="en-GB" w:eastAsia="en-GB"/>
              </w:rPr>
            </w:pPr>
            <w:r w:rsidRPr="00D61F3C">
              <w:rPr>
                <w:rFonts w:eastAsia="Times New Roman" w:cs="Arial"/>
                <w:b/>
                <w:bCs/>
                <w:color w:val="000000"/>
                <w:sz w:val="16"/>
                <w:szCs w:val="16"/>
                <w:lang w:eastAsia="en-GB"/>
              </w:rPr>
              <w:t>20,000</w:t>
            </w:r>
          </w:p>
        </w:tc>
      </w:tr>
      <w:tr w:rsidR="00D61F3C" w:rsidRPr="00D61F3C" w14:paraId="2DDE4E8F" w14:textId="77777777" w:rsidTr="00D61F3C">
        <w:trPr>
          <w:trHeight w:val="315"/>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7473EAAB" w14:textId="77777777" w:rsidR="00D61F3C" w:rsidRPr="00D61F3C" w:rsidRDefault="00D61F3C" w:rsidP="00D61F3C">
            <w:pPr>
              <w:jc w:val="left"/>
              <w:rPr>
                <w:rFonts w:eastAsia="Times New Roman" w:cs="Arial"/>
                <w:color w:val="000000"/>
                <w:sz w:val="16"/>
                <w:szCs w:val="16"/>
                <w:lang w:val="en-GB" w:eastAsia="en-GB"/>
              </w:rPr>
            </w:pPr>
            <w:r w:rsidRPr="00D61F3C">
              <w:rPr>
                <w:rFonts w:eastAsia="Times New Roman" w:cs="Arial"/>
                <w:color w:val="000000"/>
                <w:sz w:val="16"/>
                <w:szCs w:val="16"/>
                <w:lang w:val="en-GB" w:eastAsia="en-GB"/>
              </w:rPr>
              <w:t>(housing units)</w:t>
            </w:r>
          </w:p>
        </w:tc>
        <w:tc>
          <w:tcPr>
            <w:tcW w:w="1380" w:type="dxa"/>
            <w:vMerge/>
            <w:tcBorders>
              <w:top w:val="nil"/>
              <w:left w:val="single" w:sz="8" w:space="0" w:color="auto"/>
              <w:bottom w:val="single" w:sz="8" w:space="0" w:color="000000"/>
              <w:right w:val="single" w:sz="8" w:space="0" w:color="auto"/>
            </w:tcBorders>
            <w:vAlign w:val="center"/>
            <w:hideMark/>
          </w:tcPr>
          <w:p w14:paraId="1DFE89E6" w14:textId="77777777" w:rsidR="00D61F3C" w:rsidRPr="00D61F3C" w:rsidRDefault="00D61F3C" w:rsidP="00D61F3C">
            <w:pPr>
              <w:jc w:val="left"/>
              <w:rPr>
                <w:rFonts w:eastAsia="Times New Roman" w:cs="Arial"/>
                <w:b/>
                <w:bCs/>
                <w:color w:val="000000"/>
                <w:sz w:val="16"/>
                <w:szCs w:val="16"/>
                <w:lang w:val="en-GB" w:eastAsia="en-GB"/>
              </w:rPr>
            </w:pPr>
          </w:p>
        </w:tc>
        <w:tc>
          <w:tcPr>
            <w:tcW w:w="1600" w:type="dxa"/>
            <w:vMerge/>
            <w:tcBorders>
              <w:top w:val="nil"/>
              <w:left w:val="single" w:sz="8" w:space="0" w:color="auto"/>
              <w:bottom w:val="single" w:sz="8" w:space="0" w:color="000000"/>
              <w:right w:val="single" w:sz="8" w:space="0" w:color="auto"/>
            </w:tcBorders>
            <w:vAlign w:val="center"/>
            <w:hideMark/>
          </w:tcPr>
          <w:p w14:paraId="48FD060F" w14:textId="77777777" w:rsidR="00D61F3C" w:rsidRPr="00D61F3C" w:rsidRDefault="00D61F3C" w:rsidP="00D61F3C">
            <w:pPr>
              <w:jc w:val="left"/>
              <w:rPr>
                <w:rFonts w:eastAsia="Times New Roman" w:cs="Arial"/>
                <w:b/>
                <w:bCs/>
                <w:color w:val="000000"/>
                <w:sz w:val="16"/>
                <w:szCs w:val="16"/>
                <w:lang w:val="en-GB" w:eastAsia="en-GB"/>
              </w:rPr>
            </w:pPr>
          </w:p>
        </w:tc>
      </w:tr>
      <w:tr w:rsidR="00D61F3C" w:rsidRPr="00D61F3C" w14:paraId="02ACE2E9" w14:textId="77777777" w:rsidTr="00D61F3C">
        <w:trPr>
          <w:trHeight w:val="465"/>
        </w:trPr>
        <w:tc>
          <w:tcPr>
            <w:tcW w:w="1300" w:type="dxa"/>
            <w:tcBorders>
              <w:top w:val="nil"/>
              <w:left w:val="single" w:sz="8" w:space="0" w:color="auto"/>
              <w:bottom w:val="single" w:sz="8" w:space="0" w:color="auto"/>
              <w:right w:val="single" w:sz="8" w:space="0" w:color="auto"/>
            </w:tcBorders>
            <w:shd w:val="clear" w:color="auto" w:fill="auto"/>
            <w:vAlign w:val="center"/>
            <w:hideMark/>
          </w:tcPr>
          <w:p w14:paraId="44788703" w14:textId="77777777" w:rsidR="00D61F3C" w:rsidRPr="00D61F3C" w:rsidRDefault="00D61F3C" w:rsidP="00D61F3C">
            <w:pPr>
              <w:jc w:val="left"/>
              <w:rPr>
                <w:rFonts w:eastAsia="Times New Roman" w:cs="Arial"/>
                <w:color w:val="000000"/>
                <w:sz w:val="16"/>
                <w:szCs w:val="16"/>
                <w:lang w:val="en-GB" w:eastAsia="en-GB"/>
              </w:rPr>
            </w:pPr>
            <w:r w:rsidRPr="00D61F3C">
              <w:rPr>
                <w:rFonts w:eastAsia="Times New Roman" w:cs="Arial"/>
                <w:color w:val="000000"/>
                <w:sz w:val="16"/>
                <w:szCs w:val="16"/>
                <w:lang w:eastAsia="en-GB"/>
              </w:rPr>
              <w:t xml:space="preserve">% of pre-crisis housing stock </w:t>
            </w:r>
          </w:p>
        </w:tc>
        <w:tc>
          <w:tcPr>
            <w:tcW w:w="1380" w:type="dxa"/>
            <w:tcBorders>
              <w:top w:val="nil"/>
              <w:left w:val="nil"/>
              <w:bottom w:val="single" w:sz="8" w:space="0" w:color="auto"/>
              <w:right w:val="single" w:sz="8" w:space="0" w:color="auto"/>
            </w:tcBorders>
            <w:shd w:val="clear" w:color="auto" w:fill="auto"/>
            <w:noWrap/>
            <w:vAlign w:val="center"/>
            <w:hideMark/>
          </w:tcPr>
          <w:p w14:paraId="5EE0475E" w14:textId="77777777" w:rsidR="00D61F3C" w:rsidRPr="00D61F3C" w:rsidRDefault="00D61F3C" w:rsidP="00D61F3C">
            <w:pPr>
              <w:jc w:val="center"/>
              <w:rPr>
                <w:rFonts w:eastAsia="Times New Roman" w:cs="Arial"/>
                <w:b/>
                <w:bCs/>
                <w:color w:val="000000"/>
                <w:sz w:val="16"/>
                <w:szCs w:val="16"/>
                <w:lang w:val="en-GB" w:eastAsia="en-GB"/>
              </w:rPr>
            </w:pPr>
            <w:r w:rsidRPr="00D61F3C">
              <w:rPr>
                <w:rFonts w:eastAsia="Times New Roman" w:cs="Arial"/>
                <w:b/>
                <w:bCs/>
                <w:color w:val="000000"/>
                <w:sz w:val="16"/>
                <w:szCs w:val="16"/>
                <w:lang w:eastAsia="en-GB"/>
              </w:rPr>
              <w:t>23.2%</w:t>
            </w:r>
          </w:p>
        </w:tc>
        <w:tc>
          <w:tcPr>
            <w:tcW w:w="1600" w:type="dxa"/>
            <w:tcBorders>
              <w:top w:val="nil"/>
              <w:left w:val="nil"/>
              <w:bottom w:val="single" w:sz="8" w:space="0" w:color="auto"/>
              <w:right w:val="single" w:sz="8" w:space="0" w:color="auto"/>
            </w:tcBorders>
            <w:shd w:val="clear" w:color="auto" w:fill="auto"/>
            <w:noWrap/>
            <w:vAlign w:val="center"/>
            <w:hideMark/>
          </w:tcPr>
          <w:p w14:paraId="5D1ED3B6" w14:textId="77777777" w:rsidR="00D61F3C" w:rsidRPr="00D61F3C" w:rsidRDefault="00D61F3C" w:rsidP="00D61F3C">
            <w:pPr>
              <w:jc w:val="center"/>
              <w:rPr>
                <w:rFonts w:eastAsia="Times New Roman" w:cs="Arial"/>
                <w:b/>
                <w:bCs/>
                <w:color w:val="000000"/>
                <w:sz w:val="16"/>
                <w:szCs w:val="16"/>
                <w:lang w:val="en-GB" w:eastAsia="en-GB"/>
              </w:rPr>
            </w:pPr>
            <w:r w:rsidRPr="00D61F3C">
              <w:rPr>
                <w:rFonts w:eastAsia="Times New Roman" w:cs="Arial"/>
                <w:b/>
                <w:bCs/>
                <w:color w:val="000000"/>
                <w:sz w:val="16"/>
                <w:szCs w:val="16"/>
                <w:lang w:val="en-GB" w:eastAsia="en-GB"/>
              </w:rPr>
              <w:t>5.8%</w:t>
            </w:r>
          </w:p>
        </w:tc>
      </w:tr>
      <w:tr w:rsidR="00D61F3C" w:rsidRPr="00D61F3C" w14:paraId="505B94A6" w14:textId="77777777" w:rsidTr="00D61F3C">
        <w:trPr>
          <w:trHeight w:val="315"/>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3D89A670" w14:textId="77777777" w:rsidR="00D61F3C" w:rsidRPr="00D61F3C" w:rsidRDefault="00D61F3C" w:rsidP="00D61F3C">
            <w:pPr>
              <w:jc w:val="left"/>
              <w:rPr>
                <w:rFonts w:eastAsia="Times New Roman" w:cs="Arial"/>
                <w:color w:val="000000"/>
                <w:sz w:val="16"/>
                <w:szCs w:val="16"/>
                <w:lang w:val="en-GB" w:eastAsia="en-GB"/>
              </w:rPr>
            </w:pPr>
            <w:r w:rsidRPr="00D61F3C">
              <w:rPr>
                <w:rFonts w:eastAsia="Times New Roman" w:cs="Arial"/>
                <w:color w:val="000000"/>
                <w:sz w:val="16"/>
                <w:szCs w:val="16"/>
                <w:lang w:eastAsia="en-GB"/>
              </w:rPr>
              <w:t># Individuals</w:t>
            </w:r>
          </w:p>
        </w:tc>
        <w:tc>
          <w:tcPr>
            <w:tcW w:w="1380" w:type="dxa"/>
            <w:tcBorders>
              <w:top w:val="nil"/>
              <w:left w:val="nil"/>
              <w:bottom w:val="single" w:sz="8" w:space="0" w:color="auto"/>
              <w:right w:val="single" w:sz="8" w:space="0" w:color="auto"/>
            </w:tcBorders>
            <w:shd w:val="clear" w:color="auto" w:fill="auto"/>
            <w:noWrap/>
            <w:vAlign w:val="center"/>
            <w:hideMark/>
          </w:tcPr>
          <w:p w14:paraId="64C2ED74" w14:textId="77777777" w:rsidR="00D61F3C" w:rsidRPr="00D61F3C" w:rsidRDefault="00D61F3C" w:rsidP="00D61F3C">
            <w:pPr>
              <w:jc w:val="center"/>
              <w:rPr>
                <w:rFonts w:eastAsia="Times New Roman" w:cs="Arial"/>
                <w:color w:val="000000"/>
                <w:sz w:val="16"/>
                <w:szCs w:val="16"/>
                <w:lang w:val="en-GB" w:eastAsia="en-GB"/>
              </w:rPr>
            </w:pPr>
            <w:r w:rsidRPr="00D61F3C">
              <w:rPr>
                <w:rFonts w:eastAsia="Times New Roman" w:cs="Arial"/>
                <w:color w:val="000000"/>
                <w:sz w:val="16"/>
                <w:szCs w:val="16"/>
                <w:lang w:eastAsia="en-GB"/>
              </w:rPr>
              <w:t>480,000</w:t>
            </w:r>
          </w:p>
        </w:tc>
        <w:tc>
          <w:tcPr>
            <w:tcW w:w="1600" w:type="dxa"/>
            <w:tcBorders>
              <w:top w:val="nil"/>
              <w:left w:val="nil"/>
              <w:bottom w:val="single" w:sz="8" w:space="0" w:color="auto"/>
              <w:right w:val="single" w:sz="8" w:space="0" w:color="auto"/>
            </w:tcBorders>
            <w:shd w:val="clear" w:color="auto" w:fill="auto"/>
            <w:noWrap/>
            <w:vAlign w:val="center"/>
            <w:hideMark/>
          </w:tcPr>
          <w:p w14:paraId="251C7906" w14:textId="77777777" w:rsidR="00D61F3C" w:rsidRPr="00D61F3C" w:rsidRDefault="00D61F3C" w:rsidP="00D61F3C">
            <w:pPr>
              <w:jc w:val="center"/>
              <w:rPr>
                <w:rFonts w:eastAsia="Times New Roman" w:cs="Arial"/>
                <w:color w:val="000000"/>
                <w:sz w:val="16"/>
                <w:szCs w:val="16"/>
                <w:lang w:val="en-GB" w:eastAsia="en-GB"/>
              </w:rPr>
            </w:pPr>
            <w:r w:rsidRPr="00D61F3C">
              <w:rPr>
                <w:rFonts w:eastAsia="Times New Roman" w:cs="Arial"/>
                <w:color w:val="000000"/>
                <w:sz w:val="16"/>
                <w:szCs w:val="16"/>
                <w:lang w:eastAsia="en-GB"/>
              </w:rPr>
              <w:t>120,000</w:t>
            </w:r>
          </w:p>
        </w:tc>
      </w:tr>
    </w:tbl>
    <w:p w14:paraId="0BF89427" w14:textId="77777777" w:rsidR="00D61F3C" w:rsidRDefault="00D61F3C" w:rsidP="00FC5826"/>
    <w:p w14:paraId="68F6FC4F" w14:textId="77777777" w:rsidR="00FC5826" w:rsidRDefault="00FC5826" w:rsidP="00FC5826"/>
    <w:p w14:paraId="1E654848" w14:textId="77777777" w:rsidR="006E4FA7" w:rsidRDefault="006E4FA7" w:rsidP="00FC5826"/>
    <w:p w14:paraId="7C31DF29" w14:textId="638232AA" w:rsidR="005D4808" w:rsidRPr="00553928" w:rsidRDefault="005D4808" w:rsidP="005D4808">
      <w:pPr>
        <w:rPr>
          <w:lang w:val="en-GB"/>
        </w:rPr>
      </w:pPr>
      <w:r w:rsidRPr="005D4808">
        <w:rPr>
          <w:lang w:val="en-GB"/>
        </w:rPr>
        <w:lastRenderedPageBreak/>
        <w:t xml:space="preserve">Currently, more </w:t>
      </w:r>
      <w:r w:rsidRPr="00553928">
        <w:rPr>
          <w:lang w:val="en-GB"/>
        </w:rPr>
        <w:t>than 10</w:t>
      </w:r>
      <w:r w:rsidR="0051290A" w:rsidRPr="00553928">
        <w:rPr>
          <w:lang w:val="en-GB"/>
        </w:rPr>
        <w:t>0</w:t>
      </w:r>
      <w:r w:rsidRPr="00553928">
        <w:rPr>
          <w:lang w:val="en-GB"/>
        </w:rPr>
        <w:t>,000 people are displaced by the recent war, with an estimated 47</w:t>
      </w:r>
      <w:r w:rsidR="00553928" w:rsidRPr="00553928">
        <w:rPr>
          <w:lang w:val="en-GB"/>
        </w:rPr>
        <w:t>,</w:t>
      </w:r>
      <w:r w:rsidRPr="00553928">
        <w:rPr>
          <w:lang w:val="en-GB"/>
        </w:rPr>
        <w:t xml:space="preserve">000 people living </w:t>
      </w:r>
      <w:r w:rsidR="00562DB3">
        <w:rPr>
          <w:lang w:val="en-GB"/>
        </w:rPr>
        <w:t>with</w:t>
      </w:r>
      <w:r w:rsidRPr="00553928">
        <w:rPr>
          <w:lang w:val="en-GB"/>
        </w:rPr>
        <w:t xml:space="preserve"> host families and 57,000 people in collective centres. </w:t>
      </w:r>
    </w:p>
    <w:p w14:paraId="01F8D510" w14:textId="77777777" w:rsidR="005D4808" w:rsidRPr="00553928" w:rsidRDefault="005D4808" w:rsidP="005D4808">
      <w:pPr>
        <w:rPr>
          <w:lang w:val="en-GB"/>
        </w:rPr>
      </w:pPr>
    </w:p>
    <w:p w14:paraId="204B3391" w14:textId="77777777" w:rsidR="005D4808" w:rsidRPr="005D4808" w:rsidRDefault="005D4808" w:rsidP="005D4808">
      <w:pPr>
        <w:rPr>
          <w:lang w:val="en-GB"/>
        </w:rPr>
      </w:pPr>
      <w:r w:rsidRPr="00553928">
        <w:rPr>
          <w:lang w:val="en-GB"/>
        </w:rPr>
        <w:t>Approximately 20,000 housing units were totally destroyed or severely damaged in the war.</w:t>
      </w:r>
    </w:p>
    <w:p w14:paraId="421268D5" w14:textId="77777777" w:rsidR="005D4808" w:rsidRDefault="005D4808" w:rsidP="005D4808">
      <w:pPr>
        <w:rPr>
          <w:lang w:val="en-GB"/>
        </w:rPr>
      </w:pPr>
    </w:p>
    <w:p w14:paraId="0005FBE6" w14:textId="77777777" w:rsidR="005D4808" w:rsidRPr="005D4808" w:rsidRDefault="005D4808" w:rsidP="005D4808">
      <w:pPr>
        <w:rPr>
          <w:lang w:val="en-GB"/>
        </w:rPr>
      </w:pPr>
      <w:r w:rsidRPr="005D4808">
        <w:rPr>
          <w:lang w:val="en-GB"/>
        </w:rPr>
        <w:t xml:space="preserve">Furthermore, there won’t be many people in Gaza, with a population of 1.8 million that have not been affected in some manner; if not with damaged houses, then by challenges in accessing household items, food, adequate water and sanitation services, etc. </w:t>
      </w:r>
    </w:p>
    <w:p w14:paraId="574C78B0" w14:textId="77777777" w:rsidR="005D4808" w:rsidRDefault="005D4808" w:rsidP="005D4808">
      <w:pPr>
        <w:rPr>
          <w:lang w:val="en-GB"/>
        </w:rPr>
      </w:pPr>
    </w:p>
    <w:p w14:paraId="009D5F34" w14:textId="77777777" w:rsidR="005D4808" w:rsidRDefault="005D4808" w:rsidP="005D4808">
      <w:pPr>
        <w:rPr>
          <w:lang w:val="en-GB"/>
        </w:rPr>
      </w:pPr>
      <w:r w:rsidRPr="005D4808">
        <w:rPr>
          <w:lang w:val="en-GB"/>
        </w:rPr>
        <w:t>Lessons learnt from the 2009 “Cast Lead” operation show that displaced households returned home as soon as the security situation permitted. Those with uninhabitable houses, whether severely damaged or destroyed, stayed with host-families, rented accommodation, or settled near their damaged/destroyed home. Understanding the coping mechanisms and aspirations of the affected households is instrumental in developing response options, which support, rather than undermine, the efforts of the affected community.</w:t>
      </w:r>
    </w:p>
    <w:p w14:paraId="79E7657C" w14:textId="77777777" w:rsidR="005D4808" w:rsidRPr="005D4808" w:rsidRDefault="005D4808" w:rsidP="005D4808">
      <w:pPr>
        <w:rPr>
          <w:lang w:val="en-GB"/>
        </w:rPr>
      </w:pPr>
    </w:p>
    <w:p w14:paraId="305A0DA8" w14:textId="77777777" w:rsidR="005D4808" w:rsidRDefault="005D4808" w:rsidP="005D4808">
      <w:pPr>
        <w:rPr>
          <w:lang w:val="en-GB"/>
        </w:rPr>
      </w:pPr>
      <w:r w:rsidRPr="005D4808">
        <w:rPr>
          <w:lang w:val="en-GB"/>
        </w:rPr>
        <w:t>The 20,000 households (~120,000 individuals) with destroyed or severely damaged houses as a result of “Operation Protective Edge” will require interim solutions for years, in addition to support with reconstruction, given the current limitations on accessing the necessary building materials.</w:t>
      </w:r>
    </w:p>
    <w:p w14:paraId="3D2D3F82" w14:textId="77777777" w:rsidR="005D4808" w:rsidRPr="005D4808" w:rsidRDefault="005D4808" w:rsidP="005D4808">
      <w:pPr>
        <w:rPr>
          <w:lang w:val="en-GB"/>
        </w:rPr>
      </w:pPr>
    </w:p>
    <w:p w14:paraId="09CABD45" w14:textId="4668D06D" w:rsidR="005D4808" w:rsidRPr="005D4808" w:rsidRDefault="005D4808" w:rsidP="005D4808">
      <w:pPr>
        <w:rPr>
          <w:lang w:val="en-GB"/>
        </w:rPr>
      </w:pPr>
      <w:r w:rsidRPr="005D4808">
        <w:rPr>
          <w:lang w:val="en-GB"/>
        </w:rPr>
        <w:t>In total, there is chronic shortage of housing units in the Gaza Strip. 20,000</w:t>
      </w:r>
      <w:r>
        <w:rPr>
          <w:lang w:val="en-GB"/>
        </w:rPr>
        <w:t xml:space="preserve"> </w:t>
      </w:r>
      <w:r w:rsidRPr="005D4808">
        <w:rPr>
          <w:lang w:val="en-GB"/>
        </w:rPr>
        <w:t>units destroyed or severely damaged during “Operation Protective Edge”; 5,000 units are outstanding reconstruction caseloads from previous military operations and 75,334 units are needed to reduce the large housing deficit from natural growth rates, based on needs in 2011. This figure is likely to have increased and the forecast for 2014 put the unmet housing needs due to n</w:t>
      </w:r>
      <w:r>
        <w:rPr>
          <w:lang w:val="en-GB"/>
        </w:rPr>
        <w:t xml:space="preserve">atural growth rates at 122,669. </w:t>
      </w:r>
      <w:r w:rsidRPr="005D4808">
        <w:rPr>
          <w:lang w:val="en-GB"/>
        </w:rPr>
        <w:t xml:space="preserve">The housing shortage prior to the latest hostilities, due to the blockade and ongoing conflict, </w:t>
      </w:r>
      <w:r w:rsidR="003C2E48">
        <w:rPr>
          <w:lang w:val="en-GB"/>
        </w:rPr>
        <w:t xml:space="preserve">has </w:t>
      </w:r>
      <w:r w:rsidRPr="005D4808">
        <w:rPr>
          <w:lang w:val="en-GB"/>
        </w:rPr>
        <w:t xml:space="preserve">made many people resort to problematic informal arrangements. </w:t>
      </w:r>
    </w:p>
    <w:p w14:paraId="520A500B" w14:textId="77777777" w:rsidR="005D4808" w:rsidRDefault="005D4808" w:rsidP="005D4808">
      <w:pPr>
        <w:rPr>
          <w:lang w:val="en-GB"/>
        </w:rPr>
      </w:pPr>
    </w:p>
    <w:p w14:paraId="41CBB66D" w14:textId="296A96A2" w:rsidR="005D4808" w:rsidRPr="005D4808" w:rsidRDefault="005D4808" w:rsidP="005D4808">
      <w:pPr>
        <w:rPr>
          <w:lang w:val="en-GB"/>
        </w:rPr>
      </w:pPr>
      <w:r w:rsidRPr="005D4808">
        <w:rPr>
          <w:lang w:val="en-GB"/>
        </w:rPr>
        <w:t>To be able to meet the ho</w:t>
      </w:r>
      <w:r>
        <w:rPr>
          <w:lang w:val="en-GB"/>
        </w:rPr>
        <w:t>using needs (100,334) within</w:t>
      </w:r>
      <w:r w:rsidRPr="005D4808">
        <w:rPr>
          <w:lang w:val="en-GB"/>
        </w:rPr>
        <w:t xml:space="preserve"> 3-5 years, there is a need to increase the number of truckloads with building material entering Gaza to between 735 and 441 ev</w:t>
      </w:r>
      <w:r>
        <w:rPr>
          <w:lang w:val="en-GB"/>
        </w:rPr>
        <w:t xml:space="preserve">ery day of the year for </w:t>
      </w:r>
      <w:r w:rsidRPr="005D4808">
        <w:rPr>
          <w:lang w:val="en-GB"/>
        </w:rPr>
        <w:t>3 to 5 years respectiv</w:t>
      </w:r>
      <w:r>
        <w:rPr>
          <w:lang w:val="en-GB"/>
        </w:rPr>
        <w:t xml:space="preserve">ely. </w:t>
      </w:r>
      <w:r w:rsidRPr="005D4808">
        <w:rPr>
          <w:lang w:val="en-GB"/>
        </w:rPr>
        <w:t>This calculation does not include public infrastructure (e.g. schools, utilities, etc.).</w:t>
      </w:r>
    </w:p>
    <w:p w14:paraId="70AD9980" w14:textId="77777777" w:rsidR="005D4808" w:rsidRDefault="005D4808" w:rsidP="005D4808">
      <w:pPr>
        <w:rPr>
          <w:lang w:val="en-GB"/>
        </w:rPr>
      </w:pPr>
    </w:p>
    <w:p w14:paraId="3F225830" w14:textId="0048A068" w:rsidR="005D4808" w:rsidRDefault="005D4808" w:rsidP="005D4808">
      <w:pPr>
        <w:rPr>
          <w:lang w:val="en-GB"/>
        </w:rPr>
      </w:pPr>
      <w:r w:rsidRPr="005D4808">
        <w:rPr>
          <w:lang w:val="en-GB"/>
        </w:rPr>
        <w:t xml:space="preserve">The maximum capacity of the </w:t>
      </w:r>
      <w:proofErr w:type="spellStart"/>
      <w:r w:rsidRPr="005D4808">
        <w:rPr>
          <w:lang w:val="en-GB"/>
        </w:rPr>
        <w:t>Kerem</w:t>
      </w:r>
      <w:proofErr w:type="spellEnd"/>
      <w:r w:rsidRPr="005D4808">
        <w:rPr>
          <w:lang w:val="en-GB"/>
        </w:rPr>
        <w:t xml:space="preserve"> Shalom border crossing is said to be around 450 trucks a day - however, only about 30 truckloads with construction materials are currently passing, none of which are carrying building materials to respond t</w:t>
      </w:r>
      <w:r>
        <w:rPr>
          <w:lang w:val="en-GB"/>
        </w:rPr>
        <w:t>o the current shelter crisis.</w:t>
      </w:r>
    </w:p>
    <w:p w14:paraId="7D3E5E8A" w14:textId="77777777" w:rsidR="005D4808" w:rsidRPr="005D4808" w:rsidRDefault="005D4808" w:rsidP="005D4808">
      <w:pPr>
        <w:rPr>
          <w:lang w:val="en-GB"/>
        </w:rPr>
      </w:pPr>
    </w:p>
    <w:p w14:paraId="771FA590" w14:textId="239E10D7" w:rsidR="00302592" w:rsidRPr="006D27D7" w:rsidRDefault="005D4808" w:rsidP="005D4808">
      <w:pPr>
        <w:rPr>
          <w:lang w:val="en-GB"/>
        </w:rPr>
      </w:pPr>
      <w:r w:rsidRPr="005D4808">
        <w:rPr>
          <w:lang w:val="en-GB"/>
        </w:rPr>
        <w:t>In addition, the UN faces lengthy waiting times to acquire Israeli approval for their reconstruction projects. According to OCHA, the average waiting time for approval was 19 months immediately prior to “Operation Protective Edge”. A recent approval took 15 months which still constitutes a major challenge.</w:t>
      </w:r>
    </w:p>
    <w:p w14:paraId="430441A1" w14:textId="19CD185F" w:rsidR="00A84B8C" w:rsidRDefault="00A84B8C" w:rsidP="00A84B8C">
      <w:pPr>
        <w:pStyle w:val="Heading1"/>
      </w:pPr>
      <w:r>
        <w:t>Proposed response framework</w:t>
      </w:r>
    </w:p>
    <w:p w14:paraId="0F6B91EA" w14:textId="2F6CD472" w:rsidR="006E4FA7" w:rsidRPr="00A84B8C" w:rsidRDefault="003057E7" w:rsidP="00A84B8C">
      <w:pPr>
        <w:pStyle w:val="Heading2"/>
      </w:pPr>
      <w:r>
        <w:t>E</w:t>
      </w:r>
      <w:r w:rsidR="001F7ED3" w:rsidRPr="00A84B8C">
        <w:t>mergency assistance</w:t>
      </w:r>
    </w:p>
    <w:p w14:paraId="2CC96F3D" w14:textId="3F295710" w:rsidR="006E4FA7" w:rsidRDefault="000069D4" w:rsidP="006E4FA7">
      <w:r>
        <w:t>For the Shelter Cluster</w:t>
      </w:r>
      <w:r w:rsidR="00D15D85">
        <w:t xml:space="preserve"> and partners</w:t>
      </w:r>
      <w:r>
        <w:t xml:space="preserve">, this </w:t>
      </w:r>
      <w:r w:rsidR="00D15D85">
        <w:t xml:space="preserve">assistance </w:t>
      </w:r>
      <w:r>
        <w:t>will include:</w:t>
      </w:r>
    </w:p>
    <w:p w14:paraId="46BD3799" w14:textId="77777777" w:rsidR="000069D4" w:rsidRDefault="000069D4" w:rsidP="006E4FA7"/>
    <w:p w14:paraId="279D6D90" w14:textId="77777777" w:rsidR="001515D6" w:rsidRDefault="000069D4" w:rsidP="001515D6">
      <w:r w:rsidRPr="001F7ED3">
        <w:rPr>
          <w:b/>
        </w:rPr>
        <w:t xml:space="preserve">Household and Hygiene </w:t>
      </w:r>
      <w:r w:rsidR="001F7ED3">
        <w:rPr>
          <w:b/>
        </w:rPr>
        <w:t>Non-Food Item (</w:t>
      </w:r>
      <w:r w:rsidRPr="001F7ED3">
        <w:rPr>
          <w:b/>
        </w:rPr>
        <w:t>NFI</w:t>
      </w:r>
      <w:r w:rsidR="001F7ED3">
        <w:rPr>
          <w:b/>
        </w:rPr>
        <w:t>)</w:t>
      </w:r>
    </w:p>
    <w:p w14:paraId="640ACA83" w14:textId="63E830D4" w:rsidR="000069D4" w:rsidRDefault="001515D6" w:rsidP="001515D6">
      <w:r>
        <w:t xml:space="preserve">Support will be required for individuals </w:t>
      </w:r>
      <w:r w:rsidR="000069D4">
        <w:t>in Collective Centers, host family situations and other locations of displacement</w:t>
      </w:r>
      <w:r w:rsidR="003057E7">
        <w:t>. Much NFI has been distribute</w:t>
      </w:r>
      <w:r w:rsidR="00F73526">
        <w:t>d</w:t>
      </w:r>
      <w:r w:rsidR="003057E7">
        <w:t xml:space="preserve"> and is ongoing. NFI </w:t>
      </w:r>
      <w:r w:rsidR="003057E7">
        <w:lastRenderedPageBreak/>
        <w:t>replenishment will become the key component of NFI as the response proceeds.</w:t>
      </w:r>
      <w:r w:rsidR="000069D4">
        <w:t xml:space="preserve"> </w:t>
      </w:r>
    </w:p>
    <w:p w14:paraId="4C921BDA" w14:textId="77777777" w:rsidR="001515D6" w:rsidRDefault="001515D6" w:rsidP="001515D6">
      <w:pPr>
        <w:ind w:left="426" w:hanging="360"/>
        <w:rPr>
          <w:b/>
        </w:rPr>
      </w:pPr>
    </w:p>
    <w:p w14:paraId="5E438BB5" w14:textId="77777777" w:rsidR="001515D6" w:rsidRDefault="000069D4" w:rsidP="001515D6">
      <w:r w:rsidRPr="001515D6">
        <w:rPr>
          <w:b/>
        </w:rPr>
        <w:t>Emergency shelter materials</w:t>
      </w:r>
    </w:p>
    <w:p w14:paraId="3BFFF9CE" w14:textId="37023E21" w:rsidR="007F07A9" w:rsidRDefault="001515D6" w:rsidP="001515D6">
      <w:r>
        <w:t xml:space="preserve">Emergency shelter materials </w:t>
      </w:r>
      <w:r w:rsidR="003057E7">
        <w:t xml:space="preserve">are needed </w:t>
      </w:r>
      <w:r>
        <w:t xml:space="preserve">to support </w:t>
      </w:r>
      <w:r w:rsidR="006F7281">
        <w:t xml:space="preserve">individuals in </w:t>
      </w:r>
      <w:r w:rsidR="000069D4">
        <w:t>Collective Centers and host family situations to provide some basic level of privacy in crowded conditions.</w:t>
      </w:r>
      <w:r w:rsidR="006F7281">
        <w:t xml:space="preserve"> Also, materials to support households living in damaged houses, so that they might seal of</w:t>
      </w:r>
      <w:r w:rsidR="003057E7">
        <w:t>f</w:t>
      </w:r>
      <w:r w:rsidR="006F7281">
        <w:t xml:space="preserve"> damaged rooms</w:t>
      </w:r>
      <w:r w:rsidR="003057E7">
        <w:t xml:space="preserve"> or create a warm, dry, ventilated room within a room using wooden framework, a tent or other solutions whilst ensuring safety within the building structure and limits</w:t>
      </w:r>
      <w:r w:rsidR="006F7281">
        <w:t>.</w:t>
      </w:r>
    </w:p>
    <w:p w14:paraId="04199BDE" w14:textId="28E7A4D1" w:rsidR="006E4FA7" w:rsidRDefault="006E4FA7" w:rsidP="005D4808"/>
    <w:p w14:paraId="21C2103A" w14:textId="0BEA3C02" w:rsidR="003057E7" w:rsidRDefault="003057E7" w:rsidP="001F7ED3">
      <w:r>
        <w:t xml:space="preserve">Repair and </w:t>
      </w:r>
      <w:r w:rsidR="001F7ED3">
        <w:t xml:space="preserve">reconstruction will require considerable time and resources. </w:t>
      </w:r>
      <w:r>
        <w:t xml:space="preserve">Ongoing surveys by UNRWA and UNDP with the Ministry of Public Works and Housing </w:t>
      </w:r>
      <w:r w:rsidR="007F07A9">
        <w:t xml:space="preserve">are </w:t>
      </w:r>
      <w:r>
        <w:t xml:space="preserve">resulting in </w:t>
      </w:r>
      <w:r w:rsidR="007F07A9">
        <w:t xml:space="preserve">payment </w:t>
      </w:r>
      <w:r>
        <w:t xml:space="preserve">of rental assistance and grants for minor repairs </w:t>
      </w:r>
      <w:r w:rsidR="007F07A9">
        <w:t xml:space="preserve">to some former </w:t>
      </w:r>
      <w:r>
        <w:t xml:space="preserve">owner-occupiers </w:t>
      </w:r>
      <w:r w:rsidR="007F07A9">
        <w:t xml:space="preserve">among </w:t>
      </w:r>
      <w:r>
        <w:t>the affected registered Palestinian refugee families</w:t>
      </w:r>
      <w:r w:rsidR="007F07A9">
        <w:t xml:space="preserve">, expanding </w:t>
      </w:r>
      <w:r>
        <w:t xml:space="preserve">as the program rolls out. </w:t>
      </w:r>
    </w:p>
    <w:p w14:paraId="7873D3A3" w14:textId="77777777" w:rsidR="005D4808" w:rsidRDefault="005D4808" w:rsidP="001F7ED3"/>
    <w:p w14:paraId="62751CB1" w14:textId="77777777" w:rsidR="003057E7" w:rsidRDefault="003057E7" w:rsidP="001F7ED3">
      <w:r>
        <w:t>Others have variously received cash grants and non-food-items to assist with replacing lost items and finding new accommodation.</w:t>
      </w:r>
    </w:p>
    <w:p w14:paraId="0E8B1432" w14:textId="77777777" w:rsidR="005D4808" w:rsidRDefault="005D4808" w:rsidP="001F7ED3"/>
    <w:p w14:paraId="37CA4023" w14:textId="0A391F42" w:rsidR="004163FE" w:rsidRDefault="007F07A9" w:rsidP="001F7ED3">
      <w:r>
        <w:t>P</w:t>
      </w:r>
      <w:r w:rsidR="003057E7">
        <w:t xml:space="preserve">ressure on </w:t>
      </w:r>
      <w:r>
        <w:t xml:space="preserve">housing </w:t>
      </w:r>
      <w:r w:rsidR="003057E7">
        <w:t>was already severe prior to Operation Protective Edge. The ongoing surveys are likely to produce a list of dam</w:t>
      </w:r>
      <w:r w:rsidR="00D61F3C">
        <w:t>aged houses in the region of 100</w:t>
      </w:r>
      <w:r w:rsidR="003057E7">
        <w:t>,000</w:t>
      </w:r>
      <w:r w:rsidR="00AC72E9">
        <w:t xml:space="preserve"> units </w:t>
      </w:r>
      <w:r w:rsidR="003057E7">
        <w:t>far exceeding previous</w:t>
      </w:r>
      <w:r w:rsidR="00AC72E9">
        <w:t>ly expected 60,000 units</w:t>
      </w:r>
      <w:r w:rsidR="003057E7">
        <w:t>. Of the</w:t>
      </w:r>
      <w:r w:rsidR="00AC72E9">
        <w:t xml:space="preserve"> total </w:t>
      </w:r>
      <w:r w:rsidR="003057E7">
        <w:t>it is anticipated 20,000 will be totally destroyed or so severely damaged as to be uninhabitabl</w:t>
      </w:r>
      <w:r w:rsidR="00AC72E9">
        <w:t xml:space="preserve">e </w:t>
      </w:r>
      <w:r>
        <w:t xml:space="preserve">needing </w:t>
      </w:r>
      <w:r w:rsidR="00AC72E9">
        <w:t xml:space="preserve">costly repairs or demolition and reconstruction (up from the previous figure of 16,000). </w:t>
      </w:r>
      <w:r w:rsidR="004163FE">
        <w:t xml:space="preserve">This should be compared with a known number of families in collective centres and host families of 17,000. </w:t>
      </w:r>
    </w:p>
    <w:p w14:paraId="0234D50F" w14:textId="77777777" w:rsidR="004163FE" w:rsidRDefault="004163FE" w:rsidP="001F7ED3"/>
    <w:p w14:paraId="657D3D9B" w14:textId="4C1E18BD" w:rsidR="001F7ED3" w:rsidRDefault="00AC72E9" w:rsidP="001F7ED3">
      <w:r>
        <w:t>T</w:t>
      </w:r>
      <w:r w:rsidR="001F7ED3">
        <w:t xml:space="preserve">ransitional shelter support will be required for </w:t>
      </w:r>
      <w:r>
        <w:t xml:space="preserve">the </w:t>
      </w:r>
      <w:r w:rsidR="001F7ED3">
        <w:t xml:space="preserve">estimated </w:t>
      </w:r>
      <w:r>
        <w:t>20</w:t>
      </w:r>
      <w:r w:rsidR="001F7ED3">
        <w:t>,000 households whose houses are severely damaged or destroyed</w:t>
      </w:r>
      <w:r>
        <w:t xml:space="preserve"> and are either lodging with host families, in collective centres or following other coping mechanisms including staying </w:t>
      </w:r>
      <w:r w:rsidR="007F07A9">
        <w:t xml:space="preserve">in-situ </w:t>
      </w:r>
      <w:r>
        <w:t>in makeshift shelters</w:t>
      </w:r>
      <w:r w:rsidR="001F7ED3">
        <w:t>.</w:t>
      </w:r>
    </w:p>
    <w:p w14:paraId="37AE01BC" w14:textId="77777777" w:rsidR="00AC72E9" w:rsidRDefault="00AC72E9" w:rsidP="001F7ED3"/>
    <w:p w14:paraId="27C37365" w14:textId="788F3CDE" w:rsidR="007F07A9" w:rsidRPr="002E16A9" w:rsidRDefault="00AC72E9" w:rsidP="001F7ED3">
      <w:pPr>
        <w:rPr>
          <w:b/>
        </w:rPr>
      </w:pPr>
      <w:r w:rsidRPr="002E16A9">
        <w:rPr>
          <w:b/>
        </w:rPr>
        <w:t xml:space="preserve">After </w:t>
      </w:r>
      <w:r w:rsidR="007F07A9" w:rsidRPr="002E16A9">
        <w:rPr>
          <w:b/>
        </w:rPr>
        <w:t xml:space="preserve">all </w:t>
      </w:r>
      <w:r w:rsidRPr="002E16A9">
        <w:rPr>
          <w:b/>
        </w:rPr>
        <w:t xml:space="preserve">minor </w:t>
      </w:r>
      <w:r w:rsidR="007F07A9" w:rsidRPr="002E16A9">
        <w:rPr>
          <w:b/>
        </w:rPr>
        <w:t>damaged units are</w:t>
      </w:r>
      <w:r w:rsidRPr="002E16A9">
        <w:rPr>
          <w:b/>
        </w:rPr>
        <w:t xml:space="preserve"> </w:t>
      </w:r>
      <w:r w:rsidR="007F07A9" w:rsidRPr="002E16A9">
        <w:rPr>
          <w:b/>
        </w:rPr>
        <w:t xml:space="preserve">considered </w:t>
      </w:r>
      <w:r w:rsidR="002E16A9" w:rsidRPr="002E16A9">
        <w:rPr>
          <w:b/>
        </w:rPr>
        <w:t>repaired</w:t>
      </w:r>
      <w:r w:rsidRPr="002E16A9">
        <w:rPr>
          <w:b/>
        </w:rPr>
        <w:t xml:space="preserve">, current figures indicate that </w:t>
      </w:r>
      <w:r w:rsidR="002B53F9" w:rsidRPr="002E16A9">
        <w:rPr>
          <w:b/>
        </w:rPr>
        <w:t xml:space="preserve">up to </w:t>
      </w:r>
      <w:r w:rsidRPr="002E16A9">
        <w:rPr>
          <w:b/>
        </w:rPr>
        <w:t xml:space="preserve">11,000 </w:t>
      </w:r>
      <w:r w:rsidR="002B53F9" w:rsidRPr="002E16A9">
        <w:rPr>
          <w:b/>
        </w:rPr>
        <w:t xml:space="preserve">further </w:t>
      </w:r>
      <w:r w:rsidRPr="002E16A9">
        <w:rPr>
          <w:b/>
        </w:rPr>
        <w:t>transitional solutions are needed to allow the affected population to over-winter in adequate shelter conditions.</w:t>
      </w:r>
      <w:r w:rsidR="007F07A9" w:rsidRPr="002E16A9">
        <w:rPr>
          <w:b/>
        </w:rPr>
        <w:t xml:space="preserve"> </w:t>
      </w:r>
      <w:r w:rsidR="002B53F9" w:rsidRPr="002E16A9">
        <w:rPr>
          <w:b/>
        </w:rPr>
        <w:t>The current number of k</w:t>
      </w:r>
      <w:r w:rsidR="007F07A9" w:rsidRPr="002E16A9">
        <w:rPr>
          <w:b/>
        </w:rPr>
        <w:t xml:space="preserve">nown solutions number only 6,000. </w:t>
      </w:r>
    </w:p>
    <w:p w14:paraId="1D1C0E23" w14:textId="102EC209" w:rsidR="00CE2C88" w:rsidRDefault="00AC72E9" w:rsidP="001F7ED3">
      <w:r>
        <w:t xml:space="preserve"> </w:t>
      </w:r>
    </w:p>
    <w:p w14:paraId="7AD5D9CA" w14:textId="1D5836C8" w:rsidR="00CE2C88" w:rsidRDefault="00AC72E9" w:rsidP="001F7ED3">
      <w:r>
        <w:t xml:space="preserve">Suitable </w:t>
      </w:r>
      <w:r w:rsidR="00CE2C88">
        <w:t xml:space="preserve">transitional options </w:t>
      </w:r>
      <w:r>
        <w:t>include rental assistance, finishing off existing ‘spare’ units in exchange for rent-free accommodation</w:t>
      </w:r>
      <w:r w:rsidR="00CE2C88">
        <w:t xml:space="preserve">, </w:t>
      </w:r>
      <w:r w:rsidR="004163FE">
        <w:t>sealing off two rooms provided WASH facilities are also available</w:t>
      </w:r>
      <w:r w:rsidR="00CE2C88">
        <w:t xml:space="preserve"> and prefabricated units located either on-site in rural situations or in small temporary displacement sites of no more than 50 units as deemed suitable by the Ministry of Public Works and Housing and the Municipal authorities.</w:t>
      </w:r>
    </w:p>
    <w:p w14:paraId="6126E326" w14:textId="20555CE5" w:rsidR="00AC72E9" w:rsidRDefault="00AC72E9" w:rsidP="001F7ED3"/>
    <w:p w14:paraId="58894B29" w14:textId="5FF5CF7E" w:rsidR="004163FE" w:rsidRPr="002E16A9" w:rsidRDefault="004163FE" w:rsidP="001F7ED3">
      <w:pPr>
        <w:rPr>
          <w:b/>
        </w:rPr>
      </w:pPr>
      <w:r>
        <w:t xml:space="preserve">Emergency options include host families and collective centres. Work is ongoing </w:t>
      </w:r>
      <w:r w:rsidR="002B53F9">
        <w:t xml:space="preserve">among Shelter cluster members </w:t>
      </w:r>
      <w:r>
        <w:t xml:space="preserve">to determine the </w:t>
      </w:r>
      <w:r w:rsidR="002B53F9">
        <w:t xml:space="preserve">ongoing </w:t>
      </w:r>
      <w:r>
        <w:t xml:space="preserve">suitability of host family situations and to find alternative collective centres in order to provide continued emergency cover. Given the chronic pre-existing housing shortage and the need to re-open the </w:t>
      </w:r>
      <w:r w:rsidR="002B53F9">
        <w:t xml:space="preserve">schools </w:t>
      </w:r>
      <w:r>
        <w:t xml:space="preserve">currently used </w:t>
      </w:r>
      <w:r w:rsidRPr="00880797">
        <w:t xml:space="preserve">as collective centres, </w:t>
      </w:r>
      <w:r w:rsidR="002E16A9" w:rsidRPr="002E16A9">
        <w:rPr>
          <w:b/>
        </w:rPr>
        <w:t xml:space="preserve">improvements </w:t>
      </w:r>
      <w:r w:rsidR="002E16A9">
        <w:rPr>
          <w:b/>
        </w:rPr>
        <w:t xml:space="preserve">to </w:t>
      </w:r>
      <w:r w:rsidR="002E16A9" w:rsidRPr="002E16A9">
        <w:rPr>
          <w:b/>
        </w:rPr>
        <w:t xml:space="preserve">and/or </w:t>
      </w:r>
      <w:r w:rsidRPr="002E16A9">
        <w:rPr>
          <w:b/>
        </w:rPr>
        <w:t>solutions to the host family and collective centre options need to quickly become available.</w:t>
      </w:r>
    </w:p>
    <w:p w14:paraId="08927EEF" w14:textId="77777777" w:rsidR="005D4808" w:rsidRPr="005D4808" w:rsidRDefault="005D4808" w:rsidP="001F7ED3">
      <w:pPr>
        <w:rPr>
          <w:b/>
        </w:rPr>
      </w:pPr>
    </w:p>
    <w:p w14:paraId="771C5636" w14:textId="46EAF55A" w:rsidR="005D4808" w:rsidRDefault="001F7ED3" w:rsidP="006E4FA7">
      <w:r>
        <w:t xml:space="preserve">The </w:t>
      </w:r>
      <w:r w:rsidR="00F73526">
        <w:t xml:space="preserve">next </w:t>
      </w:r>
      <w:r>
        <w:t xml:space="preserve">table illustrates </w:t>
      </w:r>
      <w:r w:rsidR="00AC72E9">
        <w:t xml:space="preserve">some </w:t>
      </w:r>
      <w:r>
        <w:t>of the options available to affected households, and highlights that the solutions chosen will very much depend on the damage level of the house, geographic location</w:t>
      </w:r>
      <w:r w:rsidR="00D87A5B">
        <w:t xml:space="preserve"> (for example</w:t>
      </w:r>
      <w:r w:rsidR="007252B9">
        <w:t>,</w:t>
      </w:r>
      <w:r w:rsidR="00D87A5B">
        <w:t xml:space="preserve"> Beit </w:t>
      </w:r>
      <w:proofErr w:type="spellStart"/>
      <w:r w:rsidR="00D87A5B">
        <w:t>Hanoun</w:t>
      </w:r>
      <w:proofErr w:type="spellEnd"/>
      <w:r w:rsidR="00D87A5B">
        <w:t xml:space="preserve"> has no rental units available)</w:t>
      </w:r>
      <w:r>
        <w:t xml:space="preserve"> and individual </w:t>
      </w:r>
      <w:r w:rsidR="00D87A5B">
        <w:t xml:space="preserve">family </w:t>
      </w:r>
      <w:r>
        <w:t>coping mechanisms.</w:t>
      </w:r>
    </w:p>
    <w:p w14:paraId="330D1FCB" w14:textId="15244916" w:rsidR="007252B9" w:rsidRDefault="001F7ED3" w:rsidP="006E4FA7">
      <w:r>
        <w:t xml:space="preserve"> </w:t>
      </w:r>
    </w:p>
    <w:p w14:paraId="7EA57CE2" w14:textId="5602D538" w:rsidR="00D15D85" w:rsidRDefault="002B53F9" w:rsidP="006E4FA7">
      <w:r>
        <w:lastRenderedPageBreak/>
        <w:t>T</w:t>
      </w:r>
      <w:r w:rsidR="001F7ED3">
        <w:t xml:space="preserve">hose with </w:t>
      </w:r>
      <w:r>
        <w:t>minor</w:t>
      </w:r>
      <w:r w:rsidR="002577E9">
        <w:t xml:space="preserve"> damaged houses </w:t>
      </w:r>
      <w:r>
        <w:t>are expected to r</w:t>
      </w:r>
      <w:r w:rsidR="001F7ED3">
        <w:t>eturn home</w:t>
      </w:r>
      <w:r>
        <w:t>. H</w:t>
      </w:r>
      <w:r w:rsidR="001F7ED3">
        <w:t>owever</w:t>
      </w:r>
      <w:r>
        <w:t>,</w:t>
      </w:r>
      <w:r w:rsidR="001F7ED3">
        <w:t xml:space="preserve"> those with destroyed houses may </w:t>
      </w:r>
      <w:r w:rsidR="00D87A5B">
        <w:t xml:space="preserve">endeavour to </w:t>
      </w:r>
      <w:r w:rsidR="001F7ED3">
        <w:t>stay in-situ</w:t>
      </w:r>
      <w:r w:rsidR="00D87A5B">
        <w:t xml:space="preserve"> in makeshift shelters or nearby </w:t>
      </w:r>
      <w:r w:rsidR="001F7ED3">
        <w:t>with family and/or friends</w:t>
      </w:r>
      <w:r w:rsidR="00D87A5B">
        <w:t>,</w:t>
      </w:r>
      <w:r w:rsidR="001F7ED3">
        <w:t xml:space="preserve"> in rental units</w:t>
      </w:r>
      <w:r w:rsidR="00D87A5B">
        <w:t xml:space="preserve"> or in lightweight structures such as imported or locally made prefabricated units, wooden structures or tents</w:t>
      </w:r>
      <w:r w:rsidR="001F7ED3">
        <w:t xml:space="preserve">. </w:t>
      </w:r>
      <w:r w:rsidR="00D87A5B">
        <w:t xml:space="preserve">Those with medium damaged houses may prefer to stay at home by sealing off two rooms or by creating a refuge within their home. </w:t>
      </w:r>
      <w:r w:rsidR="001F7ED3">
        <w:t xml:space="preserve">Given the length of time reconstruction is likely to take, no </w:t>
      </w:r>
      <w:r w:rsidR="007252B9">
        <w:t xml:space="preserve">single </w:t>
      </w:r>
      <w:r w:rsidR="001F7ED3">
        <w:t xml:space="preserve">option will be able to support the entire caseload and it is likely that affected households will move between options as circumstances change. </w:t>
      </w:r>
    </w:p>
    <w:p w14:paraId="5F99FC61" w14:textId="77777777" w:rsidR="00D93466" w:rsidRDefault="00D93466" w:rsidP="006E4FA7"/>
    <w:tbl>
      <w:tblPr>
        <w:tblStyle w:val="TableGrid"/>
        <w:tblW w:w="5070" w:type="dxa"/>
        <w:tblLayout w:type="fixed"/>
        <w:tblLook w:val="04A0" w:firstRow="1" w:lastRow="0" w:firstColumn="1" w:lastColumn="0" w:noHBand="0" w:noVBand="1"/>
      </w:tblPr>
      <w:tblGrid>
        <w:gridCol w:w="959"/>
        <w:gridCol w:w="709"/>
        <w:gridCol w:w="992"/>
        <w:gridCol w:w="709"/>
        <w:gridCol w:w="708"/>
        <w:gridCol w:w="993"/>
      </w:tblGrid>
      <w:tr w:rsidR="001F7ED3" w:rsidRPr="00D93466" w14:paraId="2340E1D5" w14:textId="77777777" w:rsidTr="006B0CD7">
        <w:trPr>
          <w:trHeight w:val="310"/>
        </w:trPr>
        <w:tc>
          <w:tcPr>
            <w:tcW w:w="959" w:type="dxa"/>
            <w:vMerge w:val="restart"/>
            <w:vAlign w:val="center"/>
          </w:tcPr>
          <w:p w14:paraId="317410A5" w14:textId="77777777" w:rsidR="001F7ED3" w:rsidRPr="00D93466" w:rsidRDefault="001F7ED3" w:rsidP="001F7ED3">
            <w:pPr>
              <w:jc w:val="center"/>
              <w:rPr>
                <w:b/>
                <w:sz w:val="16"/>
                <w:szCs w:val="16"/>
              </w:rPr>
            </w:pPr>
            <w:r w:rsidRPr="00D93466">
              <w:rPr>
                <w:b/>
                <w:sz w:val="16"/>
                <w:szCs w:val="16"/>
              </w:rPr>
              <w:t>House status</w:t>
            </w:r>
          </w:p>
        </w:tc>
        <w:tc>
          <w:tcPr>
            <w:tcW w:w="4111" w:type="dxa"/>
            <w:gridSpan w:val="5"/>
            <w:shd w:val="clear" w:color="auto" w:fill="D9D9D9" w:themeFill="background1" w:themeFillShade="D9"/>
            <w:vAlign w:val="center"/>
          </w:tcPr>
          <w:p w14:paraId="00825699" w14:textId="3F650D01" w:rsidR="001F7ED3" w:rsidRPr="003C6C68" w:rsidRDefault="00495EE1" w:rsidP="00495EE1">
            <w:pPr>
              <w:tabs>
                <w:tab w:val="left" w:pos="1880"/>
                <w:tab w:val="center" w:pos="3065"/>
              </w:tabs>
              <w:jc w:val="center"/>
              <w:rPr>
                <w:b/>
                <w:sz w:val="16"/>
                <w:szCs w:val="16"/>
              </w:rPr>
            </w:pPr>
            <w:r>
              <w:rPr>
                <w:b/>
                <w:sz w:val="16"/>
                <w:szCs w:val="16"/>
              </w:rPr>
              <w:t>Possible living situations</w:t>
            </w:r>
            <w:r w:rsidR="008A40F5">
              <w:rPr>
                <w:b/>
                <w:sz w:val="16"/>
                <w:szCs w:val="16"/>
              </w:rPr>
              <w:t xml:space="preserve"> for those with </w:t>
            </w:r>
            <w:r>
              <w:rPr>
                <w:b/>
                <w:sz w:val="16"/>
                <w:szCs w:val="16"/>
              </w:rPr>
              <w:t>damaged houses</w:t>
            </w:r>
            <w:r w:rsidR="008A40F5">
              <w:rPr>
                <w:b/>
                <w:sz w:val="16"/>
                <w:szCs w:val="16"/>
              </w:rPr>
              <w:t xml:space="preserve"> </w:t>
            </w:r>
            <w:r w:rsidR="008A40F5" w:rsidRPr="008A40F5">
              <w:rPr>
                <w:sz w:val="16"/>
                <w:szCs w:val="16"/>
              </w:rPr>
              <w:t>(illustrative</w:t>
            </w:r>
            <w:r w:rsidR="005E7F49">
              <w:rPr>
                <w:sz w:val="16"/>
                <w:szCs w:val="16"/>
              </w:rPr>
              <w:t xml:space="preserve"> % of households -</w:t>
            </w:r>
            <w:r w:rsidR="008A40F5" w:rsidRPr="008A40F5">
              <w:rPr>
                <w:sz w:val="16"/>
                <w:szCs w:val="16"/>
              </w:rPr>
              <w:t xml:space="preserve"> </w:t>
            </w:r>
            <w:r w:rsidR="008A40F5" w:rsidRPr="005D4808">
              <w:rPr>
                <w:b/>
                <w:sz w:val="16"/>
                <w:szCs w:val="16"/>
              </w:rPr>
              <w:t>example only</w:t>
            </w:r>
            <w:r w:rsidR="008A40F5" w:rsidRPr="008A40F5">
              <w:rPr>
                <w:sz w:val="16"/>
                <w:szCs w:val="16"/>
              </w:rPr>
              <w:t>)</w:t>
            </w:r>
          </w:p>
        </w:tc>
      </w:tr>
      <w:tr w:rsidR="001F7ED3" w:rsidRPr="00D93466" w14:paraId="3D0A01FC" w14:textId="77777777" w:rsidTr="002577E9">
        <w:tc>
          <w:tcPr>
            <w:tcW w:w="959" w:type="dxa"/>
            <w:vMerge/>
            <w:vAlign w:val="center"/>
          </w:tcPr>
          <w:p w14:paraId="0B246F57" w14:textId="77777777" w:rsidR="001F7ED3" w:rsidRPr="00D93466" w:rsidRDefault="001F7ED3" w:rsidP="00D93466">
            <w:pPr>
              <w:jc w:val="center"/>
              <w:rPr>
                <w:b/>
                <w:sz w:val="16"/>
                <w:szCs w:val="16"/>
              </w:rPr>
            </w:pPr>
          </w:p>
        </w:tc>
        <w:tc>
          <w:tcPr>
            <w:tcW w:w="709" w:type="dxa"/>
            <w:shd w:val="clear" w:color="auto" w:fill="D9D9D9" w:themeFill="background1" w:themeFillShade="D9"/>
            <w:vAlign w:val="center"/>
          </w:tcPr>
          <w:p w14:paraId="0FD01C1C" w14:textId="77777777" w:rsidR="001F7ED3" w:rsidRPr="001240E3" w:rsidRDefault="001F7ED3" w:rsidP="000069D4">
            <w:pPr>
              <w:jc w:val="center"/>
              <w:rPr>
                <w:sz w:val="14"/>
                <w:szCs w:val="14"/>
              </w:rPr>
            </w:pPr>
            <w:r w:rsidRPr="001240E3">
              <w:rPr>
                <w:sz w:val="14"/>
                <w:szCs w:val="14"/>
              </w:rPr>
              <w:t>On-site</w:t>
            </w:r>
          </w:p>
        </w:tc>
        <w:tc>
          <w:tcPr>
            <w:tcW w:w="992" w:type="dxa"/>
            <w:shd w:val="clear" w:color="auto" w:fill="D9D9D9" w:themeFill="background1" w:themeFillShade="D9"/>
            <w:vAlign w:val="center"/>
          </w:tcPr>
          <w:p w14:paraId="3DD3228B" w14:textId="77777777" w:rsidR="001F7ED3" w:rsidRPr="001240E3" w:rsidRDefault="001F7ED3" w:rsidP="00D93466">
            <w:pPr>
              <w:jc w:val="center"/>
              <w:rPr>
                <w:sz w:val="14"/>
                <w:szCs w:val="14"/>
              </w:rPr>
            </w:pPr>
            <w:r w:rsidRPr="001240E3">
              <w:rPr>
                <w:sz w:val="14"/>
                <w:szCs w:val="14"/>
              </w:rPr>
              <w:t>Collective Centers</w:t>
            </w:r>
          </w:p>
        </w:tc>
        <w:tc>
          <w:tcPr>
            <w:tcW w:w="709" w:type="dxa"/>
            <w:shd w:val="clear" w:color="auto" w:fill="D9D9D9" w:themeFill="background1" w:themeFillShade="D9"/>
            <w:vAlign w:val="center"/>
          </w:tcPr>
          <w:p w14:paraId="67E111D0" w14:textId="77777777" w:rsidR="001F7ED3" w:rsidRPr="001240E3" w:rsidRDefault="001F7ED3" w:rsidP="00D93466">
            <w:pPr>
              <w:jc w:val="center"/>
              <w:rPr>
                <w:sz w:val="14"/>
                <w:szCs w:val="14"/>
              </w:rPr>
            </w:pPr>
            <w:r w:rsidRPr="001240E3">
              <w:rPr>
                <w:sz w:val="14"/>
                <w:szCs w:val="14"/>
              </w:rPr>
              <w:t>Host families</w:t>
            </w:r>
          </w:p>
        </w:tc>
        <w:tc>
          <w:tcPr>
            <w:tcW w:w="708" w:type="dxa"/>
            <w:shd w:val="clear" w:color="auto" w:fill="D9D9D9" w:themeFill="background1" w:themeFillShade="D9"/>
            <w:vAlign w:val="center"/>
          </w:tcPr>
          <w:p w14:paraId="40753C84" w14:textId="77777777" w:rsidR="001F7ED3" w:rsidRPr="001240E3" w:rsidRDefault="001F7ED3" w:rsidP="000069D4">
            <w:pPr>
              <w:jc w:val="center"/>
              <w:rPr>
                <w:sz w:val="14"/>
                <w:szCs w:val="14"/>
              </w:rPr>
            </w:pPr>
            <w:r w:rsidRPr="001240E3">
              <w:rPr>
                <w:sz w:val="14"/>
                <w:szCs w:val="14"/>
              </w:rPr>
              <w:t>Rentals</w:t>
            </w:r>
          </w:p>
        </w:tc>
        <w:tc>
          <w:tcPr>
            <w:tcW w:w="993" w:type="dxa"/>
            <w:shd w:val="clear" w:color="auto" w:fill="D9D9D9" w:themeFill="background1" w:themeFillShade="D9"/>
            <w:vAlign w:val="center"/>
          </w:tcPr>
          <w:p w14:paraId="6C9F79A1" w14:textId="3C47757A" w:rsidR="001F7ED3" w:rsidRPr="001240E3" w:rsidRDefault="00D87A5B">
            <w:pPr>
              <w:jc w:val="center"/>
              <w:rPr>
                <w:sz w:val="14"/>
                <w:szCs w:val="14"/>
              </w:rPr>
            </w:pPr>
            <w:r>
              <w:rPr>
                <w:sz w:val="14"/>
                <w:szCs w:val="14"/>
              </w:rPr>
              <w:t>Lightweight</w:t>
            </w:r>
            <w:r w:rsidR="00D46860">
              <w:rPr>
                <w:sz w:val="14"/>
                <w:szCs w:val="14"/>
              </w:rPr>
              <w:t xml:space="preserve"> </w:t>
            </w:r>
            <w:r>
              <w:rPr>
                <w:sz w:val="14"/>
                <w:szCs w:val="14"/>
              </w:rPr>
              <w:t>Structures</w:t>
            </w:r>
          </w:p>
        </w:tc>
      </w:tr>
      <w:tr w:rsidR="00D93466" w:rsidRPr="00D93466" w14:paraId="0CDAED27" w14:textId="77777777" w:rsidTr="002577E9">
        <w:trPr>
          <w:trHeight w:val="225"/>
        </w:trPr>
        <w:tc>
          <w:tcPr>
            <w:tcW w:w="959" w:type="dxa"/>
            <w:vAlign w:val="center"/>
          </w:tcPr>
          <w:p w14:paraId="43FAFAFC" w14:textId="77777777" w:rsidR="00D93466" w:rsidRPr="000069D4" w:rsidRDefault="00D93466" w:rsidP="00D93466">
            <w:pPr>
              <w:jc w:val="center"/>
              <w:rPr>
                <w:sz w:val="16"/>
                <w:szCs w:val="16"/>
              </w:rPr>
            </w:pPr>
            <w:r w:rsidRPr="000069D4">
              <w:rPr>
                <w:rFonts w:eastAsia="Times New Roman" w:cs="Arial"/>
                <w:color w:val="000000"/>
                <w:sz w:val="16"/>
                <w:szCs w:val="16"/>
              </w:rPr>
              <w:t>Destroyed</w:t>
            </w:r>
          </w:p>
        </w:tc>
        <w:tc>
          <w:tcPr>
            <w:tcW w:w="709" w:type="dxa"/>
            <w:shd w:val="clear" w:color="auto" w:fill="C2D69B" w:themeFill="accent3" w:themeFillTint="99"/>
            <w:vAlign w:val="center"/>
          </w:tcPr>
          <w:p w14:paraId="0E7B789B" w14:textId="44341F15" w:rsidR="00D93466" w:rsidRPr="00A1533C" w:rsidRDefault="002D6F4C" w:rsidP="002D6F4C">
            <w:pPr>
              <w:jc w:val="center"/>
              <w:rPr>
                <w:sz w:val="16"/>
                <w:szCs w:val="16"/>
              </w:rPr>
            </w:pPr>
            <w:r>
              <w:rPr>
                <w:sz w:val="16"/>
                <w:szCs w:val="16"/>
              </w:rPr>
              <w:t>25</w:t>
            </w:r>
            <w:r w:rsidR="003342C4" w:rsidRPr="00A1533C">
              <w:rPr>
                <w:sz w:val="16"/>
                <w:szCs w:val="16"/>
              </w:rPr>
              <w:t>%</w:t>
            </w:r>
          </w:p>
        </w:tc>
        <w:tc>
          <w:tcPr>
            <w:tcW w:w="992" w:type="dxa"/>
            <w:shd w:val="clear" w:color="auto" w:fill="C2D69B" w:themeFill="accent3" w:themeFillTint="99"/>
            <w:vAlign w:val="center"/>
          </w:tcPr>
          <w:p w14:paraId="31CE8ABB" w14:textId="1E9932E3" w:rsidR="00D93466" w:rsidRPr="00A1533C" w:rsidRDefault="00345ABD" w:rsidP="002D6F4C">
            <w:pPr>
              <w:jc w:val="center"/>
              <w:rPr>
                <w:sz w:val="16"/>
                <w:szCs w:val="16"/>
              </w:rPr>
            </w:pPr>
            <w:r>
              <w:rPr>
                <w:sz w:val="16"/>
                <w:szCs w:val="16"/>
              </w:rPr>
              <w:t>24</w:t>
            </w:r>
            <w:r w:rsidR="003342C4" w:rsidRPr="00A1533C">
              <w:rPr>
                <w:sz w:val="16"/>
                <w:szCs w:val="16"/>
              </w:rPr>
              <w:t>%</w:t>
            </w:r>
          </w:p>
        </w:tc>
        <w:tc>
          <w:tcPr>
            <w:tcW w:w="709" w:type="dxa"/>
            <w:shd w:val="clear" w:color="auto" w:fill="C2D69B" w:themeFill="accent3" w:themeFillTint="99"/>
            <w:vAlign w:val="center"/>
          </w:tcPr>
          <w:p w14:paraId="5BACF928" w14:textId="7641E22A" w:rsidR="00D93466" w:rsidRPr="00A1533C" w:rsidRDefault="001A1B57" w:rsidP="001A1B57">
            <w:pPr>
              <w:jc w:val="center"/>
              <w:rPr>
                <w:sz w:val="16"/>
                <w:szCs w:val="16"/>
              </w:rPr>
            </w:pPr>
            <w:r>
              <w:rPr>
                <w:sz w:val="16"/>
                <w:szCs w:val="16"/>
              </w:rPr>
              <w:t>40</w:t>
            </w:r>
            <w:r w:rsidR="003342C4" w:rsidRPr="00A1533C">
              <w:rPr>
                <w:sz w:val="16"/>
                <w:szCs w:val="16"/>
              </w:rPr>
              <w:t>%</w:t>
            </w:r>
          </w:p>
        </w:tc>
        <w:tc>
          <w:tcPr>
            <w:tcW w:w="708" w:type="dxa"/>
            <w:shd w:val="clear" w:color="auto" w:fill="C2D69B" w:themeFill="accent3" w:themeFillTint="99"/>
            <w:vAlign w:val="center"/>
          </w:tcPr>
          <w:p w14:paraId="15DF497A" w14:textId="66001DD7" w:rsidR="00D93466" w:rsidRPr="00A1533C" w:rsidRDefault="001A1B57" w:rsidP="001A1B57">
            <w:pPr>
              <w:jc w:val="center"/>
              <w:rPr>
                <w:sz w:val="16"/>
                <w:szCs w:val="16"/>
              </w:rPr>
            </w:pPr>
            <w:r>
              <w:rPr>
                <w:sz w:val="16"/>
                <w:szCs w:val="16"/>
              </w:rPr>
              <w:t>6</w:t>
            </w:r>
            <w:r w:rsidR="003342C4" w:rsidRPr="00A1533C">
              <w:rPr>
                <w:sz w:val="16"/>
                <w:szCs w:val="16"/>
              </w:rPr>
              <w:t>%</w:t>
            </w:r>
          </w:p>
        </w:tc>
        <w:tc>
          <w:tcPr>
            <w:tcW w:w="993" w:type="dxa"/>
            <w:shd w:val="clear" w:color="auto" w:fill="C2D69B" w:themeFill="accent3" w:themeFillTint="99"/>
            <w:vAlign w:val="center"/>
          </w:tcPr>
          <w:p w14:paraId="32128DE9" w14:textId="4C20E0CE" w:rsidR="00D93466" w:rsidRPr="00A1533C" w:rsidRDefault="00A1533C" w:rsidP="00D93466">
            <w:pPr>
              <w:jc w:val="center"/>
              <w:rPr>
                <w:sz w:val="16"/>
                <w:szCs w:val="16"/>
              </w:rPr>
            </w:pPr>
            <w:r w:rsidRPr="00A1533C">
              <w:rPr>
                <w:sz w:val="16"/>
                <w:szCs w:val="16"/>
              </w:rPr>
              <w:t>5</w:t>
            </w:r>
            <w:r w:rsidR="003342C4" w:rsidRPr="00A1533C">
              <w:rPr>
                <w:sz w:val="16"/>
                <w:szCs w:val="16"/>
              </w:rPr>
              <w:t>%</w:t>
            </w:r>
          </w:p>
        </w:tc>
      </w:tr>
      <w:tr w:rsidR="008A40F5" w:rsidRPr="00D93466" w14:paraId="2AC6FB58" w14:textId="77777777" w:rsidTr="002577E9">
        <w:trPr>
          <w:trHeight w:val="225"/>
        </w:trPr>
        <w:tc>
          <w:tcPr>
            <w:tcW w:w="959" w:type="dxa"/>
            <w:vAlign w:val="center"/>
          </w:tcPr>
          <w:p w14:paraId="45C8ABE9" w14:textId="77777777" w:rsidR="008A40F5" w:rsidRPr="000069D4" w:rsidRDefault="008A40F5" w:rsidP="000069D4">
            <w:pPr>
              <w:jc w:val="center"/>
              <w:rPr>
                <w:rFonts w:eastAsia="Times New Roman"/>
                <w:color w:val="000000"/>
                <w:sz w:val="16"/>
                <w:szCs w:val="16"/>
              </w:rPr>
            </w:pPr>
            <w:r w:rsidRPr="000069D4">
              <w:rPr>
                <w:rFonts w:eastAsia="Times New Roman" w:cs="Arial"/>
                <w:color w:val="000000"/>
                <w:sz w:val="16"/>
                <w:szCs w:val="16"/>
              </w:rPr>
              <w:t xml:space="preserve">Severe </w:t>
            </w:r>
          </w:p>
        </w:tc>
        <w:tc>
          <w:tcPr>
            <w:tcW w:w="709" w:type="dxa"/>
            <w:shd w:val="clear" w:color="auto" w:fill="C2D69B" w:themeFill="accent3" w:themeFillTint="99"/>
            <w:vAlign w:val="center"/>
          </w:tcPr>
          <w:p w14:paraId="3E77F312" w14:textId="7ECEAB72" w:rsidR="008A40F5" w:rsidRPr="00A1533C" w:rsidRDefault="002D6F4C" w:rsidP="002D6F4C">
            <w:pPr>
              <w:jc w:val="center"/>
              <w:rPr>
                <w:rFonts w:eastAsia="Times New Roman"/>
                <w:color w:val="000000"/>
                <w:sz w:val="16"/>
                <w:szCs w:val="16"/>
              </w:rPr>
            </w:pPr>
            <w:r>
              <w:rPr>
                <w:sz w:val="16"/>
                <w:szCs w:val="16"/>
              </w:rPr>
              <w:t>25</w:t>
            </w:r>
            <w:r w:rsidR="008A40F5" w:rsidRPr="00A1533C">
              <w:rPr>
                <w:sz w:val="16"/>
                <w:szCs w:val="16"/>
              </w:rPr>
              <w:t>%</w:t>
            </w:r>
          </w:p>
        </w:tc>
        <w:tc>
          <w:tcPr>
            <w:tcW w:w="992" w:type="dxa"/>
            <w:shd w:val="clear" w:color="auto" w:fill="C2D69B" w:themeFill="accent3" w:themeFillTint="99"/>
            <w:vAlign w:val="center"/>
          </w:tcPr>
          <w:p w14:paraId="1AB4C2D2" w14:textId="5994360A" w:rsidR="008A40F5" w:rsidRPr="00A1533C" w:rsidRDefault="00345ABD" w:rsidP="002D6F4C">
            <w:pPr>
              <w:jc w:val="center"/>
              <w:rPr>
                <w:rFonts w:eastAsia="Times New Roman"/>
                <w:color w:val="000000"/>
                <w:sz w:val="16"/>
                <w:szCs w:val="16"/>
              </w:rPr>
            </w:pPr>
            <w:r>
              <w:rPr>
                <w:sz w:val="16"/>
                <w:szCs w:val="16"/>
              </w:rPr>
              <w:t>24</w:t>
            </w:r>
            <w:r w:rsidR="008A40F5" w:rsidRPr="00A1533C">
              <w:rPr>
                <w:sz w:val="16"/>
                <w:szCs w:val="16"/>
              </w:rPr>
              <w:t>%</w:t>
            </w:r>
          </w:p>
        </w:tc>
        <w:tc>
          <w:tcPr>
            <w:tcW w:w="709" w:type="dxa"/>
            <w:shd w:val="clear" w:color="auto" w:fill="C2D69B" w:themeFill="accent3" w:themeFillTint="99"/>
            <w:vAlign w:val="center"/>
          </w:tcPr>
          <w:p w14:paraId="23A2BE7E" w14:textId="1D265EDB" w:rsidR="008A40F5" w:rsidRPr="00A1533C" w:rsidRDefault="001A1B57" w:rsidP="001A1B57">
            <w:pPr>
              <w:jc w:val="center"/>
              <w:rPr>
                <w:rFonts w:eastAsia="Times New Roman"/>
                <w:color w:val="000000"/>
                <w:sz w:val="16"/>
                <w:szCs w:val="16"/>
              </w:rPr>
            </w:pPr>
            <w:r>
              <w:rPr>
                <w:sz w:val="16"/>
                <w:szCs w:val="16"/>
              </w:rPr>
              <w:t>40</w:t>
            </w:r>
            <w:r w:rsidR="008A40F5" w:rsidRPr="00A1533C">
              <w:rPr>
                <w:sz w:val="16"/>
                <w:szCs w:val="16"/>
              </w:rPr>
              <w:t>%</w:t>
            </w:r>
          </w:p>
        </w:tc>
        <w:tc>
          <w:tcPr>
            <w:tcW w:w="708" w:type="dxa"/>
            <w:shd w:val="clear" w:color="auto" w:fill="C2D69B" w:themeFill="accent3" w:themeFillTint="99"/>
            <w:vAlign w:val="center"/>
          </w:tcPr>
          <w:p w14:paraId="3572B733" w14:textId="142ED1B4" w:rsidR="008A40F5" w:rsidRPr="00A1533C" w:rsidRDefault="001A1B57" w:rsidP="001A1B57">
            <w:pPr>
              <w:jc w:val="center"/>
              <w:rPr>
                <w:rFonts w:eastAsia="Times New Roman"/>
                <w:color w:val="000000"/>
                <w:sz w:val="16"/>
                <w:szCs w:val="16"/>
              </w:rPr>
            </w:pPr>
            <w:r>
              <w:rPr>
                <w:sz w:val="16"/>
                <w:szCs w:val="16"/>
              </w:rPr>
              <w:t>6</w:t>
            </w:r>
            <w:r w:rsidR="008A40F5" w:rsidRPr="00A1533C">
              <w:rPr>
                <w:sz w:val="16"/>
                <w:szCs w:val="16"/>
              </w:rPr>
              <w:t>%</w:t>
            </w:r>
          </w:p>
        </w:tc>
        <w:tc>
          <w:tcPr>
            <w:tcW w:w="993" w:type="dxa"/>
            <w:shd w:val="clear" w:color="auto" w:fill="C2D69B" w:themeFill="accent3" w:themeFillTint="99"/>
            <w:vAlign w:val="center"/>
          </w:tcPr>
          <w:p w14:paraId="0CEAE7B0" w14:textId="71AFAD57" w:rsidR="008A40F5" w:rsidRPr="00A1533C" w:rsidRDefault="008A40F5" w:rsidP="00D93466">
            <w:pPr>
              <w:jc w:val="center"/>
              <w:rPr>
                <w:rFonts w:eastAsia="Times New Roman"/>
                <w:color w:val="000000"/>
                <w:sz w:val="16"/>
                <w:szCs w:val="16"/>
              </w:rPr>
            </w:pPr>
            <w:r w:rsidRPr="00A1533C">
              <w:rPr>
                <w:sz w:val="16"/>
                <w:szCs w:val="16"/>
              </w:rPr>
              <w:t>5%</w:t>
            </w:r>
          </w:p>
        </w:tc>
      </w:tr>
      <w:tr w:rsidR="00D93466" w:rsidRPr="00D93466" w14:paraId="6E45F01F" w14:textId="77777777" w:rsidTr="005D4808">
        <w:trPr>
          <w:trHeight w:val="258"/>
        </w:trPr>
        <w:tc>
          <w:tcPr>
            <w:tcW w:w="959" w:type="dxa"/>
            <w:vAlign w:val="center"/>
          </w:tcPr>
          <w:p w14:paraId="2EA51F7C" w14:textId="77777777" w:rsidR="00D93466" w:rsidRPr="000069D4" w:rsidRDefault="00D93466" w:rsidP="000069D4">
            <w:pPr>
              <w:jc w:val="center"/>
              <w:rPr>
                <w:sz w:val="16"/>
                <w:szCs w:val="16"/>
              </w:rPr>
            </w:pPr>
            <w:r w:rsidRPr="000069D4">
              <w:rPr>
                <w:rFonts w:eastAsia="Times New Roman" w:cs="Arial"/>
                <w:color w:val="000000"/>
                <w:sz w:val="16"/>
                <w:szCs w:val="16"/>
              </w:rPr>
              <w:t xml:space="preserve">Major </w:t>
            </w:r>
          </w:p>
        </w:tc>
        <w:tc>
          <w:tcPr>
            <w:tcW w:w="709" w:type="dxa"/>
            <w:shd w:val="clear" w:color="auto" w:fill="C2D69B" w:themeFill="accent3" w:themeFillTint="99"/>
            <w:vAlign w:val="center"/>
          </w:tcPr>
          <w:p w14:paraId="0FB59A96" w14:textId="632FAA80" w:rsidR="00D93466" w:rsidRPr="00A1533C" w:rsidRDefault="007252B9">
            <w:pPr>
              <w:jc w:val="center"/>
              <w:rPr>
                <w:sz w:val="16"/>
                <w:szCs w:val="16"/>
              </w:rPr>
            </w:pPr>
            <w:r>
              <w:rPr>
                <w:sz w:val="16"/>
                <w:szCs w:val="16"/>
              </w:rPr>
              <w:t>70</w:t>
            </w:r>
            <w:r w:rsidR="008A40F5">
              <w:rPr>
                <w:sz w:val="16"/>
                <w:szCs w:val="16"/>
              </w:rPr>
              <w:t>%</w:t>
            </w:r>
          </w:p>
        </w:tc>
        <w:tc>
          <w:tcPr>
            <w:tcW w:w="992" w:type="dxa"/>
            <w:shd w:val="clear" w:color="auto" w:fill="C2D69B" w:themeFill="accent3" w:themeFillTint="99"/>
            <w:vAlign w:val="center"/>
          </w:tcPr>
          <w:p w14:paraId="44F82B5B" w14:textId="09700287" w:rsidR="00D93466" w:rsidRPr="00A1533C" w:rsidRDefault="007252B9" w:rsidP="00D93466">
            <w:pPr>
              <w:jc w:val="center"/>
              <w:rPr>
                <w:sz w:val="16"/>
                <w:szCs w:val="16"/>
              </w:rPr>
            </w:pPr>
            <w:r>
              <w:rPr>
                <w:sz w:val="16"/>
                <w:szCs w:val="16"/>
              </w:rPr>
              <w:t>10%</w:t>
            </w:r>
          </w:p>
        </w:tc>
        <w:tc>
          <w:tcPr>
            <w:tcW w:w="709" w:type="dxa"/>
            <w:shd w:val="clear" w:color="auto" w:fill="C2D69B" w:themeFill="accent3" w:themeFillTint="99"/>
            <w:vAlign w:val="center"/>
          </w:tcPr>
          <w:p w14:paraId="7FA42B1B" w14:textId="06E8402D" w:rsidR="00D93466" w:rsidRPr="00A1533C" w:rsidRDefault="008A40F5" w:rsidP="00D93466">
            <w:pPr>
              <w:jc w:val="center"/>
              <w:rPr>
                <w:sz w:val="16"/>
                <w:szCs w:val="16"/>
              </w:rPr>
            </w:pPr>
            <w:r>
              <w:rPr>
                <w:sz w:val="16"/>
                <w:szCs w:val="16"/>
              </w:rPr>
              <w:t>10</w:t>
            </w:r>
            <w:r w:rsidR="003342C4" w:rsidRPr="00A1533C">
              <w:rPr>
                <w:sz w:val="16"/>
                <w:szCs w:val="16"/>
              </w:rPr>
              <w:t>%</w:t>
            </w:r>
          </w:p>
        </w:tc>
        <w:tc>
          <w:tcPr>
            <w:tcW w:w="708" w:type="dxa"/>
            <w:shd w:val="clear" w:color="auto" w:fill="C2D69B" w:themeFill="accent3" w:themeFillTint="99"/>
            <w:vAlign w:val="center"/>
          </w:tcPr>
          <w:p w14:paraId="58169DF9" w14:textId="36ACCE9C" w:rsidR="00D93466" w:rsidRPr="00A1533C" w:rsidRDefault="007252B9" w:rsidP="00D93466">
            <w:pPr>
              <w:jc w:val="center"/>
              <w:rPr>
                <w:sz w:val="16"/>
                <w:szCs w:val="16"/>
              </w:rPr>
            </w:pPr>
            <w:r>
              <w:rPr>
                <w:sz w:val="16"/>
                <w:szCs w:val="16"/>
              </w:rPr>
              <w:t>10</w:t>
            </w:r>
            <w:r w:rsidR="003342C4" w:rsidRPr="00A1533C">
              <w:rPr>
                <w:sz w:val="16"/>
                <w:szCs w:val="16"/>
              </w:rPr>
              <w:t>%</w:t>
            </w:r>
          </w:p>
        </w:tc>
        <w:tc>
          <w:tcPr>
            <w:tcW w:w="993" w:type="dxa"/>
            <w:vAlign w:val="center"/>
          </w:tcPr>
          <w:p w14:paraId="76B73A56" w14:textId="77777777" w:rsidR="00D93466" w:rsidRPr="00A1533C" w:rsidRDefault="00D93466" w:rsidP="00D93466">
            <w:pPr>
              <w:jc w:val="center"/>
              <w:rPr>
                <w:sz w:val="16"/>
                <w:szCs w:val="16"/>
              </w:rPr>
            </w:pPr>
          </w:p>
        </w:tc>
      </w:tr>
      <w:tr w:rsidR="00D93466" w:rsidRPr="00D93466" w14:paraId="6E78CB1F" w14:textId="77777777" w:rsidTr="002577E9">
        <w:trPr>
          <w:trHeight w:val="275"/>
        </w:trPr>
        <w:tc>
          <w:tcPr>
            <w:tcW w:w="959" w:type="dxa"/>
            <w:vAlign w:val="center"/>
          </w:tcPr>
          <w:p w14:paraId="0C19D146" w14:textId="77777777" w:rsidR="00D93466" w:rsidRPr="000069D4" w:rsidRDefault="00D93466" w:rsidP="000069D4">
            <w:pPr>
              <w:jc w:val="center"/>
              <w:rPr>
                <w:sz w:val="16"/>
                <w:szCs w:val="16"/>
              </w:rPr>
            </w:pPr>
            <w:r w:rsidRPr="000069D4">
              <w:rPr>
                <w:rFonts w:eastAsia="Times New Roman" w:cs="Arial"/>
                <w:color w:val="000000"/>
                <w:sz w:val="16"/>
                <w:szCs w:val="16"/>
              </w:rPr>
              <w:t xml:space="preserve">Minor </w:t>
            </w:r>
          </w:p>
        </w:tc>
        <w:tc>
          <w:tcPr>
            <w:tcW w:w="709" w:type="dxa"/>
            <w:shd w:val="clear" w:color="auto" w:fill="C2D69B" w:themeFill="accent3" w:themeFillTint="99"/>
            <w:vAlign w:val="center"/>
          </w:tcPr>
          <w:p w14:paraId="557E0F38" w14:textId="0C21C2F0" w:rsidR="00D93466" w:rsidRPr="00A1533C" w:rsidRDefault="00A1533C" w:rsidP="00D93466">
            <w:pPr>
              <w:jc w:val="center"/>
              <w:rPr>
                <w:sz w:val="16"/>
                <w:szCs w:val="16"/>
              </w:rPr>
            </w:pPr>
            <w:r w:rsidRPr="00A1533C">
              <w:rPr>
                <w:sz w:val="16"/>
                <w:szCs w:val="16"/>
              </w:rPr>
              <w:t>100</w:t>
            </w:r>
            <w:r w:rsidR="003342C4" w:rsidRPr="00A1533C">
              <w:rPr>
                <w:sz w:val="16"/>
                <w:szCs w:val="16"/>
              </w:rPr>
              <w:t>%</w:t>
            </w:r>
          </w:p>
        </w:tc>
        <w:tc>
          <w:tcPr>
            <w:tcW w:w="992" w:type="dxa"/>
            <w:vAlign w:val="center"/>
          </w:tcPr>
          <w:p w14:paraId="601AB84D" w14:textId="77777777" w:rsidR="00D93466" w:rsidRPr="00A1533C" w:rsidRDefault="00D93466" w:rsidP="00D93466">
            <w:pPr>
              <w:jc w:val="center"/>
              <w:rPr>
                <w:sz w:val="16"/>
                <w:szCs w:val="16"/>
              </w:rPr>
            </w:pPr>
          </w:p>
        </w:tc>
        <w:tc>
          <w:tcPr>
            <w:tcW w:w="709" w:type="dxa"/>
            <w:vAlign w:val="center"/>
          </w:tcPr>
          <w:p w14:paraId="7C1D3D75" w14:textId="77777777" w:rsidR="00D93466" w:rsidRPr="00A1533C" w:rsidRDefault="00D93466" w:rsidP="00D93466">
            <w:pPr>
              <w:jc w:val="center"/>
              <w:rPr>
                <w:sz w:val="16"/>
                <w:szCs w:val="16"/>
              </w:rPr>
            </w:pPr>
          </w:p>
        </w:tc>
        <w:tc>
          <w:tcPr>
            <w:tcW w:w="708" w:type="dxa"/>
            <w:vAlign w:val="center"/>
          </w:tcPr>
          <w:p w14:paraId="08CBA965" w14:textId="77777777" w:rsidR="00D93466" w:rsidRPr="00A1533C" w:rsidRDefault="00D93466" w:rsidP="00D93466">
            <w:pPr>
              <w:jc w:val="center"/>
              <w:rPr>
                <w:sz w:val="16"/>
                <w:szCs w:val="16"/>
              </w:rPr>
            </w:pPr>
          </w:p>
        </w:tc>
        <w:tc>
          <w:tcPr>
            <w:tcW w:w="993" w:type="dxa"/>
            <w:vAlign w:val="center"/>
          </w:tcPr>
          <w:p w14:paraId="082E2CC9" w14:textId="77777777" w:rsidR="00D93466" w:rsidRPr="00A1533C" w:rsidRDefault="00D93466" w:rsidP="00D93466">
            <w:pPr>
              <w:jc w:val="center"/>
              <w:rPr>
                <w:sz w:val="16"/>
                <w:szCs w:val="16"/>
              </w:rPr>
            </w:pPr>
          </w:p>
        </w:tc>
      </w:tr>
    </w:tbl>
    <w:p w14:paraId="35FD3005" w14:textId="563FD074" w:rsidR="003C6C68" w:rsidRPr="00C301EA" w:rsidRDefault="003C6C68" w:rsidP="003C6C68">
      <w:pPr>
        <w:rPr>
          <w:i/>
          <w:sz w:val="16"/>
          <w:szCs w:val="16"/>
        </w:rPr>
      </w:pPr>
      <w:r w:rsidRPr="00C301EA">
        <w:rPr>
          <w:i/>
          <w:sz w:val="16"/>
          <w:szCs w:val="16"/>
        </w:rPr>
        <w:t>The table above is a working assumption, and agencies</w:t>
      </w:r>
      <w:r w:rsidR="007230AF" w:rsidRPr="00C301EA">
        <w:rPr>
          <w:i/>
          <w:sz w:val="16"/>
          <w:szCs w:val="16"/>
        </w:rPr>
        <w:t xml:space="preserve"> and authorities</w:t>
      </w:r>
      <w:r w:rsidRPr="00C301EA">
        <w:rPr>
          <w:i/>
          <w:sz w:val="16"/>
          <w:szCs w:val="16"/>
        </w:rPr>
        <w:t xml:space="preserve"> must work together to monitor which options affected households will choose</w:t>
      </w:r>
      <w:r w:rsidR="00122241" w:rsidRPr="00C301EA">
        <w:rPr>
          <w:i/>
          <w:sz w:val="16"/>
          <w:szCs w:val="16"/>
        </w:rPr>
        <w:t xml:space="preserve"> and prioritize.</w:t>
      </w:r>
      <w:r w:rsidRPr="00C301EA">
        <w:rPr>
          <w:i/>
          <w:sz w:val="16"/>
          <w:szCs w:val="16"/>
        </w:rPr>
        <w:t xml:space="preserve"> </w:t>
      </w:r>
    </w:p>
    <w:p w14:paraId="5B786D12" w14:textId="77777777" w:rsidR="003C6C68" w:rsidRDefault="003C6C68" w:rsidP="00D15D85"/>
    <w:p w14:paraId="00CFC006" w14:textId="1CD21138" w:rsidR="00472663" w:rsidRDefault="007E30F2" w:rsidP="006E4FA7">
      <w:r>
        <w:t>A</w:t>
      </w:r>
      <w:r w:rsidR="00D15D85">
        <w:t xml:space="preserve"> priority for the Shelter Cluster and actors will be to devise appropriate modalities for response within the different transitional solutions. </w:t>
      </w:r>
      <w:r w:rsidR="007252B9">
        <w:t xml:space="preserve">Significant agreements have been reached between </w:t>
      </w:r>
      <w:r w:rsidR="00D15D85">
        <w:t xml:space="preserve">Shelter Cluster partners </w:t>
      </w:r>
      <w:r w:rsidR="007252B9">
        <w:t xml:space="preserve">on the mechanisms and </w:t>
      </w:r>
      <w:r w:rsidR="00765093">
        <w:t>solutions</w:t>
      </w:r>
      <w:r w:rsidR="007252B9">
        <w:t xml:space="preserve"> to ensure </w:t>
      </w:r>
      <w:r w:rsidR="00472663">
        <w:t xml:space="preserve">equitable and </w:t>
      </w:r>
      <w:r>
        <w:t xml:space="preserve">transparent </w:t>
      </w:r>
      <w:r w:rsidR="007252B9">
        <w:t xml:space="preserve">assistance across the range of circumstances </w:t>
      </w:r>
      <w:r w:rsidR="00472663">
        <w:t>in which affected families find themselves. Further work is required to fine tune these responses according to the timelines dictated by the suitability of the emergency solutions including hosting and collective centres and in the light of the impending winter cold, wind</w:t>
      </w:r>
      <w:r>
        <w:t>s</w:t>
      </w:r>
      <w:r w:rsidR="00472663">
        <w:t xml:space="preserve"> and rains. Care needs to be taken to avoid undermining coping mechanisms whilst ensuring that winterisation support and a sufficient supply of transitional options are provided.</w:t>
      </w:r>
    </w:p>
    <w:p w14:paraId="2C148106" w14:textId="77777777" w:rsidR="005D4808" w:rsidRDefault="005D4808" w:rsidP="006E4FA7"/>
    <w:p w14:paraId="0BF7F559" w14:textId="77777777" w:rsidR="00254758" w:rsidRDefault="00472663" w:rsidP="006E4FA7">
      <w:r>
        <w:t xml:space="preserve">Emphasis must also be given to the </w:t>
      </w:r>
      <w:r w:rsidR="00CA6FF2">
        <w:t>need for clarity on the timing and scale of key actors’ programmes and projects so that other shelter actors can gauge the need for their engagement</w:t>
      </w:r>
      <w:r w:rsidR="00254758">
        <w:t xml:space="preserve"> and so that they can devise suitable responses and seek </w:t>
      </w:r>
      <w:r w:rsidR="00CA6FF2">
        <w:t>funding</w:t>
      </w:r>
      <w:r w:rsidR="00254758">
        <w:t xml:space="preserve"> in a timely manner.</w:t>
      </w:r>
    </w:p>
    <w:p w14:paraId="29A68737" w14:textId="77777777" w:rsidR="005D4808" w:rsidRDefault="005D4808" w:rsidP="006E4FA7"/>
    <w:p w14:paraId="32556CA2" w14:textId="798B2028" w:rsidR="007E30F2" w:rsidRDefault="00254758" w:rsidP="006E4FA7">
      <w:r>
        <w:t xml:space="preserve">There is a need for consistency and recognition of others’ mechanisms and provision so that the most needy are supported with the most appropriate transitional solution and to avoid exhausting certain types of solution </w:t>
      </w:r>
      <w:r w:rsidR="007E30F2">
        <w:t>that could occur due to its transient popularity.</w:t>
      </w:r>
    </w:p>
    <w:p w14:paraId="32985FAD" w14:textId="77777777" w:rsidR="00254758" w:rsidRDefault="00254758" w:rsidP="006E4FA7"/>
    <w:p w14:paraId="77A28731" w14:textId="22820065" w:rsidR="003C6C68" w:rsidRPr="007230AF" w:rsidRDefault="00254758" w:rsidP="006E4FA7">
      <w:pPr>
        <w:rPr>
          <w:b/>
        </w:rPr>
      </w:pPr>
      <w:r>
        <w:rPr>
          <w:b/>
        </w:rPr>
        <w:t>C</w:t>
      </w:r>
      <w:r w:rsidR="003C6C68" w:rsidRPr="007230AF">
        <w:rPr>
          <w:b/>
        </w:rPr>
        <w:t>onversations on transitional shelter solution</w:t>
      </w:r>
      <w:r w:rsidR="0033504B">
        <w:rPr>
          <w:b/>
        </w:rPr>
        <w:t>s for the estimated 20</w:t>
      </w:r>
      <w:r w:rsidR="007230AF" w:rsidRPr="007230AF">
        <w:rPr>
          <w:b/>
        </w:rPr>
        <w:t>,000 households with severely damaged or destroyed houses i</w:t>
      </w:r>
      <w:r w:rsidR="003C6C68" w:rsidRPr="007230AF">
        <w:rPr>
          <w:b/>
        </w:rPr>
        <w:t xml:space="preserve">nclude the following </w:t>
      </w:r>
      <w:r w:rsidR="00122241">
        <w:rPr>
          <w:b/>
        </w:rPr>
        <w:t>living situations</w:t>
      </w:r>
      <w:r w:rsidR="003C6C68" w:rsidRPr="007230AF">
        <w:rPr>
          <w:b/>
        </w:rPr>
        <w:t>:</w:t>
      </w:r>
    </w:p>
    <w:p w14:paraId="4D47D8FD" w14:textId="77777777" w:rsidR="003C6C68" w:rsidRDefault="003C6C68" w:rsidP="006E4FA7"/>
    <w:p w14:paraId="749E201F" w14:textId="7143289D" w:rsidR="005D4808" w:rsidRDefault="003C6C68" w:rsidP="006E4FA7">
      <w:pPr>
        <w:rPr>
          <w:b/>
        </w:rPr>
      </w:pPr>
      <w:r w:rsidRPr="003C6C68">
        <w:rPr>
          <w:b/>
        </w:rPr>
        <w:t>Collective Centres</w:t>
      </w:r>
    </w:p>
    <w:p w14:paraId="3C62F8E6" w14:textId="178D6603" w:rsidR="00A26A8E" w:rsidRDefault="004750AF" w:rsidP="003C6C68">
      <w:r>
        <w:t xml:space="preserve">Despite the difficulties presented by living in collective centres almost 57,000 people (9,100 families) remain in 18 UNRWA and 2 </w:t>
      </w:r>
      <w:proofErr w:type="spellStart"/>
      <w:r>
        <w:t>MoEHE</w:t>
      </w:r>
      <w:proofErr w:type="spellEnd"/>
      <w:r>
        <w:t xml:space="preserve"> schools being used as collective centres. Given the number of transitional shelter solutions on the table, the lack of cement and aggregate and the proximity to winter it is likely that there will be a continuing need for collective centre space over the winter. </w:t>
      </w:r>
      <w:r w:rsidR="00A26A8E">
        <w:t xml:space="preserve">It is anticipated that as alternative solutions become available and </w:t>
      </w:r>
      <w:r w:rsidR="007925F4">
        <w:t>if pull-factors such as</w:t>
      </w:r>
      <w:r w:rsidR="00A26A8E">
        <w:t xml:space="preserve"> NFI distribution</w:t>
      </w:r>
      <w:r w:rsidR="007925F4">
        <w:t xml:space="preserve">s move away from the </w:t>
      </w:r>
      <w:r w:rsidR="00A26A8E">
        <w:t xml:space="preserve">collective centres </w:t>
      </w:r>
      <w:r w:rsidR="007925F4">
        <w:t xml:space="preserve">that </w:t>
      </w:r>
      <w:r w:rsidR="004D5319">
        <w:t>affected households will prioritize other transitional solutions</w:t>
      </w:r>
      <w:r w:rsidR="00A26A8E">
        <w:t xml:space="preserve"> as they become available. </w:t>
      </w:r>
    </w:p>
    <w:p w14:paraId="5EFEDAF9" w14:textId="77777777" w:rsidR="00C301EA" w:rsidRDefault="00C301EA" w:rsidP="003C6C68"/>
    <w:p w14:paraId="73D3B518" w14:textId="05261496" w:rsidR="00A26A8E" w:rsidRDefault="00A26A8E" w:rsidP="003C6C68">
      <w:r>
        <w:t>The crowded accommodation is causing some families to s</w:t>
      </w:r>
      <w:r w:rsidR="00F01E05">
        <w:t>tay in open areas within the schools/collective centres.</w:t>
      </w:r>
      <w:r>
        <w:t xml:space="preserve"> </w:t>
      </w:r>
      <w:r w:rsidR="007925F4">
        <w:t xml:space="preserve">The need for </w:t>
      </w:r>
      <w:r>
        <w:t xml:space="preserve">winterisation, </w:t>
      </w:r>
      <w:r w:rsidR="007925F4">
        <w:t xml:space="preserve">minor </w:t>
      </w:r>
      <w:r>
        <w:t xml:space="preserve">repairs and preparation for schools to reopen will bring pressure on education providers </w:t>
      </w:r>
      <w:r>
        <w:lastRenderedPageBreak/>
        <w:t>and the IDPs to find alternative solutions</w:t>
      </w:r>
      <w:r w:rsidR="007925F4">
        <w:t xml:space="preserve"> to schools as collective centres/emergency shelter</w:t>
      </w:r>
      <w:r>
        <w:t xml:space="preserve">. </w:t>
      </w:r>
    </w:p>
    <w:p w14:paraId="387A09B2" w14:textId="77777777" w:rsidR="005D4808" w:rsidRDefault="005D4808" w:rsidP="003C6C68"/>
    <w:p w14:paraId="6906FCCD" w14:textId="05ED1ADF" w:rsidR="00A26A8E" w:rsidRDefault="007925F4" w:rsidP="003C6C68">
      <w:r>
        <w:t>It is clear that t</w:t>
      </w:r>
      <w:r w:rsidR="00A26A8E">
        <w:t>here will be a need for continuous provision of collective centre capacity for the affected population</w:t>
      </w:r>
      <w:r>
        <w:t xml:space="preserve"> for the foreseeable future</w:t>
      </w:r>
      <w:r w:rsidR="00A26A8E">
        <w:t xml:space="preserve">. The scale of provision required is not clear but </w:t>
      </w:r>
      <w:r w:rsidR="00F01E05">
        <w:t xml:space="preserve">sufficient </w:t>
      </w:r>
      <w:r w:rsidR="00A26A8E">
        <w:t>capacity</w:t>
      </w:r>
      <w:r w:rsidR="00F01E05">
        <w:t xml:space="preserve"> to cover likely winter flooding will be needed.</w:t>
      </w:r>
      <w:r w:rsidR="00A26A8E">
        <w:t xml:space="preserve"> </w:t>
      </w:r>
    </w:p>
    <w:p w14:paraId="170EF2FC" w14:textId="77777777" w:rsidR="00A26A8E" w:rsidRDefault="00A26A8E" w:rsidP="003C6C68"/>
    <w:p w14:paraId="7D368560" w14:textId="23091B1F" w:rsidR="004D5319" w:rsidRPr="004D5319" w:rsidRDefault="004D5319" w:rsidP="003C6C68">
      <w:pPr>
        <w:rPr>
          <w:b/>
        </w:rPr>
      </w:pPr>
      <w:r>
        <w:rPr>
          <w:b/>
        </w:rPr>
        <w:t>In-situ temporary housing</w:t>
      </w:r>
    </w:p>
    <w:p w14:paraId="5EF6C345" w14:textId="377F3D30" w:rsidR="00F01E05" w:rsidRDefault="004D5319" w:rsidP="003C6C68">
      <w:r>
        <w:t xml:space="preserve">Households with destroyed houses in areas with lower density housing, may choose to return to their plot of land and construct a temporary building while the reconstruction of their damaged house takes place. Agencies can support these households with materials </w:t>
      </w:r>
      <w:r w:rsidR="005C70C6">
        <w:t>and technical advice</w:t>
      </w:r>
      <w:r>
        <w:t xml:space="preserve"> but also</w:t>
      </w:r>
      <w:r w:rsidR="00C812E3">
        <w:t xml:space="preserve"> with </w:t>
      </w:r>
      <w:r w:rsidR="00F01E05">
        <w:t xml:space="preserve">locally built </w:t>
      </w:r>
      <w:r w:rsidR="00C812E3">
        <w:t>structures</w:t>
      </w:r>
      <w:r w:rsidR="00F01E05">
        <w:t xml:space="preserve"> </w:t>
      </w:r>
      <w:r w:rsidR="00C812E3">
        <w:t>where appropriate</w:t>
      </w:r>
      <w:r w:rsidR="00F01E05">
        <w:t xml:space="preserve"> </w:t>
      </w:r>
      <w:r w:rsidR="00C812E3">
        <w:t xml:space="preserve">and where the design, materials and layout are consistent with the aspirations of the affected households, cultural practices, and climatic considerations. </w:t>
      </w:r>
    </w:p>
    <w:p w14:paraId="5CBDCD24" w14:textId="77777777" w:rsidR="005D4808" w:rsidRDefault="005D4808" w:rsidP="003C6C68"/>
    <w:p w14:paraId="624C34CE" w14:textId="38E4E9BF" w:rsidR="006F70DE" w:rsidRDefault="00F01E05" w:rsidP="006F70DE">
      <w:r>
        <w:t xml:space="preserve">A number (approximately 5,000) </w:t>
      </w:r>
      <w:r w:rsidR="007925F4">
        <w:t xml:space="preserve">of </w:t>
      </w:r>
      <w:r>
        <w:t xml:space="preserve">prefabricated units are likely to arrive in Gaza over the coming weeks. Prefabricated units are not </w:t>
      </w:r>
      <w:r w:rsidR="007925F4">
        <w:t xml:space="preserve">an </w:t>
      </w:r>
      <w:r>
        <w:t xml:space="preserve">ideal </w:t>
      </w:r>
      <w:r w:rsidR="007925F4">
        <w:t xml:space="preserve">transitional shelter </w:t>
      </w:r>
      <w:r>
        <w:t>solution and the message from the authorities in Gaza is that no more prefabricated units should be supplied</w:t>
      </w:r>
      <w:r w:rsidR="006F70DE">
        <w:t>. Rather than this</w:t>
      </w:r>
      <w:r w:rsidR="007925F4">
        <w:t>,</w:t>
      </w:r>
      <w:r>
        <w:t xml:space="preserve"> </w:t>
      </w:r>
      <w:r w:rsidR="007925F4">
        <w:t xml:space="preserve">available </w:t>
      </w:r>
      <w:r>
        <w:t xml:space="preserve">funding should be used for </w:t>
      </w:r>
      <w:r w:rsidR="006F70DE">
        <w:t xml:space="preserve">winterisation; repairs; creating new rental units or further hosting opportunities; sealing off rooms, rendering buildings safe or creating refuges in medium damaged housing units and providing locally built solutions using materials on the open market. </w:t>
      </w:r>
      <w:r w:rsidR="007925F4">
        <w:t>Winterised t</w:t>
      </w:r>
      <w:r w:rsidR="006F70DE">
        <w:t xml:space="preserve">ents </w:t>
      </w:r>
      <w:r w:rsidR="007925F4">
        <w:t xml:space="preserve">as an emergency solution </w:t>
      </w:r>
      <w:r w:rsidR="006F70DE">
        <w:t xml:space="preserve">are not ruled out although they are not acceptable when arranged in camps. </w:t>
      </w:r>
    </w:p>
    <w:p w14:paraId="70EE0FB6" w14:textId="77777777" w:rsidR="004D5319" w:rsidRDefault="004D5319" w:rsidP="003C6C68"/>
    <w:p w14:paraId="77DD9AE5" w14:textId="184C2B87" w:rsidR="004D5319" w:rsidRDefault="00C812E3" w:rsidP="003C6C68">
      <w:pPr>
        <w:rPr>
          <w:b/>
        </w:rPr>
      </w:pPr>
      <w:r>
        <w:rPr>
          <w:b/>
        </w:rPr>
        <w:t>Existing r</w:t>
      </w:r>
      <w:r w:rsidR="005C70C6">
        <w:rPr>
          <w:b/>
        </w:rPr>
        <w:t>ental units</w:t>
      </w:r>
      <w:r>
        <w:rPr>
          <w:b/>
        </w:rPr>
        <w:t xml:space="preserve"> and creating new rental units</w:t>
      </w:r>
    </w:p>
    <w:p w14:paraId="25C8C8BB" w14:textId="259BE3C1" w:rsidR="006F70DE" w:rsidRDefault="003342C4" w:rsidP="003C6C68">
      <w:r>
        <w:t xml:space="preserve">A number of displaced households </w:t>
      </w:r>
      <w:r w:rsidR="007925F4">
        <w:t>are</w:t>
      </w:r>
      <w:r>
        <w:t xml:space="preserve"> likely </w:t>
      </w:r>
      <w:r w:rsidR="007925F4">
        <w:t xml:space="preserve">to </w:t>
      </w:r>
      <w:r>
        <w:t>choose rental units as an interim solution</w:t>
      </w:r>
      <w:r w:rsidR="007925F4">
        <w:t>. H</w:t>
      </w:r>
      <w:r>
        <w:t>owever</w:t>
      </w:r>
      <w:r w:rsidR="007925F4">
        <w:t>,</w:t>
      </w:r>
      <w:r>
        <w:t xml:space="preserve"> the availability is estimated to be </w:t>
      </w:r>
      <w:r w:rsidR="008A40F5">
        <w:t xml:space="preserve">around </w:t>
      </w:r>
      <w:r>
        <w:t>1,000</w:t>
      </w:r>
      <w:r w:rsidR="008A40F5">
        <w:t xml:space="preserve"> units</w:t>
      </w:r>
      <w:r>
        <w:t xml:space="preserve"> across the Gaza Strip. In addition to available units, agencies may also consider </w:t>
      </w:r>
      <w:r w:rsidR="007925F4">
        <w:t>completing</w:t>
      </w:r>
      <w:r>
        <w:t xml:space="preserve"> unfinished</w:t>
      </w:r>
      <w:r w:rsidR="001C4B3E">
        <w:t xml:space="preserve"> and/or lightly damaged</w:t>
      </w:r>
      <w:r>
        <w:t xml:space="preserve"> buildings </w:t>
      </w:r>
      <w:r w:rsidR="007925F4">
        <w:t xml:space="preserve">failing to qualify for current initiatives </w:t>
      </w:r>
      <w:r>
        <w:t xml:space="preserve">in exchange for rent-free periods for affected households. </w:t>
      </w:r>
      <w:r w:rsidR="006F70DE">
        <w:t>R</w:t>
      </w:r>
      <w:r w:rsidR="008A40F5">
        <w:t>ental subsidies will increase demand on the current housing stock</w:t>
      </w:r>
      <w:r w:rsidR="006F70DE">
        <w:t xml:space="preserve"> and may fuel price rises. A simultaneous increase </w:t>
      </w:r>
      <w:r w:rsidR="008A40F5">
        <w:t>in the available housing stock</w:t>
      </w:r>
      <w:r w:rsidR="006F70DE">
        <w:t xml:space="preserve"> is also required</w:t>
      </w:r>
      <w:r w:rsidR="008A40F5">
        <w:t>.</w:t>
      </w:r>
      <w:r w:rsidR="006F70DE">
        <w:t xml:space="preserve"> A small scale pilot project is underway </w:t>
      </w:r>
      <w:r w:rsidR="00A26C8A">
        <w:t xml:space="preserve">in Beit </w:t>
      </w:r>
      <w:proofErr w:type="spellStart"/>
      <w:r w:rsidR="00A26C8A">
        <w:t>Hanoun</w:t>
      </w:r>
      <w:proofErr w:type="spellEnd"/>
      <w:r w:rsidR="00A26C8A">
        <w:t xml:space="preserve"> </w:t>
      </w:r>
      <w:r w:rsidR="006F70DE">
        <w:t xml:space="preserve">to test the feasibility of this </w:t>
      </w:r>
      <w:r w:rsidR="00A26C8A">
        <w:t>option</w:t>
      </w:r>
      <w:r w:rsidR="002B1D48">
        <w:t xml:space="preserve"> and should </w:t>
      </w:r>
      <w:r w:rsidR="006F70DE">
        <w:t>be closely followed</w:t>
      </w:r>
      <w:r w:rsidR="002B1D48">
        <w:t>. O</w:t>
      </w:r>
      <w:r w:rsidR="006F70DE">
        <w:t>ther agencies are encouraged to examine this option as one of the more durable solutions to meeting the housing needs of the affected population.</w:t>
      </w:r>
    </w:p>
    <w:p w14:paraId="2B784237" w14:textId="77777777" w:rsidR="003342C4" w:rsidRDefault="003342C4" w:rsidP="003C6C68"/>
    <w:p w14:paraId="3F9113EB" w14:textId="3BB5F357" w:rsidR="003342C4" w:rsidRDefault="003342C4" w:rsidP="003C6C68">
      <w:pPr>
        <w:rPr>
          <w:b/>
        </w:rPr>
      </w:pPr>
      <w:r w:rsidRPr="003342C4">
        <w:rPr>
          <w:b/>
        </w:rPr>
        <w:t>Host families</w:t>
      </w:r>
    </w:p>
    <w:p w14:paraId="4863EC44" w14:textId="4A07071C" w:rsidR="005C70C6" w:rsidRDefault="005C70C6" w:rsidP="003C6C68">
      <w:r w:rsidRPr="005C70C6">
        <w:t xml:space="preserve">Host families </w:t>
      </w:r>
      <w:r w:rsidR="002B1D48">
        <w:t xml:space="preserve">have proved an invaluable </w:t>
      </w:r>
      <w:r w:rsidRPr="005C70C6">
        <w:t xml:space="preserve">support option </w:t>
      </w:r>
      <w:r>
        <w:t xml:space="preserve">for a </w:t>
      </w:r>
      <w:r w:rsidR="002B1D48">
        <w:t xml:space="preserve">large </w:t>
      </w:r>
      <w:r>
        <w:t>number of households; however these situations can often be overcrowded, along with tensions arising from household income and expenditure.</w:t>
      </w:r>
      <w:r w:rsidR="00E47230">
        <w:t xml:space="preserve"> Whilst i</w:t>
      </w:r>
      <w:r>
        <w:t xml:space="preserve">t is unlikely that households will be </w:t>
      </w:r>
      <w:r w:rsidR="00E47230">
        <w:t xml:space="preserve">wish </w:t>
      </w:r>
      <w:r>
        <w:t xml:space="preserve">to stay with host families for the duration of displacement while </w:t>
      </w:r>
      <w:r w:rsidR="00DB38EF">
        <w:t>homes are reconstructed</w:t>
      </w:r>
      <w:r w:rsidR="002B1D48">
        <w:t>,</w:t>
      </w:r>
      <w:r w:rsidR="00E47230">
        <w:t xml:space="preserve"> every effort must be made to track and support hosted and host families in order to maximise the availability of this option as long as proves necessary</w:t>
      </w:r>
      <w:r>
        <w:t>.</w:t>
      </w:r>
    </w:p>
    <w:p w14:paraId="1433F736" w14:textId="77777777" w:rsidR="005C70C6" w:rsidRDefault="005C70C6" w:rsidP="003C6C68"/>
    <w:p w14:paraId="289F9155" w14:textId="00948BA8" w:rsidR="005C70C6" w:rsidRDefault="005C70C6" w:rsidP="003C6C68">
      <w:pPr>
        <w:rPr>
          <w:b/>
        </w:rPr>
      </w:pPr>
      <w:r w:rsidRPr="005C70C6">
        <w:rPr>
          <w:b/>
        </w:rPr>
        <w:t xml:space="preserve">New </w:t>
      </w:r>
      <w:r w:rsidR="00495EE1" w:rsidRPr="0056333C">
        <w:rPr>
          <w:b/>
        </w:rPr>
        <w:t>neighbourhoods</w:t>
      </w:r>
    </w:p>
    <w:p w14:paraId="531196ED" w14:textId="586A3661" w:rsidR="007230AF" w:rsidRDefault="006B0CD7" w:rsidP="003C6C68">
      <w:pPr>
        <w:rPr>
          <w:b/>
        </w:rPr>
      </w:pPr>
      <w:r w:rsidRPr="006B0CD7">
        <w:t>In response to the large number of destroyed houses, and given the pre-crisis housing deficit</w:t>
      </w:r>
      <w:r w:rsidR="002B1D48">
        <w:t>,</w:t>
      </w:r>
      <w:r w:rsidRPr="006B0CD7">
        <w:t xml:space="preserve"> </w:t>
      </w:r>
      <w:r w:rsidR="00E47230">
        <w:t xml:space="preserve">stated to be 75,334 in 2011, </w:t>
      </w:r>
      <w:r w:rsidRPr="006B0CD7">
        <w:t xml:space="preserve">agencies and authorities </w:t>
      </w:r>
      <w:r>
        <w:t>should</w:t>
      </w:r>
      <w:r w:rsidRPr="006B0CD7">
        <w:t xml:space="preserve"> </w:t>
      </w:r>
      <w:r w:rsidR="00E47230">
        <w:t xml:space="preserve">investigate the potential to </w:t>
      </w:r>
      <w:r w:rsidRPr="006B0CD7">
        <w:t>creat</w:t>
      </w:r>
      <w:r w:rsidR="00E47230">
        <w:t xml:space="preserve">e </w:t>
      </w:r>
      <w:r w:rsidRPr="006B0CD7">
        <w:t xml:space="preserve">new </w:t>
      </w:r>
      <w:r w:rsidR="00E47230">
        <w:t>housing developments</w:t>
      </w:r>
      <w:r w:rsidRPr="006B0CD7">
        <w:t xml:space="preserve">. </w:t>
      </w:r>
      <w:r>
        <w:t>Th</w:t>
      </w:r>
      <w:r w:rsidR="00E47230">
        <w:t xml:space="preserve">ere is </w:t>
      </w:r>
      <w:proofErr w:type="gramStart"/>
      <w:r w:rsidR="00E47230">
        <w:t>a likelihood</w:t>
      </w:r>
      <w:proofErr w:type="gramEnd"/>
      <w:r w:rsidR="00E47230">
        <w:t xml:space="preserve"> that </w:t>
      </w:r>
      <w:r w:rsidR="008A40F5">
        <w:t xml:space="preserve">temporary housing solutions, such as </w:t>
      </w:r>
      <w:r w:rsidR="00E47230">
        <w:t xml:space="preserve">prefabricated units in temporary displacement sites </w:t>
      </w:r>
      <w:r w:rsidR="002B1D48">
        <w:t xml:space="preserve">(TDS) </w:t>
      </w:r>
      <w:r w:rsidR="00E47230">
        <w:t xml:space="preserve">will gradually become permanent. This coupled with an awareness of the complexities of land ownership issues indicates a clear for </w:t>
      </w:r>
      <w:r w:rsidR="002B1D48">
        <w:t>TDS t</w:t>
      </w:r>
      <w:r w:rsidR="00E47230">
        <w:t xml:space="preserve">o </w:t>
      </w:r>
      <w:r w:rsidR="002B1D48">
        <w:t xml:space="preserve">be </w:t>
      </w:r>
      <w:r w:rsidR="00E47230">
        <w:t>appropriately designed. If temporary sites are likely to become permanent they will require attention to detail to incorporate necessary access</w:t>
      </w:r>
      <w:r w:rsidR="002B1D48">
        <w:t xml:space="preserve">, utility </w:t>
      </w:r>
      <w:r w:rsidR="00E47230">
        <w:t xml:space="preserve">and </w:t>
      </w:r>
      <w:r w:rsidR="002B1D48">
        <w:t xml:space="preserve">other </w:t>
      </w:r>
      <w:r>
        <w:t>infrastructure</w:t>
      </w:r>
      <w:r w:rsidR="008C684D">
        <w:t xml:space="preserve"> service features</w:t>
      </w:r>
      <w:r>
        <w:t>.</w:t>
      </w:r>
    </w:p>
    <w:p w14:paraId="64D7F15D" w14:textId="50C45CC4" w:rsidR="007230AF" w:rsidRPr="005C70C6" w:rsidRDefault="00933727" w:rsidP="00A84B8C">
      <w:pPr>
        <w:pStyle w:val="Heading2"/>
      </w:pPr>
      <w:r>
        <w:lastRenderedPageBreak/>
        <w:t>M</w:t>
      </w:r>
      <w:r w:rsidR="007230AF">
        <w:t xml:space="preserve">inor </w:t>
      </w:r>
      <w:r w:rsidR="0056333C">
        <w:t>&amp; Major Repairs &amp; Winterisation</w:t>
      </w:r>
    </w:p>
    <w:p w14:paraId="22BE38C1" w14:textId="1827A9EA" w:rsidR="00826D0E" w:rsidRDefault="0056333C" w:rsidP="003C6C68">
      <w:r>
        <w:t xml:space="preserve">Minor </w:t>
      </w:r>
      <w:r w:rsidR="00933727">
        <w:t xml:space="preserve">repairs are a </w:t>
      </w:r>
      <w:r>
        <w:t>high priority in order to winterise the many minor damaged units and to minimise pressure on host family and collective centre solutions. It is important that all minor repairs are quickly carried out before winter sets in. These will need glass, aluminium frames, doors, wood, electrical items</w:t>
      </w:r>
      <w:r w:rsidR="00826D0E">
        <w:t xml:space="preserve">, etc. all of which are </w:t>
      </w:r>
      <w:r>
        <w:t>currently available on the open market</w:t>
      </w:r>
      <w:r w:rsidR="00826D0E">
        <w:t xml:space="preserve"> although pipelines are not determined</w:t>
      </w:r>
      <w:r>
        <w:t xml:space="preserve">. </w:t>
      </w:r>
    </w:p>
    <w:p w14:paraId="72235D58" w14:textId="77777777" w:rsidR="00C301EA" w:rsidRDefault="00C301EA" w:rsidP="003C6C68"/>
    <w:p w14:paraId="4E4529B2" w14:textId="109C2905" w:rsidR="003342C4" w:rsidRDefault="0056333C" w:rsidP="003C6C68">
      <w:r>
        <w:t xml:space="preserve">Some </w:t>
      </w:r>
      <w:r w:rsidR="007230AF" w:rsidRPr="007230AF">
        <w:t>households return</w:t>
      </w:r>
      <w:r w:rsidR="00826D0E">
        <w:t>ing</w:t>
      </w:r>
      <w:r w:rsidR="007230AF" w:rsidRPr="007230AF">
        <w:t xml:space="preserve"> to lightly damaged houses </w:t>
      </w:r>
      <w:r w:rsidR="00826D0E">
        <w:t xml:space="preserve">may be </w:t>
      </w:r>
      <w:r w:rsidR="007230AF" w:rsidRPr="007230AF">
        <w:t xml:space="preserve">unable to mobilize the resources to </w:t>
      </w:r>
      <w:r>
        <w:t xml:space="preserve">perform </w:t>
      </w:r>
      <w:r w:rsidR="007230AF" w:rsidRPr="007230AF">
        <w:t>minor damage</w:t>
      </w:r>
      <w:r>
        <w:t xml:space="preserve"> repairs</w:t>
      </w:r>
      <w:r w:rsidR="007230AF" w:rsidRPr="007230AF">
        <w:t xml:space="preserve">, </w:t>
      </w:r>
      <w:r>
        <w:t>A</w:t>
      </w:r>
      <w:r w:rsidR="007230AF">
        <w:t xml:space="preserve">gencies </w:t>
      </w:r>
      <w:r w:rsidR="006B0CD7">
        <w:t>should consider</w:t>
      </w:r>
      <w:r w:rsidR="007230AF">
        <w:t xml:space="preserve"> </w:t>
      </w:r>
      <w:r>
        <w:t xml:space="preserve">providing additional </w:t>
      </w:r>
      <w:r w:rsidR="007230AF">
        <w:t xml:space="preserve">support </w:t>
      </w:r>
      <w:r w:rsidR="006B0CD7">
        <w:t xml:space="preserve">to </w:t>
      </w:r>
      <w:r w:rsidR="007230AF">
        <w:t xml:space="preserve">vulnerable households </w:t>
      </w:r>
      <w:r w:rsidR="006B0CD7">
        <w:t xml:space="preserve">to </w:t>
      </w:r>
      <w:r w:rsidR="00A90ECC">
        <w:t xml:space="preserve">enable </w:t>
      </w:r>
      <w:r w:rsidR="006B0CD7">
        <w:t>the</w:t>
      </w:r>
      <w:r w:rsidR="00826D0E">
        <w:t>m</w:t>
      </w:r>
      <w:r w:rsidR="006B0CD7">
        <w:t xml:space="preserve"> to undertake repairs. </w:t>
      </w:r>
    </w:p>
    <w:p w14:paraId="3CD2B27A" w14:textId="77777777" w:rsidR="005D4808" w:rsidRDefault="005D4808" w:rsidP="003C6C68"/>
    <w:p w14:paraId="05BE3559" w14:textId="3447BD65" w:rsidR="00FB613E" w:rsidRDefault="00FB613E" w:rsidP="003C6C68">
      <w:r>
        <w:t xml:space="preserve">The unavailability of cement and the time it will take for any improvements to </w:t>
      </w:r>
      <w:r w:rsidR="00826D0E">
        <w:t xml:space="preserve">the supply of restricted materials </w:t>
      </w:r>
      <w:r>
        <w:t>into Gaza force</w:t>
      </w:r>
      <w:r w:rsidR="00826D0E">
        <w:t>s</w:t>
      </w:r>
      <w:r>
        <w:t xml:space="preserve"> all repairs </w:t>
      </w:r>
      <w:r w:rsidR="00826D0E">
        <w:t xml:space="preserve">and winterisation </w:t>
      </w:r>
      <w:r>
        <w:t>to be designed to use only th</w:t>
      </w:r>
      <w:r w:rsidR="00826D0E">
        <w:t xml:space="preserve">e limited </w:t>
      </w:r>
      <w:r>
        <w:t xml:space="preserve">types of materials currently available </w:t>
      </w:r>
      <w:r w:rsidR="00E23070">
        <w:t xml:space="preserve">in </w:t>
      </w:r>
      <w:r>
        <w:t>Gaza.</w:t>
      </w:r>
    </w:p>
    <w:p w14:paraId="6370593C" w14:textId="4323F4D3" w:rsidR="00FB613E" w:rsidRPr="007230AF" w:rsidRDefault="00FB613E" w:rsidP="003C6C68">
      <w:r>
        <w:t>Given the amounts available for rental support and the shortage of rental units</w:t>
      </w:r>
      <w:r w:rsidR="00826D0E">
        <w:t>,</w:t>
      </w:r>
      <w:r>
        <w:t xml:space="preserve"> many affected households may choose to stay at home in medium damaged buildings. Agencies should consider providing support to these families to make </w:t>
      </w:r>
      <w:r w:rsidR="00826D0E">
        <w:t xml:space="preserve">homes </w:t>
      </w:r>
      <w:r>
        <w:t>and access ways safe, to ensure associated WASH provision, the sealing off of two rooms for winter use or the creation of a refuge within the structure.</w:t>
      </w:r>
    </w:p>
    <w:p w14:paraId="276A8BAB" w14:textId="29139116" w:rsidR="006E4FA7" w:rsidRDefault="007D4BF0" w:rsidP="00A84B8C">
      <w:pPr>
        <w:pStyle w:val="Heading2"/>
      </w:pPr>
      <w:r>
        <w:t>R</w:t>
      </w:r>
      <w:r w:rsidR="00D15D85">
        <w:t>econstruction</w:t>
      </w:r>
    </w:p>
    <w:p w14:paraId="3D7CF211" w14:textId="1E5D97A1" w:rsidR="006E4FA7" w:rsidRDefault="002577E9" w:rsidP="00FC5826">
      <w:r>
        <w:t xml:space="preserve">Those </w:t>
      </w:r>
      <w:r w:rsidR="003C6C68">
        <w:t xml:space="preserve">that are </w:t>
      </w:r>
      <w:r>
        <w:t xml:space="preserve">able to will start the repair and reconstruction process </w:t>
      </w:r>
      <w:r w:rsidR="00FB613E">
        <w:t>as and when construction materials become available. H</w:t>
      </w:r>
      <w:r>
        <w:t>owever</w:t>
      </w:r>
      <w:r w:rsidR="00FB613E">
        <w:t>,</w:t>
      </w:r>
      <w:r>
        <w:t xml:space="preserve"> for </w:t>
      </w:r>
      <w:r w:rsidR="003C6C68">
        <w:t>thousands</w:t>
      </w:r>
      <w:r>
        <w:t xml:space="preserve"> of households, the reconstruction </w:t>
      </w:r>
      <w:r w:rsidR="003C6C68">
        <w:t>process will take years</w:t>
      </w:r>
      <w:r w:rsidR="001515D6">
        <w:t xml:space="preserve"> and they will require support with reconstruction</w:t>
      </w:r>
      <w:r w:rsidR="00FB613E">
        <w:t xml:space="preserve">, </w:t>
      </w:r>
      <w:r w:rsidR="001515D6">
        <w:t xml:space="preserve">documentation and legal </w:t>
      </w:r>
      <w:r w:rsidR="00826D0E">
        <w:t>processes</w:t>
      </w:r>
      <w:r w:rsidR="003C6C68">
        <w:t xml:space="preserve">. </w:t>
      </w:r>
    </w:p>
    <w:p w14:paraId="0CAB4B0A" w14:textId="77777777" w:rsidR="00A1533C" w:rsidRDefault="00A1533C" w:rsidP="00FC5826"/>
    <w:p w14:paraId="234DEC95" w14:textId="3597B727" w:rsidR="00A1533C" w:rsidRPr="00FB613E" w:rsidRDefault="00A1533C" w:rsidP="00FC5826">
      <w:pPr>
        <w:rPr>
          <w:b/>
        </w:rPr>
      </w:pPr>
      <w:r w:rsidRPr="00FB613E">
        <w:rPr>
          <w:b/>
        </w:rPr>
        <w:t>Challenges for the reconstruction process, include:</w:t>
      </w:r>
    </w:p>
    <w:p w14:paraId="6F9C9D16" w14:textId="77777777" w:rsidR="00FB613E" w:rsidRDefault="00FB613E" w:rsidP="005D4808">
      <w:pPr>
        <w:pStyle w:val="ListParagraph"/>
        <w:numPr>
          <w:ilvl w:val="0"/>
          <w:numId w:val="0"/>
        </w:numPr>
        <w:ind w:left="720"/>
      </w:pPr>
    </w:p>
    <w:p w14:paraId="226A72B6" w14:textId="0B59032F" w:rsidR="00A1533C" w:rsidRDefault="00A1533C" w:rsidP="00A1533C">
      <w:pPr>
        <w:pStyle w:val="ListParagraph"/>
        <w:numPr>
          <w:ilvl w:val="0"/>
          <w:numId w:val="6"/>
        </w:numPr>
      </w:pPr>
      <w:r w:rsidRPr="00FB613E">
        <w:t xml:space="preserve">Availability of construction materials in Gaza, </w:t>
      </w:r>
      <w:r w:rsidR="007252B9" w:rsidRPr="005D4808">
        <w:t xml:space="preserve">including </w:t>
      </w:r>
      <w:r w:rsidR="008A40F5" w:rsidRPr="00FB613E">
        <w:t xml:space="preserve">restrictions </w:t>
      </w:r>
      <w:r w:rsidR="007252B9" w:rsidRPr="005D4808">
        <w:t xml:space="preserve">on </w:t>
      </w:r>
      <w:r w:rsidR="008A40F5" w:rsidRPr="00FB613E">
        <w:t>importing ‘dual use’ materials from Israel</w:t>
      </w:r>
      <w:r w:rsidRPr="00FB613E">
        <w:t>;</w:t>
      </w:r>
    </w:p>
    <w:p w14:paraId="76C68A1F" w14:textId="3E7A23F5" w:rsidR="00FD4ABC" w:rsidRPr="00FB613E" w:rsidRDefault="00FB613E" w:rsidP="00A1533C">
      <w:pPr>
        <w:pStyle w:val="ListParagraph"/>
        <w:numPr>
          <w:ilvl w:val="0"/>
          <w:numId w:val="6"/>
        </w:numPr>
      </w:pPr>
      <w:r>
        <w:t>A</w:t>
      </w:r>
      <w:r w:rsidR="00FD4ABC" w:rsidRPr="00FB613E">
        <w:t>ccess</w:t>
      </w:r>
      <w:r>
        <w:t>, construction</w:t>
      </w:r>
      <w:r w:rsidR="00FD4ABC" w:rsidRPr="00FB613E">
        <w:t xml:space="preserve"> and movement are restrict</w:t>
      </w:r>
      <w:r>
        <w:t>ed within and bordering the access restricted area (ARA). Affected families whose homes were destroyed in the ARA will need to be relocated.</w:t>
      </w:r>
      <w:r w:rsidR="00FD4ABC" w:rsidRPr="00FB613E">
        <w:t xml:space="preserve"> </w:t>
      </w:r>
    </w:p>
    <w:p w14:paraId="087C56B7" w14:textId="7EC3E57A" w:rsidR="00A1533C" w:rsidRPr="00FB613E" w:rsidRDefault="00FD4ABC" w:rsidP="00A1533C">
      <w:pPr>
        <w:pStyle w:val="ListParagraph"/>
        <w:numPr>
          <w:ilvl w:val="0"/>
          <w:numId w:val="6"/>
        </w:numPr>
      </w:pPr>
      <w:r w:rsidRPr="00FB613E">
        <w:t xml:space="preserve">Explosive Remnants of War (ERW) </w:t>
      </w:r>
      <w:r w:rsidR="005E7F49" w:rsidRPr="00FB613E">
        <w:t>saturation</w:t>
      </w:r>
      <w:r w:rsidRPr="00FB613E">
        <w:t xml:space="preserve"> and dispersion</w:t>
      </w:r>
      <w:r w:rsidR="005E7F49" w:rsidRPr="00FB613E">
        <w:t xml:space="preserve"> </w:t>
      </w:r>
      <w:r w:rsidR="00A1533C" w:rsidRPr="00FB613E">
        <w:t>across the Gaza Strip</w:t>
      </w:r>
      <w:r w:rsidR="005E7F49" w:rsidRPr="00FB613E">
        <w:t xml:space="preserve"> is </w:t>
      </w:r>
      <w:r w:rsidRPr="00FB613E">
        <w:t xml:space="preserve">currently considered </w:t>
      </w:r>
      <w:r w:rsidR="005E7F49" w:rsidRPr="00FB613E">
        <w:t>high</w:t>
      </w:r>
      <w:r w:rsidR="00A1533C" w:rsidRPr="00FB613E">
        <w:t xml:space="preserve">. </w:t>
      </w:r>
      <w:r w:rsidR="00FB613E">
        <w:t>Asse</w:t>
      </w:r>
      <w:r w:rsidR="00D46860">
        <w:t>s</w:t>
      </w:r>
      <w:r w:rsidR="00FB613E">
        <w:t xml:space="preserve">sments and visible clearances by </w:t>
      </w:r>
      <w:r w:rsidR="005E7F49" w:rsidRPr="00FB613E">
        <w:t xml:space="preserve">the United Nations Mine Action Service (UNMAS) are ongoing, </w:t>
      </w:r>
    </w:p>
    <w:p w14:paraId="41337AF9" w14:textId="2F0A5979" w:rsidR="00FB613E" w:rsidRDefault="005A2984">
      <w:pPr>
        <w:pStyle w:val="ListParagraph"/>
        <w:numPr>
          <w:ilvl w:val="0"/>
          <w:numId w:val="6"/>
        </w:numPr>
      </w:pPr>
      <w:r w:rsidRPr="00FB613E">
        <w:rPr>
          <w:bCs w:val="0"/>
        </w:rPr>
        <w:t>Rubble removal</w:t>
      </w:r>
      <w:r w:rsidR="005D4808">
        <w:rPr>
          <w:bCs w:val="0"/>
        </w:rPr>
        <w:t xml:space="preserve"> and potential for reuse.</w:t>
      </w:r>
    </w:p>
    <w:p w14:paraId="5376F92B" w14:textId="443128D8" w:rsidR="005A2984" w:rsidRPr="00FB613E" w:rsidRDefault="005A2984">
      <w:pPr>
        <w:pStyle w:val="ListParagraph"/>
        <w:numPr>
          <w:ilvl w:val="0"/>
          <w:numId w:val="6"/>
        </w:numPr>
      </w:pPr>
      <w:r w:rsidRPr="00FB613E">
        <w:t xml:space="preserve">Housing, Land and Property (HLP) aspects, including home/land documentation for widowers, </w:t>
      </w:r>
      <w:r w:rsidR="009C4608">
        <w:t>repairs</w:t>
      </w:r>
      <w:r w:rsidRPr="00FB613E">
        <w:t xml:space="preserve"> for </w:t>
      </w:r>
      <w:r w:rsidR="009C4608">
        <w:t xml:space="preserve">families formerly </w:t>
      </w:r>
      <w:r w:rsidRPr="00FB613E">
        <w:t>rent</w:t>
      </w:r>
      <w:r w:rsidR="009C4608">
        <w:t xml:space="preserve">ing accommodation, </w:t>
      </w:r>
      <w:r w:rsidRPr="00FB613E">
        <w:t>etc.</w:t>
      </w:r>
    </w:p>
    <w:p w14:paraId="5A6E6126" w14:textId="74B233CB" w:rsidR="008C3FF3" w:rsidRDefault="008C3FF3" w:rsidP="005D4808">
      <w:pPr>
        <w:pStyle w:val="ListParagraph"/>
        <w:numPr>
          <w:ilvl w:val="0"/>
          <w:numId w:val="0"/>
        </w:numPr>
        <w:ind w:left="720"/>
      </w:pPr>
      <w:r>
        <w:t xml:space="preserve">  </w:t>
      </w:r>
    </w:p>
    <w:p w14:paraId="12F2F139" w14:textId="0D1CC38B" w:rsidR="006F7281" w:rsidRDefault="006F7281" w:rsidP="006F7281">
      <w:pPr>
        <w:pStyle w:val="Heading1"/>
      </w:pPr>
      <w:r>
        <w:t>Shelter Cluster contact details</w:t>
      </w:r>
    </w:p>
    <w:p w14:paraId="424B1AED" w14:textId="0D894992" w:rsidR="007252B9" w:rsidRDefault="007252B9" w:rsidP="006F7281">
      <w:pPr>
        <w:rPr>
          <w:b/>
        </w:rPr>
      </w:pPr>
      <w:r>
        <w:rPr>
          <w:b/>
        </w:rPr>
        <w:t>Shelter Cluster Surge Coordinator Palestine</w:t>
      </w:r>
    </w:p>
    <w:p w14:paraId="0D7F95CC" w14:textId="6F49EB03" w:rsidR="007252B9" w:rsidRPr="00C301EA" w:rsidRDefault="007252B9" w:rsidP="006F7281">
      <w:pPr>
        <w:rPr>
          <w:lang w:val="nb-NO"/>
        </w:rPr>
      </w:pPr>
      <w:r w:rsidRPr="00C301EA">
        <w:rPr>
          <w:lang w:val="nb-NO"/>
        </w:rPr>
        <w:t>Steve Barker</w:t>
      </w:r>
      <w:r w:rsidR="00C301EA" w:rsidRPr="00C301EA">
        <w:rPr>
          <w:lang w:val="nb-NO"/>
        </w:rPr>
        <w:t xml:space="preserve">, </w:t>
      </w:r>
      <w:r w:rsidRPr="00C301EA">
        <w:rPr>
          <w:lang w:val="nb-NO"/>
        </w:rPr>
        <w:t>Coord1.Palestine@ShelterCluster.org</w:t>
      </w:r>
    </w:p>
    <w:p w14:paraId="3431BFBE" w14:textId="77777777" w:rsidR="007252B9" w:rsidRPr="00C301EA" w:rsidRDefault="007252B9" w:rsidP="006F7281">
      <w:pPr>
        <w:rPr>
          <w:b/>
          <w:lang w:val="nb-NO"/>
        </w:rPr>
      </w:pPr>
    </w:p>
    <w:p w14:paraId="238668F0" w14:textId="5654C7FE" w:rsidR="006F7281" w:rsidRDefault="006F7281" w:rsidP="006F7281">
      <w:pPr>
        <w:rPr>
          <w:b/>
        </w:rPr>
      </w:pPr>
      <w:r w:rsidRPr="006F7281">
        <w:rPr>
          <w:b/>
        </w:rPr>
        <w:t>Shelter Cluster Coordinator Gaza</w:t>
      </w:r>
    </w:p>
    <w:p w14:paraId="2BE04995" w14:textId="35A103E9" w:rsidR="006F7281" w:rsidRPr="006F7281" w:rsidRDefault="006F7281" w:rsidP="006F7281">
      <w:r w:rsidRPr="006F7281">
        <w:t xml:space="preserve">Iyad Abu </w:t>
      </w:r>
      <w:proofErr w:type="spellStart"/>
      <w:r w:rsidRPr="006F7281">
        <w:t>Hamam</w:t>
      </w:r>
      <w:proofErr w:type="spellEnd"/>
      <w:r w:rsidRPr="006F7281">
        <w:t>, NRC</w:t>
      </w:r>
      <w:r w:rsidR="00C301EA">
        <w:t xml:space="preserve">, </w:t>
      </w:r>
      <w:r w:rsidRPr="006F7281">
        <w:t>iyad.hamam@nrc.no</w:t>
      </w:r>
    </w:p>
    <w:p w14:paraId="2E6F33BC" w14:textId="77777777" w:rsidR="006F7281" w:rsidRDefault="006F7281" w:rsidP="006F7281">
      <w:pPr>
        <w:rPr>
          <w:b/>
        </w:rPr>
      </w:pPr>
    </w:p>
    <w:p w14:paraId="7B207D66" w14:textId="16541411" w:rsidR="006F7281" w:rsidRDefault="00A1533C" w:rsidP="006F7281">
      <w:pPr>
        <w:rPr>
          <w:b/>
        </w:rPr>
      </w:pPr>
      <w:r>
        <w:rPr>
          <w:b/>
        </w:rPr>
        <w:t xml:space="preserve">National </w:t>
      </w:r>
      <w:r w:rsidR="006B2BE9">
        <w:rPr>
          <w:b/>
        </w:rPr>
        <w:t xml:space="preserve">Shelter </w:t>
      </w:r>
      <w:r>
        <w:rPr>
          <w:b/>
        </w:rPr>
        <w:t>Cluster Coordinator</w:t>
      </w:r>
    </w:p>
    <w:p w14:paraId="0E802DF1" w14:textId="4AE364D5" w:rsidR="006F7281" w:rsidRPr="00F24D76" w:rsidRDefault="006F7281" w:rsidP="006F7281">
      <w:pPr>
        <w:rPr>
          <w:lang w:val="en-GB"/>
        </w:rPr>
      </w:pPr>
      <w:r w:rsidRPr="00F24D76">
        <w:rPr>
          <w:lang w:val="en-GB"/>
        </w:rPr>
        <w:t>Fadi Shamisti, NRC</w:t>
      </w:r>
      <w:r w:rsidR="00C301EA" w:rsidRPr="00F24D76">
        <w:rPr>
          <w:lang w:val="en-GB"/>
        </w:rPr>
        <w:t xml:space="preserve">, </w:t>
      </w:r>
      <w:r w:rsidR="00A84B8C" w:rsidRPr="00F24D76">
        <w:rPr>
          <w:lang w:val="en-GB"/>
        </w:rPr>
        <w:t>fadi.shamisti@nrc.no</w:t>
      </w:r>
    </w:p>
    <w:p w14:paraId="596023EC" w14:textId="77777777" w:rsidR="00A84B8C" w:rsidRPr="00F24D76" w:rsidRDefault="00A84B8C" w:rsidP="006F7281">
      <w:pPr>
        <w:rPr>
          <w:lang w:val="en-GB"/>
        </w:rPr>
      </w:pPr>
    </w:p>
    <w:p w14:paraId="495F856E" w14:textId="09D79FFD" w:rsidR="00302592" w:rsidRPr="009C4608" w:rsidRDefault="00A84B8C" w:rsidP="006F7281">
      <w:pPr>
        <w:rPr>
          <w:i/>
          <w:color w:val="0000FF" w:themeColor="hyperlink"/>
          <w:u w:val="single"/>
        </w:rPr>
      </w:pPr>
      <w:r w:rsidRPr="00FD4ABC">
        <w:rPr>
          <w:i/>
        </w:rPr>
        <w:t xml:space="preserve">Meeting minutes and Information Management products will be made available on the Palestine page of </w:t>
      </w:r>
      <w:hyperlink r:id="rId10" w:history="1">
        <w:r w:rsidRPr="00FD4ABC">
          <w:rPr>
            <w:rStyle w:val="Hyperlink"/>
            <w:i/>
          </w:rPr>
          <w:t>www.sheltercluster.org</w:t>
        </w:r>
      </w:hyperlink>
      <w:r w:rsidR="0033504B" w:rsidRPr="00C02AC7">
        <w:t xml:space="preserve"> </w:t>
      </w:r>
      <w:r w:rsidR="0033504B" w:rsidRPr="00C02AC7">
        <w:rPr>
          <w:i/>
        </w:rPr>
        <w:t>and</w:t>
      </w:r>
      <w:r w:rsidR="0033504B" w:rsidRPr="00C02AC7">
        <w:t xml:space="preserve"> </w:t>
      </w:r>
      <w:r w:rsidR="00C02AC7">
        <w:rPr>
          <w:rStyle w:val="Hyperlink"/>
          <w:i/>
        </w:rPr>
        <w:t>http://www.shelterpalestine.org</w:t>
      </w:r>
      <w:r w:rsidR="0033504B">
        <w:rPr>
          <w:rStyle w:val="Hyperlink"/>
          <w:i/>
        </w:rPr>
        <w:t xml:space="preserve"> </w:t>
      </w:r>
      <w:r w:rsidR="00FD4ABC" w:rsidRPr="00FD4ABC">
        <w:rPr>
          <w:i/>
        </w:rPr>
        <w:t xml:space="preserve">The </w:t>
      </w:r>
      <w:r w:rsidR="00122241" w:rsidRPr="00FD4ABC">
        <w:rPr>
          <w:i/>
        </w:rPr>
        <w:t xml:space="preserve">Norwegian Refugee Council (NRC) has been the Shelter Cluster lead agency in Palestine since 2009. </w:t>
      </w:r>
      <w:hyperlink r:id="rId11" w:history="1">
        <w:r w:rsidR="00122241" w:rsidRPr="00FD4ABC">
          <w:rPr>
            <w:rStyle w:val="Hyperlink"/>
            <w:i/>
          </w:rPr>
          <w:t>www.nrc.no</w:t>
        </w:r>
      </w:hyperlink>
    </w:p>
    <w:sectPr w:rsidR="00302592" w:rsidRPr="009C4608" w:rsidSect="00FC5826">
      <w:pgSz w:w="11900" w:h="1684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DB60A" w14:textId="77777777" w:rsidR="00557DDD" w:rsidRDefault="00557DDD" w:rsidP="006E4FA7">
      <w:r>
        <w:separator/>
      </w:r>
    </w:p>
  </w:endnote>
  <w:endnote w:type="continuationSeparator" w:id="0">
    <w:p w14:paraId="3228EE6E" w14:textId="77777777" w:rsidR="00557DDD" w:rsidRDefault="00557DDD" w:rsidP="006E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00000000"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62D8A" w14:textId="77777777" w:rsidR="00557DDD" w:rsidRDefault="00557DDD" w:rsidP="006E4FA7">
      <w:r>
        <w:separator/>
      </w:r>
    </w:p>
  </w:footnote>
  <w:footnote w:type="continuationSeparator" w:id="0">
    <w:p w14:paraId="54066B71" w14:textId="77777777" w:rsidR="00557DDD" w:rsidRDefault="00557DDD" w:rsidP="006E4FA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D9E"/>
    <w:multiLevelType w:val="hybridMultilevel"/>
    <w:tmpl w:val="A0D6C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230D4"/>
    <w:multiLevelType w:val="hybridMultilevel"/>
    <w:tmpl w:val="EC6C8708"/>
    <w:lvl w:ilvl="0" w:tplc="E5163C4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F11BF"/>
    <w:multiLevelType w:val="hybridMultilevel"/>
    <w:tmpl w:val="06EA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72A9D"/>
    <w:multiLevelType w:val="hybridMultilevel"/>
    <w:tmpl w:val="0724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96112E"/>
    <w:multiLevelType w:val="multilevel"/>
    <w:tmpl w:val="54A23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62026F"/>
    <w:multiLevelType w:val="hybridMultilevel"/>
    <w:tmpl w:val="FD1A8F7E"/>
    <w:lvl w:ilvl="0" w:tplc="08090001">
      <w:start w:val="1"/>
      <w:numFmt w:val="bullet"/>
      <w:lvlText w:val=""/>
      <w:lvlJc w:val="left"/>
      <w:pPr>
        <w:ind w:left="360" w:hanging="360"/>
      </w:pPr>
      <w:rPr>
        <w:rFonts w:ascii="Symbol" w:hAnsi="Symbol" w:hint="default"/>
      </w:rPr>
    </w:lvl>
    <w:lvl w:ilvl="1" w:tplc="767E41D6">
      <w:numFmt w:val="bullet"/>
      <w:lvlText w:val="•"/>
      <w:lvlJc w:val="left"/>
      <w:pPr>
        <w:ind w:left="1440" w:hanging="720"/>
      </w:pPr>
      <w:rPr>
        <w:rFonts w:ascii="Arial" w:eastAsiaTheme="minorEastAsia"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1152F07"/>
    <w:multiLevelType w:val="multilevel"/>
    <w:tmpl w:val="812E2D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7E8D2BBE"/>
    <w:multiLevelType w:val="hybridMultilevel"/>
    <w:tmpl w:val="B7D2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26"/>
    <w:rsid w:val="000069D4"/>
    <w:rsid w:val="000311B3"/>
    <w:rsid w:val="00034B53"/>
    <w:rsid w:val="00076646"/>
    <w:rsid w:val="000D38A0"/>
    <w:rsid w:val="000D46A7"/>
    <w:rsid w:val="000D5080"/>
    <w:rsid w:val="00122241"/>
    <w:rsid w:val="001240E3"/>
    <w:rsid w:val="001303EE"/>
    <w:rsid w:val="001515D6"/>
    <w:rsid w:val="00192F33"/>
    <w:rsid w:val="001A1B57"/>
    <w:rsid w:val="001C4B3E"/>
    <w:rsid w:val="001F7ED3"/>
    <w:rsid w:val="00211FD4"/>
    <w:rsid w:val="0023000F"/>
    <w:rsid w:val="00232A5F"/>
    <w:rsid w:val="00254758"/>
    <w:rsid w:val="002577E9"/>
    <w:rsid w:val="002B1D48"/>
    <w:rsid w:val="002B53F9"/>
    <w:rsid w:val="002D6F4C"/>
    <w:rsid w:val="002E16A9"/>
    <w:rsid w:val="00302592"/>
    <w:rsid w:val="003057E7"/>
    <w:rsid w:val="003342C4"/>
    <w:rsid w:val="0033504B"/>
    <w:rsid w:val="00340FAB"/>
    <w:rsid w:val="00345ABD"/>
    <w:rsid w:val="00345EC7"/>
    <w:rsid w:val="003C2E48"/>
    <w:rsid w:val="003C6C68"/>
    <w:rsid w:val="003D4E30"/>
    <w:rsid w:val="0040491E"/>
    <w:rsid w:val="004163FE"/>
    <w:rsid w:val="00455A4A"/>
    <w:rsid w:val="00472663"/>
    <w:rsid w:val="004750AF"/>
    <w:rsid w:val="00495EE1"/>
    <w:rsid w:val="004D5319"/>
    <w:rsid w:val="0051290A"/>
    <w:rsid w:val="00553928"/>
    <w:rsid w:val="00557DDD"/>
    <w:rsid w:val="00562DB3"/>
    <w:rsid w:val="0056333C"/>
    <w:rsid w:val="005908FD"/>
    <w:rsid w:val="005A2984"/>
    <w:rsid w:val="005C70C6"/>
    <w:rsid w:val="005D4808"/>
    <w:rsid w:val="005E7F49"/>
    <w:rsid w:val="00645A50"/>
    <w:rsid w:val="00650CDC"/>
    <w:rsid w:val="00687162"/>
    <w:rsid w:val="00696121"/>
    <w:rsid w:val="006B0CD7"/>
    <w:rsid w:val="006B2BE9"/>
    <w:rsid w:val="006D27D7"/>
    <w:rsid w:val="006E4FA7"/>
    <w:rsid w:val="006E77AB"/>
    <w:rsid w:val="006F70DE"/>
    <w:rsid w:val="006F7281"/>
    <w:rsid w:val="00707A84"/>
    <w:rsid w:val="00713158"/>
    <w:rsid w:val="00715C78"/>
    <w:rsid w:val="007230AF"/>
    <w:rsid w:val="007252B9"/>
    <w:rsid w:val="007277ED"/>
    <w:rsid w:val="007538D8"/>
    <w:rsid w:val="00765093"/>
    <w:rsid w:val="00791351"/>
    <w:rsid w:val="007925F4"/>
    <w:rsid w:val="007D4BF0"/>
    <w:rsid w:val="007D52B0"/>
    <w:rsid w:val="007E027D"/>
    <w:rsid w:val="007E30F2"/>
    <w:rsid w:val="007F07A9"/>
    <w:rsid w:val="00826D0E"/>
    <w:rsid w:val="00853963"/>
    <w:rsid w:val="00880797"/>
    <w:rsid w:val="008A40F5"/>
    <w:rsid w:val="008C3FF3"/>
    <w:rsid w:val="008C684D"/>
    <w:rsid w:val="00933727"/>
    <w:rsid w:val="00943A97"/>
    <w:rsid w:val="00984B3F"/>
    <w:rsid w:val="009C4608"/>
    <w:rsid w:val="00A1533C"/>
    <w:rsid w:val="00A26A8E"/>
    <w:rsid w:val="00A26C8A"/>
    <w:rsid w:val="00A607EA"/>
    <w:rsid w:val="00A67F28"/>
    <w:rsid w:val="00A7145A"/>
    <w:rsid w:val="00A84B8C"/>
    <w:rsid w:val="00A90ECC"/>
    <w:rsid w:val="00AC72E9"/>
    <w:rsid w:val="00AF6EFA"/>
    <w:rsid w:val="00C02AC7"/>
    <w:rsid w:val="00C10654"/>
    <w:rsid w:val="00C301EA"/>
    <w:rsid w:val="00C812E3"/>
    <w:rsid w:val="00CA1DE0"/>
    <w:rsid w:val="00CA6FF2"/>
    <w:rsid w:val="00CE2C88"/>
    <w:rsid w:val="00CF45B1"/>
    <w:rsid w:val="00D15D85"/>
    <w:rsid w:val="00D46860"/>
    <w:rsid w:val="00D61F3C"/>
    <w:rsid w:val="00D87A5B"/>
    <w:rsid w:val="00D93466"/>
    <w:rsid w:val="00DB38EF"/>
    <w:rsid w:val="00E13460"/>
    <w:rsid w:val="00E23070"/>
    <w:rsid w:val="00E47230"/>
    <w:rsid w:val="00E55AA5"/>
    <w:rsid w:val="00E659CB"/>
    <w:rsid w:val="00F01E05"/>
    <w:rsid w:val="00F24D76"/>
    <w:rsid w:val="00F73526"/>
    <w:rsid w:val="00FB613E"/>
    <w:rsid w:val="00FB6769"/>
    <w:rsid w:val="00FC5826"/>
    <w:rsid w:val="00FD4ABC"/>
    <w:rsid w:val="00FE1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1B79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FD4"/>
    <w:pPr>
      <w:jc w:val="both"/>
    </w:pPr>
    <w:rPr>
      <w:rFonts w:ascii="Arial" w:hAnsi="Arial"/>
      <w:sz w:val="18"/>
      <w:lang w:val="en-CA"/>
    </w:rPr>
  </w:style>
  <w:style w:type="paragraph" w:styleId="Heading1">
    <w:name w:val="heading 1"/>
    <w:basedOn w:val="Normal"/>
    <w:next w:val="Normal"/>
    <w:link w:val="Heading1Char"/>
    <w:uiPriority w:val="9"/>
    <w:qFormat/>
    <w:rsid w:val="00A84B8C"/>
    <w:pPr>
      <w:keepNext/>
      <w:keepLines/>
      <w:numPr>
        <w:numId w:val="4"/>
      </w:numPr>
      <w:pBdr>
        <w:bottom w:val="single" w:sz="4" w:space="1" w:color="auto"/>
      </w:pBdr>
      <w:spacing w:before="240" w:after="120"/>
      <w:outlineLvl w:val="0"/>
    </w:pPr>
    <w:rPr>
      <w:rFonts w:eastAsiaTheme="majorEastAsia" w:cstheme="majorBidi"/>
      <w:b/>
      <w:bCs/>
      <w:color w:val="000000" w:themeColor="text1"/>
      <w:sz w:val="22"/>
      <w:szCs w:val="32"/>
    </w:rPr>
  </w:style>
  <w:style w:type="paragraph" w:styleId="Heading2">
    <w:name w:val="heading 2"/>
    <w:basedOn w:val="Heading1"/>
    <w:next w:val="Normal"/>
    <w:link w:val="Heading2Char"/>
    <w:uiPriority w:val="9"/>
    <w:unhideWhenUsed/>
    <w:qFormat/>
    <w:rsid w:val="00A84B8C"/>
    <w:pPr>
      <w:numPr>
        <w:ilvl w:val="1"/>
      </w:numPr>
      <w:pBdr>
        <w:bottom w:val="none" w:sz="0" w:space="0" w:color="auto"/>
      </w:pBdr>
      <w:spacing w:before="200"/>
      <w:outlineLvl w:val="1"/>
    </w:pPr>
    <w:rPr>
      <w:bCs w:val="0"/>
      <w:sz w:val="20"/>
      <w:szCs w:val="20"/>
    </w:rPr>
  </w:style>
  <w:style w:type="paragraph" w:styleId="Heading3">
    <w:name w:val="heading 3"/>
    <w:basedOn w:val="Normal"/>
    <w:next w:val="Normal"/>
    <w:link w:val="Heading3Char"/>
    <w:uiPriority w:val="9"/>
    <w:semiHidden/>
    <w:unhideWhenUsed/>
    <w:qFormat/>
    <w:rsid w:val="00A84B8C"/>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4B8C"/>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4B8C"/>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4B8C"/>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4B8C"/>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4B8C"/>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84B8C"/>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58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84B8C"/>
    <w:rPr>
      <w:rFonts w:ascii="Arial" w:eastAsiaTheme="majorEastAsia" w:hAnsi="Arial" w:cstheme="majorBidi"/>
      <w:b/>
      <w:bCs/>
      <w:color w:val="000000" w:themeColor="text1"/>
      <w:sz w:val="22"/>
      <w:szCs w:val="32"/>
      <w:lang w:val="en-CA"/>
    </w:rPr>
  </w:style>
  <w:style w:type="paragraph" w:styleId="FootnoteText">
    <w:name w:val="footnote text"/>
    <w:basedOn w:val="Normal"/>
    <w:link w:val="FootnoteTextChar"/>
    <w:uiPriority w:val="99"/>
    <w:unhideWhenUsed/>
    <w:rsid w:val="006E4FA7"/>
    <w:pPr>
      <w:spacing w:after="240"/>
    </w:pPr>
    <w:rPr>
      <w:rFonts w:cs="Times New Roman"/>
      <w:bCs/>
      <w:lang w:val="en-US"/>
    </w:rPr>
  </w:style>
  <w:style w:type="character" w:customStyle="1" w:styleId="FootnoteTextChar">
    <w:name w:val="Footnote Text Char"/>
    <w:basedOn w:val="DefaultParagraphFont"/>
    <w:link w:val="FootnoteText"/>
    <w:uiPriority w:val="99"/>
    <w:rsid w:val="006E4FA7"/>
    <w:rPr>
      <w:rFonts w:ascii="Arial" w:hAnsi="Arial" w:cs="Times New Roman"/>
      <w:bCs/>
      <w:sz w:val="18"/>
    </w:rPr>
  </w:style>
  <w:style w:type="character" w:styleId="FootnoteReference">
    <w:name w:val="footnote reference"/>
    <w:basedOn w:val="DefaultParagraphFont"/>
    <w:uiPriority w:val="99"/>
    <w:unhideWhenUsed/>
    <w:rsid w:val="006E4FA7"/>
    <w:rPr>
      <w:vertAlign w:val="superscript"/>
    </w:rPr>
  </w:style>
  <w:style w:type="paragraph" w:styleId="ListParagraph">
    <w:name w:val="List Paragraph"/>
    <w:basedOn w:val="Normal"/>
    <w:uiPriority w:val="34"/>
    <w:qFormat/>
    <w:rsid w:val="006B0CD7"/>
    <w:pPr>
      <w:numPr>
        <w:numId w:val="1"/>
      </w:numPr>
      <w:spacing w:after="240"/>
      <w:ind w:left="426"/>
      <w:contextualSpacing/>
      <w:jc w:val="left"/>
    </w:pPr>
    <w:rPr>
      <w:rFonts w:cs="Times New Roman"/>
      <w:bCs/>
    </w:rPr>
  </w:style>
  <w:style w:type="paragraph" w:styleId="BalloonText">
    <w:name w:val="Balloon Text"/>
    <w:basedOn w:val="Normal"/>
    <w:link w:val="BalloonTextChar"/>
    <w:uiPriority w:val="99"/>
    <w:semiHidden/>
    <w:unhideWhenUsed/>
    <w:rsid w:val="00D15D85"/>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D15D85"/>
    <w:rPr>
      <w:rFonts w:ascii="Lucida Grande" w:hAnsi="Lucida Grande" w:cs="Lucida Grande"/>
      <w:sz w:val="18"/>
      <w:szCs w:val="18"/>
      <w:lang w:val="en-CA"/>
    </w:rPr>
  </w:style>
  <w:style w:type="character" w:styleId="Hyperlink">
    <w:name w:val="Hyperlink"/>
    <w:basedOn w:val="DefaultParagraphFont"/>
    <w:uiPriority w:val="99"/>
    <w:unhideWhenUsed/>
    <w:rsid w:val="006F7281"/>
    <w:rPr>
      <w:color w:val="0000FF" w:themeColor="hyperlink"/>
      <w:u w:val="single"/>
    </w:rPr>
  </w:style>
  <w:style w:type="character" w:customStyle="1" w:styleId="Heading2Char">
    <w:name w:val="Heading 2 Char"/>
    <w:basedOn w:val="DefaultParagraphFont"/>
    <w:link w:val="Heading2"/>
    <w:uiPriority w:val="9"/>
    <w:rsid w:val="00A84B8C"/>
    <w:rPr>
      <w:rFonts w:ascii="Arial" w:eastAsiaTheme="majorEastAsia" w:hAnsi="Arial" w:cstheme="majorBidi"/>
      <w:b/>
      <w:color w:val="000000" w:themeColor="text1"/>
      <w:sz w:val="20"/>
      <w:szCs w:val="20"/>
      <w:lang w:val="en-CA"/>
    </w:rPr>
  </w:style>
  <w:style w:type="character" w:customStyle="1" w:styleId="Heading3Char">
    <w:name w:val="Heading 3 Char"/>
    <w:basedOn w:val="DefaultParagraphFont"/>
    <w:link w:val="Heading3"/>
    <w:uiPriority w:val="9"/>
    <w:semiHidden/>
    <w:rsid w:val="00A84B8C"/>
    <w:rPr>
      <w:rFonts w:asciiTheme="majorHAnsi" w:eastAsiaTheme="majorEastAsia" w:hAnsiTheme="majorHAnsi" w:cstheme="majorBidi"/>
      <w:b/>
      <w:bCs/>
      <w:color w:val="4F81BD" w:themeColor="accent1"/>
      <w:sz w:val="18"/>
      <w:lang w:val="en-CA"/>
    </w:rPr>
  </w:style>
  <w:style w:type="character" w:customStyle="1" w:styleId="Heading4Char">
    <w:name w:val="Heading 4 Char"/>
    <w:basedOn w:val="DefaultParagraphFont"/>
    <w:link w:val="Heading4"/>
    <w:uiPriority w:val="9"/>
    <w:semiHidden/>
    <w:rsid w:val="00A84B8C"/>
    <w:rPr>
      <w:rFonts w:asciiTheme="majorHAnsi" w:eastAsiaTheme="majorEastAsia" w:hAnsiTheme="majorHAnsi" w:cstheme="majorBidi"/>
      <w:b/>
      <w:bCs/>
      <w:i/>
      <w:iCs/>
      <w:color w:val="4F81BD" w:themeColor="accent1"/>
      <w:sz w:val="18"/>
      <w:lang w:val="en-CA"/>
    </w:rPr>
  </w:style>
  <w:style w:type="character" w:customStyle="1" w:styleId="Heading5Char">
    <w:name w:val="Heading 5 Char"/>
    <w:basedOn w:val="DefaultParagraphFont"/>
    <w:link w:val="Heading5"/>
    <w:uiPriority w:val="9"/>
    <w:semiHidden/>
    <w:rsid w:val="00A84B8C"/>
    <w:rPr>
      <w:rFonts w:asciiTheme="majorHAnsi" w:eastAsiaTheme="majorEastAsia" w:hAnsiTheme="majorHAnsi" w:cstheme="majorBidi"/>
      <w:color w:val="243F60" w:themeColor="accent1" w:themeShade="7F"/>
      <w:sz w:val="18"/>
      <w:lang w:val="en-CA"/>
    </w:rPr>
  </w:style>
  <w:style w:type="character" w:customStyle="1" w:styleId="Heading6Char">
    <w:name w:val="Heading 6 Char"/>
    <w:basedOn w:val="DefaultParagraphFont"/>
    <w:link w:val="Heading6"/>
    <w:uiPriority w:val="9"/>
    <w:semiHidden/>
    <w:rsid w:val="00A84B8C"/>
    <w:rPr>
      <w:rFonts w:asciiTheme="majorHAnsi" w:eastAsiaTheme="majorEastAsia" w:hAnsiTheme="majorHAnsi" w:cstheme="majorBidi"/>
      <w:i/>
      <w:iCs/>
      <w:color w:val="243F60" w:themeColor="accent1" w:themeShade="7F"/>
      <w:sz w:val="18"/>
      <w:lang w:val="en-CA"/>
    </w:rPr>
  </w:style>
  <w:style w:type="character" w:customStyle="1" w:styleId="Heading7Char">
    <w:name w:val="Heading 7 Char"/>
    <w:basedOn w:val="DefaultParagraphFont"/>
    <w:link w:val="Heading7"/>
    <w:uiPriority w:val="9"/>
    <w:semiHidden/>
    <w:rsid w:val="00A84B8C"/>
    <w:rPr>
      <w:rFonts w:asciiTheme="majorHAnsi" w:eastAsiaTheme="majorEastAsia" w:hAnsiTheme="majorHAnsi" w:cstheme="majorBidi"/>
      <w:i/>
      <w:iCs/>
      <w:color w:val="404040" w:themeColor="text1" w:themeTint="BF"/>
      <w:sz w:val="18"/>
      <w:lang w:val="en-CA"/>
    </w:rPr>
  </w:style>
  <w:style w:type="character" w:customStyle="1" w:styleId="Heading8Char">
    <w:name w:val="Heading 8 Char"/>
    <w:basedOn w:val="DefaultParagraphFont"/>
    <w:link w:val="Heading8"/>
    <w:uiPriority w:val="9"/>
    <w:semiHidden/>
    <w:rsid w:val="00A84B8C"/>
    <w:rPr>
      <w:rFonts w:asciiTheme="majorHAnsi" w:eastAsiaTheme="majorEastAsia" w:hAnsiTheme="majorHAnsi" w:cstheme="majorBidi"/>
      <w:color w:val="404040" w:themeColor="text1" w:themeTint="BF"/>
      <w:sz w:val="20"/>
      <w:szCs w:val="20"/>
      <w:lang w:val="en-CA"/>
    </w:rPr>
  </w:style>
  <w:style w:type="character" w:customStyle="1" w:styleId="Heading9Char">
    <w:name w:val="Heading 9 Char"/>
    <w:basedOn w:val="DefaultParagraphFont"/>
    <w:link w:val="Heading9"/>
    <w:uiPriority w:val="9"/>
    <w:semiHidden/>
    <w:rsid w:val="00A84B8C"/>
    <w:rPr>
      <w:rFonts w:asciiTheme="majorHAnsi" w:eastAsiaTheme="majorEastAsia" w:hAnsiTheme="majorHAnsi" w:cstheme="majorBidi"/>
      <w:i/>
      <w:iCs/>
      <w:color w:val="404040" w:themeColor="text1" w:themeTint="BF"/>
      <w:sz w:val="20"/>
      <w:szCs w:val="20"/>
      <w:lang w:val="en-CA"/>
    </w:rPr>
  </w:style>
  <w:style w:type="character" w:styleId="FollowedHyperlink">
    <w:name w:val="FollowedHyperlink"/>
    <w:basedOn w:val="DefaultParagraphFont"/>
    <w:uiPriority w:val="99"/>
    <w:semiHidden/>
    <w:unhideWhenUsed/>
    <w:rsid w:val="00122241"/>
    <w:rPr>
      <w:color w:val="800080" w:themeColor="followedHyperlink"/>
      <w:u w:val="single"/>
    </w:rPr>
  </w:style>
  <w:style w:type="character" w:styleId="CommentReference">
    <w:name w:val="annotation reference"/>
    <w:basedOn w:val="DefaultParagraphFont"/>
    <w:uiPriority w:val="99"/>
    <w:semiHidden/>
    <w:unhideWhenUsed/>
    <w:rsid w:val="00A7145A"/>
    <w:rPr>
      <w:sz w:val="16"/>
      <w:szCs w:val="16"/>
    </w:rPr>
  </w:style>
  <w:style w:type="paragraph" w:styleId="CommentText">
    <w:name w:val="annotation text"/>
    <w:basedOn w:val="Normal"/>
    <w:link w:val="CommentTextChar"/>
    <w:uiPriority w:val="99"/>
    <w:semiHidden/>
    <w:unhideWhenUsed/>
    <w:rsid w:val="00A7145A"/>
    <w:rPr>
      <w:sz w:val="20"/>
      <w:szCs w:val="20"/>
    </w:rPr>
  </w:style>
  <w:style w:type="character" w:customStyle="1" w:styleId="CommentTextChar">
    <w:name w:val="Comment Text Char"/>
    <w:basedOn w:val="DefaultParagraphFont"/>
    <w:link w:val="CommentText"/>
    <w:uiPriority w:val="99"/>
    <w:semiHidden/>
    <w:rsid w:val="00A7145A"/>
    <w:rPr>
      <w:rFonts w:ascii="Arial" w:hAnsi="Arial"/>
      <w:sz w:val="20"/>
      <w:szCs w:val="20"/>
      <w:lang w:val="en-CA"/>
    </w:rPr>
  </w:style>
  <w:style w:type="paragraph" w:styleId="CommentSubject">
    <w:name w:val="annotation subject"/>
    <w:basedOn w:val="CommentText"/>
    <w:next w:val="CommentText"/>
    <w:link w:val="CommentSubjectChar"/>
    <w:uiPriority w:val="99"/>
    <w:semiHidden/>
    <w:unhideWhenUsed/>
    <w:rsid w:val="00A7145A"/>
    <w:rPr>
      <w:b/>
      <w:bCs/>
    </w:rPr>
  </w:style>
  <w:style w:type="character" w:customStyle="1" w:styleId="CommentSubjectChar">
    <w:name w:val="Comment Subject Char"/>
    <w:basedOn w:val="CommentTextChar"/>
    <w:link w:val="CommentSubject"/>
    <w:uiPriority w:val="99"/>
    <w:semiHidden/>
    <w:rsid w:val="00A7145A"/>
    <w:rPr>
      <w:rFonts w:ascii="Arial" w:hAnsi="Arial"/>
      <w:b/>
      <w:bCs/>
      <w:sz w:val="20"/>
      <w:szCs w:val="20"/>
      <w:lang w:val="en-CA"/>
    </w:rPr>
  </w:style>
  <w:style w:type="paragraph" w:styleId="Header">
    <w:name w:val="header"/>
    <w:basedOn w:val="Normal"/>
    <w:link w:val="HeaderChar"/>
    <w:uiPriority w:val="99"/>
    <w:unhideWhenUsed/>
    <w:rsid w:val="00650CDC"/>
    <w:pPr>
      <w:tabs>
        <w:tab w:val="center" w:pos="4536"/>
        <w:tab w:val="right" w:pos="9072"/>
      </w:tabs>
      <w:jc w:val="left"/>
    </w:pPr>
    <w:rPr>
      <w:rFonts w:ascii="Calibri" w:eastAsia="Times New Roman" w:hAnsi="Calibri" w:cs="Times New Roman"/>
      <w:sz w:val="22"/>
      <w:szCs w:val="22"/>
      <w:lang w:val="en-GB"/>
    </w:rPr>
  </w:style>
  <w:style w:type="character" w:customStyle="1" w:styleId="HeaderChar">
    <w:name w:val="Header Char"/>
    <w:basedOn w:val="DefaultParagraphFont"/>
    <w:link w:val="Header"/>
    <w:uiPriority w:val="99"/>
    <w:rsid w:val="00650CDC"/>
    <w:rPr>
      <w:rFonts w:ascii="Calibri" w:eastAsia="Times New Roman" w:hAnsi="Calibri" w:cs="Times New Roman"/>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FD4"/>
    <w:pPr>
      <w:jc w:val="both"/>
    </w:pPr>
    <w:rPr>
      <w:rFonts w:ascii="Arial" w:hAnsi="Arial"/>
      <w:sz w:val="18"/>
      <w:lang w:val="en-CA"/>
    </w:rPr>
  </w:style>
  <w:style w:type="paragraph" w:styleId="Heading1">
    <w:name w:val="heading 1"/>
    <w:basedOn w:val="Normal"/>
    <w:next w:val="Normal"/>
    <w:link w:val="Heading1Char"/>
    <w:uiPriority w:val="9"/>
    <w:qFormat/>
    <w:rsid w:val="00A84B8C"/>
    <w:pPr>
      <w:keepNext/>
      <w:keepLines/>
      <w:numPr>
        <w:numId w:val="4"/>
      </w:numPr>
      <w:pBdr>
        <w:bottom w:val="single" w:sz="4" w:space="1" w:color="auto"/>
      </w:pBdr>
      <w:spacing w:before="240" w:after="120"/>
      <w:outlineLvl w:val="0"/>
    </w:pPr>
    <w:rPr>
      <w:rFonts w:eastAsiaTheme="majorEastAsia" w:cstheme="majorBidi"/>
      <w:b/>
      <w:bCs/>
      <w:color w:val="000000" w:themeColor="text1"/>
      <w:sz w:val="22"/>
      <w:szCs w:val="32"/>
    </w:rPr>
  </w:style>
  <w:style w:type="paragraph" w:styleId="Heading2">
    <w:name w:val="heading 2"/>
    <w:basedOn w:val="Heading1"/>
    <w:next w:val="Normal"/>
    <w:link w:val="Heading2Char"/>
    <w:uiPriority w:val="9"/>
    <w:unhideWhenUsed/>
    <w:qFormat/>
    <w:rsid w:val="00A84B8C"/>
    <w:pPr>
      <w:numPr>
        <w:ilvl w:val="1"/>
      </w:numPr>
      <w:pBdr>
        <w:bottom w:val="none" w:sz="0" w:space="0" w:color="auto"/>
      </w:pBdr>
      <w:spacing w:before="200"/>
      <w:outlineLvl w:val="1"/>
    </w:pPr>
    <w:rPr>
      <w:bCs w:val="0"/>
      <w:sz w:val="20"/>
      <w:szCs w:val="20"/>
    </w:rPr>
  </w:style>
  <w:style w:type="paragraph" w:styleId="Heading3">
    <w:name w:val="heading 3"/>
    <w:basedOn w:val="Normal"/>
    <w:next w:val="Normal"/>
    <w:link w:val="Heading3Char"/>
    <w:uiPriority w:val="9"/>
    <w:semiHidden/>
    <w:unhideWhenUsed/>
    <w:qFormat/>
    <w:rsid w:val="00A84B8C"/>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4B8C"/>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4B8C"/>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4B8C"/>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4B8C"/>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4B8C"/>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84B8C"/>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58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84B8C"/>
    <w:rPr>
      <w:rFonts w:ascii="Arial" w:eastAsiaTheme="majorEastAsia" w:hAnsi="Arial" w:cstheme="majorBidi"/>
      <w:b/>
      <w:bCs/>
      <w:color w:val="000000" w:themeColor="text1"/>
      <w:sz w:val="22"/>
      <w:szCs w:val="32"/>
      <w:lang w:val="en-CA"/>
    </w:rPr>
  </w:style>
  <w:style w:type="paragraph" w:styleId="FootnoteText">
    <w:name w:val="footnote text"/>
    <w:basedOn w:val="Normal"/>
    <w:link w:val="FootnoteTextChar"/>
    <w:uiPriority w:val="99"/>
    <w:unhideWhenUsed/>
    <w:rsid w:val="006E4FA7"/>
    <w:pPr>
      <w:spacing w:after="240"/>
    </w:pPr>
    <w:rPr>
      <w:rFonts w:cs="Times New Roman"/>
      <w:bCs/>
      <w:lang w:val="en-US"/>
    </w:rPr>
  </w:style>
  <w:style w:type="character" w:customStyle="1" w:styleId="FootnoteTextChar">
    <w:name w:val="Footnote Text Char"/>
    <w:basedOn w:val="DefaultParagraphFont"/>
    <w:link w:val="FootnoteText"/>
    <w:uiPriority w:val="99"/>
    <w:rsid w:val="006E4FA7"/>
    <w:rPr>
      <w:rFonts w:ascii="Arial" w:hAnsi="Arial" w:cs="Times New Roman"/>
      <w:bCs/>
      <w:sz w:val="18"/>
    </w:rPr>
  </w:style>
  <w:style w:type="character" w:styleId="FootnoteReference">
    <w:name w:val="footnote reference"/>
    <w:basedOn w:val="DefaultParagraphFont"/>
    <w:uiPriority w:val="99"/>
    <w:unhideWhenUsed/>
    <w:rsid w:val="006E4FA7"/>
    <w:rPr>
      <w:vertAlign w:val="superscript"/>
    </w:rPr>
  </w:style>
  <w:style w:type="paragraph" w:styleId="ListParagraph">
    <w:name w:val="List Paragraph"/>
    <w:basedOn w:val="Normal"/>
    <w:uiPriority w:val="34"/>
    <w:qFormat/>
    <w:rsid w:val="006B0CD7"/>
    <w:pPr>
      <w:numPr>
        <w:numId w:val="1"/>
      </w:numPr>
      <w:spacing w:after="240"/>
      <w:ind w:left="426"/>
      <w:contextualSpacing/>
      <w:jc w:val="left"/>
    </w:pPr>
    <w:rPr>
      <w:rFonts w:cs="Times New Roman"/>
      <w:bCs/>
    </w:rPr>
  </w:style>
  <w:style w:type="paragraph" w:styleId="BalloonText">
    <w:name w:val="Balloon Text"/>
    <w:basedOn w:val="Normal"/>
    <w:link w:val="BalloonTextChar"/>
    <w:uiPriority w:val="99"/>
    <w:semiHidden/>
    <w:unhideWhenUsed/>
    <w:rsid w:val="00D15D85"/>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D15D85"/>
    <w:rPr>
      <w:rFonts w:ascii="Lucida Grande" w:hAnsi="Lucida Grande" w:cs="Lucida Grande"/>
      <w:sz w:val="18"/>
      <w:szCs w:val="18"/>
      <w:lang w:val="en-CA"/>
    </w:rPr>
  </w:style>
  <w:style w:type="character" w:styleId="Hyperlink">
    <w:name w:val="Hyperlink"/>
    <w:basedOn w:val="DefaultParagraphFont"/>
    <w:uiPriority w:val="99"/>
    <w:unhideWhenUsed/>
    <w:rsid w:val="006F7281"/>
    <w:rPr>
      <w:color w:val="0000FF" w:themeColor="hyperlink"/>
      <w:u w:val="single"/>
    </w:rPr>
  </w:style>
  <w:style w:type="character" w:customStyle="1" w:styleId="Heading2Char">
    <w:name w:val="Heading 2 Char"/>
    <w:basedOn w:val="DefaultParagraphFont"/>
    <w:link w:val="Heading2"/>
    <w:uiPriority w:val="9"/>
    <w:rsid w:val="00A84B8C"/>
    <w:rPr>
      <w:rFonts w:ascii="Arial" w:eastAsiaTheme="majorEastAsia" w:hAnsi="Arial" w:cstheme="majorBidi"/>
      <w:b/>
      <w:color w:val="000000" w:themeColor="text1"/>
      <w:sz w:val="20"/>
      <w:szCs w:val="20"/>
      <w:lang w:val="en-CA"/>
    </w:rPr>
  </w:style>
  <w:style w:type="character" w:customStyle="1" w:styleId="Heading3Char">
    <w:name w:val="Heading 3 Char"/>
    <w:basedOn w:val="DefaultParagraphFont"/>
    <w:link w:val="Heading3"/>
    <w:uiPriority w:val="9"/>
    <w:semiHidden/>
    <w:rsid w:val="00A84B8C"/>
    <w:rPr>
      <w:rFonts w:asciiTheme="majorHAnsi" w:eastAsiaTheme="majorEastAsia" w:hAnsiTheme="majorHAnsi" w:cstheme="majorBidi"/>
      <w:b/>
      <w:bCs/>
      <w:color w:val="4F81BD" w:themeColor="accent1"/>
      <w:sz w:val="18"/>
      <w:lang w:val="en-CA"/>
    </w:rPr>
  </w:style>
  <w:style w:type="character" w:customStyle="1" w:styleId="Heading4Char">
    <w:name w:val="Heading 4 Char"/>
    <w:basedOn w:val="DefaultParagraphFont"/>
    <w:link w:val="Heading4"/>
    <w:uiPriority w:val="9"/>
    <w:semiHidden/>
    <w:rsid w:val="00A84B8C"/>
    <w:rPr>
      <w:rFonts w:asciiTheme="majorHAnsi" w:eastAsiaTheme="majorEastAsia" w:hAnsiTheme="majorHAnsi" w:cstheme="majorBidi"/>
      <w:b/>
      <w:bCs/>
      <w:i/>
      <w:iCs/>
      <w:color w:val="4F81BD" w:themeColor="accent1"/>
      <w:sz w:val="18"/>
      <w:lang w:val="en-CA"/>
    </w:rPr>
  </w:style>
  <w:style w:type="character" w:customStyle="1" w:styleId="Heading5Char">
    <w:name w:val="Heading 5 Char"/>
    <w:basedOn w:val="DefaultParagraphFont"/>
    <w:link w:val="Heading5"/>
    <w:uiPriority w:val="9"/>
    <w:semiHidden/>
    <w:rsid w:val="00A84B8C"/>
    <w:rPr>
      <w:rFonts w:asciiTheme="majorHAnsi" w:eastAsiaTheme="majorEastAsia" w:hAnsiTheme="majorHAnsi" w:cstheme="majorBidi"/>
      <w:color w:val="243F60" w:themeColor="accent1" w:themeShade="7F"/>
      <w:sz w:val="18"/>
      <w:lang w:val="en-CA"/>
    </w:rPr>
  </w:style>
  <w:style w:type="character" w:customStyle="1" w:styleId="Heading6Char">
    <w:name w:val="Heading 6 Char"/>
    <w:basedOn w:val="DefaultParagraphFont"/>
    <w:link w:val="Heading6"/>
    <w:uiPriority w:val="9"/>
    <w:semiHidden/>
    <w:rsid w:val="00A84B8C"/>
    <w:rPr>
      <w:rFonts w:asciiTheme="majorHAnsi" w:eastAsiaTheme="majorEastAsia" w:hAnsiTheme="majorHAnsi" w:cstheme="majorBidi"/>
      <w:i/>
      <w:iCs/>
      <w:color w:val="243F60" w:themeColor="accent1" w:themeShade="7F"/>
      <w:sz w:val="18"/>
      <w:lang w:val="en-CA"/>
    </w:rPr>
  </w:style>
  <w:style w:type="character" w:customStyle="1" w:styleId="Heading7Char">
    <w:name w:val="Heading 7 Char"/>
    <w:basedOn w:val="DefaultParagraphFont"/>
    <w:link w:val="Heading7"/>
    <w:uiPriority w:val="9"/>
    <w:semiHidden/>
    <w:rsid w:val="00A84B8C"/>
    <w:rPr>
      <w:rFonts w:asciiTheme="majorHAnsi" w:eastAsiaTheme="majorEastAsia" w:hAnsiTheme="majorHAnsi" w:cstheme="majorBidi"/>
      <w:i/>
      <w:iCs/>
      <w:color w:val="404040" w:themeColor="text1" w:themeTint="BF"/>
      <w:sz w:val="18"/>
      <w:lang w:val="en-CA"/>
    </w:rPr>
  </w:style>
  <w:style w:type="character" w:customStyle="1" w:styleId="Heading8Char">
    <w:name w:val="Heading 8 Char"/>
    <w:basedOn w:val="DefaultParagraphFont"/>
    <w:link w:val="Heading8"/>
    <w:uiPriority w:val="9"/>
    <w:semiHidden/>
    <w:rsid w:val="00A84B8C"/>
    <w:rPr>
      <w:rFonts w:asciiTheme="majorHAnsi" w:eastAsiaTheme="majorEastAsia" w:hAnsiTheme="majorHAnsi" w:cstheme="majorBidi"/>
      <w:color w:val="404040" w:themeColor="text1" w:themeTint="BF"/>
      <w:sz w:val="20"/>
      <w:szCs w:val="20"/>
      <w:lang w:val="en-CA"/>
    </w:rPr>
  </w:style>
  <w:style w:type="character" w:customStyle="1" w:styleId="Heading9Char">
    <w:name w:val="Heading 9 Char"/>
    <w:basedOn w:val="DefaultParagraphFont"/>
    <w:link w:val="Heading9"/>
    <w:uiPriority w:val="9"/>
    <w:semiHidden/>
    <w:rsid w:val="00A84B8C"/>
    <w:rPr>
      <w:rFonts w:asciiTheme="majorHAnsi" w:eastAsiaTheme="majorEastAsia" w:hAnsiTheme="majorHAnsi" w:cstheme="majorBidi"/>
      <w:i/>
      <w:iCs/>
      <w:color w:val="404040" w:themeColor="text1" w:themeTint="BF"/>
      <w:sz w:val="20"/>
      <w:szCs w:val="20"/>
      <w:lang w:val="en-CA"/>
    </w:rPr>
  </w:style>
  <w:style w:type="character" w:styleId="FollowedHyperlink">
    <w:name w:val="FollowedHyperlink"/>
    <w:basedOn w:val="DefaultParagraphFont"/>
    <w:uiPriority w:val="99"/>
    <w:semiHidden/>
    <w:unhideWhenUsed/>
    <w:rsid w:val="00122241"/>
    <w:rPr>
      <w:color w:val="800080" w:themeColor="followedHyperlink"/>
      <w:u w:val="single"/>
    </w:rPr>
  </w:style>
  <w:style w:type="character" w:styleId="CommentReference">
    <w:name w:val="annotation reference"/>
    <w:basedOn w:val="DefaultParagraphFont"/>
    <w:uiPriority w:val="99"/>
    <w:semiHidden/>
    <w:unhideWhenUsed/>
    <w:rsid w:val="00A7145A"/>
    <w:rPr>
      <w:sz w:val="16"/>
      <w:szCs w:val="16"/>
    </w:rPr>
  </w:style>
  <w:style w:type="paragraph" w:styleId="CommentText">
    <w:name w:val="annotation text"/>
    <w:basedOn w:val="Normal"/>
    <w:link w:val="CommentTextChar"/>
    <w:uiPriority w:val="99"/>
    <w:semiHidden/>
    <w:unhideWhenUsed/>
    <w:rsid w:val="00A7145A"/>
    <w:rPr>
      <w:sz w:val="20"/>
      <w:szCs w:val="20"/>
    </w:rPr>
  </w:style>
  <w:style w:type="character" w:customStyle="1" w:styleId="CommentTextChar">
    <w:name w:val="Comment Text Char"/>
    <w:basedOn w:val="DefaultParagraphFont"/>
    <w:link w:val="CommentText"/>
    <w:uiPriority w:val="99"/>
    <w:semiHidden/>
    <w:rsid w:val="00A7145A"/>
    <w:rPr>
      <w:rFonts w:ascii="Arial" w:hAnsi="Arial"/>
      <w:sz w:val="20"/>
      <w:szCs w:val="20"/>
      <w:lang w:val="en-CA"/>
    </w:rPr>
  </w:style>
  <w:style w:type="paragraph" w:styleId="CommentSubject">
    <w:name w:val="annotation subject"/>
    <w:basedOn w:val="CommentText"/>
    <w:next w:val="CommentText"/>
    <w:link w:val="CommentSubjectChar"/>
    <w:uiPriority w:val="99"/>
    <w:semiHidden/>
    <w:unhideWhenUsed/>
    <w:rsid w:val="00A7145A"/>
    <w:rPr>
      <w:b/>
      <w:bCs/>
    </w:rPr>
  </w:style>
  <w:style w:type="character" w:customStyle="1" w:styleId="CommentSubjectChar">
    <w:name w:val="Comment Subject Char"/>
    <w:basedOn w:val="CommentTextChar"/>
    <w:link w:val="CommentSubject"/>
    <w:uiPriority w:val="99"/>
    <w:semiHidden/>
    <w:rsid w:val="00A7145A"/>
    <w:rPr>
      <w:rFonts w:ascii="Arial" w:hAnsi="Arial"/>
      <w:b/>
      <w:bCs/>
      <w:sz w:val="20"/>
      <w:szCs w:val="20"/>
      <w:lang w:val="en-CA"/>
    </w:rPr>
  </w:style>
  <w:style w:type="paragraph" w:styleId="Header">
    <w:name w:val="header"/>
    <w:basedOn w:val="Normal"/>
    <w:link w:val="HeaderChar"/>
    <w:uiPriority w:val="99"/>
    <w:unhideWhenUsed/>
    <w:rsid w:val="00650CDC"/>
    <w:pPr>
      <w:tabs>
        <w:tab w:val="center" w:pos="4536"/>
        <w:tab w:val="right" w:pos="9072"/>
      </w:tabs>
      <w:jc w:val="left"/>
    </w:pPr>
    <w:rPr>
      <w:rFonts w:ascii="Calibri" w:eastAsia="Times New Roman" w:hAnsi="Calibri" w:cs="Times New Roman"/>
      <w:sz w:val="22"/>
      <w:szCs w:val="22"/>
      <w:lang w:val="en-GB"/>
    </w:rPr>
  </w:style>
  <w:style w:type="character" w:customStyle="1" w:styleId="HeaderChar">
    <w:name w:val="Header Char"/>
    <w:basedOn w:val="DefaultParagraphFont"/>
    <w:link w:val="Header"/>
    <w:uiPriority w:val="99"/>
    <w:rsid w:val="00650CDC"/>
    <w:rPr>
      <w:rFonts w:ascii="Calibri" w:eastAsia="Times New Roman"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6066">
      <w:bodyDiv w:val="1"/>
      <w:marLeft w:val="0"/>
      <w:marRight w:val="0"/>
      <w:marTop w:val="0"/>
      <w:marBottom w:val="0"/>
      <w:divBdr>
        <w:top w:val="none" w:sz="0" w:space="0" w:color="auto"/>
        <w:left w:val="none" w:sz="0" w:space="0" w:color="auto"/>
        <w:bottom w:val="none" w:sz="0" w:space="0" w:color="auto"/>
        <w:right w:val="none" w:sz="0" w:space="0" w:color="auto"/>
      </w:divBdr>
    </w:div>
    <w:div w:id="527379109">
      <w:bodyDiv w:val="1"/>
      <w:marLeft w:val="0"/>
      <w:marRight w:val="0"/>
      <w:marTop w:val="0"/>
      <w:marBottom w:val="0"/>
      <w:divBdr>
        <w:top w:val="none" w:sz="0" w:space="0" w:color="auto"/>
        <w:left w:val="none" w:sz="0" w:space="0" w:color="auto"/>
        <w:bottom w:val="none" w:sz="0" w:space="0" w:color="auto"/>
        <w:right w:val="none" w:sz="0" w:space="0" w:color="auto"/>
      </w:divBdr>
    </w:div>
    <w:div w:id="590435760">
      <w:bodyDiv w:val="1"/>
      <w:marLeft w:val="0"/>
      <w:marRight w:val="0"/>
      <w:marTop w:val="0"/>
      <w:marBottom w:val="0"/>
      <w:divBdr>
        <w:top w:val="none" w:sz="0" w:space="0" w:color="auto"/>
        <w:left w:val="none" w:sz="0" w:space="0" w:color="auto"/>
        <w:bottom w:val="none" w:sz="0" w:space="0" w:color="auto"/>
        <w:right w:val="none" w:sz="0" w:space="0" w:color="auto"/>
      </w:divBdr>
    </w:div>
    <w:div w:id="1186476476">
      <w:bodyDiv w:val="1"/>
      <w:marLeft w:val="0"/>
      <w:marRight w:val="0"/>
      <w:marTop w:val="0"/>
      <w:marBottom w:val="0"/>
      <w:divBdr>
        <w:top w:val="none" w:sz="0" w:space="0" w:color="auto"/>
        <w:left w:val="none" w:sz="0" w:space="0" w:color="auto"/>
        <w:bottom w:val="none" w:sz="0" w:space="0" w:color="auto"/>
        <w:right w:val="none" w:sz="0" w:space="0" w:color="auto"/>
      </w:divBdr>
    </w:div>
    <w:div w:id="1204637436">
      <w:bodyDiv w:val="1"/>
      <w:marLeft w:val="0"/>
      <w:marRight w:val="0"/>
      <w:marTop w:val="0"/>
      <w:marBottom w:val="0"/>
      <w:divBdr>
        <w:top w:val="none" w:sz="0" w:space="0" w:color="auto"/>
        <w:left w:val="none" w:sz="0" w:space="0" w:color="auto"/>
        <w:bottom w:val="none" w:sz="0" w:space="0" w:color="auto"/>
        <w:right w:val="none" w:sz="0" w:space="0" w:color="auto"/>
      </w:divBdr>
    </w:div>
    <w:div w:id="1426343016">
      <w:bodyDiv w:val="1"/>
      <w:marLeft w:val="0"/>
      <w:marRight w:val="0"/>
      <w:marTop w:val="0"/>
      <w:marBottom w:val="0"/>
      <w:divBdr>
        <w:top w:val="none" w:sz="0" w:space="0" w:color="auto"/>
        <w:left w:val="none" w:sz="0" w:space="0" w:color="auto"/>
        <w:bottom w:val="none" w:sz="0" w:space="0" w:color="auto"/>
        <w:right w:val="none" w:sz="0" w:space="0" w:color="auto"/>
      </w:divBdr>
    </w:div>
    <w:div w:id="1609194072">
      <w:bodyDiv w:val="1"/>
      <w:marLeft w:val="0"/>
      <w:marRight w:val="0"/>
      <w:marTop w:val="0"/>
      <w:marBottom w:val="0"/>
      <w:divBdr>
        <w:top w:val="none" w:sz="0" w:space="0" w:color="auto"/>
        <w:left w:val="none" w:sz="0" w:space="0" w:color="auto"/>
        <w:bottom w:val="none" w:sz="0" w:space="0" w:color="auto"/>
        <w:right w:val="none" w:sz="0" w:space="0" w:color="auto"/>
      </w:divBdr>
    </w:div>
    <w:div w:id="16367619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hyperlink" Target="http://www.nrc.no" TargetMode="Externa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sheltercluster.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E90D6897EC782249AB21D467DFF451BA" ma:contentTypeVersion="77" ma:contentTypeDescription="" ma:contentTypeScope="" ma:versionID="689d86b645fa09b4c12037e4ece4ab9c">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Palestine</TermName>
          <TermId xmlns="http://schemas.microsoft.com/office/infopath/2007/PartnerControls">1ca6d93f-ff4f-47af-80ec-fc89ae915a31</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Conflict</TermName>
          <TermId xmlns="http://schemas.microsoft.com/office/infopath/2007/PartnerControls">cd1719c2-e0d5-486c-9a70-d3abb04d6e72</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Palestine</TermName>
          <TermId xmlns="http://schemas.microsoft.com/office/infopath/2007/PartnerControls">1ca6d93f-ff4f-47af-80ec-fc89ae915a31</TermId>
        </TermInfo>
      </Terms>
    </g2834a0a4b5b445382f80b4d1c20b873>
    <Document_x0020_Description xmlns="96664bca-06c0-4657-b6f9-0a997f5ff9b9">&lt;div class="ExternalClassB523C7AB2CE34714B88762A3BA6D7877"&gt;&lt;p&gt;​Situation update from the Palestine Shelter Cluster, 11 Oct, 2014&lt;br /&gt;&lt;/p&gt;&lt;/div&gt;</Document_x0020_Description>
    <Websio_x0020_Document_x0020_Preview xmlns="96664bca-06c0-4657-b6f9-0a997f5ff9b9">/MENA/Palestine/_layouts/WebsioPreviewField/preview.aspx?ID=13f2be6a-04bf-45ff-8970-e8fbe8e641bd&amp;WebID=301bd7c2-de91-4329-9dd9-d6a9e4c60977&amp;SiteID=0e29c24b-3e6a-4c7c-8cc1-69b27805b55c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367</Value>
      <Value>245</Value>
      <Value>312</Value>
      <Value>127</Value>
      <Value>258</Value>
      <Value>368</Value>
      <Value>370</Value>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Situation Report</TermName>
          <TermId xmlns="http://schemas.microsoft.com/office/infopath/2007/PartnerControls">18d7e3c3-4d73-4c2b-92c3-4944462ed97d</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MENA</TermName>
          <TermId xmlns="http://schemas.microsoft.com/office/infopath/2007/PartnerControls">6c3e7270-66b5-4b3d-8268-bc97a34080a4</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2014-10-11T00:00:00+00:00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NRC</TermName>
          <TermId xmlns="http://schemas.microsoft.com/office/infopath/2007/PartnerControls">533a782b-df54-4466-959d-fbcc1788b5f5</TermId>
        </TermInfo>
      </Terms>
    </Current_x0020_Lead_x0020_AgencyTaxHTField0>
  </documentManagement>
</p:properties>
</file>

<file path=customXml/itemProps1.xml><?xml version="1.0" encoding="utf-8"?>
<ds:datastoreItem xmlns:ds="http://schemas.openxmlformats.org/officeDocument/2006/customXml" ds:itemID="{B23A243B-0892-4F36-94E5-AB05FC627462}"/>
</file>

<file path=customXml/itemProps2.xml><?xml version="1.0" encoding="utf-8"?>
<ds:datastoreItem xmlns:ds="http://schemas.openxmlformats.org/officeDocument/2006/customXml" ds:itemID="{B0C6189E-E3D2-47DD-8ECB-ECCE33FD9F4D}"/>
</file>

<file path=customXml/itemProps3.xml><?xml version="1.0" encoding="utf-8"?>
<ds:datastoreItem xmlns:ds="http://schemas.openxmlformats.org/officeDocument/2006/customXml" ds:itemID="{59D935AF-CC60-494B-B84D-F73F02C2F5C8}"/>
</file>

<file path=docProps/app.xml><?xml version="1.0" encoding="utf-8"?>
<Properties xmlns="http://schemas.openxmlformats.org/officeDocument/2006/extended-properties" xmlns:vt="http://schemas.openxmlformats.org/officeDocument/2006/docPropsVTypes">
  <Template>Normal.dotm</Template>
  <TotalTime>0</TotalTime>
  <Pages>3</Pages>
  <Words>2720</Words>
  <Characters>15504</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Brighton</dc:creator>
  <cp:keywords/>
  <cp:lastModifiedBy>Neil Bauman</cp:lastModifiedBy>
  <cp:revision>2</cp:revision>
  <cp:lastPrinted>2014-10-10T14:22:00Z</cp:lastPrinted>
  <dcterms:created xsi:type="dcterms:W3CDTF">2014-10-17T18:26:00Z</dcterms:created>
  <dcterms:modified xsi:type="dcterms:W3CDTF">2014-10-17T18:26:00Z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0x010100AA7AFC8FE433CD4B94E991D812AE17EB00E90D6897EC782249AB21D467DFF451BA</vt:lpwstr>
  </property>
  <property fmtid="{D5CDD505-2E9C-101B-9397-08002B2CF9AE}" pid="3" name="TaxKeyword">
    <vt:lpwstr/>
  </property>
  <property fmtid="{D5CDD505-2E9C-101B-9397-08002B2CF9AE}" pid="5" name="Region">
    <vt:lpwstr>258;#MENA|6c3e7270-66b5-4b3d-8268-bc97a34080a4</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368;#Palestine|1ca6d93f-ff4f-47af-80ec-fc89ae915a31</vt:lpwstr>
  </property>
  <property fmtid="{D5CDD505-2E9C-101B-9397-08002B2CF9AE}" pid="14" name="Country">
    <vt:lpwstr>367;#Palestine|1ca6d93f-ff4f-47af-80ec-fc89ae915a31</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127;#Situation Report|18d7e3c3-4d73-4c2b-92c3-4944462ed97d</vt:lpwstr>
  </property>
  <property fmtid="{D5CDD505-2E9C-101B-9397-08002B2CF9AE}" pid="19" name="Current Lead Agency">
    <vt:lpwstr>370;#NRC|533a782b-df54-4466-959d-fbcc1788b5f5</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312;#Conflict|cd1719c2-e0d5-486c-9a70-d3abb04d6e72</vt:lpwstr>
  </property>
</Properties>
</file>