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97" w:rsidRDefault="001B1A97" w:rsidP="001B1A97">
      <w:pPr>
        <w:pStyle w:val="Default"/>
      </w:pPr>
      <w:bookmarkStart w:id="0" w:name="_GoBack"/>
      <w:bookmarkEnd w:id="0"/>
    </w:p>
    <w:p w:rsidR="001B1A97" w:rsidRPr="001B1A97" w:rsidRDefault="0002413A" w:rsidP="00F43237">
      <w:pPr>
        <w:pStyle w:val="Default"/>
        <w:rPr>
          <w:rFonts w:asciiTheme="minorHAnsi" w:hAnsiTheme="minorHAnsi" w:cstheme="minorHAnsi"/>
        </w:rPr>
      </w:pPr>
      <w:r>
        <w:rPr>
          <w:rFonts w:asciiTheme="minorHAnsi" w:hAnsiTheme="minorHAnsi" w:cstheme="minorHAnsi"/>
          <w:b/>
          <w:bCs/>
        </w:rPr>
        <w:t>Some k</w:t>
      </w:r>
      <w:r w:rsidR="00336006">
        <w:rPr>
          <w:rFonts w:asciiTheme="minorHAnsi" w:hAnsiTheme="minorHAnsi" w:cstheme="minorHAnsi"/>
          <w:b/>
          <w:bCs/>
        </w:rPr>
        <w:t xml:space="preserve">ey messages </w:t>
      </w:r>
      <w:r w:rsidR="00F43237">
        <w:rPr>
          <w:rFonts w:asciiTheme="minorHAnsi" w:hAnsiTheme="minorHAnsi" w:cstheme="minorHAnsi"/>
          <w:b/>
          <w:bCs/>
        </w:rPr>
        <w:t>on the background to shelter in the most affected Districts</w:t>
      </w:r>
      <w:r w:rsidR="00336006">
        <w:rPr>
          <w:rFonts w:asciiTheme="minorHAnsi" w:hAnsiTheme="minorHAnsi" w:cstheme="minorHAnsi"/>
          <w:b/>
          <w:bCs/>
        </w:rPr>
        <w:t xml:space="preserve"> </w:t>
      </w:r>
      <w:r w:rsidR="001B1A97" w:rsidRPr="001B1A97">
        <w:rPr>
          <w:rFonts w:asciiTheme="minorHAnsi" w:hAnsiTheme="minorHAnsi" w:cstheme="minorHAnsi"/>
          <w:b/>
          <w:bCs/>
        </w:rPr>
        <w:t xml:space="preserve"> </w:t>
      </w:r>
    </w:p>
    <w:p w:rsidR="001B1A97" w:rsidRDefault="001B1A97" w:rsidP="001B1A97">
      <w:pPr>
        <w:pStyle w:val="Default"/>
        <w:rPr>
          <w:color w:val="auto"/>
        </w:rPr>
      </w:pPr>
    </w:p>
    <w:p w:rsidR="001B1A97" w:rsidRDefault="001B1A97" w:rsidP="001B1A97">
      <w:pPr>
        <w:pStyle w:val="Default"/>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The traditional houses in Bangladesh can be grouped into two types depending on local available materials: </w:t>
      </w:r>
    </w:p>
    <w:p w:rsidR="001B1A97" w:rsidRPr="001B1A97" w:rsidRDefault="001B1A97" w:rsidP="00EC1438">
      <w:pPr>
        <w:pStyle w:val="Default"/>
        <w:rPr>
          <w:rFonts w:asciiTheme="minorHAnsi" w:hAnsiTheme="minorHAnsi" w:cstheme="minorHAnsi"/>
          <w:color w:val="auto"/>
          <w:sz w:val="22"/>
          <w:szCs w:val="22"/>
        </w:rPr>
      </w:pPr>
      <w:r w:rsidRPr="001B1A97">
        <w:rPr>
          <w:rFonts w:asciiTheme="minorHAnsi" w:hAnsiTheme="minorHAnsi" w:cstheme="minorHAnsi"/>
          <w:b/>
          <w:bCs/>
          <w:color w:val="auto"/>
          <w:sz w:val="22"/>
          <w:szCs w:val="22"/>
        </w:rPr>
        <w:t xml:space="preserve">KUTCHA HOUSES: </w:t>
      </w:r>
      <w:r w:rsidRPr="001B1A97">
        <w:rPr>
          <w:rFonts w:asciiTheme="minorHAnsi" w:hAnsiTheme="minorHAnsi" w:cstheme="minorHAnsi"/>
          <w:color w:val="auto"/>
          <w:sz w:val="22"/>
          <w:szCs w:val="22"/>
        </w:rPr>
        <w:t>The</w:t>
      </w:r>
      <w:r w:rsidR="00EC1438">
        <w:rPr>
          <w:rFonts w:asciiTheme="minorHAnsi" w:hAnsiTheme="minorHAnsi" w:cstheme="minorHAnsi"/>
          <w:color w:val="auto"/>
          <w:sz w:val="22"/>
          <w:szCs w:val="22"/>
        </w:rPr>
        <w:t xml:space="preserve"> </w:t>
      </w:r>
      <w:proofErr w:type="spellStart"/>
      <w:r w:rsidRPr="001B1A97">
        <w:rPr>
          <w:rFonts w:asciiTheme="minorHAnsi" w:hAnsiTheme="minorHAnsi" w:cstheme="minorHAnsi"/>
          <w:i/>
          <w:iCs/>
          <w:color w:val="auto"/>
          <w:sz w:val="22"/>
          <w:szCs w:val="22"/>
        </w:rPr>
        <w:t>Kutcha</w:t>
      </w:r>
      <w:proofErr w:type="spellEnd"/>
      <w:r w:rsidRPr="001B1A97">
        <w:rPr>
          <w:rFonts w:asciiTheme="minorHAnsi" w:hAnsiTheme="minorHAnsi" w:cstheme="minorHAnsi"/>
          <w:i/>
          <w:iCs/>
          <w:color w:val="auto"/>
          <w:sz w:val="22"/>
          <w:szCs w:val="22"/>
        </w:rPr>
        <w:t xml:space="preserve"> </w:t>
      </w:r>
      <w:r w:rsidRPr="001B1A97">
        <w:rPr>
          <w:rFonts w:asciiTheme="minorHAnsi" w:hAnsiTheme="minorHAnsi" w:cstheme="minorHAnsi"/>
          <w:color w:val="auto"/>
          <w:sz w:val="22"/>
          <w:szCs w:val="22"/>
        </w:rPr>
        <w:t>House is referred to the houses, which are of temporary nature. Th</w:t>
      </w:r>
      <w:r w:rsidR="00EC1438">
        <w:rPr>
          <w:rFonts w:asciiTheme="minorHAnsi" w:hAnsiTheme="minorHAnsi" w:cstheme="minorHAnsi"/>
          <w:color w:val="auto"/>
          <w:sz w:val="22"/>
          <w:szCs w:val="22"/>
        </w:rPr>
        <w:t>ese</w:t>
      </w:r>
      <w:r w:rsidRPr="001B1A97">
        <w:rPr>
          <w:rFonts w:asciiTheme="minorHAnsi" w:hAnsiTheme="minorHAnsi" w:cstheme="minorHAnsi"/>
          <w:color w:val="auto"/>
          <w:sz w:val="22"/>
          <w:szCs w:val="22"/>
        </w:rPr>
        <w:t xml:space="preserve"> houses are made of </w:t>
      </w:r>
      <w:r w:rsidR="00EC1438">
        <w:rPr>
          <w:rFonts w:asciiTheme="minorHAnsi" w:hAnsiTheme="minorHAnsi" w:cstheme="minorHAnsi"/>
          <w:color w:val="auto"/>
          <w:sz w:val="22"/>
          <w:szCs w:val="22"/>
        </w:rPr>
        <w:t xml:space="preserve">mainly </w:t>
      </w:r>
      <w:r w:rsidRPr="001B1A97">
        <w:rPr>
          <w:rFonts w:asciiTheme="minorHAnsi" w:hAnsiTheme="minorHAnsi" w:cstheme="minorHAnsi"/>
          <w:color w:val="auto"/>
          <w:sz w:val="22"/>
          <w:szCs w:val="22"/>
        </w:rPr>
        <w:t xml:space="preserve">totally organic materials such as bamboo, mud, jute stick, catkin grass, etc. </w:t>
      </w:r>
    </w:p>
    <w:p w:rsidR="001B1A97" w:rsidRPr="001B1A97" w:rsidRDefault="001B1A97" w:rsidP="001B1A97">
      <w:pPr>
        <w:pStyle w:val="Default"/>
        <w:numPr>
          <w:ilvl w:val="0"/>
          <w:numId w:val="2"/>
        </w:numPr>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Walls: Organic materials like jute stick, catkin grass, straw, bamboo, mud, etc. Partitions are bamboo framing. In some areas, walls are made from earth. </w:t>
      </w:r>
    </w:p>
    <w:p w:rsidR="001B1A97" w:rsidRPr="001B1A97" w:rsidRDefault="001B1A97" w:rsidP="001B1A97">
      <w:pPr>
        <w:pStyle w:val="Default"/>
        <w:numPr>
          <w:ilvl w:val="0"/>
          <w:numId w:val="2"/>
        </w:numPr>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Foundation: Earthen plinth with bamboo or timber posts. </w:t>
      </w:r>
    </w:p>
    <w:p w:rsidR="001B1A97" w:rsidRPr="001B1A97" w:rsidRDefault="001B1A97" w:rsidP="00EA5024">
      <w:pPr>
        <w:pStyle w:val="Default"/>
        <w:numPr>
          <w:ilvl w:val="0"/>
          <w:numId w:val="2"/>
        </w:numPr>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Roof: Thatch-rice or wheat or maize straw, catkin grass, </w:t>
      </w:r>
      <w:proofErr w:type="spellStart"/>
      <w:r w:rsidRPr="001B1A97">
        <w:rPr>
          <w:rFonts w:asciiTheme="minorHAnsi" w:hAnsiTheme="minorHAnsi" w:cstheme="minorHAnsi"/>
          <w:color w:val="auto"/>
          <w:sz w:val="22"/>
          <w:szCs w:val="22"/>
        </w:rPr>
        <w:t>etc</w:t>
      </w:r>
      <w:proofErr w:type="spellEnd"/>
      <w:r w:rsidR="00EA5024">
        <w:rPr>
          <w:rFonts w:asciiTheme="minorHAnsi" w:hAnsiTheme="minorHAnsi" w:cstheme="minorHAnsi"/>
          <w:color w:val="auto"/>
          <w:sz w:val="22"/>
          <w:szCs w:val="22"/>
        </w:rPr>
        <w:t>, and CGI</w:t>
      </w:r>
      <w:r w:rsidRPr="001B1A97">
        <w:rPr>
          <w:rFonts w:asciiTheme="minorHAnsi" w:hAnsiTheme="minorHAnsi" w:cstheme="minorHAnsi"/>
          <w:color w:val="auto"/>
          <w:sz w:val="22"/>
          <w:szCs w:val="22"/>
        </w:rPr>
        <w:t>. With split bamboo framing.</w:t>
      </w:r>
      <w:r w:rsidR="00EA5024">
        <w:rPr>
          <w:rFonts w:asciiTheme="minorHAnsi" w:hAnsiTheme="minorHAnsi" w:cstheme="minorHAnsi"/>
          <w:color w:val="auto"/>
          <w:sz w:val="22"/>
          <w:szCs w:val="22"/>
        </w:rPr>
        <w:t xml:space="preserve"> </w:t>
      </w:r>
    </w:p>
    <w:p w:rsidR="001B1A97" w:rsidRPr="001B1A97" w:rsidRDefault="001B1A97" w:rsidP="001B1A97">
      <w:pPr>
        <w:pStyle w:val="Default"/>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 </w:t>
      </w:r>
    </w:p>
    <w:p w:rsidR="001B1A97" w:rsidRPr="001B1A97" w:rsidRDefault="001B1A97" w:rsidP="00EC1438">
      <w:pPr>
        <w:pStyle w:val="Default"/>
        <w:rPr>
          <w:rFonts w:asciiTheme="minorHAnsi" w:hAnsiTheme="minorHAnsi" w:cstheme="minorHAnsi"/>
          <w:color w:val="auto"/>
          <w:sz w:val="22"/>
          <w:szCs w:val="22"/>
        </w:rPr>
      </w:pPr>
      <w:r w:rsidRPr="001B1A97">
        <w:rPr>
          <w:rFonts w:asciiTheme="minorHAnsi" w:hAnsiTheme="minorHAnsi" w:cstheme="minorHAnsi"/>
          <w:b/>
          <w:bCs/>
          <w:color w:val="auto"/>
          <w:sz w:val="22"/>
          <w:szCs w:val="22"/>
        </w:rPr>
        <w:t xml:space="preserve">SEMI-PUCCA HOUSES: </w:t>
      </w:r>
      <w:r w:rsidRPr="001B1A97">
        <w:rPr>
          <w:rFonts w:asciiTheme="minorHAnsi" w:hAnsiTheme="minorHAnsi" w:cstheme="minorHAnsi"/>
          <w:color w:val="auto"/>
          <w:sz w:val="22"/>
          <w:szCs w:val="22"/>
        </w:rPr>
        <w:t xml:space="preserve">The </w:t>
      </w:r>
      <w:r w:rsidRPr="001B1A97">
        <w:rPr>
          <w:rFonts w:asciiTheme="minorHAnsi" w:hAnsiTheme="minorHAnsi" w:cstheme="minorHAnsi"/>
          <w:i/>
          <w:iCs/>
          <w:color w:val="auto"/>
          <w:sz w:val="22"/>
          <w:szCs w:val="22"/>
        </w:rPr>
        <w:t>Semi-</w:t>
      </w:r>
      <w:proofErr w:type="spellStart"/>
      <w:r w:rsidRPr="001B1A97">
        <w:rPr>
          <w:rFonts w:asciiTheme="minorHAnsi" w:hAnsiTheme="minorHAnsi" w:cstheme="minorHAnsi"/>
          <w:i/>
          <w:iCs/>
          <w:color w:val="auto"/>
          <w:sz w:val="22"/>
          <w:szCs w:val="22"/>
        </w:rPr>
        <w:t>Pucca</w:t>
      </w:r>
      <w:proofErr w:type="spellEnd"/>
      <w:r w:rsidRPr="001B1A97">
        <w:rPr>
          <w:rFonts w:asciiTheme="minorHAnsi" w:hAnsiTheme="minorHAnsi" w:cstheme="minorHAnsi"/>
          <w:i/>
          <w:iCs/>
          <w:color w:val="auto"/>
          <w:sz w:val="22"/>
          <w:szCs w:val="22"/>
        </w:rPr>
        <w:t xml:space="preserve"> </w:t>
      </w:r>
      <w:r w:rsidRPr="001B1A97">
        <w:rPr>
          <w:rFonts w:asciiTheme="minorHAnsi" w:hAnsiTheme="minorHAnsi" w:cstheme="minorHAnsi"/>
          <w:color w:val="auto"/>
          <w:sz w:val="22"/>
          <w:szCs w:val="22"/>
        </w:rPr>
        <w:t xml:space="preserve">house is referred to a house which is considered to be semi-permanent. This houses are made from a mix of organic and inorganic materials such as steel, wood, etc. Sometimes a mixture of brick-bordered mud plinth and cement pillars are added to the traditional timber post &amp; beam construction. </w:t>
      </w:r>
    </w:p>
    <w:p w:rsidR="001B1A97" w:rsidRPr="001B1A97" w:rsidRDefault="001B1A97" w:rsidP="001B1A97">
      <w:pPr>
        <w:pStyle w:val="Default"/>
        <w:numPr>
          <w:ilvl w:val="0"/>
          <w:numId w:val="2"/>
        </w:numPr>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Walls: Bamboo mats, CI (Corrugated Iron) sheets, timber, or bamboo framing. In some areas, walls are made from earth and sometimes made partly or fully of brick. </w:t>
      </w:r>
    </w:p>
    <w:p w:rsidR="001B1A97" w:rsidRPr="001B1A97" w:rsidRDefault="001B1A97" w:rsidP="001B1A97">
      <w:pPr>
        <w:pStyle w:val="Default"/>
        <w:numPr>
          <w:ilvl w:val="0"/>
          <w:numId w:val="2"/>
        </w:numPr>
        <w:rPr>
          <w:rFonts w:asciiTheme="minorHAnsi" w:hAnsiTheme="minorHAnsi" w:cstheme="minorHAnsi"/>
          <w:color w:val="auto"/>
          <w:sz w:val="22"/>
          <w:szCs w:val="22"/>
        </w:rPr>
      </w:pPr>
      <w:r w:rsidRPr="001B1A97">
        <w:rPr>
          <w:rFonts w:asciiTheme="minorHAnsi" w:hAnsiTheme="minorHAnsi" w:cstheme="minorHAnsi"/>
          <w:color w:val="auto"/>
          <w:sz w:val="22"/>
          <w:szCs w:val="22"/>
        </w:rPr>
        <w:t xml:space="preserve">Foundation:  earthen plinth, brick perimeter wall with earth infill; brick and concrete are also used. </w:t>
      </w:r>
    </w:p>
    <w:p w:rsidR="001B1A97" w:rsidRDefault="001B1A97" w:rsidP="001B1A97">
      <w:pPr>
        <w:pStyle w:val="ListParagraph"/>
        <w:numPr>
          <w:ilvl w:val="0"/>
          <w:numId w:val="2"/>
        </w:numPr>
        <w:rPr>
          <w:rFonts w:cstheme="minorHAnsi"/>
        </w:rPr>
      </w:pPr>
      <w:r w:rsidRPr="001B1A97">
        <w:rPr>
          <w:rFonts w:cstheme="minorHAnsi"/>
        </w:rPr>
        <w:t>Roof: C</w:t>
      </w:r>
      <w:r w:rsidR="00EA5024">
        <w:rPr>
          <w:rFonts w:cstheme="minorHAnsi"/>
        </w:rPr>
        <w:t>G</w:t>
      </w:r>
      <w:r w:rsidRPr="001B1A97">
        <w:rPr>
          <w:rFonts w:cstheme="minorHAnsi"/>
        </w:rPr>
        <w:t>I sheet with timber or bamboo framing.</w:t>
      </w:r>
    </w:p>
    <w:p w:rsidR="00EC1438" w:rsidRPr="00EC1438" w:rsidRDefault="00EC1438" w:rsidP="00EC1438">
      <w:pPr>
        <w:pStyle w:val="NoSpacing"/>
        <w:rPr>
          <w:b/>
          <w:bCs/>
        </w:rPr>
      </w:pPr>
      <w:r w:rsidRPr="00EC1438">
        <w:rPr>
          <w:b/>
          <w:bCs/>
        </w:rPr>
        <w:t xml:space="preserve">Census Data </w:t>
      </w:r>
    </w:p>
    <w:p w:rsidR="00EC1438" w:rsidRDefault="00216DA8" w:rsidP="00EA5024">
      <w:pPr>
        <w:rPr>
          <w:rFonts w:cstheme="minorHAnsi"/>
        </w:rPr>
      </w:pPr>
      <w:r>
        <w:rPr>
          <w:rFonts w:cstheme="minorHAnsi"/>
        </w:rPr>
        <w:t>The table below shows</w:t>
      </w:r>
      <w:r w:rsidR="00EC1438">
        <w:rPr>
          <w:rFonts w:cstheme="minorHAnsi"/>
        </w:rPr>
        <w:t xml:space="preserve"> census figures for three of the most affected Districts, based on 2011 data (date to be checked). As can be seen the vast majority are in the traditional / mud shelter category</w:t>
      </w:r>
      <w:r>
        <w:rPr>
          <w:rFonts w:cstheme="minorHAnsi"/>
        </w:rPr>
        <w:t xml:space="preserve"> – 79 to 93%</w:t>
      </w:r>
      <w:r w:rsidR="00EC1438">
        <w:rPr>
          <w:rFonts w:cstheme="minorHAnsi"/>
        </w:rPr>
        <w:t xml:space="preserve">. As such, with high wind, surge wave and subsequent standing water they will be particularly vulnerable to damage or total destruction.   </w:t>
      </w:r>
      <w:r w:rsidR="00EA5024">
        <w:rPr>
          <w:rFonts w:cstheme="minorHAnsi"/>
        </w:rPr>
        <w:t>The coastal areas are obviously particularly vulnerable to wind.</w:t>
      </w:r>
    </w:p>
    <w:p w:rsidR="00216DA8" w:rsidRPr="00216DA8" w:rsidRDefault="00EC1438" w:rsidP="00216DA8">
      <w:pPr>
        <w:pStyle w:val="NoSpacing"/>
        <w:rPr>
          <w:rFonts w:cstheme="minorHAnsi"/>
        </w:rPr>
      </w:pPr>
      <w:r>
        <w:t xml:space="preserve">For example with regards to Cyclone </w:t>
      </w:r>
      <w:proofErr w:type="spellStart"/>
      <w:r>
        <w:t>Sidr</w:t>
      </w:r>
      <w:proofErr w:type="spellEnd"/>
      <w:r>
        <w:t xml:space="preserve"> in 2007 </w:t>
      </w:r>
      <w:r w:rsidRPr="001B1A97">
        <w:t xml:space="preserve">around 70% of the damaged houses </w:t>
      </w:r>
      <w:r>
        <w:t xml:space="preserve">were </w:t>
      </w:r>
      <w:proofErr w:type="spellStart"/>
      <w:r>
        <w:t>Kucha</w:t>
      </w:r>
      <w:proofErr w:type="spellEnd"/>
      <w:r>
        <w:t xml:space="preserve">  type( traditional/temporary) houses. A</w:t>
      </w:r>
      <w:r w:rsidRPr="001B1A97">
        <w:rPr>
          <w:rFonts w:cstheme="minorHAnsi"/>
        </w:rPr>
        <w:t xml:space="preserve">round 30% of the damaged houses </w:t>
      </w:r>
      <w:r>
        <w:rPr>
          <w:rFonts w:cstheme="minorHAnsi"/>
        </w:rPr>
        <w:t xml:space="preserve">were semi </w:t>
      </w:r>
      <w:proofErr w:type="spellStart"/>
      <w:r>
        <w:rPr>
          <w:rFonts w:cstheme="minorHAnsi"/>
        </w:rPr>
        <w:t>pucca</w:t>
      </w:r>
      <w:proofErr w:type="spellEnd"/>
      <w:r>
        <w:rPr>
          <w:rFonts w:cstheme="minorHAnsi"/>
        </w:rPr>
        <w:t xml:space="preserve"> </w:t>
      </w:r>
      <w:r w:rsidRPr="001B1A97">
        <w:rPr>
          <w:rFonts w:cstheme="minorHAnsi"/>
        </w:rPr>
        <w:t>house</w:t>
      </w:r>
      <w:r>
        <w:rPr>
          <w:rFonts w:cstheme="minorHAnsi"/>
        </w:rPr>
        <w:t>s</w:t>
      </w:r>
      <w:r w:rsidRPr="001B1A97">
        <w:rPr>
          <w:rFonts w:cstheme="minorHAnsi"/>
        </w:rPr>
        <w:t>.</w:t>
      </w:r>
    </w:p>
    <w:p w:rsidR="00216DA8" w:rsidRPr="00EC1438" w:rsidRDefault="00216DA8" w:rsidP="00EC1438">
      <w:pPr>
        <w:pStyle w:val="NoSpacing"/>
        <w:rPr>
          <w:rFonts w:cstheme="minorHAnsi"/>
        </w:rPr>
      </w:pPr>
    </w:p>
    <w:p w:rsidR="00BE4079" w:rsidRPr="00216DA8" w:rsidRDefault="00216DA8" w:rsidP="00216DA8">
      <w:pPr>
        <w:pStyle w:val="NoSpacing"/>
        <w:rPr>
          <w:b/>
          <w:bCs/>
        </w:rPr>
      </w:pPr>
      <w:r w:rsidRPr="00216DA8">
        <w:rPr>
          <w:b/>
          <w:bCs/>
        </w:rPr>
        <w:t xml:space="preserve">Possible Impact of Cyclone </w:t>
      </w:r>
      <w:proofErr w:type="spellStart"/>
      <w:r w:rsidRPr="00216DA8">
        <w:rPr>
          <w:b/>
          <w:bCs/>
        </w:rPr>
        <w:t>Mahasen</w:t>
      </w:r>
      <w:proofErr w:type="spellEnd"/>
      <w:r w:rsidRPr="00216DA8">
        <w:rPr>
          <w:b/>
          <w:bCs/>
        </w:rPr>
        <w:t xml:space="preserve"> </w:t>
      </w:r>
    </w:p>
    <w:p w:rsidR="00062D81" w:rsidRDefault="00062D81" w:rsidP="0002413A">
      <w:pPr>
        <w:rPr>
          <w:rFonts w:cstheme="minorHAnsi"/>
        </w:rPr>
      </w:pPr>
      <w:r>
        <w:rPr>
          <w:rFonts w:cstheme="minorHAnsi"/>
        </w:rPr>
        <w:t xml:space="preserve">Based on the census data </w:t>
      </w:r>
      <w:r w:rsidR="00216DA8" w:rsidRPr="00216DA8">
        <w:rPr>
          <w:rFonts w:cstheme="minorHAnsi"/>
        </w:rPr>
        <w:t xml:space="preserve">the </w:t>
      </w:r>
      <w:r w:rsidR="00216DA8">
        <w:rPr>
          <w:rFonts w:cstheme="minorHAnsi"/>
        </w:rPr>
        <w:t xml:space="preserve">majority of </w:t>
      </w:r>
      <w:r w:rsidR="00216DA8" w:rsidRPr="00216DA8">
        <w:rPr>
          <w:rFonts w:cstheme="minorHAnsi"/>
        </w:rPr>
        <w:t xml:space="preserve">probable housing types </w:t>
      </w:r>
      <w:r w:rsidR="00C24216">
        <w:rPr>
          <w:rFonts w:cstheme="minorHAnsi"/>
        </w:rPr>
        <w:t xml:space="preserve">affected by Cyclone </w:t>
      </w:r>
      <w:proofErr w:type="spellStart"/>
      <w:r w:rsidR="00C24216">
        <w:rPr>
          <w:rFonts w:cstheme="minorHAnsi"/>
        </w:rPr>
        <w:t>Mahasen</w:t>
      </w:r>
      <w:proofErr w:type="spellEnd"/>
      <w:r w:rsidR="00C24216">
        <w:rPr>
          <w:rFonts w:cstheme="minorHAnsi"/>
        </w:rPr>
        <w:t xml:space="preserve"> </w:t>
      </w:r>
      <w:r w:rsidR="00216DA8">
        <w:rPr>
          <w:rFonts w:cstheme="minorHAnsi"/>
        </w:rPr>
        <w:t>have limited resistance to high wind and surge flooding</w:t>
      </w:r>
      <w:r>
        <w:rPr>
          <w:rFonts w:cstheme="minorHAnsi"/>
        </w:rPr>
        <w:t xml:space="preserve">.  Taking into account the </w:t>
      </w:r>
      <w:r w:rsidR="00216DA8">
        <w:rPr>
          <w:rFonts w:cstheme="minorHAnsi"/>
        </w:rPr>
        <w:t>intensity of the storm there is a likelihood of a reasonable amount of damage and destruction.</w:t>
      </w:r>
      <w:r w:rsidR="00C24216">
        <w:rPr>
          <w:rFonts w:cstheme="minorHAnsi"/>
        </w:rPr>
        <w:t xml:space="preserve"> This is equally true for water, sanitation and livelihoods.</w:t>
      </w:r>
      <w:r w:rsidR="00216DA8">
        <w:rPr>
          <w:rFonts w:cstheme="minorHAnsi"/>
        </w:rPr>
        <w:t xml:space="preserve"> </w:t>
      </w:r>
      <w:r w:rsidR="0002413A">
        <w:rPr>
          <w:rFonts w:cstheme="minorHAnsi"/>
        </w:rPr>
        <w:t xml:space="preserve"> We would expect high impact on the coastal communities of low income groups such those who share crops (</w:t>
      </w:r>
      <w:proofErr w:type="spellStart"/>
      <w:r w:rsidR="0002413A">
        <w:rPr>
          <w:rFonts w:cstheme="minorHAnsi"/>
        </w:rPr>
        <w:t>Barga</w:t>
      </w:r>
      <w:proofErr w:type="spellEnd"/>
      <w:r w:rsidR="0002413A">
        <w:rPr>
          <w:rFonts w:cstheme="minorHAnsi"/>
        </w:rPr>
        <w:t xml:space="preserve">) and labour supporting the fishing sector. </w:t>
      </w:r>
    </w:p>
    <w:p w:rsidR="00C24216" w:rsidRDefault="00062D81" w:rsidP="00C24216">
      <w:pPr>
        <w:rPr>
          <w:rFonts w:cstheme="minorHAnsi"/>
        </w:rPr>
      </w:pPr>
      <w:r>
        <w:rPr>
          <w:rFonts w:cstheme="minorHAnsi"/>
        </w:rPr>
        <w:t xml:space="preserve">As such, we would expect there to be a need for an immediate emergency response to support the families displaced either due to flooding/water logging and or destroyed houses. Plus support to damaged houses – particularly roof damage.  We would also expect families who have capacity will start to repair and rebuild their houses as soon as possible, therefore, </w:t>
      </w:r>
      <w:r w:rsidR="00C24216">
        <w:rPr>
          <w:rFonts w:cstheme="minorHAnsi"/>
        </w:rPr>
        <w:t xml:space="preserve">coupled with emergency response we would see an early recovery response to support those families. There will also be the most vulnerable who cannot start recovery and need additional support.  It’s also important to recognise there maybe landless families, </w:t>
      </w:r>
      <w:proofErr w:type="spellStart"/>
      <w:r w:rsidR="00C24216">
        <w:rPr>
          <w:rFonts w:cstheme="minorHAnsi"/>
        </w:rPr>
        <w:t>etc</w:t>
      </w:r>
      <w:proofErr w:type="spellEnd"/>
      <w:r w:rsidR="00C24216">
        <w:rPr>
          <w:rFonts w:cstheme="minorHAnsi"/>
        </w:rPr>
        <w:t xml:space="preserve">,. Whatever shelter response is launched must be done </w:t>
      </w:r>
      <w:r w:rsidR="00C24216">
        <w:rPr>
          <w:rFonts w:cstheme="minorHAnsi"/>
        </w:rPr>
        <w:lastRenderedPageBreak/>
        <w:t xml:space="preserve">in coordination with WASH and early recovery. </w:t>
      </w:r>
      <w:r>
        <w:rPr>
          <w:rFonts w:cstheme="minorHAnsi"/>
        </w:rPr>
        <w:t xml:space="preserve">  </w:t>
      </w:r>
      <w:r w:rsidR="00C24216">
        <w:rPr>
          <w:rFonts w:cstheme="minorHAnsi"/>
        </w:rPr>
        <w:t xml:space="preserve">The strategic response, the target groups and vulnerability criteria will be agreed by the cluster in due course.  </w:t>
      </w:r>
    </w:p>
    <w:p w:rsidR="00062D81" w:rsidRDefault="00C24216" w:rsidP="00C24216">
      <w:pPr>
        <w:rPr>
          <w:rFonts w:cstheme="minorHAnsi"/>
        </w:rPr>
      </w:pPr>
      <w:r>
        <w:rPr>
          <w:rFonts w:cstheme="minorHAnsi"/>
        </w:rPr>
        <w:t xml:space="preserve">Potential </w:t>
      </w:r>
      <w:r w:rsidR="00062D81">
        <w:rPr>
          <w:rFonts w:cstheme="minorHAnsi"/>
        </w:rPr>
        <w:t xml:space="preserve">target groups and objectives we would expect are shown below: </w:t>
      </w:r>
    </w:p>
    <w:tbl>
      <w:tblPr>
        <w:tblW w:w="89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555"/>
        <w:gridCol w:w="3544"/>
        <w:gridCol w:w="2409"/>
      </w:tblGrid>
      <w:tr w:rsidR="00062D81" w:rsidRPr="00062D81" w:rsidTr="00062D81">
        <w:trPr>
          <w:trHeight w:val="395"/>
        </w:trPr>
        <w:tc>
          <w:tcPr>
            <w:tcW w:w="2977" w:type="dxa"/>
            <w:gridSpan w:val="2"/>
            <w:shd w:val="clear" w:color="auto" w:fill="D9D9D9"/>
            <w:vAlign w:val="center"/>
          </w:tcPr>
          <w:p w:rsidR="00062D81" w:rsidRPr="00062D81" w:rsidRDefault="00062D81" w:rsidP="00062D81">
            <w:pPr>
              <w:spacing w:after="0" w:line="240" w:lineRule="auto"/>
              <w:jc w:val="center"/>
              <w:rPr>
                <w:rFonts w:ascii="Calibri" w:eastAsia="Times New Roman" w:hAnsi="Calibri" w:cs="Calibri"/>
                <w:b/>
                <w:sz w:val="20"/>
                <w:szCs w:val="20"/>
                <w:lang w:val="en-US"/>
              </w:rPr>
            </w:pPr>
            <w:r w:rsidRPr="00062D81">
              <w:rPr>
                <w:rFonts w:ascii="Calibri" w:eastAsia="Times New Roman" w:hAnsi="Calibri" w:cs="Calibri"/>
                <w:b/>
                <w:sz w:val="20"/>
                <w:szCs w:val="20"/>
                <w:lang w:val="en-US"/>
              </w:rPr>
              <w:t>Target group</w:t>
            </w:r>
          </w:p>
        </w:tc>
        <w:tc>
          <w:tcPr>
            <w:tcW w:w="3544" w:type="dxa"/>
            <w:shd w:val="clear" w:color="auto" w:fill="D9D9D9"/>
            <w:vAlign w:val="center"/>
          </w:tcPr>
          <w:p w:rsidR="00062D81" w:rsidRPr="00062D81" w:rsidRDefault="00062D81" w:rsidP="00062D81">
            <w:pPr>
              <w:spacing w:after="0" w:line="240" w:lineRule="auto"/>
              <w:jc w:val="center"/>
              <w:rPr>
                <w:rFonts w:ascii="Calibri" w:eastAsia="Times New Roman" w:hAnsi="Calibri" w:cs="Calibri"/>
                <w:b/>
                <w:sz w:val="20"/>
                <w:szCs w:val="20"/>
                <w:lang w:val="en-US"/>
              </w:rPr>
            </w:pPr>
            <w:r w:rsidRPr="00062D81">
              <w:rPr>
                <w:rFonts w:ascii="Calibri" w:eastAsia="Times New Roman" w:hAnsi="Calibri" w:cs="Calibri"/>
                <w:b/>
                <w:sz w:val="20"/>
                <w:szCs w:val="20"/>
                <w:lang w:val="en-US"/>
              </w:rPr>
              <w:t>Objective of intervention</w:t>
            </w:r>
          </w:p>
        </w:tc>
        <w:tc>
          <w:tcPr>
            <w:tcW w:w="2409" w:type="dxa"/>
            <w:shd w:val="clear" w:color="auto" w:fill="D9D9D9"/>
            <w:vAlign w:val="center"/>
          </w:tcPr>
          <w:p w:rsidR="00062D81" w:rsidRPr="00062D81" w:rsidRDefault="00062D81" w:rsidP="00062D81">
            <w:pPr>
              <w:spacing w:after="0" w:line="240" w:lineRule="auto"/>
              <w:jc w:val="center"/>
              <w:rPr>
                <w:rFonts w:ascii="Calibri" w:eastAsia="Times New Roman" w:hAnsi="Calibri" w:cs="Calibri"/>
                <w:b/>
                <w:sz w:val="20"/>
                <w:szCs w:val="20"/>
                <w:lang w:val="en-US"/>
              </w:rPr>
            </w:pPr>
            <w:r w:rsidRPr="00062D81">
              <w:rPr>
                <w:rFonts w:ascii="Calibri" w:eastAsia="Times New Roman" w:hAnsi="Calibri" w:cs="Calibri"/>
                <w:b/>
                <w:sz w:val="20"/>
                <w:szCs w:val="20"/>
                <w:lang w:val="en-US"/>
              </w:rPr>
              <w:t>Caseload</w:t>
            </w:r>
          </w:p>
        </w:tc>
      </w:tr>
      <w:tr w:rsidR="00062D81" w:rsidRPr="00062D81" w:rsidTr="00062D81">
        <w:trPr>
          <w:trHeight w:val="751"/>
        </w:trPr>
        <w:tc>
          <w:tcPr>
            <w:tcW w:w="422" w:type="dxa"/>
            <w:vMerge w:val="restart"/>
            <w:shd w:val="clear" w:color="auto" w:fill="auto"/>
            <w:textDirection w:val="btLr"/>
            <w:vAlign w:val="center"/>
          </w:tcPr>
          <w:p w:rsidR="00062D81" w:rsidRPr="00062D81" w:rsidRDefault="00062D81" w:rsidP="00062D81">
            <w:pPr>
              <w:spacing w:after="0" w:line="240" w:lineRule="auto"/>
              <w:ind w:left="113" w:right="113"/>
              <w:jc w:val="center"/>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Displaced </w:t>
            </w: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HHs living in makeshift shelters (spontaneous settlements).</w:t>
            </w:r>
          </w:p>
          <w:p w:rsidR="00062D81" w:rsidRPr="00062D81" w:rsidRDefault="00062D81" w:rsidP="00062D81">
            <w:pPr>
              <w:spacing w:after="0" w:line="240" w:lineRule="auto"/>
              <w:rPr>
                <w:rFonts w:ascii="Calibri" w:eastAsia="Times New Roman" w:hAnsi="Calibri" w:cs="Calibri"/>
                <w:sz w:val="20"/>
                <w:szCs w:val="20"/>
                <w:lang w:val="en-US"/>
              </w:rPr>
            </w:pPr>
          </w:p>
        </w:tc>
        <w:tc>
          <w:tcPr>
            <w:tcW w:w="3544" w:type="dxa"/>
            <w:shd w:val="clear" w:color="auto" w:fill="auto"/>
          </w:tcPr>
          <w:p w:rsidR="00062D81" w:rsidRPr="00062D81" w:rsidRDefault="00062D81" w:rsidP="00062D81">
            <w:pPr>
              <w:numPr>
                <w:ilvl w:val="0"/>
                <w:numId w:val="7"/>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Improve conditions of spontaneous settlements so they can be habitable until the HH’s return to their place of origin.  </w:t>
            </w:r>
          </w:p>
          <w:p w:rsidR="00062D81" w:rsidRPr="00062D81" w:rsidRDefault="00062D81" w:rsidP="00062D81">
            <w:pPr>
              <w:numPr>
                <w:ilvl w:val="0"/>
                <w:numId w:val="7"/>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Include </w:t>
            </w:r>
            <w:proofErr w:type="spellStart"/>
            <w:r w:rsidRPr="00062D81">
              <w:rPr>
                <w:rFonts w:ascii="Calibri" w:eastAsia="Times New Roman" w:hAnsi="Calibri" w:cs="Calibri"/>
                <w:sz w:val="20"/>
                <w:szCs w:val="20"/>
                <w:lang w:val="en-US"/>
              </w:rPr>
              <w:t>watsan</w:t>
            </w:r>
            <w:proofErr w:type="spellEnd"/>
            <w:r w:rsidRPr="00062D81">
              <w:rPr>
                <w:rFonts w:ascii="Calibri" w:eastAsia="Times New Roman" w:hAnsi="Calibri" w:cs="Calibri"/>
                <w:sz w:val="20"/>
                <w:szCs w:val="20"/>
                <w:lang w:val="en-US"/>
              </w:rPr>
              <w:t xml:space="preserve">. </w:t>
            </w:r>
          </w:p>
        </w:tc>
        <w:tc>
          <w:tcPr>
            <w:tcW w:w="2409" w:type="dxa"/>
            <w:shd w:val="clear" w:color="auto" w:fill="auto"/>
            <w:vAlign w:val="center"/>
          </w:tcPr>
          <w:p w:rsidR="00062D81" w:rsidRPr="00062D81" w:rsidRDefault="00062D81" w:rsidP="00062D81">
            <w:pPr>
              <w:spacing w:after="0" w:line="240" w:lineRule="auto"/>
              <w:ind w:left="33"/>
              <w:rPr>
                <w:rFonts w:eastAsia="Times New Roman" w:cstheme="minorHAnsi"/>
                <w:sz w:val="18"/>
                <w:szCs w:val="18"/>
                <w:lang w:val="en-US"/>
              </w:rPr>
            </w:pPr>
          </w:p>
        </w:tc>
      </w:tr>
      <w:tr w:rsidR="00062D81" w:rsidRPr="00062D81" w:rsidTr="00062D81">
        <w:tc>
          <w:tcPr>
            <w:tcW w:w="422" w:type="dxa"/>
            <w:vMerge/>
            <w:shd w:val="clear" w:color="auto" w:fill="auto"/>
            <w:vAlign w:val="center"/>
          </w:tcPr>
          <w:p w:rsidR="00062D81" w:rsidRPr="00062D81" w:rsidRDefault="00062D81" w:rsidP="00062D81">
            <w:pPr>
              <w:spacing w:after="0" w:line="240" w:lineRule="auto"/>
              <w:jc w:val="center"/>
              <w:rPr>
                <w:rFonts w:ascii="Calibri" w:eastAsia="Times New Roman" w:hAnsi="Calibri" w:cs="Calibri"/>
                <w:sz w:val="20"/>
                <w:szCs w:val="20"/>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HHs living in collective centers (schools, cyclone shelter, unfinished buildings). </w:t>
            </w:r>
          </w:p>
        </w:tc>
        <w:tc>
          <w:tcPr>
            <w:tcW w:w="3544" w:type="dxa"/>
            <w:shd w:val="clear" w:color="auto" w:fill="auto"/>
          </w:tcPr>
          <w:p w:rsidR="00062D81" w:rsidRPr="00062D81" w:rsidRDefault="00062D81" w:rsidP="00062D81">
            <w:pPr>
              <w:numPr>
                <w:ilvl w:val="0"/>
                <w:numId w:val="9"/>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Ensure acceptable living conditions until the HH’s return to their place of origin.   </w:t>
            </w:r>
          </w:p>
          <w:p w:rsidR="00062D81" w:rsidRPr="00062D81" w:rsidRDefault="00062D81" w:rsidP="00062D81">
            <w:pPr>
              <w:numPr>
                <w:ilvl w:val="0"/>
                <w:numId w:val="9"/>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Ensure, privacy, protection, WASH, etc.</w:t>
            </w:r>
          </w:p>
        </w:tc>
        <w:tc>
          <w:tcPr>
            <w:tcW w:w="2409" w:type="dxa"/>
            <w:shd w:val="clear" w:color="auto" w:fill="auto"/>
          </w:tcPr>
          <w:p w:rsidR="00062D81" w:rsidRPr="00062D81" w:rsidRDefault="00062D81" w:rsidP="00062D81">
            <w:pPr>
              <w:spacing w:after="0" w:line="240" w:lineRule="auto"/>
              <w:rPr>
                <w:rFonts w:eastAsia="Times New Roman" w:cstheme="minorHAnsi"/>
                <w:sz w:val="18"/>
                <w:szCs w:val="18"/>
                <w:lang w:val="en-US"/>
              </w:rPr>
            </w:pPr>
            <w:r>
              <w:rPr>
                <w:rFonts w:eastAsia="Times New Roman" w:cstheme="minorHAnsi"/>
                <w:sz w:val="18"/>
                <w:szCs w:val="18"/>
                <w:lang w:val="en-US"/>
              </w:rPr>
              <w:t>At this stage we expect this number to be low</w:t>
            </w:r>
          </w:p>
        </w:tc>
      </w:tr>
      <w:tr w:rsidR="00062D81" w:rsidRPr="00062D81" w:rsidTr="00062D81">
        <w:tc>
          <w:tcPr>
            <w:tcW w:w="422" w:type="dxa"/>
            <w:vMerge/>
            <w:shd w:val="clear" w:color="auto" w:fill="auto"/>
            <w:vAlign w:val="center"/>
          </w:tcPr>
          <w:p w:rsidR="00062D81" w:rsidRPr="00062D81" w:rsidRDefault="00062D81" w:rsidP="00062D81">
            <w:pPr>
              <w:spacing w:after="0" w:line="240" w:lineRule="auto"/>
              <w:jc w:val="center"/>
              <w:rPr>
                <w:rFonts w:ascii="Calibri" w:eastAsia="Times New Roman" w:hAnsi="Calibri" w:cs="Calibri"/>
                <w:sz w:val="20"/>
                <w:szCs w:val="20"/>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 xml:space="preserve">HHs living with host families. </w:t>
            </w:r>
          </w:p>
        </w:tc>
        <w:tc>
          <w:tcPr>
            <w:tcW w:w="3544" w:type="dxa"/>
            <w:shd w:val="clear" w:color="auto" w:fill="auto"/>
          </w:tcPr>
          <w:p w:rsidR="00062D81" w:rsidRPr="00062D81" w:rsidRDefault="00062D81" w:rsidP="00062D81">
            <w:pPr>
              <w:numPr>
                <w:ilvl w:val="0"/>
                <w:numId w:val="12"/>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Mitigate the burden on the host family (cost, over-crowding)</w:t>
            </w:r>
          </w:p>
        </w:tc>
        <w:tc>
          <w:tcPr>
            <w:tcW w:w="2409" w:type="dxa"/>
            <w:shd w:val="clear" w:color="auto" w:fill="auto"/>
          </w:tcPr>
          <w:p w:rsidR="00062D81" w:rsidRPr="00062D81" w:rsidRDefault="00062D81" w:rsidP="00062D81">
            <w:pPr>
              <w:spacing w:after="0" w:line="240" w:lineRule="auto"/>
              <w:rPr>
                <w:rFonts w:eastAsia="Times New Roman" w:cstheme="minorHAnsi"/>
                <w:sz w:val="18"/>
                <w:szCs w:val="18"/>
                <w:lang w:val="en-US"/>
              </w:rPr>
            </w:pPr>
            <w:r>
              <w:rPr>
                <w:rFonts w:eastAsia="Times New Roman" w:cstheme="minorHAnsi"/>
                <w:sz w:val="18"/>
                <w:szCs w:val="18"/>
                <w:lang w:val="en-US"/>
              </w:rPr>
              <w:t>This number could be reasonably high</w:t>
            </w:r>
          </w:p>
        </w:tc>
      </w:tr>
      <w:tr w:rsidR="00062D81" w:rsidRPr="00062D81" w:rsidTr="00062D81">
        <w:tc>
          <w:tcPr>
            <w:tcW w:w="422" w:type="dxa"/>
            <w:shd w:val="clear" w:color="auto" w:fill="auto"/>
            <w:textDirection w:val="btLr"/>
          </w:tcPr>
          <w:p w:rsidR="00062D81" w:rsidRPr="00062D81" w:rsidRDefault="00062D81" w:rsidP="00062D81">
            <w:pPr>
              <w:spacing w:after="0" w:line="240" w:lineRule="auto"/>
              <w:ind w:left="113" w:right="113"/>
              <w:jc w:val="center"/>
              <w:rPr>
                <w:rFonts w:ascii="Calibri" w:eastAsia="Times New Roman" w:hAnsi="Calibri" w:cs="Calibri"/>
                <w:b/>
                <w:bCs/>
                <w:sz w:val="20"/>
                <w:szCs w:val="20"/>
                <w:lang w:val="en-US"/>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b/>
                <w:bCs/>
                <w:sz w:val="20"/>
                <w:szCs w:val="20"/>
                <w:lang w:val="en-US"/>
              </w:rPr>
            </w:pPr>
          </w:p>
        </w:tc>
        <w:tc>
          <w:tcPr>
            <w:tcW w:w="3544" w:type="dxa"/>
            <w:shd w:val="clear" w:color="auto" w:fill="auto"/>
          </w:tcPr>
          <w:p w:rsidR="00062D81" w:rsidRPr="00062D81" w:rsidRDefault="00062D81" w:rsidP="00062D81">
            <w:pPr>
              <w:spacing w:after="0" w:line="240" w:lineRule="auto"/>
              <w:ind w:left="175"/>
              <w:jc w:val="right"/>
              <w:rPr>
                <w:rFonts w:ascii="Calibri" w:eastAsia="Times New Roman" w:hAnsi="Calibri" w:cs="Calibri"/>
                <w:b/>
                <w:bCs/>
                <w:sz w:val="20"/>
                <w:szCs w:val="20"/>
                <w:lang w:val="en-US"/>
              </w:rPr>
            </w:pPr>
            <w:r w:rsidRPr="00062D81">
              <w:rPr>
                <w:rFonts w:ascii="Calibri" w:eastAsia="Times New Roman" w:hAnsi="Calibri" w:cs="Calibri"/>
                <w:b/>
                <w:bCs/>
                <w:sz w:val="20"/>
                <w:szCs w:val="20"/>
                <w:lang w:val="en-US"/>
              </w:rPr>
              <w:t>Totals</w:t>
            </w:r>
          </w:p>
        </w:tc>
        <w:tc>
          <w:tcPr>
            <w:tcW w:w="2409" w:type="dxa"/>
            <w:shd w:val="clear" w:color="auto" w:fill="auto"/>
          </w:tcPr>
          <w:p w:rsidR="00062D81" w:rsidRPr="00062D81" w:rsidRDefault="00062D81" w:rsidP="00062D81">
            <w:pPr>
              <w:spacing w:after="0" w:line="240" w:lineRule="auto"/>
              <w:rPr>
                <w:rFonts w:eastAsia="Times New Roman" w:cstheme="minorHAnsi"/>
                <w:sz w:val="18"/>
                <w:szCs w:val="18"/>
                <w:lang w:val="en-US"/>
              </w:rPr>
            </w:pPr>
          </w:p>
        </w:tc>
      </w:tr>
      <w:tr w:rsidR="00062D81" w:rsidRPr="00062D81" w:rsidTr="00062D81">
        <w:tc>
          <w:tcPr>
            <w:tcW w:w="422" w:type="dxa"/>
            <w:vMerge w:val="restart"/>
            <w:shd w:val="clear" w:color="auto" w:fill="auto"/>
            <w:textDirection w:val="btLr"/>
          </w:tcPr>
          <w:p w:rsidR="00062D81" w:rsidRPr="00062D81" w:rsidRDefault="00062D81" w:rsidP="00062D81">
            <w:pPr>
              <w:spacing w:after="0" w:line="240" w:lineRule="auto"/>
              <w:ind w:left="113" w:right="113"/>
              <w:jc w:val="center"/>
              <w:rPr>
                <w:rFonts w:ascii="Calibri" w:eastAsia="Times New Roman" w:hAnsi="Calibri" w:cs="Calibri"/>
                <w:sz w:val="20"/>
                <w:szCs w:val="20"/>
                <w:lang w:val="en-US"/>
              </w:rPr>
            </w:pPr>
            <w:r w:rsidRPr="00062D81">
              <w:rPr>
                <w:rFonts w:ascii="Calibri" w:eastAsia="Times New Roman" w:hAnsi="Calibri" w:cs="Calibri"/>
                <w:sz w:val="20"/>
                <w:szCs w:val="20"/>
                <w:lang w:val="en-US"/>
              </w:rPr>
              <w:t>Non-Displaced</w:t>
            </w: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HHs living in partially damaged houses.</w:t>
            </w:r>
          </w:p>
          <w:p w:rsidR="00062D81" w:rsidRPr="00062D81" w:rsidRDefault="00062D81" w:rsidP="00062D81">
            <w:pPr>
              <w:spacing w:after="0" w:line="240" w:lineRule="auto"/>
              <w:rPr>
                <w:rFonts w:ascii="Calibri" w:eastAsia="Times New Roman" w:hAnsi="Calibri" w:cs="Calibri"/>
                <w:sz w:val="20"/>
                <w:szCs w:val="20"/>
                <w:lang w:val="en-US"/>
              </w:rPr>
            </w:pPr>
          </w:p>
        </w:tc>
        <w:tc>
          <w:tcPr>
            <w:tcW w:w="3544" w:type="dxa"/>
            <w:shd w:val="clear" w:color="auto" w:fill="auto"/>
          </w:tcPr>
          <w:p w:rsidR="00062D81" w:rsidRPr="00062D81" w:rsidRDefault="00062D81" w:rsidP="00062D81">
            <w:pPr>
              <w:numPr>
                <w:ilvl w:val="0"/>
                <w:numId w:val="15"/>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Support house repair</w:t>
            </w:r>
          </w:p>
          <w:p w:rsidR="00062D81" w:rsidRPr="00062D81" w:rsidRDefault="00062D81" w:rsidP="00062D81">
            <w:pPr>
              <w:spacing w:after="0" w:line="240" w:lineRule="auto"/>
              <w:ind w:left="33"/>
              <w:rPr>
                <w:rFonts w:ascii="Calibri" w:eastAsia="Times New Roman" w:hAnsi="Calibri" w:cs="Calibri"/>
                <w:sz w:val="20"/>
                <w:szCs w:val="20"/>
                <w:lang w:val="en-US"/>
              </w:rPr>
            </w:pPr>
          </w:p>
        </w:tc>
        <w:tc>
          <w:tcPr>
            <w:tcW w:w="2409" w:type="dxa"/>
            <w:shd w:val="clear" w:color="auto" w:fill="auto"/>
          </w:tcPr>
          <w:p w:rsidR="00062D81" w:rsidRPr="00062D81" w:rsidRDefault="00062D81" w:rsidP="00062D81">
            <w:pPr>
              <w:spacing w:after="0" w:line="240" w:lineRule="auto"/>
              <w:rPr>
                <w:rFonts w:eastAsia="Times New Roman" w:cstheme="minorHAnsi"/>
                <w:sz w:val="18"/>
                <w:szCs w:val="18"/>
                <w:lang w:val="en-US"/>
              </w:rPr>
            </w:pPr>
            <w:r>
              <w:rPr>
                <w:rFonts w:eastAsia="Times New Roman" w:cstheme="minorHAnsi"/>
                <w:sz w:val="18"/>
                <w:szCs w:val="18"/>
                <w:lang w:val="en-US"/>
              </w:rPr>
              <w:t>This should be the highest.</w:t>
            </w:r>
          </w:p>
        </w:tc>
      </w:tr>
      <w:tr w:rsidR="00062D81" w:rsidRPr="00062D81" w:rsidTr="00062D81">
        <w:tc>
          <w:tcPr>
            <w:tcW w:w="422" w:type="dxa"/>
            <w:vMerge/>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HHs living in makeshift shelters on the plots of their totally destroyed house.</w:t>
            </w:r>
          </w:p>
        </w:tc>
        <w:tc>
          <w:tcPr>
            <w:tcW w:w="3544" w:type="dxa"/>
            <w:shd w:val="clear" w:color="auto" w:fill="auto"/>
          </w:tcPr>
          <w:p w:rsidR="00062D81" w:rsidRPr="00062D81" w:rsidRDefault="00062D81" w:rsidP="00062D81">
            <w:pPr>
              <w:numPr>
                <w:ilvl w:val="0"/>
                <w:numId w:val="16"/>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Support house reconstruction.</w:t>
            </w:r>
          </w:p>
          <w:p w:rsidR="00062D81" w:rsidRPr="00062D81" w:rsidRDefault="00062D81" w:rsidP="00062D81">
            <w:pPr>
              <w:numPr>
                <w:ilvl w:val="0"/>
                <w:numId w:val="16"/>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Advocacy to avoid eviction.</w:t>
            </w:r>
          </w:p>
        </w:tc>
        <w:tc>
          <w:tcPr>
            <w:tcW w:w="2409" w:type="dxa"/>
            <w:shd w:val="clear" w:color="auto" w:fill="auto"/>
          </w:tcPr>
          <w:p w:rsidR="00062D81" w:rsidRPr="00062D81" w:rsidRDefault="00062D81" w:rsidP="00062D81">
            <w:pPr>
              <w:spacing w:after="0" w:line="240" w:lineRule="auto"/>
              <w:rPr>
                <w:rFonts w:eastAsia="Times New Roman" w:cstheme="minorHAnsi"/>
                <w:sz w:val="18"/>
                <w:szCs w:val="18"/>
                <w:lang w:val="en-US"/>
              </w:rPr>
            </w:pPr>
          </w:p>
        </w:tc>
      </w:tr>
      <w:tr w:rsidR="00062D81" w:rsidRPr="00062D81" w:rsidTr="00062D81">
        <w:tc>
          <w:tcPr>
            <w:tcW w:w="422" w:type="dxa"/>
            <w:vMerge/>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sz w:val="20"/>
                <w:szCs w:val="20"/>
                <w:lang w:val="en-US"/>
              </w:rPr>
            </w:pPr>
            <w:r w:rsidRPr="00062D81">
              <w:rPr>
                <w:rFonts w:ascii="Calibri" w:eastAsia="Times New Roman" w:hAnsi="Calibri" w:cs="Calibri"/>
                <w:sz w:val="20"/>
                <w:szCs w:val="20"/>
                <w:lang w:val="en-US"/>
              </w:rPr>
              <w:t>Host families (families hosting a displaced HH).</w:t>
            </w:r>
          </w:p>
        </w:tc>
        <w:tc>
          <w:tcPr>
            <w:tcW w:w="3544" w:type="dxa"/>
            <w:shd w:val="clear" w:color="auto" w:fill="auto"/>
          </w:tcPr>
          <w:p w:rsidR="00062D81" w:rsidRPr="00062D81" w:rsidRDefault="00062D81" w:rsidP="00062D81">
            <w:pPr>
              <w:numPr>
                <w:ilvl w:val="0"/>
                <w:numId w:val="14"/>
              </w:numPr>
              <w:spacing w:after="0" w:line="240" w:lineRule="auto"/>
              <w:ind w:left="175" w:hanging="142"/>
              <w:rPr>
                <w:rFonts w:ascii="Calibri" w:eastAsia="Times New Roman" w:hAnsi="Calibri" w:cs="Calibri"/>
                <w:sz w:val="20"/>
                <w:szCs w:val="20"/>
                <w:lang w:val="en-US"/>
              </w:rPr>
            </w:pPr>
            <w:r w:rsidRPr="00062D81">
              <w:rPr>
                <w:rFonts w:ascii="Calibri" w:eastAsia="Times New Roman" w:hAnsi="Calibri" w:cs="Calibri"/>
                <w:sz w:val="20"/>
                <w:szCs w:val="20"/>
                <w:lang w:val="en-US"/>
              </w:rPr>
              <w:t>Mitigate the burden of an additional HH (cost, over-crowding)</w:t>
            </w:r>
          </w:p>
        </w:tc>
        <w:tc>
          <w:tcPr>
            <w:tcW w:w="2409" w:type="dxa"/>
            <w:shd w:val="clear" w:color="auto" w:fill="auto"/>
          </w:tcPr>
          <w:p w:rsidR="00062D81" w:rsidRPr="00062D81" w:rsidRDefault="00062D81" w:rsidP="00062D81">
            <w:pPr>
              <w:spacing w:after="0" w:line="240" w:lineRule="auto"/>
              <w:rPr>
                <w:rFonts w:ascii="Times New Roman" w:eastAsia="Times New Roman" w:hAnsi="Times New Roman" w:cs="Times New Roman"/>
                <w:sz w:val="24"/>
                <w:szCs w:val="24"/>
                <w:lang w:val="en-US"/>
              </w:rPr>
            </w:pPr>
          </w:p>
        </w:tc>
      </w:tr>
      <w:tr w:rsidR="00062D81" w:rsidRPr="00062D81" w:rsidTr="00062D81">
        <w:tc>
          <w:tcPr>
            <w:tcW w:w="422" w:type="dxa"/>
            <w:shd w:val="clear" w:color="auto" w:fill="auto"/>
          </w:tcPr>
          <w:p w:rsidR="00062D81" w:rsidRPr="00062D81" w:rsidRDefault="00062D81" w:rsidP="00062D81">
            <w:pPr>
              <w:spacing w:after="0" w:line="240" w:lineRule="auto"/>
              <w:rPr>
                <w:rFonts w:ascii="Calibri" w:eastAsia="Times New Roman" w:hAnsi="Calibri" w:cs="Calibri"/>
                <w:b/>
                <w:bCs/>
                <w:sz w:val="20"/>
                <w:szCs w:val="20"/>
                <w:lang w:val="en-US"/>
              </w:rPr>
            </w:pPr>
          </w:p>
        </w:tc>
        <w:tc>
          <w:tcPr>
            <w:tcW w:w="2555" w:type="dxa"/>
            <w:shd w:val="clear" w:color="auto" w:fill="auto"/>
          </w:tcPr>
          <w:p w:rsidR="00062D81" w:rsidRPr="00062D81" w:rsidRDefault="00062D81" w:rsidP="00062D81">
            <w:pPr>
              <w:spacing w:after="0" w:line="240" w:lineRule="auto"/>
              <w:rPr>
                <w:rFonts w:ascii="Calibri" w:eastAsia="Times New Roman" w:hAnsi="Calibri" w:cs="Calibri"/>
                <w:b/>
                <w:bCs/>
                <w:sz w:val="20"/>
                <w:szCs w:val="20"/>
                <w:lang w:val="en-US"/>
              </w:rPr>
            </w:pPr>
          </w:p>
        </w:tc>
        <w:tc>
          <w:tcPr>
            <w:tcW w:w="3544" w:type="dxa"/>
            <w:shd w:val="clear" w:color="auto" w:fill="auto"/>
          </w:tcPr>
          <w:p w:rsidR="00062D81" w:rsidRPr="00062D81" w:rsidRDefault="00062D81" w:rsidP="00062D81">
            <w:pPr>
              <w:spacing w:after="0" w:line="240" w:lineRule="auto"/>
              <w:ind w:left="175"/>
              <w:jc w:val="right"/>
              <w:rPr>
                <w:rFonts w:ascii="Calibri" w:eastAsia="Times New Roman" w:hAnsi="Calibri" w:cs="Calibri"/>
                <w:b/>
                <w:bCs/>
                <w:sz w:val="20"/>
                <w:szCs w:val="20"/>
                <w:lang w:val="en-US"/>
              </w:rPr>
            </w:pPr>
            <w:r w:rsidRPr="00062D81">
              <w:rPr>
                <w:rFonts w:ascii="Calibri" w:eastAsia="Times New Roman" w:hAnsi="Calibri" w:cs="Calibri"/>
                <w:b/>
                <w:bCs/>
                <w:sz w:val="20"/>
                <w:szCs w:val="20"/>
                <w:lang w:val="en-US"/>
              </w:rPr>
              <w:t>Totals</w:t>
            </w:r>
          </w:p>
        </w:tc>
        <w:tc>
          <w:tcPr>
            <w:tcW w:w="2409" w:type="dxa"/>
            <w:shd w:val="clear" w:color="auto" w:fill="auto"/>
          </w:tcPr>
          <w:p w:rsidR="00062D81" w:rsidRPr="00062D81" w:rsidRDefault="00062D81" w:rsidP="00062D81">
            <w:pPr>
              <w:spacing w:after="0" w:line="240" w:lineRule="auto"/>
              <w:rPr>
                <w:rFonts w:ascii="Calibri" w:eastAsia="Times New Roman" w:hAnsi="Calibri" w:cs="Calibri"/>
                <w:b/>
                <w:bCs/>
                <w:sz w:val="20"/>
                <w:szCs w:val="20"/>
                <w:lang w:val="en-US"/>
              </w:rPr>
            </w:pPr>
          </w:p>
        </w:tc>
      </w:tr>
    </w:tbl>
    <w:p w:rsidR="00062D81" w:rsidRDefault="00062D81" w:rsidP="00062D81">
      <w:pPr>
        <w:rPr>
          <w:rFonts w:cstheme="minorHAnsi"/>
        </w:rPr>
      </w:pPr>
    </w:p>
    <w:p w:rsidR="001B1A97" w:rsidRPr="00062D81" w:rsidRDefault="00C24216" w:rsidP="00062D81">
      <w:pPr>
        <w:pStyle w:val="NoSpacing"/>
        <w:rPr>
          <w:b/>
          <w:bCs/>
        </w:rPr>
      </w:pPr>
      <w:r>
        <w:rPr>
          <w:b/>
          <w:bCs/>
        </w:rPr>
        <w:t>K</w:t>
      </w:r>
      <w:r w:rsidR="00BE4079" w:rsidRPr="00062D81">
        <w:rPr>
          <w:b/>
          <w:bCs/>
        </w:rPr>
        <w:t xml:space="preserve">ey references </w:t>
      </w:r>
    </w:p>
    <w:p w:rsidR="00BE4079" w:rsidRPr="00216DA8" w:rsidRDefault="00BE4079" w:rsidP="00216DA8">
      <w:pPr>
        <w:pStyle w:val="ListParagraph"/>
        <w:numPr>
          <w:ilvl w:val="0"/>
          <w:numId w:val="4"/>
        </w:numPr>
        <w:rPr>
          <w:rFonts w:cstheme="minorHAnsi"/>
        </w:rPr>
      </w:pPr>
      <w:r w:rsidRPr="00216DA8">
        <w:rPr>
          <w:rFonts w:cstheme="minorHAnsi"/>
        </w:rPr>
        <w:t>Battling the Storm: Study of Cyclone Resistant Houses – German Red Cross</w:t>
      </w:r>
    </w:p>
    <w:p w:rsidR="00BE4079" w:rsidRPr="00216DA8" w:rsidRDefault="00BE4079" w:rsidP="00216DA8">
      <w:pPr>
        <w:pStyle w:val="ListParagraph"/>
        <w:numPr>
          <w:ilvl w:val="0"/>
          <w:numId w:val="4"/>
        </w:numPr>
        <w:rPr>
          <w:rFonts w:cstheme="minorHAnsi"/>
        </w:rPr>
      </w:pPr>
      <w:r w:rsidRPr="00216DA8">
        <w:rPr>
          <w:rFonts w:cstheme="minorHAnsi"/>
        </w:rPr>
        <w:t>Handbook for Design and Construction of Houses in Flood Prone Rural Areas of Bangladesh – ADPC</w:t>
      </w:r>
    </w:p>
    <w:p w:rsidR="00BE4079" w:rsidRPr="00216DA8" w:rsidRDefault="00BE4079" w:rsidP="00216DA8">
      <w:pPr>
        <w:pStyle w:val="ListParagraph"/>
        <w:numPr>
          <w:ilvl w:val="0"/>
          <w:numId w:val="4"/>
        </w:numPr>
        <w:rPr>
          <w:rFonts w:cstheme="minorHAnsi"/>
        </w:rPr>
      </w:pPr>
      <w:r w:rsidRPr="00216DA8">
        <w:rPr>
          <w:rFonts w:cstheme="minorHAnsi"/>
        </w:rPr>
        <w:t xml:space="preserve">Post Cyclone </w:t>
      </w:r>
      <w:proofErr w:type="spellStart"/>
      <w:r w:rsidRPr="00216DA8">
        <w:rPr>
          <w:rFonts w:cstheme="minorHAnsi"/>
        </w:rPr>
        <w:t>Sidr</w:t>
      </w:r>
      <w:proofErr w:type="spellEnd"/>
      <w:r w:rsidRPr="00216DA8">
        <w:rPr>
          <w:rFonts w:cstheme="minorHAnsi"/>
        </w:rPr>
        <w:t xml:space="preserve"> Family Shelter construction in Bangladesh – Shelter Working Group 2007-09</w:t>
      </w:r>
    </w:p>
    <w:p w:rsidR="00216DA8" w:rsidRDefault="00BE4079" w:rsidP="00216DA8">
      <w:pPr>
        <w:pStyle w:val="ListParagraph"/>
        <w:numPr>
          <w:ilvl w:val="0"/>
          <w:numId w:val="4"/>
        </w:numPr>
        <w:rPr>
          <w:rFonts w:cstheme="minorHAnsi"/>
        </w:rPr>
      </w:pPr>
      <w:r w:rsidRPr="00216DA8">
        <w:rPr>
          <w:rFonts w:cstheme="minorHAnsi"/>
        </w:rPr>
        <w:t xml:space="preserve">Building Safer Communities in South </w:t>
      </w:r>
      <w:r w:rsidR="00216DA8" w:rsidRPr="00216DA8">
        <w:rPr>
          <w:rFonts w:cstheme="minorHAnsi"/>
        </w:rPr>
        <w:t>Asia – ECHO/DFID/IFRC/BDRC/ADPC</w:t>
      </w:r>
    </w:p>
    <w:p w:rsidR="00216DA8" w:rsidRDefault="00216DA8" w:rsidP="00216DA8">
      <w:pPr>
        <w:pStyle w:val="ListParagraph"/>
        <w:numPr>
          <w:ilvl w:val="0"/>
          <w:numId w:val="4"/>
        </w:numPr>
        <w:rPr>
          <w:rFonts w:cstheme="minorHAnsi"/>
        </w:rPr>
      </w:pPr>
      <w:r>
        <w:rPr>
          <w:rFonts w:cstheme="minorHAnsi"/>
        </w:rPr>
        <w:t xml:space="preserve">Shelter Working Group design guidelines for Cyclone </w:t>
      </w:r>
      <w:proofErr w:type="spellStart"/>
      <w:r>
        <w:rPr>
          <w:rFonts w:cstheme="minorHAnsi"/>
        </w:rPr>
        <w:t>Sidr</w:t>
      </w:r>
      <w:proofErr w:type="spellEnd"/>
      <w:r>
        <w:rPr>
          <w:rFonts w:cstheme="minorHAnsi"/>
        </w:rPr>
        <w:t xml:space="preserve"> </w:t>
      </w:r>
    </w:p>
    <w:p w:rsidR="00216DA8" w:rsidRDefault="00216DA8">
      <w:pPr>
        <w:rPr>
          <w:rFonts w:cstheme="minorHAnsi"/>
        </w:rPr>
      </w:pPr>
      <w:r>
        <w:rPr>
          <w:rFonts w:cstheme="minorHAnsi"/>
        </w:rPr>
        <w:br w:type="page"/>
      </w:r>
    </w:p>
    <w:p w:rsidR="00216DA8" w:rsidRPr="00216DA8" w:rsidRDefault="00216DA8" w:rsidP="00216DA8">
      <w:pPr>
        <w:rPr>
          <w:rFonts w:cstheme="minorHAnsi"/>
          <w:b/>
          <w:bCs/>
        </w:rPr>
      </w:pPr>
      <w:r w:rsidRPr="00216DA8">
        <w:rPr>
          <w:rFonts w:cstheme="minorHAnsi"/>
          <w:b/>
          <w:bCs/>
        </w:rPr>
        <w:lastRenderedPageBreak/>
        <w:t>Census Data for 2011</w:t>
      </w:r>
      <w:r>
        <w:rPr>
          <w:rFonts w:cstheme="minorHAnsi"/>
          <w:b/>
          <w:bCs/>
        </w:rPr>
        <w:t xml:space="preserve"> (date to be checked)</w:t>
      </w:r>
    </w:p>
    <w:tbl>
      <w:tblPr>
        <w:tblStyle w:val="TableGrid"/>
        <w:tblW w:w="8871" w:type="dxa"/>
        <w:tblLook w:val="04A0" w:firstRow="1" w:lastRow="0" w:firstColumn="1" w:lastColumn="0" w:noHBand="0" w:noVBand="1"/>
      </w:tblPr>
      <w:tblGrid>
        <w:gridCol w:w="1280"/>
        <w:gridCol w:w="1663"/>
        <w:gridCol w:w="1266"/>
        <w:gridCol w:w="1002"/>
        <w:gridCol w:w="1258"/>
        <w:gridCol w:w="1214"/>
        <w:gridCol w:w="1188"/>
      </w:tblGrid>
      <w:tr w:rsidR="00216DA8" w:rsidRPr="001B1A97" w:rsidTr="00786D20">
        <w:trPr>
          <w:trHeight w:val="1345"/>
        </w:trPr>
        <w:tc>
          <w:tcPr>
            <w:tcW w:w="1280" w:type="dxa"/>
            <w:shd w:val="clear" w:color="auto" w:fill="D9D9D9" w:themeFill="background1" w:themeFillShade="D9"/>
            <w:noWrap/>
            <w:vAlign w:val="center"/>
            <w:hideMark/>
          </w:tcPr>
          <w:p w:rsidR="00216DA8" w:rsidRPr="001B1A97" w:rsidRDefault="00216DA8" w:rsidP="00786D20">
            <w:pPr>
              <w:jc w:val="center"/>
              <w:rPr>
                <w:rFonts w:cstheme="minorHAnsi"/>
                <w:b/>
                <w:bCs/>
              </w:rPr>
            </w:pPr>
            <w:r w:rsidRPr="001B1A97">
              <w:rPr>
                <w:rFonts w:cstheme="minorHAnsi"/>
                <w:b/>
                <w:bCs/>
              </w:rPr>
              <w:t>Affected district</w:t>
            </w:r>
          </w:p>
        </w:tc>
        <w:tc>
          <w:tcPr>
            <w:tcW w:w="1663" w:type="dxa"/>
            <w:shd w:val="clear" w:color="auto" w:fill="D9D9D9" w:themeFill="background1" w:themeFillShade="D9"/>
            <w:noWrap/>
            <w:vAlign w:val="center"/>
            <w:hideMark/>
          </w:tcPr>
          <w:p w:rsidR="00216DA8" w:rsidRPr="001B1A97" w:rsidRDefault="00216DA8" w:rsidP="00786D20">
            <w:pPr>
              <w:jc w:val="center"/>
              <w:rPr>
                <w:rFonts w:cstheme="minorHAnsi"/>
                <w:b/>
                <w:bCs/>
              </w:rPr>
            </w:pPr>
            <w:r w:rsidRPr="001B1A97">
              <w:rPr>
                <w:rFonts w:cstheme="minorHAnsi"/>
                <w:b/>
                <w:bCs/>
              </w:rPr>
              <w:t xml:space="preserve">Affected </w:t>
            </w:r>
            <w:proofErr w:type="spellStart"/>
            <w:r w:rsidRPr="001B1A97">
              <w:rPr>
                <w:rFonts w:cstheme="minorHAnsi"/>
                <w:b/>
                <w:bCs/>
              </w:rPr>
              <w:t>Upazila</w:t>
            </w:r>
            <w:proofErr w:type="spellEnd"/>
          </w:p>
        </w:tc>
        <w:tc>
          <w:tcPr>
            <w:tcW w:w="1266" w:type="dxa"/>
            <w:shd w:val="clear" w:color="auto" w:fill="D9D9D9" w:themeFill="background1" w:themeFillShade="D9"/>
            <w:noWrap/>
            <w:vAlign w:val="center"/>
            <w:hideMark/>
          </w:tcPr>
          <w:p w:rsidR="00216DA8" w:rsidRPr="001B1A97" w:rsidRDefault="00216DA8" w:rsidP="00786D20">
            <w:pPr>
              <w:jc w:val="center"/>
              <w:rPr>
                <w:rFonts w:cstheme="minorHAnsi"/>
                <w:b/>
                <w:bCs/>
              </w:rPr>
            </w:pPr>
          </w:p>
          <w:p w:rsidR="00216DA8" w:rsidRPr="001B1A97" w:rsidRDefault="00216DA8" w:rsidP="00786D20">
            <w:pPr>
              <w:jc w:val="center"/>
              <w:rPr>
                <w:rFonts w:cstheme="minorHAnsi"/>
                <w:b/>
                <w:bCs/>
              </w:rPr>
            </w:pPr>
            <w:r w:rsidRPr="001B1A97">
              <w:rPr>
                <w:rFonts w:cstheme="minorHAnsi"/>
                <w:b/>
                <w:bCs/>
              </w:rPr>
              <w:t>No. of households</w:t>
            </w:r>
          </w:p>
        </w:tc>
        <w:tc>
          <w:tcPr>
            <w:tcW w:w="1002" w:type="dxa"/>
            <w:shd w:val="clear" w:color="auto" w:fill="D9D9D9" w:themeFill="background1" w:themeFillShade="D9"/>
            <w:vAlign w:val="center"/>
            <w:hideMark/>
          </w:tcPr>
          <w:p w:rsidR="00216DA8" w:rsidRPr="001B1A97" w:rsidRDefault="00216DA8" w:rsidP="00786D20">
            <w:pPr>
              <w:jc w:val="center"/>
              <w:rPr>
                <w:rFonts w:cstheme="minorHAnsi"/>
                <w:b/>
                <w:bCs/>
              </w:rPr>
            </w:pPr>
            <w:r>
              <w:rPr>
                <w:rFonts w:cstheme="minorHAnsi"/>
                <w:b/>
                <w:bCs/>
              </w:rPr>
              <w:t>% Solid s</w:t>
            </w:r>
            <w:r w:rsidRPr="001B1A97">
              <w:rPr>
                <w:rFonts w:cstheme="minorHAnsi"/>
                <w:b/>
                <w:bCs/>
              </w:rPr>
              <w:t>helter</w:t>
            </w:r>
          </w:p>
        </w:tc>
        <w:tc>
          <w:tcPr>
            <w:tcW w:w="1258" w:type="dxa"/>
            <w:shd w:val="clear" w:color="auto" w:fill="D9D9D9" w:themeFill="background1" w:themeFillShade="D9"/>
            <w:vAlign w:val="center"/>
            <w:hideMark/>
          </w:tcPr>
          <w:p w:rsidR="00216DA8" w:rsidRPr="001B1A97" w:rsidRDefault="00216DA8" w:rsidP="00786D20">
            <w:pPr>
              <w:jc w:val="center"/>
              <w:rPr>
                <w:rFonts w:cstheme="minorHAnsi"/>
                <w:b/>
                <w:bCs/>
              </w:rPr>
            </w:pPr>
            <w:r w:rsidRPr="001B1A97">
              <w:rPr>
                <w:rFonts w:cstheme="minorHAnsi"/>
                <w:b/>
                <w:bCs/>
              </w:rPr>
              <w:t>% Semi solid shelter</w:t>
            </w:r>
          </w:p>
        </w:tc>
        <w:tc>
          <w:tcPr>
            <w:tcW w:w="1214" w:type="dxa"/>
            <w:shd w:val="clear" w:color="auto" w:fill="D9D9D9" w:themeFill="background1" w:themeFillShade="D9"/>
            <w:vAlign w:val="center"/>
            <w:hideMark/>
          </w:tcPr>
          <w:p w:rsidR="00216DA8" w:rsidRPr="001B1A97" w:rsidRDefault="00216DA8" w:rsidP="00786D20">
            <w:pPr>
              <w:jc w:val="center"/>
              <w:rPr>
                <w:rFonts w:cstheme="minorHAnsi"/>
                <w:b/>
                <w:bCs/>
              </w:rPr>
            </w:pPr>
            <w:r w:rsidRPr="001B1A97">
              <w:rPr>
                <w:rFonts w:cstheme="minorHAnsi"/>
                <w:b/>
                <w:bCs/>
              </w:rPr>
              <w:t>% Traditional / mud shelter</w:t>
            </w:r>
          </w:p>
        </w:tc>
        <w:tc>
          <w:tcPr>
            <w:tcW w:w="1188" w:type="dxa"/>
            <w:shd w:val="clear" w:color="auto" w:fill="D9D9D9" w:themeFill="background1" w:themeFillShade="D9"/>
            <w:noWrap/>
            <w:vAlign w:val="center"/>
            <w:hideMark/>
          </w:tcPr>
          <w:p w:rsidR="00216DA8" w:rsidRPr="001B1A97" w:rsidRDefault="00216DA8" w:rsidP="00786D20">
            <w:pPr>
              <w:jc w:val="center"/>
              <w:rPr>
                <w:rFonts w:cstheme="minorHAnsi"/>
                <w:b/>
                <w:bCs/>
              </w:rPr>
            </w:pPr>
            <w:r w:rsidRPr="001B1A97">
              <w:rPr>
                <w:rFonts w:cstheme="minorHAnsi"/>
                <w:b/>
                <w:bCs/>
              </w:rPr>
              <w:t>% temporary shelter</w:t>
            </w:r>
          </w:p>
        </w:tc>
      </w:tr>
      <w:tr w:rsidR="00216DA8" w:rsidRPr="001B1A97" w:rsidTr="00786D20">
        <w:trPr>
          <w:trHeight w:val="315"/>
        </w:trPr>
        <w:tc>
          <w:tcPr>
            <w:tcW w:w="1280" w:type="dxa"/>
            <w:vMerge w:val="restart"/>
            <w:vAlign w:val="center"/>
            <w:hideMark/>
          </w:tcPr>
          <w:p w:rsidR="00216DA8" w:rsidRPr="001B1A97" w:rsidRDefault="00216DA8" w:rsidP="00786D20">
            <w:pPr>
              <w:jc w:val="center"/>
              <w:rPr>
                <w:rFonts w:cstheme="minorHAnsi"/>
              </w:rPr>
            </w:pPr>
            <w:proofErr w:type="spellStart"/>
            <w:r w:rsidRPr="001B1A97">
              <w:rPr>
                <w:rFonts w:cstheme="minorHAnsi"/>
              </w:rPr>
              <w:t>Bhola</w:t>
            </w:r>
            <w:proofErr w:type="spellEnd"/>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Bhola</w:t>
            </w:r>
            <w:proofErr w:type="spellEnd"/>
            <w:r w:rsidRPr="001B1A97">
              <w:rPr>
                <w:rFonts w:cstheme="minorHAnsi"/>
              </w:rPr>
              <w:t xml:space="preserve"> </w:t>
            </w:r>
            <w:proofErr w:type="spellStart"/>
            <w:r w:rsidRPr="001B1A97">
              <w:rPr>
                <w:rFonts w:cstheme="minorHAnsi"/>
              </w:rPr>
              <w:t>Sadar</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88,068</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2.64</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11.49</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83.62</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2.25</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Burhanuddin</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48,534</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1.68</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7.59</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87.82</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2.91</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r w:rsidRPr="001B1A97">
              <w:rPr>
                <w:rFonts w:cstheme="minorHAnsi"/>
              </w:rPr>
              <w:t xml:space="preserve">Char </w:t>
            </w:r>
            <w:proofErr w:type="spellStart"/>
            <w:r w:rsidRPr="001B1A97">
              <w:rPr>
                <w:rFonts w:cstheme="minorHAnsi"/>
              </w:rPr>
              <w:t>Fasson</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94,649</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1.33</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7.02</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85.49</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6.16</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Lalmohan</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60,988</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1.31</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6.41</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89.53</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2.76</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Manpura</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17,080</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0.61</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1.46</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79.35</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18.58</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Tazumuddin</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28,734</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1.10</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3.08</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91.19</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4.63</w:t>
            </w:r>
          </w:p>
        </w:tc>
      </w:tr>
      <w:tr w:rsidR="00216DA8" w:rsidRPr="001B1A97" w:rsidTr="00786D20">
        <w:trPr>
          <w:trHeight w:val="330"/>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Daulat</w:t>
            </w:r>
            <w:proofErr w:type="spellEnd"/>
            <w:r w:rsidRPr="001B1A97">
              <w:rPr>
                <w:rFonts w:cstheme="minorHAnsi"/>
              </w:rPr>
              <w:t xml:space="preserve"> Khan</w:t>
            </w:r>
          </w:p>
        </w:tc>
        <w:tc>
          <w:tcPr>
            <w:tcW w:w="1266" w:type="dxa"/>
            <w:vAlign w:val="center"/>
            <w:hideMark/>
          </w:tcPr>
          <w:p w:rsidR="00216DA8" w:rsidRPr="001B1A97" w:rsidRDefault="00216DA8" w:rsidP="00786D20">
            <w:pPr>
              <w:jc w:val="center"/>
              <w:rPr>
                <w:rFonts w:cstheme="minorHAnsi"/>
              </w:rPr>
            </w:pPr>
            <w:r w:rsidRPr="001B1A97">
              <w:rPr>
                <w:rFonts w:cstheme="minorHAnsi"/>
              </w:rPr>
              <w:t>34,670</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1.80</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8.01</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86.44</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3.75</w:t>
            </w:r>
          </w:p>
        </w:tc>
      </w:tr>
      <w:tr w:rsidR="00216DA8" w:rsidRPr="001B1A97" w:rsidTr="00786D20">
        <w:trPr>
          <w:trHeight w:val="315"/>
        </w:trPr>
        <w:tc>
          <w:tcPr>
            <w:tcW w:w="1280" w:type="dxa"/>
            <w:vMerge w:val="restart"/>
            <w:vAlign w:val="center"/>
            <w:hideMark/>
          </w:tcPr>
          <w:p w:rsidR="00216DA8" w:rsidRPr="001B1A97" w:rsidRDefault="00216DA8" w:rsidP="00786D20">
            <w:pPr>
              <w:jc w:val="center"/>
              <w:rPr>
                <w:rFonts w:cstheme="minorHAnsi"/>
              </w:rPr>
            </w:pPr>
            <w:proofErr w:type="spellStart"/>
            <w:r w:rsidRPr="001B1A97">
              <w:rPr>
                <w:rFonts w:cstheme="minorHAnsi"/>
              </w:rPr>
              <w:t>Barguna</w:t>
            </w:r>
            <w:proofErr w:type="spellEnd"/>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Amtali</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63,212</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1.20</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4.05</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87.40</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7.35</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Bamna</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19,537</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2.27</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4.57</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91.12</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2.05</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Barguna</w:t>
            </w:r>
            <w:proofErr w:type="spellEnd"/>
            <w:r w:rsidRPr="001B1A97">
              <w:rPr>
                <w:rFonts w:cstheme="minorHAnsi"/>
              </w:rPr>
              <w:t xml:space="preserve"> </w:t>
            </w:r>
            <w:proofErr w:type="spellStart"/>
            <w:r w:rsidRPr="001B1A97">
              <w:rPr>
                <w:rFonts w:cstheme="minorHAnsi"/>
              </w:rPr>
              <w:t>Sadar</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62,086</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2.77</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6.15</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89.15</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1.93</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Betagi</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27,922</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2.09</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4.96</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91.49</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1.47</w:t>
            </w:r>
          </w:p>
        </w:tc>
      </w:tr>
      <w:tr w:rsidR="00216DA8" w:rsidRPr="001B1A97" w:rsidTr="00786D20">
        <w:trPr>
          <w:trHeight w:val="330"/>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Patharghata</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43,085</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1.70</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4.12</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91.50</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2.67</w:t>
            </w:r>
          </w:p>
        </w:tc>
      </w:tr>
      <w:tr w:rsidR="00216DA8" w:rsidRPr="001B1A97" w:rsidTr="00786D20">
        <w:trPr>
          <w:trHeight w:val="315"/>
        </w:trPr>
        <w:tc>
          <w:tcPr>
            <w:tcW w:w="1280" w:type="dxa"/>
            <w:vMerge w:val="restart"/>
            <w:noWrap/>
            <w:vAlign w:val="center"/>
            <w:hideMark/>
          </w:tcPr>
          <w:p w:rsidR="00216DA8" w:rsidRPr="001B1A97" w:rsidRDefault="00216DA8" w:rsidP="00786D20">
            <w:pPr>
              <w:jc w:val="center"/>
              <w:rPr>
                <w:rFonts w:cstheme="minorHAnsi"/>
              </w:rPr>
            </w:pPr>
            <w:proofErr w:type="spellStart"/>
            <w:r w:rsidRPr="001B1A97">
              <w:rPr>
                <w:rFonts w:cstheme="minorHAnsi"/>
              </w:rPr>
              <w:t>Patuakhali</w:t>
            </w:r>
            <w:proofErr w:type="spellEnd"/>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Bauphal</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67,833</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2.19</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5.73</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91.31</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0.78</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Dashmina</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28,490</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1.07</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2.84</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93.73</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2.35</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Dumki</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15,542</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3.27</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7.65</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88.51</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0.57</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Galachipa</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80,054</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1.12</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3.73</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83.64</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11.52</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r w:rsidRPr="001B1A97">
              <w:rPr>
                <w:rFonts w:cstheme="minorHAnsi"/>
              </w:rPr>
              <w:t>Kala Para</w:t>
            </w:r>
          </w:p>
        </w:tc>
        <w:tc>
          <w:tcPr>
            <w:tcW w:w="1266" w:type="dxa"/>
            <w:vAlign w:val="center"/>
            <w:hideMark/>
          </w:tcPr>
          <w:p w:rsidR="00216DA8" w:rsidRPr="001B1A97" w:rsidRDefault="00216DA8" w:rsidP="00786D20">
            <w:pPr>
              <w:jc w:val="center"/>
              <w:rPr>
                <w:rFonts w:cstheme="minorHAnsi"/>
              </w:rPr>
            </w:pPr>
            <w:r w:rsidRPr="001B1A97">
              <w:rPr>
                <w:rFonts w:cstheme="minorHAnsi"/>
              </w:rPr>
              <w:t>57,525</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1.63</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3.34</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85.09</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9.95</w:t>
            </w:r>
          </w:p>
        </w:tc>
      </w:tr>
      <w:tr w:rsidR="00216DA8" w:rsidRPr="001B1A97" w:rsidTr="00786D20">
        <w:trPr>
          <w:trHeight w:val="315"/>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Mirzaganj</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28,205</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4.08</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9.42</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85.53</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0.97</w:t>
            </w:r>
          </w:p>
        </w:tc>
      </w:tr>
      <w:tr w:rsidR="00216DA8" w:rsidRPr="001B1A97" w:rsidTr="00786D20">
        <w:trPr>
          <w:trHeight w:val="330"/>
        </w:trPr>
        <w:tc>
          <w:tcPr>
            <w:tcW w:w="1280" w:type="dxa"/>
            <w:vMerge/>
            <w:vAlign w:val="center"/>
            <w:hideMark/>
          </w:tcPr>
          <w:p w:rsidR="00216DA8" w:rsidRPr="001B1A97" w:rsidRDefault="00216DA8" w:rsidP="00786D20">
            <w:pPr>
              <w:jc w:val="center"/>
              <w:rPr>
                <w:rFonts w:cstheme="minorHAnsi"/>
              </w:rPr>
            </w:pPr>
          </w:p>
        </w:tc>
        <w:tc>
          <w:tcPr>
            <w:tcW w:w="1663" w:type="dxa"/>
            <w:vAlign w:val="center"/>
            <w:hideMark/>
          </w:tcPr>
          <w:p w:rsidR="00216DA8" w:rsidRPr="001B1A97" w:rsidRDefault="00216DA8" w:rsidP="00786D20">
            <w:pPr>
              <w:jc w:val="center"/>
              <w:rPr>
                <w:rFonts w:cstheme="minorHAnsi"/>
              </w:rPr>
            </w:pPr>
            <w:proofErr w:type="spellStart"/>
            <w:r w:rsidRPr="001B1A97">
              <w:rPr>
                <w:rFonts w:cstheme="minorHAnsi"/>
              </w:rPr>
              <w:t>Patuakhali</w:t>
            </w:r>
            <w:proofErr w:type="spellEnd"/>
            <w:r w:rsidRPr="001B1A97">
              <w:rPr>
                <w:rFonts w:cstheme="minorHAnsi"/>
              </w:rPr>
              <w:t xml:space="preserve"> </w:t>
            </w:r>
            <w:proofErr w:type="spellStart"/>
            <w:r w:rsidRPr="001B1A97">
              <w:rPr>
                <w:rFonts w:cstheme="minorHAnsi"/>
              </w:rPr>
              <w:t>Sadar</w:t>
            </w:r>
            <w:proofErr w:type="spellEnd"/>
          </w:p>
        </w:tc>
        <w:tc>
          <w:tcPr>
            <w:tcW w:w="1266" w:type="dxa"/>
            <w:vAlign w:val="center"/>
            <w:hideMark/>
          </w:tcPr>
          <w:p w:rsidR="00216DA8" w:rsidRPr="001B1A97" w:rsidRDefault="00216DA8" w:rsidP="00786D20">
            <w:pPr>
              <w:jc w:val="center"/>
              <w:rPr>
                <w:rFonts w:cstheme="minorHAnsi"/>
              </w:rPr>
            </w:pPr>
            <w:r w:rsidRPr="001B1A97">
              <w:rPr>
                <w:rFonts w:cstheme="minorHAnsi"/>
              </w:rPr>
              <w:t>68,813</w:t>
            </w:r>
          </w:p>
        </w:tc>
        <w:tc>
          <w:tcPr>
            <w:tcW w:w="1002" w:type="dxa"/>
            <w:noWrap/>
            <w:vAlign w:val="center"/>
            <w:hideMark/>
          </w:tcPr>
          <w:p w:rsidR="00216DA8" w:rsidRPr="001B1A97" w:rsidRDefault="00216DA8" w:rsidP="00786D20">
            <w:pPr>
              <w:jc w:val="center"/>
              <w:rPr>
                <w:rFonts w:cstheme="minorHAnsi"/>
              </w:rPr>
            </w:pPr>
            <w:r w:rsidRPr="001B1A97">
              <w:rPr>
                <w:rFonts w:cstheme="minorHAnsi"/>
              </w:rPr>
              <w:t>5.55</w:t>
            </w:r>
          </w:p>
        </w:tc>
        <w:tc>
          <w:tcPr>
            <w:tcW w:w="1258" w:type="dxa"/>
            <w:noWrap/>
            <w:vAlign w:val="center"/>
            <w:hideMark/>
          </w:tcPr>
          <w:p w:rsidR="00216DA8" w:rsidRPr="001B1A97" w:rsidRDefault="00216DA8" w:rsidP="00786D20">
            <w:pPr>
              <w:jc w:val="center"/>
              <w:rPr>
                <w:rFonts w:cstheme="minorHAnsi"/>
              </w:rPr>
            </w:pPr>
            <w:r w:rsidRPr="001B1A97">
              <w:rPr>
                <w:rFonts w:cstheme="minorHAnsi"/>
              </w:rPr>
              <w:t>9.29</w:t>
            </w:r>
          </w:p>
        </w:tc>
        <w:tc>
          <w:tcPr>
            <w:tcW w:w="1214" w:type="dxa"/>
            <w:noWrap/>
            <w:vAlign w:val="center"/>
            <w:hideMark/>
          </w:tcPr>
          <w:p w:rsidR="00216DA8" w:rsidRPr="001B1A97" w:rsidRDefault="00216DA8" w:rsidP="00786D20">
            <w:pPr>
              <w:jc w:val="center"/>
              <w:rPr>
                <w:rFonts w:cstheme="minorHAnsi"/>
              </w:rPr>
            </w:pPr>
            <w:r w:rsidRPr="001B1A97">
              <w:rPr>
                <w:rFonts w:cstheme="minorHAnsi"/>
              </w:rPr>
              <w:t>83.87</w:t>
            </w:r>
          </w:p>
        </w:tc>
        <w:tc>
          <w:tcPr>
            <w:tcW w:w="1188" w:type="dxa"/>
            <w:noWrap/>
            <w:vAlign w:val="center"/>
            <w:hideMark/>
          </w:tcPr>
          <w:p w:rsidR="00216DA8" w:rsidRPr="001B1A97" w:rsidRDefault="00216DA8" w:rsidP="00786D20">
            <w:pPr>
              <w:jc w:val="center"/>
              <w:rPr>
                <w:rFonts w:cstheme="minorHAnsi"/>
              </w:rPr>
            </w:pPr>
            <w:r w:rsidRPr="001B1A97">
              <w:rPr>
                <w:rFonts w:cstheme="minorHAnsi"/>
              </w:rPr>
              <w:t>1.29</w:t>
            </w:r>
          </w:p>
        </w:tc>
      </w:tr>
    </w:tbl>
    <w:p w:rsidR="00BE4079" w:rsidRPr="00216DA8" w:rsidRDefault="00BE4079" w:rsidP="00216DA8">
      <w:pPr>
        <w:rPr>
          <w:rFonts w:cstheme="minorHAnsi"/>
        </w:rPr>
      </w:pPr>
      <w:r w:rsidRPr="00216DA8">
        <w:rPr>
          <w:rFonts w:cstheme="minorHAnsi"/>
        </w:rPr>
        <w:t xml:space="preserve"> </w:t>
      </w:r>
    </w:p>
    <w:sectPr w:rsidR="00BE4079" w:rsidRPr="00216D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77" w:rsidRDefault="001D5577" w:rsidP="00F43237">
      <w:pPr>
        <w:spacing w:after="0" w:line="240" w:lineRule="auto"/>
      </w:pPr>
      <w:r>
        <w:separator/>
      </w:r>
    </w:p>
  </w:endnote>
  <w:endnote w:type="continuationSeparator" w:id="0">
    <w:p w:rsidR="001D5577" w:rsidRDefault="001D5577" w:rsidP="00F4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77" w:rsidRDefault="001D5577" w:rsidP="00F43237">
      <w:pPr>
        <w:spacing w:after="0" w:line="240" w:lineRule="auto"/>
      </w:pPr>
      <w:r>
        <w:separator/>
      </w:r>
    </w:p>
  </w:footnote>
  <w:footnote w:type="continuationSeparator" w:id="0">
    <w:p w:rsidR="001D5577" w:rsidRDefault="001D5577" w:rsidP="00F43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237" w:rsidRDefault="00F43237">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-400051</wp:posOffset>
              </wp:positionH>
              <wp:positionV relativeFrom="paragraph">
                <wp:posOffset>302895</wp:posOffset>
              </wp:positionV>
              <wp:extent cx="6562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23.85pt" to="485.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y+tgEAAMMDAAAOAAAAZHJzL2Uyb0RvYy54bWysU8GOEzEMvSPxD1HudKaVtqB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" strokecolor="#4579b8 [3044]"/>
          </w:pict>
        </mc:Fallback>
      </mc:AlternateContent>
    </w:r>
    <w:proofErr w:type="spellStart"/>
    <w:r>
      <w:t>Mahasen</w:t>
    </w:r>
    <w:proofErr w:type="spellEnd"/>
    <w:r>
      <w:t xml:space="preserve"> Shelter Cluster </w:t>
    </w:r>
    <w:r w:rsidR="00E63619">
      <w:tab/>
    </w:r>
    <w:r w:rsidR="00E63619">
      <w:tab/>
      <w:t>21 May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4FD"/>
    <w:multiLevelType w:val="hybridMultilevel"/>
    <w:tmpl w:val="D8EC7FF8"/>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3AA30C1"/>
    <w:multiLevelType w:val="hybridMultilevel"/>
    <w:tmpl w:val="2AE850B6"/>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E92DB7"/>
    <w:multiLevelType w:val="hybridMultilevel"/>
    <w:tmpl w:val="24A8874E"/>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08D76267"/>
    <w:multiLevelType w:val="hybridMultilevel"/>
    <w:tmpl w:val="A8B0D842"/>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FC2B42"/>
    <w:multiLevelType w:val="hybridMultilevel"/>
    <w:tmpl w:val="3B129972"/>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C60102"/>
    <w:multiLevelType w:val="hybridMultilevel"/>
    <w:tmpl w:val="793ECFBC"/>
    <w:lvl w:ilvl="0" w:tplc="51907534">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65119E"/>
    <w:multiLevelType w:val="hybridMultilevel"/>
    <w:tmpl w:val="1F02DCBC"/>
    <w:lvl w:ilvl="0" w:tplc="32AC75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9C128B"/>
    <w:multiLevelType w:val="hybridMultilevel"/>
    <w:tmpl w:val="20C2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D308F7"/>
    <w:multiLevelType w:val="hybridMultilevel"/>
    <w:tmpl w:val="5D5ABA9C"/>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3EEA5C1E"/>
    <w:multiLevelType w:val="hybridMultilevel"/>
    <w:tmpl w:val="63540050"/>
    <w:lvl w:ilvl="0" w:tplc="32AC75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9C7584"/>
    <w:multiLevelType w:val="hybridMultilevel"/>
    <w:tmpl w:val="51DE0A98"/>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4ECD4F84"/>
    <w:multiLevelType w:val="hybridMultilevel"/>
    <w:tmpl w:val="C3BE0A88"/>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EF7EDE"/>
    <w:multiLevelType w:val="hybridMultilevel"/>
    <w:tmpl w:val="B86A6502"/>
    <w:lvl w:ilvl="0" w:tplc="C6124FA0">
      <w:start w:val="54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1F45594"/>
    <w:multiLevelType w:val="hybridMultilevel"/>
    <w:tmpl w:val="A3F45B1A"/>
    <w:lvl w:ilvl="0" w:tplc="32AC75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8C40D3"/>
    <w:multiLevelType w:val="hybridMultilevel"/>
    <w:tmpl w:val="228CAE08"/>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59530F"/>
    <w:multiLevelType w:val="hybridMultilevel"/>
    <w:tmpl w:val="73B8EBF6"/>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3"/>
  </w:num>
  <w:num w:numId="5">
    <w:abstractNumId w:val="5"/>
  </w:num>
  <w:num w:numId="6">
    <w:abstractNumId w:val="12"/>
  </w:num>
  <w:num w:numId="7">
    <w:abstractNumId w:val="1"/>
  </w:num>
  <w:num w:numId="8">
    <w:abstractNumId w:val="4"/>
  </w:num>
  <w:num w:numId="9">
    <w:abstractNumId w:val="10"/>
  </w:num>
  <w:num w:numId="10">
    <w:abstractNumId w:val="11"/>
  </w:num>
  <w:num w:numId="11">
    <w:abstractNumId w:val="8"/>
  </w:num>
  <w:num w:numId="12">
    <w:abstractNumId w:val="2"/>
  </w:num>
  <w:num w:numId="13">
    <w:abstractNumId w:val="0"/>
  </w:num>
  <w:num w:numId="14">
    <w:abstractNumId w:val="1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97"/>
    <w:rsid w:val="0002413A"/>
    <w:rsid w:val="00062D81"/>
    <w:rsid w:val="001B1A97"/>
    <w:rsid w:val="001D5577"/>
    <w:rsid w:val="00216DA8"/>
    <w:rsid w:val="00336006"/>
    <w:rsid w:val="00586353"/>
    <w:rsid w:val="00BE4079"/>
    <w:rsid w:val="00C24216"/>
    <w:rsid w:val="00E63619"/>
    <w:rsid w:val="00EA5024"/>
    <w:rsid w:val="00EC1438"/>
    <w:rsid w:val="00F432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A9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1A97"/>
    <w:pPr>
      <w:ind w:left="720"/>
      <w:contextualSpacing/>
    </w:pPr>
  </w:style>
  <w:style w:type="paragraph" w:styleId="BalloonText">
    <w:name w:val="Balloon Text"/>
    <w:basedOn w:val="Normal"/>
    <w:link w:val="BalloonTextChar"/>
    <w:uiPriority w:val="99"/>
    <w:semiHidden/>
    <w:unhideWhenUsed/>
    <w:rsid w:val="001B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7"/>
    <w:rPr>
      <w:rFonts w:ascii="Tahoma" w:hAnsi="Tahoma" w:cs="Tahoma"/>
      <w:sz w:val="16"/>
      <w:szCs w:val="16"/>
    </w:rPr>
  </w:style>
  <w:style w:type="table" w:styleId="TableGrid">
    <w:name w:val="Table Grid"/>
    <w:basedOn w:val="TableNormal"/>
    <w:uiPriority w:val="59"/>
    <w:rsid w:val="001B1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1438"/>
    <w:pPr>
      <w:spacing w:after="0" w:line="240" w:lineRule="auto"/>
    </w:pPr>
  </w:style>
  <w:style w:type="paragraph" w:styleId="Header">
    <w:name w:val="header"/>
    <w:basedOn w:val="Normal"/>
    <w:link w:val="HeaderChar"/>
    <w:uiPriority w:val="99"/>
    <w:unhideWhenUsed/>
    <w:rsid w:val="00F4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37"/>
  </w:style>
  <w:style w:type="paragraph" w:styleId="Footer">
    <w:name w:val="footer"/>
    <w:basedOn w:val="Normal"/>
    <w:link w:val="FooterChar"/>
    <w:uiPriority w:val="99"/>
    <w:unhideWhenUsed/>
    <w:rsid w:val="00F4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A9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1A97"/>
    <w:pPr>
      <w:ind w:left="720"/>
      <w:contextualSpacing/>
    </w:pPr>
  </w:style>
  <w:style w:type="paragraph" w:styleId="BalloonText">
    <w:name w:val="Balloon Text"/>
    <w:basedOn w:val="Normal"/>
    <w:link w:val="BalloonTextChar"/>
    <w:uiPriority w:val="99"/>
    <w:semiHidden/>
    <w:unhideWhenUsed/>
    <w:rsid w:val="001B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7"/>
    <w:rPr>
      <w:rFonts w:ascii="Tahoma" w:hAnsi="Tahoma" w:cs="Tahoma"/>
      <w:sz w:val="16"/>
      <w:szCs w:val="16"/>
    </w:rPr>
  </w:style>
  <w:style w:type="table" w:styleId="TableGrid">
    <w:name w:val="Table Grid"/>
    <w:basedOn w:val="TableNormal"/>
    <w:uiPriority w:val="59"/>
    <w:rsid w:val="001B1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1438"/>
    <w:pPr>
      <w:spacing w:after="0" w:line="240" w:lineRule="auto"/>
    </w:pPr>
  </w:style>
  <w:style w:type="paragraph" w:styleId="Header">
    <w:name w:val="header"/>
    <w:basedOn w:val="Normal"/>
    <w:link w:val="HeaderChar"/>
    <w:uiPriority w:val="99"/>
    <w:unhideWhenUsed/>
    <w:rsid w:val="00F4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37"/>
  </w:style>
  <w:style w:type="paragraph" w:styleId="Footer">
    <w:name w:val="footer"/>
    <w:basedOn w:val="Normal"/>
    <w:link w:val="FooterChar"/>
    <w:uiPriority w:val="99"/>
    <w:unhideWhenUsed/>
    <w:rsid w:val="00F4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72897">
      <w:bodyDiv w:val="1"/>
      <w:marLeft w:val="0"/>
      <w:marRight w:val="0"/>
      <w:marTop w:val="0"/>
      <w:marBottom w:val="0"/>
      <w:divBdr>
        <w:top w:val="none" w:sz="0" w:space="0" w:color="auto"/>
        <w:left w:val="none" w:sz="0" w:space="0" w:color="auto"/>
        <w:bottom w:val="none" w:sz="0" w:space="0" w:color="auto"/>
        <w:right w:val="none" w:sz="0" w:space="0" w:color="auto"/>
      </w:divBdr>
    </w:div>
    <w:div w:id="11425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648329959C82FC44BBD1B8509082C8F9" ma:contentTypeVersion="77" ma:contentTypeDescription="" ma:contentTypeScope="" ma:versionID="ae71030db6493ca8c2caa1b656ce28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TermInfo xmlns="http://schemas.microsoft.com/office/infopath/2007/PartnerControls">
          <TermName xmlns="http://schemas.microsoft.com/office/infopath/2007/PartnerControls">Key Messages</TermName>
          <TermId xmlns="http://schemas.microsoft.com/office/infopath/2007/PartnerControls">b2e5c358-0f83-4312-8168-193572ff5b9b</TermId>
        </TermInfo>
      </Term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Info xmlns="http://schemas.microsoft.com/office/infopath/2007/PartnerControls">
          <TermName xmlns="http://schemas.microsoft.com/office/infopath/2007/PartnerControls">Communications</TermName>
          <TermId xmlns="http://schemas.microsoft.com/office/infopath/2007/PartnerControls">7bbc46f5-d439-4c37-8353-06b51cc9c72d</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class="ExternalClass369D6C7DBE0E4B6D8E0BFFB6FDE9D193"&gt;&lt;p&gt;​Some key messages on the background to shelter in the most affected districts&lt;/p&gt;&lt;/div&gt;</Document_x0020_Description>
    <Websio_x0020_Document_x0020_Preview xmlns="96664bca-06c0-4657-b6f9-0a997f5ff9b9">/Asia/Bangladesh/Cyclone Mahasen 2013/_layouts/WebsioPreviewField/preview.aspx?ID=320598dc-6d57-4724-b9a6-2810007987ba&amp;WebID=61509baa-6e7d-4ea5-a3dc-c3610e7894a3&amp;SiteID=0e29c24b-3e6a-4c7c-8cc1-69b27805b55c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241</Value>
      <Value>240</Value>
      <Value>115</Value>
      <Value>130</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true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cf41eb53-2714-4497-9f55-2b3a6c79205f</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2013-05-21T00:00:00+00:00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A2DA001E-249B-4470-BA97-BC62C4AA557E}"/>
</file>

<file path=customXml/itemProps2.xml><?xml version="1.0" encoding="utf-8"?>
<ds:datastoreItem xmlns:ds="http://schemas.openxmlformats.org/officeDocument/2006/customXml" ds:itemID="{23541EAC-8D72-48E4-8AB0-9B83BD63DAAE}"/>
</file>

<file path=customXml/itemProps3.xml><?xml version="1.0" encoding="utf-8"?>
<ds:datastoreItem xmlns:ds="http://schemas.openxmlformats.org/officeDocument/2006/customXml" ds:itemID="{92724F97-F746-41EF-A092-77AD886AF44E}"/>
</file>

<file path=docProps/app.xml><?xml version="1.0" encoding="utf-8"?>
<Properties xmlns="http://schemas.openxmlformats.org/officeDocument/2006/extended-properties" xmlns:vt="http://schemas.openxmlformats.org/officeDocument/2006/docPropsVTypes">
  <Template>Normal.dotm</Template>
  <TotalTime>123</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ELLIOTT</dc:creator>
  <cp:lastModifiedBy>Patrick ELLIOTT</cp:lastModifiedBy>
  <cp:revision>6</cp:revision>
  <dcterms:created xsi:type="dcterms:W3CDTF">2013-05-20T17:20:00Z</dcterms:created>
  <dcterms:modified xsi:type="dcterms:W3CDTF">2013-05-21T03:23:00Z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0x010100AA7AFC8FE433CD4B94E991D812AE17EB00648329959C82FC44BBD1B8509082C8F9</vt:lpwstr>
  </property>
  <property fmtid="{D5CDD505-2E9C-101B-9397-08002B2CF9AE}" pid="3" name="TaxKeyword">
    <vt:lpwstr/>
  </property>
  <property fmtid="{D5CDD505-2E9C-101B-9397-08002B2CF9AE}" pid="6" name="Miscellaneoud Terms">
    <vt:lpwstr/>
  </property>
  <property fmtid="{D5CDD505-2E9C-101B-9397-08002B2CF9AE}" pid="7" name="Document Language">
    <vt:lpwstr>115;#English|53eb1c9d-8416-419a-9260-1df8e70b86c2</vt:lpwstr>
  </property>
  <property fmtid="{D5CDD505-2E9C-101B-9397-08002B2CF9AE}" pid="8" name="Document Category">
    <vt:lpwstr>245;#Coordination|2b061053-00e5-46b2-8e36-3fafaef2d4e2;#240;#Communications|7bbc46f5-d439-4c37-8353-06b51cc9c72d</vt:lpwstr>
  </property>
  <property fmtid="{D5CDD505-2E9C-101B-9397-08002B2CF9AE}" pid="9" name="Shelter Programming1">
    <vt:lpwstr/>
  </property>
  <property fmtid="{D5CDD505-2E9C-101B-9397-08002B2CF9AE}" pid="10" name="Information Management">
    <vt:lpwstr/>
  </property>
  <property fmtid="{D5CDD505-2E9C-101B-9397-08002B2CF9AE}" pid="11" name="NFI Guidance1">
    <vt:lpwstr/>
  </property>
  <property fmtid="{D5CDD505-2E9C-101B-9397-08002B2CF9AE}" pid="12" name="Communications">
    <vt:lpwstr>241;#Key Messages|b2e5c358-0f83-4312-8168-193572ff5b9b</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130;#Advocacy|cf41eb53-2714-4497-9f55-2b3a6c79205f</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Event Type">
    <vt:lpwstr/>
  </property>
  <property fmtid="{D5CDD505-2E9C-101B-9397-08002B2CF9AE}" pid="25" name="Shelter Planning1">
    <vt:lpwstr/>
  </property>
</Properties>
</file>