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50" w:rsidRPr="00B50C50" w:rsidRDefault="00B50C50" w:rsidP="00B50C50">
      <w:pPr>
        <w:pStyle w:val="Heading1"/>
        <w:rPr>
          <w:lang w:eastAsia="en-US"/>
        </w:rPr>
      </w:pPr>
      <w:r w:rsidRPr="00B50C50">
        <w:rPr>
          <w:lang w:eastAsia="en-US"/>
        </w:rPr>
        <w:t>Accountability Working Group Meeting</w:t>
      </w:r>
      <w:r w:rsidR="00487921">
        <w:rPr>
          <w:lang w:eastAsia="en-US"/>
        </w:rPr>
        <w:t xml:space="preserve"> Notes</w:t>
      </w:r>
      <w:r w:rsidRPr="00B50C50">
        <w:rPr>
          <w:lang w:eastAsia="en-US"/>
        </w:rPr>
        <w:t xml:space="preserve"> </w:t>
      </w:r>
    </w:p>
    <w:p w:rsidR="00B50C50" w:rsidRDefault="00487921" w:rsidP="00B50C50">
      <w:pPr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>1</w:t>
      </w:r>
      <w:r w:rsidR="007536F6">
        <w:rPr>
          <w:rFonts w:ascii="Arial Narrow" w:hAnsi="Arial Narrow"/>
          <w:lang w:eastAsia="en-US"/>
        </w:rPr>
        <w:t>6</w:t>
      </w:r>
      <w:r>
        <w:rPr>
          <w:rFonts w:ascii="Arial Narrow" w:hAnsi="Arial Narrow"/>
          <w:lang w:eastAsia="en-US"/>
        </w:rPr>
        <w:t>.04.2015</w:t>
      </w:r>
    </w:p>
    <w:p w:rsidR="007536F6" w:rsidRPr="007536F6" w:rsidRDefault="007536F6" w:rsidP="007536F6">
      <w:pPr>
        <w:pStyle w:val="NoSpacing"/>
        <w:rPr>
          <w:lang w:eastAsia="en-US"/>
        </w:rPr>
      </w:pPr>
      <w:r w:rsidRPr="007536F6">
        <w:rPr>
          <w:b/>
          <w:lang w:eastAsia="en-US"/>
        </w:rPr>
        <w:t>In attendance:</w:t>
      </w:r>
      <w:r w:rsidR="007F326E">
        <w:rPr>
          <w:lang w:eastAsia="en-US"/>
        </w:rPr>
        <w:t xml:space="preserve"> Joseph </w:t>
      </w:r>
      <w:proofErr w:type="spellStart"/>
      <w:r w:rsidR="007F326E">
        <w:rPr>
          <w:lang w:eastAsia="en-US"/>
        </w:rPr>
        <w:t>Ashmore</w:t>
      </w:r>
      <w:proofErr w:type="spellEnd"/>
      <w:r w:rsidR="007F326E">
        <w:rPr>
          <w:lang w:eastAsia="en-US"/>
        </w:rPr>
        <w:t xml:space="preserve">, </w:t>
      </w:r>
      <w:r w:rsidRPr="007536F6">
        <w:rPr>
          <w:lang w:eastAsia="en-US"/>
        </w:rPr>
        <w:t xml:space="preserve">Megan Passey, Victoria Murtagh, </w:t>
      </w:r>
      <w:r w:rsidR="007F326E">
        <w:rPr>
          <w:lang w:eastAsia="en-US"/>
        </w:rPr>
        <w:t xml:space="preserve">Hilmi Mohammad, </w:t>
      </w:r>
      <w:r w:rsidRPr="007536F6">
        <w:rPr>
          <w:lang w:eastAsia="en-US"/>
        </w:rPr>
        <w:t>Miguel Urquia</w:t>
      </w:r>
      <w:r w:rsidRPr="007536F6">
        <w:rPr>
          <w:lang w:eastAsia="en-US"/>
        </w:rPr>
        <w:br/>
      </w:r>
      <w:r w:rsidRPr="007536F6">
        <w:rPr>
          <w:b/>
          <w:lang w:eastAsia="en-US"/>
        </w:rPr>
        <w:t>Apologies:</w:t>
      </w:r>
      <w:r w:rsidRPr="007536F6">
        <w:rPr>
          <w:lang w:eastAsia="en-US"/>
        </w:rPr>
        <w:t xml:space="preserve"> Neil Bauman, Pablo Medina, Tom Corsellis</w:t>
      </w:r>
    </w:p>
    <w:p w:rsidR="00B50C50" w:rsidRPr="00B50C50" w:rsidRDefault="007536F6" w:rsidP="00B50C50">
      <w:pPr>
        <w:pStyle w:val="Heading2"/>
        <w:rPr>
          <w:lang w:eastAsia="en-US"/>
        </w:rPr>
      </w:pPr>
      <w:proofErr w:type="spellStart"/>
      <w:r>
        <w:rPr>
          <w:lang w:eastAsia="en-US"/>
        </w:rPr>
        <w:t>Workplan</w:t>
      </w:r>
      <w:proofErr w:type="spellEnd"/>
      <w:r>
        <w:rPr>
          <w:lang w:eastAsia="en-US"/>
        </w:rPr>
        <w:t xml:space="preserve"> Review</w:t>
      </w:r>
    </w:p>
    <w:p w:rsidR="007536F6" w:rsidRPr="007F57DB" w:rsidRDefault="007536F6" w:rsidP="00552DE1">
      <w:pPr>
        <w:pStyle w:val="Number1"/>
      </w:pPr>
      <w:r w:rsidRPr="007F57DB">
        <w:t xml:space="preserve">Enhanced Monitoring </w:t>
      </w:r>
      <w:r w:rsidR="007F57DB" w:rsidRPr="007F57DB">
        <w:t>and E</w:t>
      </w:r>
      <w:r w:rsidRPr="007F57DB">
        <w:t>valuation of Overall Response</w:t>
      </w:r>
    </w:p>
    <w:p w:rsidR="007F57DB" w:rsidRDefault="007F57DB" w:rsidP="00552DE1">
      <w:pPr>
        <w:pStyle w:val="NoSpacing"/>
        <w:ind w:left="1418" w:hanging="1418"/>
      </w:pPr>
      <w:r w:rsidRPr="00552DE1">
        <w:rPr>
          <w:rStyle w:val="Sub-bulletChar"/>
        </w:rPr>
        <w:t xml:space="preserve">1.1, 1.2, 1.3 </w:t>
      </w:r>
      <w:r w:rsidR="00552DE1" w:rsidRPr="00552DE1">
        <w:rPr>
          <w:rStyle w:val="Sub-bulletChar"/>
        </w:rPr>
        <w:tab/>
      </w:r>
      <w:r w:rsidRPr="00552DE1">
        <w:rPr>
          <w:rStyle w:val="Sub-bulletChar"/>
        </w:rPr>
        <w:t>Consolidate exiting methods, tools and practices, including indicators, and hold workshop in</w:t>
      </w:r>
      <w:r>
        <w:t xml:space="preserve"> Geneva, May 2015 (tbc),</w:t>
      </w:r>
    </w:p>
    <w:p w:rsidR="007536F6" w:rsidRDefault="007F57DB" w:rsidP="00552DE1">
      <w:pPr>
        <w:pStyle w:val="NoSpacing"/>
      </w:pPr>
      <w:r w:rsidRPr="007F57DB">
        <w:rPr>
          <w:b/>
          <w:i/>
        </w:rPr>
        <w:t xml:space="preserve">Action: </w:t>
      </w:r>
      <w:r w:rsidR="00552DE1">
        <w:rPr>
          <w:b/>
          <w:i/>
        </w:rPr>
        <w:t xml:space="preserve"> </w:t>
      </w:r>
      <w:r w:rsidRPr="007F57DB">
        <w:rPr>
          <w:b/>
        </w:rPr>
        <w:t>M</w:t>
      </w:r>
      <w:r w:rsidR="007F326E">
        <w:rPr>
          <w:b/>
        </w:rPr>
        <w:t>egan and Neil</w:t>
      </w:r>
      <w:r>
        <w:t xml:space="preserve"> to discuss way forward bilaterally and communicate with rest of group</w:t>
      </w:r>
    </w:p>
    <w:p w:rsidR="007F57DB" w:rsidRDefault="007F57DB" w:rsidP="00552DE1">
      <w:pPr>
        <w:pStyle w:val="NoSpacing"/>
        <w:ind w:left="720"/>
      </w:pPr>
      <w:r w:rsidRPr="007F57DB">
        <w:rPr>
          <w:b/>
        </w:rPr>
        <w:t>Workshop organizers</w:t>
      </w:r>
      <w:r>
        <w:t xml:space="preserve"> should include online participation in some or all of this workshop to enable wider attendance. </w:t>
      </w:r>
    </w:p>
    <w:p w:rsidR="007F57DB" w:rsidRDefault="007F57DB" w:rsidP="00552DE1">
      <w:pPr>
        <w:pStyle w:val="Sub-bullet"/>
      </w:pPr>
      <w:r w:rsidRPr="00552DE1">
        <w:t>1.4</w:t>
      </w:r>
      <w:r>
        <w:rPr>
          <w:b/>
        </w:rPr>
        <w:t xml:space="preserve"> </w:t>
      </w:r>
      <w:r w:rsidR="00552DE1">
        <w:rPr>
          <w:b/>
        </w:rPr>
        <w:tab/>
      </w:r>
      <w:r>
        <w:t>Work on measuring the impacts of a cluster</w:t>
      </w:r>
    </w:p>
    <w:p w:rsidR="007F57DB" w:rsidRDefault="00552DE1" w:rsidP="00552DE1">
      <w:pPr>
        <w:pStyle w:val="NoSpacing"/>
      </w:pPr>
      <w:r>
        <w:rPr>
          <w:b/>
          <w:i/>
        </w:rPr>
        <w:t xml:space="preserve">Action: </w:t>
      </w:r>
      <w:r w:rsidR="007F57DB" w:rsidRPr="007F57DB">
        <w:rPr>
          <w:b/>
        </w:rPr>
        <w:t>J</w:t>
      </w:r>
      <w:r w:rsidR="007F326E">
        <w:rPr>
          <w:b/>
        </w:rPr>
        <w:t>oseph</w:t>
      </w:r>
      <w:r w:rsidR="007F57DB" w:rsidRPr="007F57DB">
        <w:t xml:space="preserve"> </w:t>
      </w:r>
      <w:r w:rsidR="007F57DB">
        <w:t xml:space="preserve">to share Jim Kennedy’s document. </w:t>
      </w:r>
      <w:r w:rsidR="007F57DB" w:rsidRPr="007F57DB">
        <w:rPr>
          <w:b/>
        </w:rPr>
        <w:t>All</w:t>
      </w:r>
      <w:r w:rsidR="007F57DB" w:rsidRPr="007F57DB">
        <w:t xml:space="preserve"> </w:t>
      </w:r>
      <w:r w:rsidR="007F57DB">
        <w:t>to circulate and other relevant material</w:t>
      </w:r>
    </w:p>
    <w:p w:rsidR="007F57DB" w:rsidRDefault="007F57DB" w:rsidP="00552DE1">
      <w:pPr>
        <w:pStyle w:val="NoSpacing"/>
        <w:ind w:firstLine="720"/>
        <w:rPr>
          <w:b/>
        </w:rPr>
      </w:pPr>
      <w:r w:rsidRPr="007F57DB">
        <w:rPr>
          <w:b/>
        </w:rPr>
        <w:t>All</w:t>
      </w:r>
      <w:r w:rsidRPr="007F57DB">
        <w:t xml:space="preserve"> </w:t>
      </w:r>
      <w:r>
        <w:t xml:space="preserve">to send comments or feedback to be centralized by </w:t>
      </w:r>
      <w:proofErr w:type="spellStart"/>
      <w:r w:rsidRPr="007F57DB">
        <w:rPr>
          <w:b/>
        </w:rPr>
        <w:t>Oyvind</w:t>
      </w:r>
      <w:proofErr w:type="spellEnd"/>
      <w:r w:rsidRPr="007F57DB">
        <w:rPr>
          <w:b/>
        </w:rPr>
        <w:t>/Hilmi</w:t>
      </w:r>
    </w:p>
    <w:p w:rsidR="00033A56" w:rsidRPr="00033A56" w:rsidRDefault="00033A56" w:rsidP="00033A56">
      <w:pPr>
        <w:pStyle w:val="Sub-bullet"/>
      </w:pPr>
      <w:r>
        <w:t>1.5</w:t>
      </w:r>
      <w:r>
        <w:tab/>
        <w:t xml:space="preserve">IM toolkit </w:t>
      </w:r>
      <w:r>
        <w:sym w:font="Wingdings" w:char="F0E0"/>
      </w:r>
      <w:r>
        <w:t xml:space="preserve"> </w:t>
      </w:r>
      <w:r w:rsidRPr="00033A56">
        <w:rPr>
          <w:i/>
        </w:rPr>
        <w:t xml:space="preserve">discussion moved to 1.1, 1.2, </w:t>
      </w:r>
      <w:proofErr w:type="gramStart"/>
      <w:r w:rsidRPr="00033A56">
        <w:rPr>
          <w:i/>
        </w:rPr>
        <w:t>1.3</w:t>
      </w:r>
      <w:proofErr w:type="gramEnd"/>
      <w:r>
        <w:t xml:space="preserve">    </w:t>
      </w:r>
    </w:p>
    <w:p w:rsidR="007F57DB" w:rsidRPr="00552DE1" w:rsidRDefault="007F57DB" w:rsidP="00552DE1">
      <w:pPr>
        <w:pStyle w:val="Number1"/>
      </w:pPr>
      <w:r w:rsidRPr="00552DE1">
        <w:t>Enhanced Monitoring and Evaluation of Coordination</w:t>
      </w:r>
    </w:p>
    <w:p w:rsidR="00552DE1" w:rsidRDefault="00552DE1" w:rsidP="00552DE1">
      <w:pPr>
        <w:pStyle w:val="Sub-bullet"/>
      </w:pPr>
      <w:r w:rsidRPr="00552DE1">
        <w:t>2.1</w:t>
      </w:r>
      <w:r>
        <w:tab/>
        <w:t xml:space="preserve">Complete strategy for Cluster Monitoring and Evaluation. </w:t>
      </w:r>
    </w:p>
    <w:p w:rsidR="00552DE1" w:rsidRDefault="00552DE1" w:rsidP="00033A56">
      <w:pPr>
        <w:pStyle w:val="NoSpacing"/>
        <w:ind w:left="720" w:hanging="720"/>
      </w:pPr>
      <w:r w:rsidRPr="00552DE1">
        <w:rPr>
          <w:b/>
          <w:i/>
        </w:rPr>
        <w:t>Action:</w:t>
      </w:r>
      <w:r>
        <w:t xml:space="preserve"> </w:t>
      </w:r>
      <w:r>
        <w:tab/>
      </w:r>
      <w:r w:rsidRPr="00552DE1">
        <w:rPr>
          <w:b/>
        </w:rPr>
        <w:t>All</w:t>
      </w:r>
      <w:r>
        <w:t xml:space="preserve"> to review final guidance document: “Evaluating the Shelter Cluster: Overview and Tools” and leave </w:t>
      </w:r>
      <w:r w:rsidR="00033A56">
        <w:t>c</w:t>
      </w:r>
      <w:r>
        <w:t xml:space="preserve">omments and edits (including suggested changes) directly in the word document. All feedback will be centralized by </w:t>
      </w:r>
      <w:r w:rsidRPr="00552DE1">
        <w:rPr>
          <w:b/>
        </w:rPr>
        <w:t>Miguel, deadline: 23 April.</w:t>
      </w:r>
      <w:r>
        <w:t xml:space="preserve"> </w:t>
      </w:r>
    </w:p>
    <w:p w:rsidR="00552DE1" w:rsidRDefault="00552DE1" w:rsidP="00552DE1">
      <w:pPr>
        <w:pStyle w:val="Sub-bullet"/>
      </w:pPr>
      <w:r w:rsidRPr="00552DE1">
        <w:t>2.2</w:t>
      </w:r>
      <w:r>
        <w:rPr>
          <w:b/>
        </w:rPr>
        <w:t xml:space="preserve"> </w:t>
      </w:r>
      <w:r w:rsidR="00033A56">
        <w:rPr>
          <w:b/>
        </w:rPr>
        <w:tab/>
      </w:r>
      <w:r w:rsidRPr="00552DE1">
        <w:t>Cluster Performance Monitoring</w:t>
      </w:r>
      <w:r w:rsidR="006D4FC9">
        <w:t>.</w:t>
      </w:r>
    </w:p>
    <w:p w:rsidR="006D4FC9" w:rsidRDefault="006D4FC9" w:rsidP="006D4FC9">
      <w:pPr>
        <w:pStyle w:val="NoSpacing"/>
      </w:pPr>
      <w:r>
        <w:t>Discussed that this should not really an AWG responsibility, but that it would be good to monitor where this has been used to date with a view to monitoring its usefulness in the future.</w:t>
      </w:r>
    </w:p>
    <w:p w:rsidR="00033A56" w:rsidRPr="00552DE1" w:rsidRDefault="00033A56" w:rsidP="006D4FC9">
      <w:pPr>
        <w:pStyle w:val="NoSpacing"/>
      </w:pPr>
      <w:r w:rsidRPr="006D4FC9">
        <w:rPr>
          <w:b/>
          <w:i/>
        </w:rPr>
        <w:t>Action:</w:t>
      </w:r>
      <w:r w:rsidRPr="006D4FC9">
        <w:rPr>
          <w:b/>
        </w:rPr>
        <w:t xml:space="preserve"> </w:t>
      </w:r>
      <w:r w:rsidR="006D4FC9" w:rsidRPr="006D4FC9">
        <w:rPr>
          <w:b/>
        </w:rPr>
        <w:tab/>
        <w:t>Miguel</w:t>
      </w:r>
      <w:r w:rsidR="006D4FC9">
        <w:t xml:space="preserve"> to main a public document to map which countries are using then tool and when.</w:t>
      </w:r>
    </w:p>
    <w:p w:rsidR="00552DE1" w:rsidRDefault="006D4FC9" w:rsidP="00552DE1">
      <w:pPr>
        <w:pStyle w:val="Number1"/>
      </w:pPr>
      <w:r>
        <w:t>Monitoring new online tools and developing technology</w:t>
      </w:r>
    </w:p>
    <w:p w:rsidR="00A91929" w:rsidRDefault="006D4FC9" w:rsidP="007F326E">
      <w:pPr>
        <w:pStyle w:val="Sub-bullet"/>
      </w:pPr>
      <w:r>
        <w:t>3.1</w:t>
      </w:r>
      <w:r>
        <w:tab/>
        <w:t xml:space="preserve">Monitor </w:t>
      </w:r>
      <w:proofErr w:type="spellStart"/>
      <w:r>
        <w:t>ActivityInfo</w:t>
      </w:r>
      <w:proofErr w:type="spellEnd"/>
      <w:r>
        <w:t xml:space="preserve"> and other tools and review suitability for the Shelter Cluster</w:t>
      </w:r>
      <w:r w:rsidR="007F326E">
        <w:t xml:space="preserve">. </w:t>
      </w:r>
    </w:p>
    <w:p w:rsidR="007F326E" w:rsidRDefault="007F326E" w:rsidP="007F326E">
      <w:pPr>
        <w:pStyle w:val="NoSpacing"/>
      </w:pPr>
      <w:r w:rsidRPr="007F326E">
        <w:rPr>
          <w:b/>
          <w:i/>
        </w:rPr>
        <w:t>Action:</w:t>
      </w:r>
      <w:r w:rsidRPr="007F326E">
        <w:rPr>
          <w:b/>
        </w:rPr>
        <w:t xml:space="preserve"> </w:t>
      </w:r>
      <w:r>
        <w:rPr>
          <w:b/>
        </w:rPr>
        <w:tab/>
      </w:r>
      <w:r w:rsidRPr="007F326E">
        <w:rPr>
          <w:b/>
        </w:rPr>
        <w:t>Global Cluster Support Team</w:t>
      </w:r>
      <w:r>
        <w:t xml:space="preserve"> to pilot Activity Info for reporting on receipt of ECHO grant</w:t>
      </w:r>
    </w:p>
    <w:p w:rsidR="007F326E" w:rsidRDefault="007F326E" w:rsidP="007F326E">
      <w:pPr>
        <w:pStyle w:val="NoSpacing"/>
      </w:pPr>
      <w:r>
        <w:rPr>
          <w:b/>
          <w:i/>
        </w:rPr>
        <w:tab/>
      </w:r>
      <w:r>
        <w:rPr>
          <w:b/>
        </w:rPr>
        <w:t xml:space="preserve">All </w:t>
      </w:r>
      <w:r w:rsidRPr="007F326E">
        <w:t xml:space="preserve">to continue sharing </w:t>
      </w:r>
      <w:r>
        <w:t>tools, articles and other items</w:t>
      </w:r>
      <w:r w:rsidRPr="007F326E">
        <w:t xml:space="preserve"> of interest</w:t>
      </w:r>
      <w:r>
        <w:t xml:space="preserve"> with AWG members</w:t>
      </w:r>
    </w:p>
    <w:p w:rsidR="007F326E" w:rsidRDefault="007F326E" w:rsidP="007F326E">
      <w:pPr>
        <w:pStyle w:val="Sub-bullet"/>
      </w:pPr>
      <w:r>
        <w:t>3.2</w:t>
      </w:r>
      <w:r>
        <w:tab/>
        <w:t xml:space="preserve">Review usability of Shelter Cluster Website. </w:t>
      </w:r>
    </w:p>
    <w:p w:rsidR="007F326E" w:rsidRDefault="007F326E" w:rsidP="007F326E">
      <w:pPr>
        <w:pStyle w:val="NoSpacing"/>
      </w:pPr>
      <w:r>
        <w:t xml:space="preserve">This is an ongoing activity that can be undertaken by cluster partners as needed. </w:t>
      </w:r>
    </w:p>
    <w:p w:rsidR="007F326E" w:rsidRDefault="007F326E" w:rsidP="007F326E">
      <w:pPr>
        <w:pStyle w:val="Number1"/>
      </w:pPr>
      <w:r>
        <w:t>Enhanced understanding among cluster teams of Accountability to Affected Populations</w:t>
      </w:r>
    </w:p>
    <w:p w:rsidR="007F326E" w:rsidRDefault="007F326E" w:rsidP="007F326E">
      <w:pPr>
        <w:pStyle w:val="Sub-bullet"/>
      </w:pPr>
      <w:r>
        <w:t xml:space="preserve">4.1 &amp; 4.2 </w:t>
      </w:r>
      <w:r>
        <w:tab/>
        <w:t>Promotion of existing documentation and good practice, and development of practical examples of AAP.</w:t>
      </w:r>
    </w:p>
    <w:p w:rsidR="007F326E" w:rsidRDefault="007F326E" w:rsidP="00AE55D3">
      <w:pPr>
        <w:pStyle w:val="NoSpacing"/>
      </w:pPr>
      <w:r>
        <w:t xml:space="preserve">Decided that </w:t>
      </w:r>
      <w:r w:rsidR="00AE55D3">
        <w:t xml:space="preserve">the </w:t>
      </w:r>
      <w:r>
        <w:t>development of</w:t>
      </w:r>
      <w:r w:rsidR="00AE55D3">
        <w:t xml:space="preserve"> (illustrated)</w:t>
      </w:r>
      <w:r>
        <w:t xml:space="preserve"> practical examples</w:t>
      </w:r>
      <w:r w:rsidR="00AE55D3">
        <w:t xml:space="preserve"> of AAP</w:t>
      </w:r>
      <w:r>
        <w:t xml:space="preserve"> will remain on hold for the time being.</w:t>
      </w:r>
    </w:p>
    <w:p w:rsidR="007F326E" w:rsidRDefault="007F326E" w:rsidP="007F326E">
      <w:pPr>
        <w:pStyle w:val="NoSpacing"/>
      </w:pPr>
      <w:r w:rsidRPr="007F326E">
        <w:rPr>
          <w:b/>
          <w:i/>
        </w:rPr>
        <w:t xml:space="preserve">Action: </w:t>
      </w:r>
      <w:r>
        <w:rPr>
          <w:b/>
          <w:i/>
        </w:rPr>
        <w:t xml:space="preserve"> </w:t>
      </w:r>
      <w:r w:rsidRPr="007F326E">
        <w:rPr>
          <w:b/>
        </w:rPr>
        <w:t>All</w:t>
      </w:r>
      <w:r>
        <w:rPr>
          <w:b/>
        </w:rPr>
        <w:t xml:space="preserve"> </w:t>
      </w:r>
      <w:r>
        <w:t xml:space="preserve">to continue to share tools, resources and events related to </w:t>
      </w:r>
      <w:r w:rsidR="00AE55D3">
        <w:t>accountability in Shelter.</w:t>
      </w:r>
      <w:bookmarkStart w:id="0" w:name="_GoBack"/>
      <w:bookmarkEnd w:id="0"/>
      <w:r>
        <w:t xml:space="preserve"> </w:t>
      </w:r>
    </w:p>
    <w:p w:rsidR="007F326E" w:rsidRDefault="007F326E" w:rsidP="007F326E">
      <w:pPr>
        <w:pStyle w:val="NoSpacing"/>
      </w:pPr>
      <w:r>
        <w:tab/>
      </w:r>
      <w:r w:rsidRPr="007F326E">
        <w:rPr>
          <w:b/>
        </w:rPr>
        <w:t>Joseph</w:t>
      </w:r>
      <w:r>
        <w:t xml:space="preserve"> to circulate the working group one pager and ECB materials.</w:t>
      </w:r>
    </w:p>
    <w:p w:rsidR="007F326E" w:rsidRPr="007F326E" w:rsidRDefault="007F326E" w:rsidP="007F326E">
      <w:pPr>
        <w:pStyle w:val="NoSpacing"/>
        <w:rPr>
          <w:i/>
        </w:rPr>
      </w:pPr>
    </w:p>
    <w:sectPr w:rsidR="007F326E" w:rsidRPr="007F326E" w:rsidSect="00D940D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AD" w:rsidRDefault="001A1AAD" w:rsidP="00584F10">
      <w:pPr>
        <w:spacing w:after="0" w:line="240" w:lineRule="auto"/>
      </w:pPr>
      <w:r>
        <w:separator/>
      </w:r>
    </w:p>
  </w:endnote>
  <w:endnote w:type="continuationSeparator" w:id="0">
    <w:p w:rsidR="001A1AAD" w:rsidRDefault="001A1AAD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50" w:rsidRPr="00B2499F" w:rsidRDefault="00B50C50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3AC1B9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Pr="00D65E04">
      <w:t xml:space="preserve"> </w:t>
    </w:r>
    <w:r w:rsidRPr="00D65E04">
      <w:rPr>
        <w:noProof/>
        <w:color w:val="7F1416"/>
        <w:sz w:val="18"/>
        <w:szCs w:val="18"/>
      </w:rPr>
      <w:t>Shelter Cluster Accountability Working Group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AE55D3">
      <w:rPr>
        <w:noProof/>
        <w:color w:val="7F1416"/>
        <w:sz w:val="18"/>
        <w:szCs w:val="18"/>
      </w:rPr>
      <w:t>1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AD" w:rsidRDefault="001A1AAD" w:rsidP="00584F10">
      <w:pPr>
        <w:spacing w:after="0" w:line="240" w:lineRule="auto"/>
      </w:pPr>
      <w:r>
        <w:separator/>
      </w:r>
    </w:p>
  </w:footnote>
  <w:footnote w:type="continuationSeparator" w:id="0">
    <w:p w:rsidR="001A1AAD" w:rsidRDefault="001A1AAD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50" w:rsidRPr="00717F55" w:rsidRDefault="001A1AAD" w:rsidP="00CE5166">
    <w:pPr>
      <w:pStyle w:val="Header"/>
      <w:ind w:firstLine="567"/>
      <w:rPr>
        <w:rFonts w:ascii="Verdana" w:hAnsi="Verdana"/>
        <w:sz w:val="20"/>
        <w:szCs w:val="20"/>
      </w:rPr>
    </w:pPr>
    <w:sdt>
      <w:sdtPr>
        <w:rPr>
          <w:rFonts w:ascii="Verdana" w:hAnsi="Verdana"/>
          <w:b/>
          <w:color w:val="7F1416"/>
          <w:sz w:val="20"/>
          <w:szCs w:val="20"/>
        </w:rPr>
        <w:id w:val="-443619835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noProof/>
            <w:color w:val="7F1416"/>
            <w:sz w:val="20"/>
            <w:szCs w:val="20"/>
            <w:lang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50C50" w:rsidRPr="00717F55">
      <w:rPr>
        <w:rFonts w:ascii="Verdana" w:hAnsi="Verdana"/>
        <w:b/>
        <w:noProof/>
        <w:color w:val="7F1416"/>
        <w:sz w:val="20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0C50" w:rsidRPr="00717F55">
      <w:rPr>
        <w:rFonts w:ascii="Verdana" w:hAnsi="Verdana"/>
        <w:b/>
        <w:color w:val="7F1416"/>
        <w:sz w:val="20"/>
        <w:szCs w:val="20"/>
      </w:rPr>
      <w:t>Global Shelter Cluster</w:t>
    </w:r>
  </w:p>
  <w:p w:rsidR="00B50C50" w:rsidRPr="00717F55" w:rsidRDefault="00B50C50" w:rsidP="00CE5166">
    <w:pPr>
      <w:pStyle w:val="Header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B50C50" w:rsidRDefault="00B50C50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B50C50" w:rsidRPr="005C324F" w:rsidRDefault="00B50C50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91DFB"/>
    <w:multiLevelType w:val="hybridMultilevel"/>
    <w:tmpl w:val="03CC0D2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5722EEA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4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7">
    <w:nsid w:val="3B0A3938"/>
    <w:multiLevelType w:val="multilevel"/>
    <w:tmpl w:val="9C6417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8">
    <w:nsid w:val="417F79B7"/>
    <w:multiLevelType w:val="hybridMultilevel"/>
    <w:tmpl w:val="9926DCD4"/>
    <w:lvl w:ilvl="0" w:tplc="31AE6618">
      <w:start w:val="1"/>
      <w:numFmt w:val="decimal"/>
      <w:pStyle w:val="Number1"/>
      <w:lvlText w:val="%1."/>
      <w:lvlJc w:val="left"/>
      <w:pPr>
        <w:ind w:left="760" w:hanging="400"/>
      </w:pPr>
      <w:rPr>
        <w:rFonts w:hint="default"/>
      </w:rPr>
    </w:lvl>
    <w:lvl w:ilvl="1" w:tplc="1CC05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C4026"/>
    <w:multiLevelType w:val="multilevel"/>
    <w:tmpl w:val="87A67F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24BFA"/>
    <w:multiLevelType w:val="hybridMultilevel"/>
    <w:tmpl w:val="D3448EE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"/>
  </w:num>
  <w:num w:numId="5">
    <w:abstractNumId w:val="27"/>
  </w:num>
  <w:num w:numId="6">
    <w:abstractNumId w:val="10"/>
  </w:num>
  <w:num w:numId="7">
    <w:abstractNumId w:val="21"/>
  </w:num>
  <w:num w:numId="8">
    <w:abstractNumId w:val="16"/>
  </w:num>
  <w:num w:numId="9">
    <w:abstractNumId w:val="8"/>
  </w:num>
  <w:num w:numId="10">
    <w:abstractNumId w:val="22"/>
  </w:num>
  <w:num w:numId="11">
    <w:abstractNumId w:val="25"/>
  </w:num>
  <w:num w:numId="12">
    <w:abstractNumId w:val="4"/>
  </w:num>
  <w:num w:numId="13">
    <w:abstractNumId w:val="14"/>
  </w:num>
  <w:num w:numId="14">
    <w:abstractNumId w:val="19"/>
  </w:num>
  <w:num w:numId="15">
    <w:abstractNumId w:val="26"/>
  </w:num>
  <w:num w:numId="16">
    <w:abstractNumId w:val="24"/>
  </w:num>
  <w:num w:numId="17">
    <w:abstractNumId w:val="15"/>
  </w:num>
  <w:num w:numId="18">
    <w:abstractNumId w:val="3"/>
  </w:num>
  <w:num w:numId="19">
    <w:abstractNumId w:val="0"/>
  </w:num>
  <w:num w:numId="20">
    <w:abstractNumId w:val="12"/>
  </w:num>
  <w:num w:numId="21">
    <w:abstractNumId w:val="23"/>
  </w:num>
  <w:num w:numId="22">
    <w:abstractNumId w:val="9"/>
  </w:num>
  <w:num w:numId="23">
    <w:abstractNumId w:val="1"/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5D"/>
    <w:rsid w:val="00013D97"/>
    <w:rsid w:val="00030530"/>
    <w:rsid w:val="00032909"/>
    <w:rsid w:val="00033A56"/>
    <w:rsid w:val="00062558"/>
    <w:rsid w:val="00071D43"/>
    <w:rsid w:val="000874E5"/>
    <w:rsid w:val="00090A37"/>
    <w:rsid w:val="00091764"/>
    <w:rsid w:val="00093A9B"/>
    <w:rsid w:val="000B4FB0"/>
    <w:rsid w:val="000C5665"/>
    <w:rsid w:val="000D5F34"/>
    <w:rsid w:val="000F170F"/>
    <w:rsid w:val="001011E9"/>
    <w:rsid w:val="00110270"/>
    <w:rsid w:val="00116D41"/>
    <w:rsid w:val="001171B8"/>
    <w:rsid w:val="001244BB"/>
    <w:rsid w:val="001312DF"/>
    <w:rsid w:val="00161C31"/>
    <w:rsid w:val="00163E2F"/>
    <w:rsid w:val="001767A4"/>
    <w:rsid w:val="00192EED"/>
    <w:rsid w:val="001A1078"/>
    <w:rsid w:val="001A1AAD"/>
    <w:rsid w:val="001A52BA"/>
    <w:rsid w:val="001E4389"/>
    <w:rsid w:val="001F18F1"/>
    <w:rsid w:val="001F4F79"/>
    <w:rsid w:val="00203D40"/>
    <w:rsid w:val="00205387"/>
    <w:rsid w:val="00214730"/>
    <w:rsid w:val="002154CA"/>
    <w:rsid w:val="00217E6B"/>
    <w:rsid w:val="00223F7D"/>
    <w:rsid w:val="0024055B"/>
    <w:rsid w:val="00241F07"/>
    <w:rsid w:val="0026576D"/>
    <w:rsid w:val="00266433"/>
    <w:rsid w:val="00276798"/>
    <w:rsid w:val="002856C7"/>
    <w:rsid w:val="00291988"/>
    <w:rsid w:val="002A04AE"/>
    <w:rsid w:val="002B0591"/>
    <w:rsid w:val="002B680E"/>
    <w:rsid w:val="002C2EE4"/>
    <w:rsid w:val="002C30A4"/>
    <w:rsid w:val="002E1D60"/>
    <w:rsid w:val="002E28D1"/>
    <w:rsid w:val="002E64B5"/>
    <w:rsid w:val="002E6B43"/>
    <w:rsid w:val="002F0383"/>
    <w:rsid w:val="002F3F2F"/>
    <w:rsid w:val="002F7B37"/>
    <w:rsid w:val="00307310"/>
    <w:rsid w:val="00315C0F"/>
    <w:rsid w:val="00320A52"/>
    <w:rsid w:val="003232A2"/>
    <w:rsid w:val="003738B6"/>
    <w:rsid w:val="00391887"/>
    <w:rsid w:val="0039539C"/>
    <w:rsid w:val="003A4B8D"/>
    <w:rsid w:val="003C0D47"/>
    <w:rsid w:val="003C38D1"/>
    <w:rsid w:val="003C582E"/>
    <w:rsid w:val="003D3B37"/>
    <w:rsid w:val="003E70F6"/>
    <w:rsid w:val="003E71BC"/>
    <w:rsid w:val="003F4219"/>
    <w:rsid w:val="00400A3D"/>
    <w:rsid w:val="004424C8"/>
    <w:rsid w:val="00446AC9"/>
    <w:rsid w:val="00454DFD"/>
    <w:rsid w:val="00477BB3"/>
    <w:rsid w:val="00483E5C"/>
    <w:rsid w:val="00485BF9"/>
    <w:rsid w:val="00485CDA"/>
    <w:rsid w:val="00487921"/>
    <w:rsid w:val="00487FB6"/>
    <w:rsid w:val="004C7173"/>
    <w:rsid w:val="004E622D"/>
    <w:rsid w:val="004F53AA"/>
    <w:rsid w:val="0050377B"/>
    <w:rsid w:val="00510903"/>
    <w:rsid w:val="0051752C"/>
    <w:rsid w:val="00520117"/>
    <w:rsid w:val="00523A33"/>
    <w:rsid w:val="005260B4"/>
    <w:rsid w:val="0053049C"/>
    <w:rsid w:val="0053395D"/>
    <w:rsid w:val="005350F5"/>
    <w:rsid w:val="00552DE1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4602"/>
    <w:rsid w:val="006230BF"/>
    <w:rsid w:val="00640275"/>
    <w:rsid w:val="00643791"/>
    <w:rsid w:val="00661014"/>
    <w:rsid w:val="00677930"/>
    <w:rsid w:val="00690722"/>
    <w:rsid w:val="00694025"/>
    <w:rsid w:val="00696D39"/>
    <w:rsid w:val="006B4882"/>
    <w:rsid w:val="006B6B15"/>
    <w:rsid w:val="006C5FAB"/>
    <w:rsid w:val="006D4FC9"/>
    <w:rsid w:val="006D744A"/>
    <w:rsid w:val="006F67D6"/>
    <w:rsid w:val="006F6CBD"/>
    <w:rsid w:val="00716660"/>
    <w:rsid w:val="00717F55"/>
    <w:rsid w:val="0072278F"/>
    <w:rsid w:val="007312A2"/>
    <w:rsid w:val="00733F2A"/>
    <w:rsid w:val="007536F6"/>
    <w:rsid w:val="00761A2C"/>
    <w:rsid w:val="00762F19"/>
    <w:rsid w:val="00765564"/>
    <w:rsid w:val="00773FD9"/>
    <w:rsid w:val="00780BF8"/>
    <w:rsid w:val="00780EFE"/>
    <w:rsid w:val="007864FF"/>
    <w:rsid w:val="00790CB0"/>
    <w:rsid w:val="007C2B2D"/>
    <w:rsid w:val="007D27E6"/>
    <w:rsid w:val="007D3389"/>
    <w:rsid w:val="007F326E"/>
    <w:rsid w:val="007F57DB"/>
    <w:rsid w:val="00806D4E"/>
    <w:rsid w:val="00813A44"/>
    <w:rsid w:val="00821E17"/>
    <w:rsid w:val="00821E60"/>
    <w:rsid w:val="00825528"/>
    <w:rsid w:val="00832406"/>
    <w:rsid w:val="00832E7E"/>
    <w:rsid w:val="0084110A"/>
    <w:rsid w:val="0084754C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C06F0"/>
    <w:rsid w:val="008C3D2D"/>
    <w:rsid w:val="008C6C92"/>
    <w:rsid w:val="008C7872"/>
    <w:rsid w:val="008D3D2E"/>
    <w:rsid w:val="008E3F4F"/>
    <w:rsid w:val="008F2572"/>
    <w:rsid w:val="008F6AC7"/>
    <w:rsid w:val="00913C21"/>
    <w:rsid w:val="00930F85"/>
    <w:rsid w:val="00945A73"/>
    <w:rsid w:val="009505F9"/>
    <w:rsid w:val="0095081B"/>
    <w:rsid w:val="00951CA1"/>
    <w:rsid w:val="0096584E"/>
    <w:rsid w:val="00987E70"/>
    <w:rsid w:val="009A4FE4"/>
    <w:rsid w:val="009B6AAE"/>
    <w:rsid w:val="009C0760"/>
    <w:rsid w:val="009E7ABF"/>
    <w:rsid w:val="00A00FCF"/>
    <w:rsid w:val="00A021E3"/>
    <w:rsid w:val="00A16B69"/>
    <w:rsid w:val="00A22B22"/>
    <w:rsid w:val="00A23C02"/>
    <w:rsid w:val="00A25E4B"/>
    <w:rsid w:val="00A60668"/>
    <w:rsid w:val="00A60B2D"/>
    <w:rsid w:val="00A616DE"/>
    <w:rsid w:val="00A82C22"/>
    <w:rsid w:val="00A91929"/>
    <w:rsid w:val="00A92B90"/>
    <w:rsid w:val="00A977A9"/>
    <w:rsid w:val="00AA4074"/>
    <w:rsid w:val="00AB2AF8"/>
    <w:rsid w:val="00AB47E0"/>
    <w:rsid w:val="00AB7F13"/>
    <w:rsid w:val="00AE23F4"/>
    <w:rsid w:val="00AE55D3"/>
    <w:rsid w:val="00B166BD"/>
    <w:rsid w:val="00B2499F"/>
    <w:rsid w:val="00B32032"/>
    <w:rsid w:val="00B425DC"/>
    <w:rsid w:val="00B47014"/>
    <w:rsid w:val="00B50C50"/>
    <w:rsid w:val="00B55CBA"/>
    <w:rsid w:val="00B626B8"/>
    <w:rsid w:val="00B72373"/>
    <w:rsid w:val="00B737F0"/>
    <w:rsid w:val="00BA2F40"/>
    <w:rsid w:val="00BA57D3"/>
    <w:rsid w:val="00BA6BB6"/>
    <w:rsid w:val="00BB0AFF"/>
    <w:rsid w:val="00BB4A12"/>
    <w:rsid w:val="00BC0A81"/>
    <w:rsid w:val="00BC50CC"/>
    <w:rsid w:val="00BD6830"/>
    <w:rsid w:val="00BD6B11"/>
    <w:rsid w:val="00BE685E"/>
    <w:rsid w:val="00BE7BE0"/>
    <w:rsid w:val="00C05A3D"/>
    <w:rsid w:val="00C23D0C"/>
    <w:rsid w:val="00C355E2"/>
    <w:rsid w:val="00C75497"/>
    <w:rsid w:val="00C81294"/>
    <w:rsid w:val="00C91470"/>
    <w:rsid w:val="00C92CF3"/>
    <w:rsid w:val="00CB38E2"/>
    <w:rsid w:val="00CC360A"/>
    <w:rsid w:val="00CD3CC5"/>
    <w:rsid w:val="00CE5166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650D3"/>
    <w:rsid w:val="00D65E04"/>
    <w:rsid w:val="00D7148C"/>
    <w:rsid w:val="00D73ADD"/>
    <w:rsid w:val="00D81853"/>
    <w:rsid w:val="00D92430"/>
    <w:rsid w:val="00D940D0"/>
    <w:rsid w:val="00DA1CBE"/>
    <w:rsid w:val="00DB350B"/>
    <w:rsid w:val="00DB3DBA"/>
    <w:rsid w:val="00DC07F5"/>
    <w:rsid w:val="00DD187F"/>
    <w:rsid w:val="00DD1A95"/>
    <w:rsid w:val="00DE357F"/>
    <w:rsid w:val="00DE7D2D"/>
    <w:rsid w:val="00DF2192"/>
    <w:rsid w:val="00DF4E95"/>
    <w:rsid w:val="00E17338"/>
    <w:rsid w:val="00E17A2A"/>
    <w:rsid w:val="00E20F5B"/>
    <w:rsid w:val="00E36C33"/>
    <w:rsid w:val="00E52D20"/>
    <w:rsid w:val="00E52F1D"/>
    <w:rsid w:val="00E55792"/>
    <w:rsid w:val="00E567A1"/>
    <w:rsid w:val="00E7333B"/>
    <w:rsid w:val="00E86518"/>
    <w:rsid w:val="00E87C3D"/>
    <w:rsid w:val="00E936BB"/>
    <w:rsid w:val="00E95676"/>
    <w:rsid w:val="00ED0E37"/>
    <w:rsid w:val="00ED3EEC"/>
    <w:rsid w:val="00EE3557"/>
    <w:rsid w:val="00EF2574"/>
    <w:rsid w:val="00F14FEC"/>
    <w:rsid w:val="00F5045A"/>
    <w:rsid w:val="00F65731"/>
    <w:rsid w:val="00F95A0C"/>
    <w:rsid w:val="00FA189D"/>
    <w:rsid w:val="00FA2C99"/>
    <w:rsid w:val="00FA6D2A"/>
    <w:rsid w:val="00FA70D1"/>
    <w:rsid w:val="00FC2932"/>
    <w:rsid w:val="00FC5E3E"/>
    <w:rsid w:val="00FC79F3"/>
    <w:rsid w:val="00FD6274"/>
    <w:rsid w:val="00FE0A0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BAE4D0C-D611-497E-A288-B4CBE0A7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aliases w:val="No spacing"/>
    <w:link w:val="NoSpacingChar"/>
    <w:uiPriority w:val="1"/>
    <w:qFormat/>
    <w:rsid w:val="007536F6"/>
    <w:pPr>
      <w:spacing w:after="0" w:line="240" w:lineRule="auto"/>
    </w:pPr>
    <w:rPr>
      <w:rFonts w:ascii="Arial Narrow" w:hAnsi="Arial Narrow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umber1">
    <w:name w:val="Number 1"/>
    <w:basedOn w:val="NoSpacing"/>
    <w:link w:val="Number1Char"/>
    <w:qFormat/>
    <w:rsid w:val="00552DE1"/>
    <w:pPr>
      <w:numPr>
        <w:numId w:val="27"/>
      </w:numPr>
      <w:spacing w:before="160" w:after="40"/>
      <w:ind w:left="284" w:hanging="284"/>
    </w:pPr>
    <w:rPr>
      <w:b/>
      <w:sz w:val="24"/>
    </w:rPr>
  </w:style>
  <w:style w:type="paragraph" w:customStyle="1" w:styleId="Sub-bullet">
    <w:name w:val="Sub-bullet"/>
    <w:basedOn w:val="NoSpacing"/>
    <w:link w:val="Sub-bulletChar"/>
    <w:qFormat/>
    <w:rsid w:val="00033A56"/>
    <w:pPr>
      <w:spacing w:before="80" w:after="20"/>
      <w:ind w:left="1418" w:hanging="1418"/>
    </w:pPr>
  </w:style>
  <w:style w:type="character" w:customStyle="1" w:styleId="NoSpacingChar">
    <w:name w:val="No Spacing Char"/>
    <w:aliases w:val="No spacing Char"/>
    <w:basedOn w:val="DefaultParagraphFont"/>
    <w:link w:val="NoSpacing"/>
    <w:uiPriority w:val="1"/>
    <w:rsid w:val="00552DE1"/>
    <w:rPr>
      <w:rFonts w:ascii="Arial Narrow" w:hAnsi="Arial Narrow"/>
    </w:rPr>
  </w:style>
  <w:style w:type="character" w:customStyle="1" w:styleId="Number1Char">
    <w:name w:val="Number 1 Char"/>
    <w:basedOn w:val="NoSpacingChar"/>
    <w:link w:val="Number1"/>
    <w:rsid w:val="00552DE1"/>
    <w:rPr>
      <w:rFonts w:ascii="Arial Narrow" w:hAnsi="Arial Narrow"/>
      <w:b/>
      <w:sz w:val="24"/>
    </w:rPr>
  </w:style>
  <w:style w:type="character" w:customStyle="1" w:styleId="Sub-bulletChar">
    <w:name w:val="Sub-bullet Char"/>
    <w:basedOn w:val="NoSpacingChar"/>
    <w:link w:val="Sub-bullet"/>
    <w:rsid w:val="00033A56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D3D78-6EFB-430B-B90C-F2AE01014930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4.xml><?xml version="1.0" encoding="utf-8"?>
<ds:datastoreItem xmlns:ds="http://schemas.openxmlformats.org/officeDocument/2006/customXml" ds:itemID="{E4ECF16C-BD54-410B-B922-8B952D6E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160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2. Shelter Cluster Word Template (2007 and later)</vt:lpstr>
      <vt:lpstr>2. Shelter Cluster Word Template (2007 and later)</vt:lpstr>
    </vt:vector>
  </TitlesOfParts>
  <Company>Global Shelter Cluster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Impact</cp:lastModifiedBy>
  <cp:revision>4</cp:revision>
  <cp:lastPrinted>2014-09-24T12:59:00Z</cp:lastPrinted>
  <dcterms:created xsi:type="dcterms:W3CDTF">2015-04-20T10:30:00Z</dcterms:created>
  <dcterms:modified xsi:type="dcterms:W3CDTF">2015-04-20T13:21:00Z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