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EA5" w:rsidRDefault="00716EA5" w:rsidP="00716EA5">
      <w:pPr>
        <w:pStyle w:val="GeneralHeading1"/>
        <w:jc w:val="center"/>
        <w:rPr>
          <w:sz w:val="24"/>
        </w:rPr>
      </w:pPr>
      <w:bookmarkStart w:id="0" w:name="DocumentBody"/>
      <w:bookmarkEnd w:id="0"/>
      <w:r>
        <w:rPr>
          <w:sz w:val="24"/>
        </w:rPr>
        <w:t xml:space="preserve">Housing, Land and Property Mapping Project </w:t>
      </w:r>
    </w:p>
    <w:p w:rsidR="00716EA5" w:rsidRDefault="00716EA5" w:rsidP="00716EA5">
      <w:pPr>
        <w:pStyle w:val="GeneralHeading1"/>
        <w:jc w:val="center"/>
        <w:rPr>
          <w:sz w:val="24"/>
        </w:rPr>
      </w:pPr>
      <w:r>
        <w:rPr>
          <w:sz w:val="24"/>
        </w:rPr>
        <w:t>Bangladesh</w:t>
      </w:r>
    </w:p>
    <w:p w:rsidR="00716EA5" w:rsidRDefault="00716EA5" w:rsidP="00716EA5"/>
    <w:p w:rsidR="00716EA5" w:rsidRPr="009251A4" w:rsidRDefault="00716EA5" w:rsidP="00716EA5">
      <w:pPr>
        <w:rPr>
          <w:b/>
          <w:sz w:val="22"/>
          <w:szCs w:val="22"/>
        </w:rPr>
      </w:pPr>
      <w:r w:rsidRPr="009251A4">
        <w:rPr>
          <w:b/>
          <w:sz w:val="22"/>
          <w:szCs w:val="22"/>
        </w:rPr>
        <w:t>Background</w:t>
      </w:r>
    </w:p>
    <w:p w:rsidR="00716EA5" w:rsidRDefault="00716EA5" w:rsidP="00716EA5">
      <w:r>
        <w:t xml:space="preserve">The following fact sheet and research memo have been developed to provide quick and key information of the legal and procedural context relating to Housing, Land and Property (HLP) within the target country. They are intended to inform programming and emergency responses, especially those involving shelter interventions. A rapid understanding of the tenure landscape in each country context can assist in delivering stronger and more equitable </w:t>
      </w:r>
      <w:proofErr w:type="gramStart"/>
      <w:r>
        <w:t>responses,</w:t>
      </w:r>
      <w:proofErr w:type="gramEnd"/>
      <w:r>
        <w:t xml:space="preserve"> however these documents are not intended to be legal advice.</w:t>
      </w:r>
    </w:p>
    <w:p w:rsidR="00716EA5" w:rsidRDefault="00716EA5" w:rsidP="00716EA5">
      <w:r>
        <w:t xml:space="preserve">The HLP mapping project has been undertaken by </w:t>
      </w:r>
      <w:proofErr w:type="spellStart"/>
      <w:proofErr w:type="gramStart"/>
      <w:r>
        <w:t>Allens</w:t>
      </w:r>
      <w:proofErr w:type="spellEnd"/>
      <w:proofErr w:type="gramEnd"/>
      <w:r>
        <w:t xml:space="preserve"> lawyers, using templates developed by the Australian Red Cross (ARC) and the International Federation of the Red Cross and Red Crescent Societies (IFRC). All of the research has gone through a verification process with in country lawyers and/or country experts.</w:t>
      </w:r>
    </w:p>
    <w:p w:rsidR="00716EA5" w:rsidRDefault="00716EA5" w:rsidP="00716EA5"/>
    <w:p w:rsidR="00716EA5" w:rsidRPr="009251A4" w:rsidRDefault="00716EA5" w:rsidP="00716EA5">
      <w:pPr>
        <w:rPr>
          <w:b/>
          <w:sz w:val="22"/>
          <w:szCs w:val="22"/>
        </w:rPr>
      </w:pPr>
      <w:r w:rsidRPr="009251A4">
        <w:rPr>
          <w:b/>
          <w:sz w:val="22"/>
          <w:szCs w:val="22"/>
        </w:rPr>
        <w:t>Document Change Management</w:t>
      </w:r>
    </w:p>
    <w:p w:rsidR="00716EA5" w:rsidRDefault="00716EA5" w:rsidP="00716EA5">
      <w:r>
        <w:t>These documents are intended to be used and updated as necessary to ensure that they are always providing the most current and relevant information.  We would appreciate ongoing feedback and updates from those working in country, in response or preparedness.</w:t>
      </w:r>
    </w:p>
    <w:p w:rsidR="00716EA5" w:rsidRDefault="00716EA5" w:rsidP="00716EA5">
      <w:r>
        <w:t xml:space="preserve">If you would like to make any changes to the document, please submit to the document manager Leeanne Marshall via the below table. </w:t>
      </w:r>
    </w:p>
    <w:p w:rsidR="00716EA5" w:rsidRDefault="00716EA5" w:rsidP="00716EA5"/>
    <w:tbl>
      <w:tblPr>
        <w:tblStyle w:val="TableGrid"/>
        <w:tblW w:w="5050" w:type="pct"/>
        <w:tblLook w:val="04A0" w:firstRow="1" w:lastRow="0" w:firstColumn="1" w:lastColumn="0" w:noHBand="0" w:noVBand="1"/>
      </w:tblPr>
      <w:tblGrid>
        <w:gridCol w:w="1655"/>
        <w:gridCol w:w="2649"/>
        <w:gridCol w:w="4374"/>
        <w:gridCol w:w="990"/>
      </w:tblGrid>
      <w:tr w:rsidR="00716EA5" w:rsidRPr="00716EA5" w:rsidTr="00716EA5">
        <w:trPr>
          <w:trHeight w:val="20"/>
        </w:trPr>
        <w:tc>
          <w:tcPr>
            <w:tcW w:w="856" w:type="pct"/>
            <w:tcBorders>
              <w:top w:val="single" w:sz="4" w:space="0" w:color="auto"/>
              <w:left w:val="single" w:sz="4" w:space="0" w:color="auto"/>
              <w:bottom w:val="single" w:sz="4" w:space="0" w:color="auto"/>
              <w:right w:val="single" w:sz="4" w:space="0" w:color="auto"/>
            </w:tcBorders>
            <w:hideMark/>
          </w:tcPr>
          <w:p w:rsidR="00716EA5" w:rsidRPr="009251A4" w:rsidRDefault="00716EA5">
            <w:pPr>
              <w:rPr>
                <w:b/>
              </w:rPr>
            </w:pPr>
            <w:r w:rsidRPr="009251A4">
              <w:rPr>
                <w:b/>
              </w:rPr>
              <w:t>Title</w:t>
            </w:r>
          </w:p>
        </w:tc>
        <w:tc>
          <w:tcPr>
            <w:tcW w:w="4144" w:type="pct"/>
            <w:gridSpan w:val="3"/>
            <w:tcBorders>
              <w:top w:val="single" w:sz="4" w:space="0" w:color="auto"/>
              <w:left w:val="single" w:sz="4" w:space="0" w:color="auto"/>
              <w:bottom w:val="single" w:sz="4" w:space="0" w:color="auto"/>
              <w:right w:val="single" w:sz="4" w:space="0" w:color="auto"/>
            </w:tcBorders>
            <w:hideMark/>
          </w:tcPr>
          <w:p w:rsidR="00716EA5" w:rsidRPr="009251A4" w:rsidRDefault="00716EA5">
            <w:r w:rsidRPr="009251A4">
              <w:t>Bangladesh HLP Profile</w:t>
            </w:r>
          </w:p>
        </w:tc>
      </w:tr>
      <w:tr w:rsidR="00716EA5" w:rsidRPr="00716EA5" w:rsidTr="00716EA5">
        <w:trPr>
          <w:trHeight w:val="20"/>
        </w:trPr>
        <w:tc>
          <w:tcPr>
            <w:tcW w:w="856" w:type="pct"/>
            <w:tcBorders>
              <w:top w:val="single" w:sz="4" w:space="0" w:color="auto"/>
              <w:left w:val="single" w:sz="4" w:space="0" w:color="auto"/>
              <w:bottom w:val="single" w:sz="4" w:space="0" w:color="auto"/>
              <w:right w:val="single" w:sz="4" w:space="0" w:color="auto"/>
            </w:tcBorders>
            <w:hideMark/>
          </w:tcPr>
          <w:p w:rsidR="00716EA5" w:rsidRPr="009251A4" w:rsidRDefault="00716EA5">
            <w:pPr>
              <w:rPr>
                <w:b/>
              </w:rPr>
            </w:pPr>
            <w:r w:rsidRPr="009251A4">
              <w:rPr>
                <w:b/>
              </w:rPr>
              <w:t>Description</w:t>
            </w:r>
          </w:p>
        </w:tc>
        <w:tc>
          <w:tcPr>
            <w:tcW w:w="4144" w:type="pct"/>
            <w:gridSpan w:val="3"/>
            <w:tcBorders>
              <w:top w:val="single" w:sz="4" w:space="0" w:color="auto"/>
              <w:left w:val="single" w:sz="4" w:space="0" w:color="auto"/>
              <w:bottom w:val="single" w:sz="4" w:space="0" w:color="auto"/>
              <w:right w:val="single" w:sz="4" w:space="0" w:color="auto"/>
            </w:tcBorders>
            <w:hideMark/>
          </w:tcPr>
          <w:p w:rsidR="00716EA5" w:rsidRPr="009251A4" w:rsidRDefault="00716EA5">
            <w:r w:rsidRPr="009251A4">
              <w:t>Fact Sheet and Research Memo</w:t>
            </w:r>
          </w:p>
        </w:tc>
      </w:tr>
      <w:tr w:rsidR="00716EA5" w:rsidRPr="00716EA5" w:rsidTr="00716EA5">
        <w:trPr>
          <w:trHeight w:val="20"/>
        </w:trPr>
        <w:tc>
          <w:tcPr>
            <w:tcW w:w="856" w:type="pct"/>
            <w:tcBorders>
              <w:top w:val="single" w:sz="4" w:space="0" w:color="auto"/>
              <w:left w:val="single" w:sz="4" w:space="0" w:color="auto"/>
              <w:bottom w:val="single" w:sz="4" w:space="0" w:color="auto"/>
              <w:right w:val="single" w:sz="4" w:space="0" w:color="auto"/>
            </w:tcBorders>
            <w:hideMark/>
          </w:tcPr>
          <w:p w:rsidR="00716EA5" w:rsidRPr="009251A4" w:rsidRDefault="00716EA5">
            <w:pPr>
              <w:rPr>
                <w:b/>
              </w:rPr>
            </w:pPr>
            <w:r w:rsidRPr="009251A4">
              <w:rPr>
                <w:b/>
              </w:rPr>
              <w:t>Created By</w:t>
            </w:r>
          </w:p>
        </w:tc>
        <w:tc>
          <w:tcPr>
            <w:tcW w:w="4144" w:type="pct"/>
            <w:gridSpan w:val="3"/>
            <w:tcBorders>
              <w:top w:val="single" w:sz="4" w:space="0" w:color="auto"/>
              <w:left w:val="single" w:sz="4" w:space="0" w:color="auto"/>
              <w:bottom w:val="single" w:sz="4" w:space="0" w:color="auto"/>
              <w:right w:val="single" w:sz="4" w:space="0" w:color="auto"/>
            </w:tcBorders>
            <w:hideMark/>
          </w:tcPr>
          <w:p w:rsidR="00716EA5" w:rsidRPr="009251A4" w:rsidRDefault="00716EA5">
            <w:proofErr w:type="spellStart"/>
            <w:r w:rsidRPr="009251A4">
              <w:t>Allens</w:t>
            </w:r>
            <w:proofErr w:type="spellEnd"/>
            <w:r w:rsidRPr="009251A4">
              <w:t xml:space="preserve"> Lawyers, Australian Red Cross, IFRC</w:t>
            </w:r>
          </w:p>
        </w:tc>
      </w:tr>
      <w:tr w:rsidR="00716EA5" w:rsidTr="00716EA5">
        <w:trPr>
          <w:trHeight w:val="20"/>
        </w:trPr>
        <w:tc>
          <w:tcPr>
            <w:tcW w:w="856" w:type="pct"/>
            <w:tcBorders>
              <w:top w:val="single" w:sz="4" w:space="0" w:color="auto"/>
              <w:left w:val="single" w:sz="4" w:space="0" w:color="auto"/>
              <w:bottom w:val="single" w:sz="4" w:space="0" w:color="auto"/>
              <w:right w:val="single" w:sz="4" w:space="0" w:color="auto"/>
            </w:tcBorders>
            <w:hideMark/>
          </w:tcPr>
          <w:p w:rsidR="00716EA5" w:rsidRPr="009251A4" w:rsidRDefault="00716EA5">
            <w:pPr>
              <w:rPr>
                <w:b/>
              </w:rPr>
            </w:pPr>
            <w:r w:rsidRPr="009251A4">
              <w:rPr>
                <w:b/>
              </w:rPr>
              <w:t>Date Created</w:t>
            </w:r>
          </w:p>
        </w:tc>
        <w:tc>
          <w:tcPr>
            <w:tcW w:w="4144" w:type="pct"/>
            <w:gridSpan w:val="3"/>
            <w:tcBorders>
              <w:top w:val="single" w:sz="4" w:space="0" w:color="auto"/>
              <w:left w:val="single" w:sz="4" w:space="0" w:color="auto"/>
              <w:bottom w:val="single" w:sz="4" w:space="0" w:color="auto"/>
              <w:right w:val="single" w:sz="4" w:space="0" w:color="auto"/>
            </w:tcBorders>
            <w:hideMark/>
          </w:tcPr>
          <w:p w:rsidR="00716EA5" w:rsidRPr="009251A4" w:rsidRDefault="00716EA5">
            <w:r w:rsidRPr="009251A4">
              <w:t>May 2018</w:t>
            </w:r>
          </w:p>
        </w:tc>
      </w:tr>
      <w:tr w:rsidR="00716EA5" w:rsidRPr="00716EA5" w:rsidTr="00716EA5">
        <w:trPr>
          <w:trHeight w:val="20"/>
        </w:trPr>
        <w:tc>
          <w:tcPr>
            <w:tcW w:w="856" w:type="pct"/>
            <w:tcBorders>
              <w:top w:val="single" w:sz="4" w:space="0" w:color="auto"/>
              <w:left w:val="single" w:sz="4" w:space="0" w:color="auto"/>
              <w:bottom w:val="single" w:sz="4" w:space="0" w:color="auto"/>
              <w:right w:val="single" w:sz="4" w:space="0" w:color="auto"/>
            </w:tcBorders>
            <w:hideMark/>
          </w:tcPr>
          <w:p w:rsidR="00716EA5" w:rsidRPr="009251A4" w:rsidRDefault="00716EA5">
            <w:pPr>
              <w:rPr>
                <w:b/>
              </w:rPr>
            </w:pPr>
            <w:r w:rsidRPr="009251A4">
              <w:rPr>
                <w:b/>
              </w:rPr>
              <w:t>Maintained by</w:t>
            </w:r>
          </w:p>
        </w:tc>
        <w:tc>
          <w:tcPr>
            <w:tcW w:w="4144" w:type="pct"/>
            <w:gridSpan w:val="3"/>
            <w:tcBorders>
              <w:top w:val="single" w:sz="4" w:space="0" w:color="auto"/>
              <w:left w:val="single" w:sz="4" w:space="0" w:color="auto"/>
              <w:bottom w:val="single" w:sz="4" w:space="0" w:color="auto"/>
              <w:right w:val="single" w:sz="4" w:space="0" w:color="auto"/>
            </w:tcBorders>
            <w:hideMark/>
          </w:tcPr>
          <w:p w:rsidR="00716EA5" w:rsidRPr="009251A4" w:rsidRDefault="00716EA5">
            <w:r w:rsidRPr="009251A4">
              <w:t xml:space="preserve">Leeanne Marshall </w:t>
            </w:r>
            <w:hyperlink r:id="rId9" w:history="1">
              <w:r w:rsidRPr="009251A4">
                <w:rPr>
                  <w:rStyle w:val="Hyperlink"/>
                </w:rPr>
                <w:t>lemarshall@redcross.org.au</w:t>
              </w:r>
            </w:hyperlink>
            <w:r w:rsidRPr="009251A4">
              <w:t xml:space="preserve">   </w:t>
            </w:r>
          </w:p>
        </w:tc>
      </w:tr>
      <w:tr w:rsidR="00716EA5" w:rsidTr="00716EA5">
        <w:trPr>
          <w:trHeight w:val="20"/>
        </w:trPr>
        <w:tc>
          <w:tcPr>
            <w:tcW w:w="856" w:type="pct"/>
            <w:tcBorders>
              <w:top w:val="single" w:sz="4" w:space="0" w:color="auto"/>
              <w:left w:val="single" w:sz="4" w:space="0" w:color="auto"/>
              <w:bottom w:val="single" w:sz="4" w:space="0" w:color="auto"/>
              <w:right w:val="single" w:sz="4" w:space="0" w:color="auto"/>
            </w:tcBorders>
            <w:hideMark/>
          </w:tcPr>
          <w:p w:rsidR="00716EA5" w:rsidRPr="009251A4" w:rsidRDefault="00716EA5">
            <w:pPr>
              <w:rPr>
                <w:b/>
              </w:rPr>
            </w:pPr>
            <w:r w:rsidRPr="009251A4">
              <w:rPr>
                <w:b/>
              </w:rPr>
              <w:t>Date</w:t>
            </w:r>
          </w:p>
        </w:tc>
        <w:tc>
          <w:tcPr>
            <w:tcW w:w="1370" w:type="pct"/>
            <w:tcBorders>
              <w:top w:val="single" w:sz="4" w:space="0" w:color="auto"/>
              <w:left w:val="single" w:sz="4" w:space="0" w:color="auto"/>
              <w:bottom w:val="single" w:sz="4" w:space="0" w:color="auto"/>
              <w:right w:val="single" w:sz="4" w:space="0" w:color="auto"/>
            </w:tcBorders>
            <w:hideMark/>
          </w:tcPr>
          <w:p w:rsidR="00716EA5" w:rsidRPr="009251A4" w:rsidRDefault="00716EA5">
            <w:pPr>
              <w:rPr>
                <w:b/>
              </w:rPr>
            </w:pPr>
            <w:r w:rsidRPr="009251A4">
              <w:rPr>
                <w:b/>
              </w:rPr>
              <w:t>Submitted by</w:t>
            </w:r>
          </w:p>
          <w:p w:rsidR="00716EA5" w:rsidRPr="009251A4" w:rsidRDefault="00716EA5">
            <w:r w:rsidRPr="009251A4">
              <w:t>(name, organisation, email)</w:t>
            </w:r>
          </w:p>
        </w:tc>
        <w:tc>
          <w:tcPr>
            <w:tcW w:w="2262" w:type="pct"/>
            <w:tcBorders>
              <w:top w:val="single" w:sz="4" w:space="0" w:color="auto"/>
              <w:left w:val="single" w:sz="4" w:space="0" w:color="auto"/>
              <w:bottom w:val="single" w:sz="4" w:space="0" w:color="auto"/>
              <w:right w:val="single" w:sz="4" w:space="0" w:color="auto"/>
            </w:tcBorders>
            <w:hideMark/>
          </w:tcPr>
          <w:p w:rsidR="00716EA5" w:rsidRPr="009251A4" w:rsidRDefault="00716EA5">
            <w:pPr>
              <w:rPr>
                <w:b/>
              </w:rPr>
            </w:pPr>
            <w:r w:rsidRPr="009251A4">
              <w:rPr>
                <w:b/>
              </w:rPr>
              <w:t>Suggested amendments</w:t>
            </w:r>
          </w:p>
          <w:p w:rsidR="00716EA5" w:rsidRPr="009251A4" w:rsidRDefault="00716EA5">
            <w:r w:rsidRPr="009251A4">
              <w:t xml:space="preserve">(please indicate section, paragraph, </w:t>
            </w:r>
            <w:bookmarkStart w:id="1" w:name="_GoBack"/>
            <w:bookmarkEnd w:id="1"/>
            <w:r w:rsidRPr="009251A4">
              <w:t>page as needed)</w:t>
            </w:r>
          </w:p>
        </w:tc>
        <w:tc>
          <w:tcPr>
            <w:tcW w:w="512" w:type="pct"/>
            <w:tcBorders>
              <w:top w:val="single" w:sz="4" w:space="0" w:color="auto"/>
              <w:left w:val="single" w:sz="4" w:space="0" w:color="auto"/>
              <w:bottom w:val="single" w:sz="4" w:space="0" w:color="auto"/>
              <w:right w:val="single" w:sz="4" w:space="0" w:color="auto"/>
            </w:tcBorders>
            <w:hideMark/>
          </w:tcPr>
          <w:p w:rsidR="00716EA5" w:rsidRPr="009251A4" w:rsidRDefault="00716EA5">
            <w:pPr>
              <w:rPr>
                <w:b/>
              </w:rPr>
            </w:pPr>
            <w:r w:rsidRPr="009251A4">
              <w:rPr>
                <w:b/>
              </w:rPr>
              <w:t>Status</w:t>
            </w:r>
          </w:p>
        </w:tc>
      </w:tr>
      <w:tr w:rsidR="00716EA5" w:rsidTr="009251A4">
        <w:trPr>
          <w:trHeight w:val="64"/>
        </w:trPr>
        <w:tc>
          <w:tcPr>
            <w:tcW w:w="856" w:type="pct"/>
            <w:tcBorders>
              <w:top w:val="single" w:sz="4" w:space="0" w:color="auto"/>
              <w:left w:val="single" w:sz="4" w:space="0" w:color="auto"/>
              <w:bottom w:val="single" w:sz="4" w:space="0" w:color="auto"/>
              <w:right w:val="single" w:sz="4" w:space="0" w:color="auto"/>
            </w:tcBorders>
          </w:tcPr>
          <w:p w:rsidR="00716EA5" w:rsidRPr="009251A4" w:rsidRDefault="00716EA5"/>
        </w:tc>
        <w:tc>
          <w:tcPr>
            <w:tcW w:w="1370" w:type="pct"/>
            <w:tcBorders>
              <w:top w:val="single" w:sz="4" w:space="0" w:color="auto"/>
              <w:left w:val="single" w:sz="4" w:space="0" w:color="auto"/>
              <w:bottom w:val="single" w:sz="4" w:space="0" w:color="auto"/>
              <w:right w:val="single" w:sz="4" w:space="0" w:color="auto"/>
            </w:tcBorders>
          </w:tcPr>
          <w:p w:rsidR="00716EA5" w:rsidRPr="009251A4" w:rsidRDefault="00716EA5"/>
        </w:tc>
        <w:tc>
          <w:tcPr>
            <w:tcW w:w="2262" w:type="pct"/>
            <w:tcBorders>
              <w:top w:val="single" w:sz="4" w:space="0" w:color="auto"/>
              <w:left w:val="single" w:sz="4" w:space="0" w:color="auto"/>
              <w:bottom w:val="single" w:sz="4" w:space="0" w:color="auto"/>
              <w:right w:val="single" w:sz="4" w:space="0" w:color="auto"/>
            </w:tcBorders>
          </w:tcPr>
          <w:p w:rsidR="00716EA5" w:rsidRPr="009251A4" w:rsidRDefault="00716EA5"/>
        </w:tc>
        <w:tc>
          <w:tcPr>
            <w:tcW w:w="512" w:type="pct"/>
            <w:tcBorders>
              <w:top w:val="single" w:sz="4" w:space="0" w:color="auto"/>
              <w:left w:val="single" w:sz="4" w:space="0" w:color="auto"/>
              <w:bottom w:val="single" w:sz="4" w:space="0" w:color="auto"/>
              <w:right w:val="single" w:sz="4" w:space="0" w:color="auto"/>
            </w:tcBorders>
          </w:tcPr>
          <w:p w:rsidR="00716EA5" w:rsidRPr="009251A4" w:rsidRDefault="00716EA5"/>
        </w:tc>
      </w:tr>
      <w:tr w:rsidR="00716EA5" w:rsidTr="00716EA5">
        <w:trPr>
          <w:trHeight w:val="20"/>
        </w:trPr>
        <w:tc>
          <w:tcPr>
            <w:tcW w:w="856" w:type="pct"/>
            <w:tcBorders>
              <w:top w:val="single" w:sz="4" w:space="0" w:color="auto"/>
              <w:left w:val="single" w:sz="4" w:space="0" w:color="auto"/>
              <w:bottom w:val="single" w:sz="4" w:space="0" w:color="auto"/>
              <w:right w:val="single" w:sz="4" w:space="0" w:color="auto"/>
            </w:tcBorders>
          </w:tcPr>
          <w:p w:rsidR="00716EA5" w:rsidRPr="009251A4" w:rsidRDefault="00716EA5"/>
        </w:tc>
        <w:tc>
          <w:tcPr>
            <w:tcW w:w="1370" w:type="pct"/>
            <w:tcBorders>
              <w:top w:val="single" w:sz="4" w:space="0" w:color="auto"/>
              <w:left w:val="single" w:sz="4" w:space="0" w:color="auto"/>
              <w:bottom w:val="single" w:sz="4" w:space="0" w:color="auto"/>
              <w:right w:val="single" w:sz="4" w:space="0" w:color="auto"/>
            </w:tcBorders>
          </w:tcPr>
          <w:p w:rsidR="00716EA5" w:rsidRPr="009251A4" w:rsidRDefault="00716EA5"/>
        </w:tc>
        <w:tc>
          <w:tcPr>
            <w:tcW w:w="2262" w:type="pct"/>
            <w:tcBorders>
              <w:top w:val="single" w:sz="4" w:space="0" w:color="auto"/>
              <w:left w:val="single" w:sz="4" w:space="0" w:color="auto"/>
              <w:bottom w:val="single" w:sz="4" w:space="0" w:color="auto"/>
              <w:right w:val="single" w:sz="4" w:space="0" w:color="auto"/>
            </w:tcBorders>
          </w:tcPr>
          <w:p w:rsidR="00716EA5" w:rsidRPr="009251A4" w:rsidRDefault="00716EA5"/>
        </w:tc>
        <w:tc>
          <w:tcPr>
            <w:tcW w:w="512" w:type="pct"/>
            <w:tcBorders>
              <w:top w:val="single" w:sz="4" w:space="0" w:color="auto"/>
              <w:left w:val="single" w:sz="4" w:space="0" w:color="auto"/>
              <w:bottom w:val="single" w:sz="4" w:space="0" w:color="auto"/>
              <w:right w:val="single" w:sz="4" w:space="0" w:color="auto"/>
            </w:tcBorders>
          </w:tcPr>
          <w:p w:rsidR="00716EA5" w:rsidRPr="009251A4" w:rsidRDefault="00716EA5"/>
        </w:tc>
      </w:tr>
      <w:tr w:rsidR="00716EA5" w:rsidTr="00716EA5">
        <w:trPr>
          <w:trHeight w:val="20"/>
        </w:trPr>
        <w:tc>
          <w:tcPr>
            <w:tcW w:w="856" w:type="pct"/>
            <w:tcBorders>
              <w:top w:val="single" w:sz="4" w:space="0" w:color="auto"/>
              <w:left w:val="single" w:sz="4" w:space="0" w:color="auto"/>
              <w:bottom w:val="single" w:sz="4" w:space="0" w:color="auto"/>
              <w:right w:val="single" w:sz="4" w:space="0" w:color="auto"/>
            </w:tcBorders>
          </w:tcPr>
          <w:p w:rsidR="00716EA5" w:rsidRDefault="00716EA5"/>
        </w:tc>
        <w:tc>
          <w:tcPr>
            <w:tcW w:w="1370" w:type="pct"/>
            <w:tcBorders>
              <w:top w:val="single" w:sz="4" w:space="0" w:color="auto"/>
              <w:left w:val="single" w:sz="4" w:space="0" w:color="auto"/>
              <w:bottom w:val="single" w:sz="4" w:space="0" w:color="auto"/>
              <w:right w:val="single" w:sz="4" w:space="0" w:color="auto"/>
            </w:tcBorders>
          </w:tcPr>
          <w:p w:rsidR="00716EA5" w:rsidRDefault="00716EA5"/>
        </w:tc>
        <w:tc>
          <w:tcPr>
            <w:tcW w:w="2262" w:type="pct"/>
            <w:tcBorders>
              <w:top w:val="single" w:sz="4" w:space="0" w:color="auto"/>
              <w:left w:val="single" w:sz="4" w:space="0" w:color="auto"/>
              <w:bottom w:val="single" w:sz="4" w:space="0" w:color="auto"/>
              <w:right w:val="single" w:sz="4" w:space="0" w:color="auto"/>
            </w:tcBorders>
          </w:tcPr>
          <w:p w:rsidR="00716EA5" w:rsidRDefault="00716EA5"/>
        </w:tc>
        <w:tc>
          <w:tcPr>
            <w:tcW w:w="512" w:type="pct"/>
            <w:tcBorders>
              <w:top w:val="single" w:sz="4" w:space="0" w:color="auto"/>
              <w:left w:val="single" w:sz="4" w:space="0" w:color="auto"/>
              <w:bottom w:val="single" w:sz="4" w:space="0" w:color="auto"/>
              <w:right w:val="single" w:sz="4" w:space="0" w:color="auto"/>
            </w:tcBorders>
          </w:tcPr>
          <w:p w:rsidR="00716EA5" w:rsidRDefault="00716EA5"/>
        </w:tc>
      </w:tr>
      <w:tr w:rsidR="00716EA5" w:rsidTr="00716EA5">
        <w:trPr>
          <w:trHeight w:val="20"/>
        </w:trPr>
        <w:tc>
          <w:tcPr>
            <w:tcW w:w="856" w:type="pct"/>
            <w:tcBorders>
              <w:top w:val="single" w:sz="4" w:space="0" w:color="auto"/>
              <w:left w:val="single" w:sz="4" w:space="0" w:color="auto"/>
              <w:bottom w:val="single" w:sz="4" w:space="0" w:color="auto"/>
              <w:right w:val="single" w:sz="4" w:space="0" w:color="auto"/>
            </w:tcBorders>
          </w:tcPr>
          <w:p w:rsidR="00716EA5" w:rsidRDefault="00716EA5"/>
        </w:tc>
        <w:tc>
          <w:tcPr>
            <w:tcW w:w="1370" w:type="pct"/>
            <w:tcBorders>
              <w:top w:val="single" w:sz="4" w:space="0" w:color="auto"/>
              <w:left w:val="single" w:sz="4" w:space="0" w:color="auto"/>
              <w:bottom w:val="single" w:sz="4" w:space="0" w:color="auto"/>
              <w:right w:val="single" w:sz="4" w:space="0" w:color="auto"/>
            </w:tcBorders>
          </w:tcPr>
          <w:p w:rsidR="00716EA5" w:rsidRDefault="00716EA5"/>
        </w:tc>
        <w:tc>
          <w:tcPr>
            <w:tcW w:w="2262" w:type="pct"/>
            <w:tcBorders>
              <w:top w:val="single" w:sz="4" w:space="0" w:color="auto"/>
              <w:left w:val="single" w:sz="4" w:space="0" w:color="auto"/>
              <w:bottom w:val="single" w:sz="4" w:space="0" w:color="auto"/>
              <w:right w:val="single" w:sz="4" w:space="0" w:color="auto"/>
            </w:tcBorders>
          </w:tcPr>
          <w:p w:rsidR="00716EA5" w:rsidRDefault="00716EA5"/>
        </w:tc>
        <w:tc>
          <w:tcPr>
            <w:tcW w:w="512" w:type="pct"/>
            <w:tcBorders>
              <w:top w:val="single" w:sz="4" w:space="0" w:color="auto"/>
              <w:left w:val="single" w:sz="4" w:space="0" w:color="auto"/>
              <w:bottom w:val="single" w:sz="4" w:space="0" w:color="auto"/>
              <w:right w:val="single" w:sz="4" w:space="0" w:color="auto"/>
            </w:tcBorders>
          </w:tcPr>
          <w:p w:rsidR="00716EA5" w:rsidRDefault="00716EA5"/>
        </w:tc>
      </w:tr>
      <w:tr w:rsidR="00716EA5" w:rsidTr="00716EA5">
        <w:trPr>
          <w:trHeight w:val="20"/>
        </w:trPr>
        <w:tc>
          <w:tcPr>
            <w:tcW w:w="856" w:type="pct"/>
            <w:tcBorders>
              <w:top w:val="single" w:sz="4" w:space="0" w:color="auto"/>
              <w:left w:val="single" w:sz="4" w:space="0" w:color="auto"/>
              <w:bottom w:val="single" w:sz="4" w:space="0" w:color="auto"/>
              <w:right w:val="single" w:sz="4" w:space="0" w:color="auto"/>
            </w:tcBorders>
          </w:tcPr>
          <w:p w:rsidR="00716EA5" w:rsidRDefault="00716EA5"/>
        </w:tc>
        <w:tc>
          <w:tcPr>
            <w:tcW w:w="1370" w:type="pct"/>
            <w:tcBorders>
              <w:top w:val="single" w:sz="4" w:space="0" w:color="auto"/>
              <w:left w:val="single" w:sz="4" w:space="0" w:color="auto"/>
              <w:bottom w:val="single" w:sz="4" w:space="0" w:color="auto"/>
              <w:right w:val="single" w:sz="4" w:space="0" w:color="auto"/>
            </w:tcBorders>
          </w:tcPr>
          <w:p w:rsidR="00716EA5" w:rsidRDefault="00716EA5"/>
        </w:tc>
        <w:tc>
          <w:tcPr>
            <w:tcW w:w="2262" w:type="pct"/>
            <w:tcBorders>
              <w:top w:val="single" w:sz="4" w:space="0" w:color="auto"/>
              <w:left w:val="single" w:sz="4" w:space="0" w:color="auto"/>
              <w:bottom w:val="single" w:sz="4" w:space="0" w:color="auto"/>
              <w:right w:val="single" w:sz="4" w:space="0" w:color="auto"/>
            </w:tcBorders>
          </w:tcPr>
          <w:p w:rsidR="00716EA5" w:rsidRDefault="00716EA5"/>
        </w:tc>
        <w:tc>
          <w:tcPr>
            <w:tcW w:w="512" w:type="pct"/>
            <w:tcBorders>
              <w:top w:val="single" w:sz="4" w:space="0" w:color="auto"/>
              <w:left w:val="single" w:sz="4" w:space="0" w:color="auto"/>
              <w:bottom w:val="single" w:sz="4" w:space="0" w:color="auto"/>
              <w:right w:val="single" w:sz="4" w:space="0" w:color="auto"/>
            </w:tcBorders>
          </w:tcPr>
          <w:p w:rsidR="00716EA5" w:rsidRDefault="00716EA5"/>
        </w:tc>
      </w:tr>
      <w:tr w:rsidR="00716EA5" w:rsidTr="00716EA5">
        <w:trPr>
          <w:trHeight w:val="20"/>
        </w:trPr>
        <w:tc>
          <w:tcPr>
            <w:tcW w:w="856" w:type="pct"/>
            <w:tcBorders>
              <w:top w:val="single" w:sz="4" w:space="0" w:color="auto"/>
              <w:left w:val="single" w:sz="4" w:space="0" w:color="auto"/>
              <w:bottom w:val="single" w:sz="4" w:space="0" w:color="auto"/>
              <w:right w:val="single" w:sz="4" w:space="0" w:color="auto"/>
            </w:tcBorders>
          </w:tcPr>
          <w:p w:rsidR="00716EA5" w:rsidRDefault="00716EA5"/>
        </w:tc>
        <w:tc>
          <w:tcPr>
            <w:tcW w:w="1370" w:type="pct"/>
            <w:tcBorders>
              <w:top w:val="single" w:sz="4" w:space="0" w:color="auto"/>
              <w:left w:val="single" w:sz="4" w:space="0" w:color="auto"/>
              <w:bottom w:val="single" w:sz="4" w:space="0" w:color="auto"/>
              <w:right w:val="single" w:sz="4" w:space="0" w:color="auto"/>
            </w:tcBorders>
          </w:tcPr>
          <w:p w:rsidR="00716EA5" w:rsidRDefault="00716EA5"/>
        </w:tc>
        <w:tc>
          <w:tcPr>
            <w:tcW w:w="2262" w:type="pct"/>
            <w:tcBorders>
              <w:top w:val="single" w:sz="4" w:space="0" w:color="auto"/>
              <w:left w:val="single" w:sz="4" w:space="0" w:color="auto"/>
              <w:bottom w:val="single" w:sz="4" w:space="0" w:color="auto"/>
              <w:right w:val="single" w:sz="4" w:space="0" w:color="auto"/>
            </w:tcBorders>
          </w:tcPr>
          <w:p w:rsidR="00716EA5" w:rsidRDefault="00716EA5"/>
        </w:tc>
        <w:tc>
          <w:tcPr>
            <w:tcW w:w="512" w:type="pct"/>
            <w:tcBorders>
              <w:top w:val="single" w:sz="4" w:space="0" w:color="auto"/>
              <w:left w:val="single" w:sz="4" w:space="0" w:color="auto"/>
              <w:bottom w:val="single" w:sz="4" w:space="0" w:color="auto"/>
              <w:right w:val="single" w:sz="4" w:space="0" w:color="auto"/>
            </w:tcBorders>
          </w:tcPr>
          <w:p w:rsidR="00716EA5" w:rsidRDefault="00716EA5"/>
        </w:tc>
      </w:tr>
      <w:tr w:rsidR="00716EA5" w:rsidTr="00716EA5">
        <w:trPr>
          <w:trHeight w:val="20"/>
        </w:trPr>
        <w:tc>
          <w:tcPr>
            <w:tcW w:w="856" w:type="pct"/>
            <w:tcBorders>
              <w:top w:val="single" w:sz="4" w:space="0" w:color="auto"/>
              <w:left w:val="single" w:sz="4" w:space="0" w:color="auto"/>
              <w:bottom w:val="single" w:sz="4" w:space="0" w:color="auto"/>
              <w:right w:val="single" w:sz="4" w:space="0" w:color="auto"/>
            </w:tcBorders>
          </w:tcPr>
          <w:p w:rsidR="00716EA5" w:rsidRDefault="00716EA5"/>
        </w:tc>
        <w:tc>
          <w:tcPr>
            <w:tcW w:w="1370" w:type="pct"/>
            <w:tcBorders>
              <w:top w:val="single" w:sz="4" w:space="0" w:color="auto"/>
              <w:left w:val="single" w:sz="4" w:space="0" w:color="auto"/>
              <w:bottom w:val="single" w:sz="4" w:space="0" w:color="auto"/>
              <w:right w:val="single" w:sz="4" w:space="0" w:color="auto"/>
            </w:tcBorders>
          </w:tcPr>
          <w:p w:rsidR="00716EA5" w:rsidRDefault="00716EA5"/>
        </w:tc>
        <w:tc>
          <w:tcPr>
            <w:tcW w:w="2262" w:type="pct"/>
            <w:tcBorders>
              <w:top w:val="single" w:sz="4" w:space="0" w:color="auto"/>
              <w:left w:val="single" w:sz="4" w:space="0" w:color="auto"/>
              <w:bottom w:val="single" w:sz="4" w:space="0" w:color="auto"/>
              <w:right w:val="single" w:sz="4" w:space="0" w:color="auto"/>
            </w:tcBorders>
          </w:tcPr>
          <w:p w:rsidR="00716EA5" w:rsidRDefault="00716EA5"/>
        </w:tc>
        <w:tc>
          <w:tcPr>
            <w:tcW w:w="512" w:type="pct"/>
            <w:tcBorders>
              <w:top w:val="single" w:sz="4" w:space="0" w:color="auto"/>
              <w:left w:val="single" w:sz="4" w:space="0" w:color="auto"/>
              <w:bottom w:val="single" w:sz="4" w:space="0" w:color="auto"/>
              <w:right w:val="single" w:sz="4" w:space="0" w:color="auto"/>
            </w:tcBorders>
          </w:tcPr>
          <w:p w:rsidR="00716EA5" w:rsidRDefault="00716EA5"/>
        </w:tc>
      </w:tr>
    </w:tbl>
    <w:p w:rsidR="00FC2558" w:rsidRPr="00324B3A" w:rsidRDefault="000F3732" w:rsidP="00716EA5">
      <w:pPr>
        <w:pStyle w:val="GeneralHeading1"/>
        <w:jc w:val="center"/>
        <w:rPr>
          <w:sz w:val="24"/>
        </w:rPr>
      </w:pPr>
      <w:r>
        <w:rPr>
          <w:sz w:val="24"/>
        </w:rPr>
        <w:lastRenderedPageBreak/>
        <w:t>Housing, Land and Property Laws in Bangladesh</w:t>
      </w:r>
    </w:p>
    <w:tbl>
      <w:tblPr>
        <w:tblStyle w:val="TableGrid"/>
        <w:tblW w:w="0" w:type="auto"/>
        <w:tblInd w:w="-743" w:type="dxa"/>
        <w:tblLook w:val="04A0" w:firstRow="1" w:lastRow="0" w:firstColumn="1" w:lastColumn="0" w:noHBand="0" w:noVBand="1"/>
      </w:tblPr>
      <w:tblGrid>
        <w:gridCol w:w="1702"/>
        <w:gridCol w:w="8613"/>
      </w:tblGrid>
      <w:tr w:rsidR="00FC2558" w:rsidRPr="007A1DA0" w:rsidTr="00716EA5">
        <w:tc>
          <w:tcPr>
            <w:tcW w:w="10315"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FC2558" w:rsidRPr="000F3732" w:rsidRDefault="00FC2558" w:rsidP="000F3732">
            <w:pPr>
              <w:spacing w:line="276" w:lineRule="auto"/>
              <w:rPr>
                <w:b/>
                <w:sz w:val="22"/>
                <w:szCs w:val="22"/>
              </w:rPr>
            </w:pPr>
            <w:r w:rsidRPr="000F3732">
              <w:rPr>
                <w:b/>
                <w:sz w:val="22"/>
                <w:szCs w:val="22"/>
              </w:rPr>
              <w:t xml:space="preserve">1. </w:t>
            </w:r>
            <w:r w:rsidR="000F3732" w:rsidRPr="000F3732">
              <w:rPr>
                <w:b/>
                <w:sz w:val="22"/>
                <w:szCs w:val="22"/>
              </w:rPr>
              <w:t>Key laws and actors</w:t>
            </w:r>
          </w:p>
        </w:tc>
      </w:tr>
      <w:tr w:rsidR="00FC2558" w:rsidRPr="007A1DA0" w:rsidTr="00716EA5">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C2558" w:rsidRPr="00A775FB" w:rsidRDefault="00061FEE" w:rsidP="00A775FB">
            <w:pPr>
              <w:rPr>
                <w:b/>
              </w:rPr>
            </w:pPr>
            <w:hyperlink w:anchor="Laws" w:history="1">
              <w:bookmarkStart w:id="2" w:name="_Toc512935684"/>
              <w:r w:rsidR="00FC2558" w:rsidRPr="00A775FB">
                <w:rPr>
                  <w:rStyle w:val="Hyperlink"/>
                  <w:b/>
                </w:rPr>
                <w:t>Laws</w:t>
              </w:r>
              <w:bookmarkEnd w:id="2"/>
            </w:hyperlink>
          </w:p>
        </w:tc>
        <w:tc>
          <w:tcPr>
            <w:tcW w:w="8613" w:type="dxa"/>
            <w:tcBorders>
              <w:left w:val="single" w:sz="4" w:space="0" w:color="000000" w:themeColor="text1"/>
              <w:right w:val="single" w:sz="4" w:space="0" w:color="000000" w:themeColor="text1"/>
            </w:tcBorders>
          </w:tcPr>
          <w:p w:rsidR="00FC2558" w:rsidRPr="00C56679" w:rsidRDefault="00FC2558" w:rsidP="00ED17B5">
            <w:pPr>
              <w:spacing w:line="276" w:lineRule="auto"/>
            </w:pPr>
            <w:r>
              <w:t xml:space="preserve">The </w:t>
            </w:r>
            <w:r w:rsidRPr="00C56679">
              <w:t>key pieces of leg</w:t>
            </w:r>
            <w:r>
              <w:t xml:space="preserve">islation governing land and property </w:t>
            </w:r>
            <w:r w:rsidRPr="00C56679">
              <w:t>include:</w:t>
            </w:r>
          </w:p>
          <w:p w:rsidR="00FC2558" w:rsidRPr="00C56679" w:rsidRDefault="00FC2558" w:rsidP="00FC2558">
            <w:pPr>
              <w:numPr>
                <w:ilvl w:val="0"/>
                <w:numId w:val="26"/>
              </w:numPr>
              <w:spacing w:line="276" w:lineRule="auto"/>
              <w:ind w:left="360"/>
              <w:rPr>
                <w:i/>
              </w:rPr>
            </w:pPr>
            <w:r w:rsidRPr="00C56679">
              <w:t xml:space="preserve">the </w:t>
            </w:r>
            <w:hyperlink r:id="rId10" w:history="1">
              <w:r w:rsidRPr="009A40F6">
                <w:rPr>
                  <w:rStyle w:val="Hyperlink"/>
                  <w:b/>
                  <w:i/>
                </w:rPr>
                <w:t>Transfer of Property Act 1882</w:t>
              </w:r>
            </w:hyperlink>
            <w:r w:rsidRPr="00C56679">
              <w:rPr>
                <w:i/>
              </w:rPr>
              <w:t xml:space="preserve"> </w:t>
            </w:r>
            <w:r w:rsidRPr="00C56679">
              <w:t>which governs the transfer of private interests in land;</w:t>
            </w:r>
          </w:p>
          <w:p w:rsidR="00FC2558" w:rsidRPr="00C56679" w:rsidRDefault="00FC2558" w:rsidP="00FC2558">
            <w:pPr>
              <w:numPr>
                <w:ilvl w:val="0"/>
                <w:numId w:val="26"/>
              </w:numPr>
              <w:spacing w:line="276" w:lineRule="auto"/>
              <w:ind w:left="360"/>
              <w:rPr>
                <w:i/>
              </w:rPr>
            </w:pPr>
            <w:r w:rsidRPr="00C56679">
              <w:t xml:space="preserve">the </w:t>
            </w:r>
            <w:hyperlink r:id="rId11" w:history="1">
              <w:r w:rsidRPr="009A40F6">
                <w:rPr>
                  <w:rStyle w:val="Hyperlink"/>
                  <w:b/>
                  <w:i/>
                </w:rPr>
                <w:t>Registration Act 1908</w:t>
              </w:r>
            </w:hyperlink>
            <w:r w:rsidRPr="00C56679">
              <w:rPr>
                <w:i/>
              </w:rPr>
              <w:t xml:space="preserve"> </w:t>
            </w:r>
            <w:r w:rsidRPr="00C56679">
              <w:t>which governs registration of private interests in land;</w:t>
            </w:r>
            <w:r>
              <w:t xml:space="preserve"> and</w:t>
            </w:r>
          </w:p>
          <w:p w:rsidR="00FC2558" w:rsidRPr="00524230" w:rsidRDefault="00FC2558" w:rsidP="00FC2558">
            <w:pPr>
              <w:numPr>
                <w:ilvl w:val="0"/>
                <w:numId w:val="26"/>
              </w:numPr>
              <w:spacing w:line="276" w:lineRule="auto"/>
              <w:ind w:left="360"/>
              <w:rPr>
                <w:i/>
              </w:rPr>
            </w:pPr>
            <w:proofErr w:type="gramStart"/>
            <w:r w:rsidRPr="00C56679">
              <w:t>the</w:t>
            </w:r>
            <w:proofErr w:type="gramEnd"/>
            <w:r w:rsidRPr="00C56679">
              <w:t xml:space="preserve"> </w:t>
            </w:r>
            <w:hyperlink r:id="rId12" w:history="1">
              <w:r w:rsidRPr="009A40F6">
                <w:rPr>
                  <w:rStyle w:val="Hyperlink"/>
                  <w:b/>
                  <w:i/>
                </w:rPr>
                <w:t>Land Reforms Ordinance of 1984</w:t>
              </w:r>
            </w:hyperlink>
            <w:r w:rsidRPr="00C56679">
              <w:t xml:space="preserve"> which establishes a land ceiling, governs the distribution of Government land (</w:t>
            </w:r>
            <w:proofErr w:type="spellStart"/>
            <w:r w:rsidRPr="00C56679">
              <w:rPr>
                <w:i/>
              </w:rPr>
              <w:t>khas</w:t>
            </w:r>
            <w:proofErr w:type="spellEnd"/>
            <w:r w:rsidRPr="00C56679">
              <w:t>) to the landless and regulates</w:t>
            </w:r>
            <w:r>
              <w:t xml:space="preserve"> sharecropping agreements.</w:t>
            </w:r>
          </w:p>
        </w:tc>
      </w:tr>
      <w:tr w:rsidR="00FC2558" w:rsidRPr="007A1DA0" w:rsidTr="00ED17B5">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C2558" w:rsidRPr="00A775FB" w:rsidRDefault="00061FEE" w:rsidP="00A775FB">
            <w:pPr>
              <w:rPr>
                <w:b/>
              </w:rPr>
            </w:pPr>
            <w:hyperlink w:anchor="KeyGovernmentActors" w:history="1">
              <w:bookmarkStart w:id="3" w:name="_Toc512935685"/>
              <w:r w:rsidR="00FC2558" w:rsidRPr="00A775FB">
                <w:rPr>
                  <w:rStyle w:val="Hyperlink"/>
                  <w:b/>
                </w:rPr>
                <w:t>Key government actors</w:t>
              </w:r>
              <w:bookmarkEnd w:id="3"/>
            </w:hyperlink>
          </w:p>
        </w:tc>
        <w:tc>
          <w:tcPr>
            <w:tcW w:w="8613" w:type="dxa"/>
            <w:tcBorders>
              <w:left w:val="single" w:sz="4" w:space="0" w:color="000000" w:themeColor="text1"/>
            </w:tcBorders>
          </w:tcPr>
          <w:p w:rsidR="00FC2558" w:rsidRDefault="00FC2558" w:rsidP="00ED17B5">
            <w:pPr>
              <w:spacing w:line="276" w:lineRule="auto"/>
            </w:pPr>
            <w:r>
              <w:t xml:space="preserve">The </w:t>
            </w:r>
            <w:r w:rsidRPr="00C56679">
              <w:t xml:space="preserve">main government department responsible for land administration is the </w:t>
            </w:r>
            <w:r w:rsidRPr="00C56679">
              <w:rPr>
                <w:b/>
                <w:i/>
              </w:rPr>
              <w:t>Ministry of Lands</w:t>
            </w:r>
            <w:r>
              <w:t xml:space="preserve">, however the </w:t>
            </w:r>
            <w:r w:rsidRPr="00C56679">
              <w:rPr>
                <w:b/>
                <w:i/>
              </w:rPr>
              <w:t>Ministry of Law, Justice and Parliamentary Affairs</w:t>
            </w:r>
            <w:r>
              <w:t xml:space="preserve"> also plays a role in land administration.</w:t>
            </w:r>
          </w:p>
          <w:p w:rsidR="00FC2558" w:rsidRDefault="00FC2558" w:rsidP="00ED17B5">
            <w:pPr>
              <w:spacing w:line="276" w:lineRule="auto"/>
            </w:pPr>
            <w:r>
              <w:t xml:space="preserve">The </w:t>
            </w:r>
            <w:r w:rsidRPr="00460775">
              <w:rPr>
                <w:b/>
                <w:i/>
              </w:rPr>
              <w:t>National Housing Authority</w:t>
            </w:r>
            <w:r>
              <w:t xml:space="preserve"> is responsible for implementing the national Government's housing policies, while the </w:t>
            </w:r>
            <w:r w:rsidRPr="00C56679">
              <w:rPr>
                <w:b/>
                <w:i/>
              </w:rPr>
              <w:t>Urban Development Directorate</w:t>
            </w:r>
            <w:r>
              <w:t xml:space="preserve"> is </w:t>
            </w:r>
            <w:r w:rsidRPr="00C56679">
              <w:t xml:space="preserve">responsible for administering </w:t>
            </w:r>
            <w:r>
              <w:t xml:space="preserve">national </w:t>
            </w:r>
            <w:r w:rsidRPr="00C56679">
              <w:t>planning law and policy</w:t>
            </w:r>
            <w:r>
              <w:t>.</w:t>
            </w:r>
          </w:p>
          <w:p w:rsidR="00FC2558" w:rsidRPr="00C56679" w:rsidRDefault="00FC2558" w:rsidP="00ED17B5">
            <w:pPr>
              <w:spacing w:line="276" w:lineRule="auto"/>
            </w:pPr>
            <w:r>
              <w:t>S</w:t>
            </w:r>
            <w:r w:rsidRPr="00C56679">
              <w:t>everal cities hav</w:t>
            </w:r>
            <w:r>
              <w:t xml:space="preserve">e their own planning agencies, which are generally referred to as </w:t>
            </w:r>
            <w:r w:rsidRPr="00C56679">
              <w:rPr>
                <w:b/>
                <w:i/>
              </w:rPr>
              <w:t>Development Authorities</w:t>
            </w:r>
            <w:r>
              <w:t xml:space="preserve"> (</w:t>
            </w:r>
            <w:proofErr w:type="spellStart"/>
            <w:r>
              <w:t>eg</w:t>
            </w:r>
            <w:proofErr w:type="spellEnd"/>
            <w:r>
              <w:t>, the Capital Development Authority (Dhaka) and the Chittagong Development Authority).</w:t>
            </w:r>
          </w:p>
        </w:tc>
      </w:tr>
    </w:tbl>
    <w:tbl>
      <w:tblPr>
        <w:tblStyle w:val="TableGrid1"/>
        <w:tblW w:w="0" w:type="auto"/>
        <w:tblInd w:w="-743" w:type="dxa"/>
        <w:tblLook w:val="04A0" w:firstRow="1" w:lastRow="0" w:firstColumn="1" w:lastColumn="0" w:noHBand="0" w:noVBand="1"/>
      </w:tblPr>
      <w:tblGrid>
        <w:gridCol w:w="1702"/>
        <w:gridCol w:w="1417"/>
        <w:gridCol w:w="7196"/>
      </w:tblGrid>
      <w:tr w:rsidR="00FC2558" w:rsidRPr="00C55E40" w:rsidTr="00ED17B5">
        <w:tc>
          <w:tcPr>
            <w:tcW w:w="1031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16EA5" w:rsidRDefault="00716EA5" w:rsidP="00ED17B5">
            <w:pPr>
              <w:spacing w:line="276" w:lineRule="auto"/>
            </w:pPr>
          </w:p>
          <w:p w:rsidR="00FC2558" w:rsidRPr="000F3732" w:rsidRDefault="00061FEE" w:rsidP="000F3732">
            <w:pPr>
              <w:spacing w:line="276" w:lineRule="auto"/>
              <w:rPr>
                <w:b/>
                <w:sz w:val="22"/>
                <w:szCs w:val="22"/>
              </w:rPr>
            </w:pPr>
            <w:hyperlink w:anchor="CommonTenureTypes" w:history="1">
              <w:r w:rsidR="00FC2558" w:rsidRPr="000F3732">
                <w:rPr>
                  <w:rStyle w:val="Hyperlink"/>
                  <w:b/>
                  <w:color w:val="auto"/>
                  <w:sz w:val="22"/>
                  <w:szCs w:val="22"/>
                  <w:u w:val="none"/>
                </w:rPr>
                <w:t>2. C</w:t>
              </w:r>
              <w:r w:rsidR="000F3732" w:rsidRPr="000F3732">
                <w:rPr>
                  <w:rStyle w:val="Hyperlink"/>
                  <w:b/>
                  <w:color w:val="auto"/>
                  <w:sz w:val="22"/>
                  <w:szCs w:val="22"/>
                  <w:u w:val="none"/>
                </w:rPr>
                <w:t>ommon</w:t>
              </w:r>
            </w:hyperlink>
            <w:r w:rsidR="000F3732" w:rsidRPr="000F3732">
              <w:rPr>
                <w:rStyle w:val="Hyperlink"/>
                <w:b/>
                <w:color w:val="auto"/>
                <w:sz w:val="22"/>
                <w:szCs w:val="22"/>
                <w:u w:val="none"/>
              </w:rPr>
              <w:t xml:space="preserve"> types of tenure</w:t>
            </w:r>
          </w:p>
        </w:tc>
      </w:tr>
      <w:tr w:rsidR="00FC2558" w:rsidRPr="00C55E40" w:rsidTr="00ED17B5">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auto"/>
          </w:tcPr>
          <w:p w:rsidR="00FC2558" w:rsidRPr="007A1DA0" w:rsidRDefault="00FC2558" w:rsidP="00ED17B5">
            <w:pPr>
              <w:spacing w:line="276" w:lineRule="auto"/>
              <w:rPr>
                <w:rFonts w:cs="Arial"/>
                <w:b/>
              </w:rPr>
            </w:pPr>
            <w:r w:rsidRPr="007A1DA0">
              <w:rPr>
                <w:rFonts w:cs="Arial"/>
                <w:b/>
              </w:rPr>
              <w:t>Tenure</w:t>
            </w:r>
            <w:r>
              <w:rPr>
                <w:rFonts w:cs="Arial"/>
                <w:b/>
              </w:rPr>
              <w:t xml:space="preserve"> type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auto"/>
          </w:tcPr>
          <w:p w:rsidR="00FC2558" w:rsidRPr="007A1DA0" w:rsidRDefault="00FC2558" w:rsidP="00ED17B5">
            <w:pPr>
              <w:spacing w:line="276" w:lineRule="auto"/>
              <w:rPr>
                <w:b/>
              </w:rPr>
            </w:pPr>
            <w:r>
              <w:rPr>
                <w:b/>
              </w:rPr>
              <w:t>Registration required</w:t>
            </w:r>
          </w:p>
        </w:tc>
        <w:tc>
          <w:tcPr>
            <w:tcW w:w="7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auto"/>
          </w:tcPr>
          <w:p w:rsidR="00FC2558" w:rsidRPr="007A1DA0" w:rsidRDefault="00FC2558" w:rsidP="00ED17B5">
            <w:pPr>
              <w:spacing w:line="276" w:lineRule="auto"/>
              <w:rPr>
                <w:b/>
              </w:rPr>
            </w:pPr>
            <w:r>
              <w:rPr>
                <w:b/>
              </w:rPr>
              <w:t>Description</w:t>
            </w:r>
          </w:p>
        </w:tc>
      </w:tr>
      <w:tr w:rsidR="00FC2558" w:rsidRPr="00C55E40" w:rsidTr="00ED17B5">
        <w:tc>
          <w:tcPr>
            <w:tcW w:w="1702" w:type="dxa"/>
            <w:tcBorders>
              <w:top w:val="single" w:sz="4" w:space="0" w:color="FFFFFF" w:themeColor="background1"/>
            </w:tcBorders>
            <w:shd w:val="clear" w:color="auto" w:fill="FFFFFF" w:themeFill="background1"/>
          </w:tcPr>
          <w:p w:rsidR="00FC2558" w:rsidRPr="009A40F6" w:rsidRDefault="00061FEE" w:rsidP="00ED17B5">
            <w:pPr>
              <w:spacing w:line="276" w:lineRule="auto"/>
              <w:rPr>
                <w:b/>
                <w:color w:val="0000CC"/>
                <w:u w:val="single"/>
              </w:rPr>
            </w:pPr>
            <w:hyperlink w:anchor="CommonLawFreehold" w:history="1">
              <w:r w:rsidR="00FC2558" w:rsidRPr="00ED17B5">
                <w:rPr>
                  <w:rStyle w:val="Hyperlink"/>
                  <w:b/>
                </w:rPr>
                <w:t>Common law freehold</w:t>
              </w:r>
            </w:hyperlink>
          </w:p>
        </w:tc>
        <w:tc>
          <w:tcPr>
            <w:tcW w:w="1417" w:type="dxa"/>
            <w:tcBorders>
              <w:top w:val="single" w:sz="4" w:space="0" w:color="FFFFFF" w:themeColor="background1"/>
            </w:tcBorders>
            <w:shd w:val="clear" w:color="auto" w:fill="FFFFFF" w:themeFill="background1"/>
          </w:tcPr>
          <w:p w:rsidR="00FC2558" w:rsidRPr="007A1DA0" w:rsidRDefault="00FC2558" w:rsidP="00ED17B5">
            <w:pPr>
              <w:spacing w:line="276" w:lineRule="auto"/>
              <w:rPr>
                <w:rFonts w:cs="Arial"/>
              </w:rPr>
            </w:pPr>
            <w:r>
              <w:rPr>
                <w:rFonts w:cs="Arial"/>
              </w:rPr>
              <w:t>Yes</w:t>
            </w:r>
          </w:p>
        </w:tc>
        <w:tc>
          <w:tcPr>
            <w:tcW w:w="7196" w:type="dxa"/>
            <w:tcBorders>
              <w:top w:val="single" w:sz="4" w:space="0" w:color="FFFFFF" w:themeColor="background1"/>
            </w:tcBorders>
            <w:shd w:val="clear" w:color="auto" w:fill="FFFFFF" w:themeFill="background1"/>
          </w:tcPr>
          <w:p w:rsidR="00FC2558" w:rsidRPr="00AA47ED" w:rsidRDefault="00FC2558" w:rsidP="00ED17B5">
            <w:pPr>
              <w:spacing w:line="276" w:lineRule="auto"/>
              <w:rPr>
                <w:rFonts w:cs="Arial"/>
                <w:i/>
              </w:rPr>
            </w:pPr>
            <w:r w:rsidRPr="00024A24">
              <w:t>Exclusive ownership of</w:t>
            </w:r>
            <w:r>
              <w:t xml:space="preserve"> land for an indefinite period.</w:t>
            </w:r>
          </w:p>
        </w:tc>
      </w:tr>
      <w:tr w:rsidR="00FC2558" w:rsidRPr="00C55E40" w:rsidTr="00ED17B5">
        <w:tc>
          <w:tcPr>
            <w:tcW w:w="1702" w:type="dxa"/>
            <w:shd w:val="clear" w:color="auto" w:fill="FFFFFF" w:themeFill="background1"/>
          </w:tcPr>
          <w:p w:rsidR="00FC2558" w:rsidRPr="009A40F6" w:rsidRDefault="00061FEE" w:rsidP="00ED17B5">
            <w:pPr>
              <w:spacing w:line="276" w:lineRule="auto"/>
              <w:rPr>
                <w:rFonts w:cs="Arial"/>
                <w:b/>
                <w:color w:val="0000CC"/>
                <w:u w:val="single"/>
              </w:rPr>
            </w:pPr>
            <w:hyperlink w:anchor="PermanentLeaseKhaslease" w:history="1">
              <w:r w:rsidR="00FC2558" w:rsidRPr="00ED17B5">
                <w:rPr>
                  <w:rStyle w:val="Hyperlink"/>
                  <w:b/>
                </w:rPr>
                <w:t xml:space="preserve">'Permanent' lease / </w:t>
              </w:r>
              <w:proofErr w:type="spellStart"/>
              <w:r w:rsidR="00FC2558" w:rsidRPr="00ED17B5">
                <w:rPr>
                  <w:rStyle w:val="Hyperlink"/>
                  <w:b/>
                </w:rPr>
                <w:t>khas</w:t>
              </w:r>
              <w:proofErr w:type="spellEnd"/>
            </w:hyperlink>
          </w:p>
        </w:tc>
        <w:tc>
          <w:tcPr>
            <w:tcW w:w="1417" w:type="dxa"/>
            <w:shd w:val="clear" w:color="auto" w:fill="FFFFFF" w:themeFill="background1"/>
          </w:tcPr>
          <w:p w:rsidR="00FC2558" w:rsidRPr="007A1DA0" w:rsidRDefault="00FC2558" w:rsidP="00ED17B5">
            <w:pPr>
              <w:spacing w:line="276" w:lineRule="auto"/>
              <w:rPr>
                <w:rFonts w:cs="Arial"/>
              </w:rPr>
            </w:pPr>
            <w:r>
              <w:rPr>
                <w:rFonts w:cs="Arial"/>
              </w:rPr>
              <w:t>Yes</w:t>
            </w:r>
          </w:p>
        </w:tc>
        <w:tc>
          <w:tcPr>
            <w:tcW w:w="7196" w:type="dxa"/>
            <w:shd w:val="clear" w:color="auto" w:fill="FFFFFF" w:themeFill="background1"/>
          </w:tcPr>
          <w:p w:rsidR="00FC2558" w:rsidRPr="00AA47ED" w:rsidRDefault="00FC2558" w:rsidP="00ED17B5">
            <w:pPr>
              <w:spacing w:line="276" w:lineRule="auto"/>
              <w:rPr>
                <w:rFonts w:cs="Arial"/>
                <w:i/>
              </w:rPr>
            </w:pPr>
            <w:r>
              <w:t>The right to use a plot of government land (</w:t>
            </w:r>
            <w:proofErr w:type="spellStart"/>
            <w:r w:rsidRPr="00F37A6A">
              <w:rPr>
                <w:i/>
              </w:rPr>
              <w:t>khas</w:t>
            </w:r>
            <w:proofErr w:type="spellEnd"/>
            <w:r>
              <w:t>) ranging between one and three acres for a period of 99-years at no cost.</w:t>
            </w:r>
          </w:p>
        </w:tc>
      </w:tr>
      <w:tr w:rsidR="00FC2558" w:rsidRPr="00C55E40" w:rsidTr="00ED17B5">
        <w:tc>
          <w:tcPr>
            <w:tcW w:w="1702" w:type="dxa"/>
            <w:shd w:val="clear" w:color="auto" w:fill="FFFFFF" w:themeFill="background1"/>
          </w:tcPr>
          <w:p w:rsidR="00FC2558" w:rsidRPr="009A40F6" w:rsidRDefault="00061FEE" w:rsidP="00ED17B5">
            <w:pPr>
              <w:spacing w:line="276" w:lineRule="auto"/>
              <w:rPr>
                <w:b/>
                <w:color w:val="0000CC"/>
                <w:u w:val="single"/>
              </w:rPr>
            </w:pPr>
            <w:hyperlink w:anchor="Leasehold" w:history="1">
              <w:r w:rsidR="00FC2558" w:rsidRPr="00ED17B5">
                <w:rPr>
                  <w:rStyle w:val="Hyperlink"/>
                  <w:b/>
                </w:rPr>
                <w:t>Leasehold</w:t>
              </w:r>
            </w:hyperlink>
          </w:p>
        </w:tc>
        <w:tc>
          <w:tcPr>
            <w:tcW w:w="1417" w:type="dxa"/>
            <w:shd w:val="clear" w:color="auto" w:fill="FFFFFF" w:themeFill="background1"/>
          </w:tcPr>
          <w:p w:rsidR="00FC2558" w:rsidRPr="007A1DA0" w:rsidRDefault="00FC2558" w:rsidP="00ED17B5">
            <w:pPr>
              <w:spacing w:line="276" w:lineRule="auto"/>
            </w:pPr>
            <w:r>
              <w:t>Only if greater than one year</w:t>
            </w:r>
          </w:p>
        </w:tc>
        <w:tc>
          <w:tcPr>
            <w:tcW w:w="7196" w:type="dxa"/>
            <w:shd w:val="clear" w:color="auto" w:fill="FFFFFF" w:themeFill="background1"/>
          </w:tcPr>
          <w:p w:rsidR="00FC2558" w:rsidRPr="007A1DA0" w:rsidRDefault="00FC2558" w:rsidP="00ED17B5">
            <w:pPr>
              <w:tabs>
                <w:tab w:val="left" w:pos="1035"/>
              </w:tabs>
              <w:spacing w:line="276" w:lineRule="auto"/>
            </w:pPr>
            <w:r w:rsidRPr="00AF23DC">
              <w:t xml:space="preserve">The right to use land </w:t>
            </w:r>
            <w:r>
              <w:t xml:space="preserve">or housing </w:t>
            </w:r>
            <w:r w:rsidRPr="00AF23DC">
              <w:t>owned by another for a fixed period</w:t>
            </w:r>
            <w:r>
              <w:t xml:space="preserve"> in exchange for payment of rent</w:t>
            </w:r>
            <w:r w:rsidRPr="00AF23DC">
              <w:t>. Leases of more than one year must be registered.</w:t>
            </w:r>
            <w:r>
              <w:t xml:space="preserve"> Leases of one year or less do not need to be in writing.</w:t>
            </w:r>
          </w:p>
        </w:tc>
      </w:tr>
      <w:tr w:rsidR="00FC2558" w:rsidRPr="00C55E40" w:rsidTr="00ED17B5">
        <w:tc>
          <w:tcPr>
            <w:tcW w:w="1702" w:type="dxa"/>
            <w:shd w:val="clear" w:color="auto" w:fill="FFFFFF" w:themeFill="background1"/>
          </w:tcPr>
          <w:p w:rsidR="00FC2558" w:rsidRPr="009A40F6" w:rsidRDefault="00061FEE" w:rsidP="00ED17B5">
            <w:pPr>
              <w:spacing w:line="276" w:lineRule="auto"/>
              <w:rPr>
                <w:b/>
                <w:color w:val="0000CC"/>
                <w:u w:val="single"/>
              </w:rPr>
            </w:pPr>
            <w:hyperlink w:anchor="SharecroppingAgreement" w:history="1">
              <w:r w:rsidR="00FC2558" w:rsidRPr="00ED17B5">
                <w:rPr>
                  <w:rStyle w:val="Hyperlink"/>
                  <w:b/>
                </w:rPr>
                <w:t>Sharecropping agreement</w:t>
              </w:r>
            </w:hyperlink>
          </w:p>
        </w:tc>
        <w:tc>
          <w:tcPr>
            <w:tcW w:w="1417" w:type="dxa"/>
            <w:shd w:val="clear" w:color="auto" w:fill="FFFFFF" w:themeFill="background1"/>
          </w:tcPr>
          <w:p w:rsidR="00FC2558" w:rsidRPr="007A1DA0" w:rsidRDefault="00FC2558" w:rsidP="00ED17B5">
            <w:pPr>
              <w:spacing w:line="276" w:lineRule="auto"/>
            </w:pPr>
            <w:r>
              <w:t>No</w:t>
            </w:r>
          </w:p>
        </w:tc>
        <w:tc>
          <w:tcPr>
            <w:tcW w:w="7196" w:type="dxa"/>
            <w:shd w:val="clear" w:color="auto" w:fill="FFFFFF" w:themeFill="background1"/>
          </w:tcPr>
          <w:p w:rsidR="00FC2558" w:rsidRPr="007A1DA0" w:rsidRDefault="00FC2558" w:rsidP="00ED17B5">
            <w:pPr>
              <w:spacing w:line="276" w:lineRule="auto"/>
            </w:pPr>
            <w:r>
              <w:t xml:space="preserve">An agreement whereby a </w:t>
            </w:r>
            <w:r w:rsidRPr="00AF23DC">
              <w:t>sharecropper and landowner each receive one-third of the crop, and the remaining third is allocated based on their contribution to the costs of growing the crops. Sharecropper contracts must be for a minimum of five years and are heritable.</w:t>
            </w:r>
          </w:p>
        </w:tc>
      </w:tr>
      <w:tr w:rsidR="00FC2558" w:rsidRPr="00C55E40" w:rsidTr="00ED17B5">
        <w:tc>
          <w:tcPr>
            <w:tcW w:w="1702" w:type="dxa"/>
            <w:shd w:val="clear" w:color="auto" w:fill="FFFFFF" w:themeFill="background1"/>
          </w:tcPr>
          <w:p w:rsidR="00FC2558" w:rsidRPr="009A40F6" w:rsidRDefault="00061FEE" w:rsidP="00ED17B5">
            <w:pPr>
              <w:spacing w:line="276" w:lineRule="auto"/>
              <w:rPr>
                <w:b/>
                <w:color w:val="0000CC"/>
                <w:u w:val="single"/>
              </w:rPr>
            </w:pPr>
            <w:hyperlink w:anchor="CustomaryOwnership" w:history="1">
              <w:r w:rsidR="00FC2558" w:rsidRPr="00ED17B5">
                <w:rPr>
                  <w:rStyle w:val="Hyperlink"/>
                  <w:b/>
                </w:rPr>
                <w:t>Customary ownership</w:t>
              </w:r>
            </w:hyperlink>
          </w:p>
        </w:tc>
        <w:tc>
          <w:tcPr>
            <w:tcW w:w="1417" w:type="dxa"/>
            <w:shd w:val="clear" w:color="auto" w:fill="FFFFFF" w:themeFill="background1"/>
          </w:tcPr>
          <w:p w:rsidR="00FC2558" w:rsidRPr="007A1DA0" w:rsidRDefault="00FC2558" w:rsidP="00ED17B5">
            <w:pPr>
              <w:spacing w:line="276" w:lineRule="auto"/>
            </w:pPr>
            <w:r>
              <w:t>No</w:t>
            </w:r>
          </w:p>
        </w:tc>
        <w:tc>
          <w:tcPr>
            <w:tcW w:w="7196" w:type="dxa"/>
            <w:shd w:val="clear" w:color="auto" w:fill="FFFFFF" w:themeFill="background1"/>
          </w:tcPr>
          <w:p w:rsidR="00FC2558" w:rsidRPr="007A1DA0" w:rsidRDefault="00FC2558" w:rsidP="00ED17B5">
            <w:pPr>
              <w:spacing w:line="276" w:lineRule="auto"/>
            </w:pPr>
            <w:r>
              <w:t>In t</w:t>
            </w:r>
            <w:r w:rsidRPr="00024A24">
              <w:t xml:space="preserve">he Chittagong Hill Tracts </w:t>
            </w:r>
            <w:r>
              <w:t xml:space="preserve">region </w:t>
            </w:r>
            <w:r w:rsidRPr="00024A24">
              <w:t>(</w:t>
            </w:r>
            <w:r w:rsidRPr="00357000">
              <w:rPr>
                <w:b/>
                <w:i/>
              </w:rPr>
              <w:t>CHT Region</w:t>
            </w:r>
            <w:r w:rsidRPr="00024A24">
              <w:t xml:space="preserve">), </w:t>
            </w:r>
            <w:r>
              <w:t>which is home to the majority of Bangladesh' indigenous people, land use and ownership is governed by customary law.</w:t>
            </w:r>
          </w:p>
        </w:tc>
      </w:tr>
      <w:tr w:rsidR="00FC2558" w:rsidRPr="00C55E40" w:rsidTr="00ED17B5">
        <w:tc>
          <w:tcPr>
            <w:tcW w:w="1702" w:type="dxa"/>
            <w:shd w:val="clear" w:color="auto" w:fill="FFFFFF" w:themeFill="background1"/>
          </w:tcPr>
          <w:p w:rsidR="00FC2558" w:rsidRPr="009A40F6" w:rsidRDefault="00061FEE" w:rsidP="00ED17B5">
            <w:pPr>
              <w:spacing w:line="276" w:lineRule="auto"/>
              <w:rPr>
                <w:b/>
                <w:color w:val="0000CC"/>
                <w:u w:val="single"/>
              </w:rPr>
            </w:pPr>
            <w:hyperlink w:anchor="CooperativeOwnership" w:history="1">
              <w:r w:rsidR="00FC2558" w:rsidRPr="00ED17B5">
                <w:rPr>
                  <w:rStyle w:val="Hyperlink"/>
                  <w:b/>
                </w:rPr>
                <w:t>Co-operative ownership</w:t>
              </w:r>
            </w:hyperlink>
          </w:p>
        </w:tc>
        <w:tc>
          <w:tcPr>
            <w:tcW w:w="1417" w:type="dxa"/>
            <w:shd w:val="clear" w:color="auto" w:fill="FFFFFF" w:themeFill="background1"/>
          </w:tcPr>
          <w:p w:rsidR="00FC2558" w:rsidRPr="007A1DA0" w:rsidRDefault="00FC2558" w:rsidP="00ED17B5">
            <w:pPr>
              <w:spacing w:line="276" w:lineRule="auto"/>
            </w:pPr>
            <w:r>
              <w:t>No</w:t>
            </w:r>
          </w:p>
        </w:tc>
        <w:tc>
          <w:tcPr>
            <w:tcW w:w="7196" w:type="dxa"/>
            <w:shd w:val="clear" w:color="auto" w:fill="FFFFFF" w:themeFill="background1"/>
          </w:tcPr>
          <w:p w:rsidR="00FC2558" w:rsidRPr="007A1DA0" w:rsidRDefault="00FC2558" w:rsidP="00ED17B5">
            <w:pPr>
              <w:spacing w:line="276" w:lineRule="auto"/>
            </w:pPr>
            <w:r>
              <w:t>Using land and/or housing</w:t>
            </w:r>
            <w:r w:rsidRPr="00C664C5">
              <w:t xml:space="preserve"> as a member of a registered co-cooperative society which owns the land.</w:t>
            </w:r>
          </w:p>
        </w:tc>
      </w:tr>
      <w:tr w:rsidR="00FC2558" w:rsidRPr="00C55E40" w:rsidTr="00ED17B5">
        <w:tc>
          <w:tcPr>
            <w:tcW w:w="1702" w:type="dxa"/>
            <w:shd w:val="clear" w:color="auto" w:fill="FFFFFF" w:themeFill="background1"/>
          </w:tcPr>
          <w:p w:rsidR="00FC2558" w:rsidRPr="009A40F6" w:rsidRDefault="00061FEE" w:rsidP="00ED17B5">
            <w:pPr>
              <w:spacing w:line="276" w:lineRule="auto"/>
              <w:rPr>
                <w:b/>
                <w:color w:val="0000CC"/>
                <w:u w:val="single"/>
              </w:rPr>
            </w:pPr>
            <w:hyperlink w:anchor="TiedTenancy" w:history="1">
              <w:r w:rsidR="00FC2558" w:rsidRPr="00ED17B5">
                <w:rPr>
                  <w:rStyle w:val="Hyperlink"/>
                  <w:b/>
                </w:rPr>
                <w:t>Tied tenancy</w:t>
              </w:r>
            </w:hyperlink>
          </w:p>
        </w:tc>
        <w:tc>
          <w:tcPr>
            <w:tcW w:w="1417" w:type="dxa"/>
            <w:shd w:val="clear" w:color="auto" w:fill="FFFFFF" w:themeFill="background1"/>
          </w:tcPr>
          <w:p w:rsidR="00FC2558" w:rsidRPr="007A1DA0" w:rsidRDefault="00FC2558" w:rsidP="00ED17B5">
            <w:pPr>
              <w:spacing w:line="276" w:lineRule="auto"/>
            </w:pPr>
            <w:r>
              <w:t>No</w:t>
            </w:r>
          </w:p>
        </w:tc>
        <w:tc>
          <w:tcPr>
            <w:tcW w:w="7196" w:type="dxa"/>
            <w:shd w:val="clear" w:color="auto" w:fill="FFFFFF" w:themeFill="background1"/>
          </w:tcPr>
          <w:p w:rsidR="00FC2558" w:rsidRPr="007A1DA0" w:rsidRDefault="00FC2558" w:rsidP="00ED17B5">
            <w:pPr>
              <w:spacing w:line="276" w:lineRule="auto"/>
            </w:pPr>
            <w:r>
              <w:t>Occupying housing as an employee of a government agency or private organisation, or as a labourer on agricultural land.</w:t>
            </w:r>
          </w:p>
        </w:tc>
      </w:tr>
      <w:tr w:rsidR="00FC2558" w:rsidRPr="00C55E40" w:rsidTr="00ED17B5">
        <w:tc>
          <w:tcPr>
            <w:tcW w:w="1702" w:type="dxa"/>
            <w:shd w:val="clear" w:color="auto" w:fill="FFFFFF" w:themeFill="background1"/>
          </w:tcPr>
          <w:p w:rsidR="00FC2558" w:rsidRPr="009A40F6" w:rsidRDefault="00061FEE" w:rsidP="00ED17B5">
            <w:pPr>
              <w:spacing w:line="276" w:lineRule="auto"/>
              <w:rPr>
                <w:b/>
                <w:color w:val="0000CC"/>
                <w:u w:val="single"/>
              </w:rPr>
            </w:pPr>
            <w:hyperlink w:anchor="BedRoomRental" w:history="1">
              <w:r w:rsidR="00FC2558" w:rsidRPr="00ED17B5">
                <w:rPr>
                  <w:rStyle w:val="Hyperlink"/>
                  <w:b/>
                </w:rPr>
                <w:t>Bed or room rental</w:t>
              </w:r>
            </w:hyperlink>
          </w:p>
        </w:tc>
        <w:tc>
          <w:tcPr>
            <w:tcW w:w="1417" w:type="dxa"/>
            <w:shd w:val="clear" w:color="auto" w:fill="FFFFFF" w:themeFill="background1"/>
          </w:tcPr>
          <w:p w:rsidR="00FC2558" w:rsidRDefault="00FC2558" w:rsidP="00ED17B5">
            <w:pPr>
              <w:spacing w:line="276" w:lineRule="auto"/>
            </w:pPr>
            <w:r>
              <w:t>No</w:t>
            </w:r>
          </w:p>
        </w:tc>
        <w:tc>
          <w:tcPr>
            <w:tcW w:w="7196" w:type="dxa"/>
            <w:shd w:val="clear" w:color="auto" w:fill="FFFFFF" w:themeFill="background1"/>
          </w:tcPr>
          <w:p w:rsidR="00FC2558" w:rsidRPr="007A1DA0" w:rsidRDefault="00FC2558" w:rsidP="00ED17B5">
            <w:pPr>
              <w:spacing w:line="276" w:lineRule="auto"/>
            </w:pPr>
            <w:r>
              <w:t>Renting a bed or room, usually on a short-term basis.</w:t>
            </w:r>
          </w:p>
        </w:tc>
      </w:tr>
      <w:tr w:rsidR="00FC2558" w:rsidRPr="00C55E40" w:rsidTr="00ED17B5">
        <w:tc>
          <w:tcPr>
            <w:tcW w:w="1702" w:type="dxa"/>
            <w:shd w:val="clear" w:color="auto" w:fill="FFFFFF" w:themeFill="background1"/>
          </w:tcPr>
          <w:p w:rsidR="00FC2558" w:rsidRPr="009A40F6" w:rsidRDefault="00061FEE" w:rsidP="00ED17B5">
            <w:pPr>
              <w:spacing w:line="276" w:lineRule="auto"/>
              <w:rPr>
                <w:b/>
                <w:color w:val="0000CC"/>
                <w:u w:val="single"/>
              </w:rPr>
            </w:pPr>
            <w:hyperlink w:anchor="InformalTenureTypes" w:history="1">
              <w:r w:rsidR="00FC2558" w:rsidRPr="00ED17B5">
                <w:rPr>
                  <w:rStyle w:val="Hyperlink"/>
                  <w:b/>
                </w:rPr>
                <w:t>Informal tenure types</w:t>
              </w:r>
            </w:hyperlink>
          </w:p>
        </w:tc>
        <w:tc>
          <w:tcPr>
            <w:tcW w:w="1417" w:type="dxa"/>
            <w:shd w:val="clear" w:color="auto" w:fill="FFFFFF" w:themeFill="background1"/>
          </w:tcPr>
          <w:p w:rsidR="00FC2558" w:rsidRPr="007A1DA0" w:rsidRDefault="00FC2558" w:rsidP="00ED17B5">
            <w:pPr>
              <w:spacing w:line="276" w:lineRule="auto"/>
            </w:pPr>
            <w:r>
              <w:t>No</w:t>
            </w:r>
          </w:p>
        </w:tc>
        <w:tc>
          <w:tcPr>
            <w:tcW w:w="7196" w:type="dxa"/>
            <w:shd w:val="clear" w:color="auto" w:fill="FFFFFF" w:themeFill="background1"/>
          </w:tcPr>
          <w:p w:rsidR="00FC2558" w:rsidRPr="00975E2C" w:rsidRDefault="00FC2558" w:rsidP="00ED17B5">
            <w:pPr>
              <w:pStyle w:val="NormalIndent"/>
              <w:ind w:left="0"/>
            </w:pPr>
            <w:r w:rsidRPr="00975E2C">
              <w:t xml:space="preserve">Tenure which does not comply with registration requirements, such as leasing for more than a year without a registered lease, or owning </w:t>
            </w:r>
            <w:r>
              <w:t xml:space="preserve">freehold </w:t>
            </w:r>
            <w:r w:rsidRPr="00975E2C">
              <w:t>land which has not been correctly registered.</w:t>
            </w:r>
          </w:p>
        </w:tc>
      </w:tr>
      <w:tr w:rsidR="00FC2558" w:rsidRPr="00C55E40" w:rsidTr="00ED17B5">
        <w:tc>
          <w:tcPr>
            <w:tcW w:w="1702" w:type="dxa"/>
            <w:tcBorders>
              <w:bottom w:val="single" w:sz="4" w:space="0" w:color="auto"/>
            </w:tcBorders>
            <w:shd w:val="clear" w:color="auto" w:fill="FFFFFF" w:themeFill="background1"/>
          </w:tcPr>
          <w:p w:rsidR="00FC2558" w:rsidRPr="009A40F6" w:rsidRDefault="00061FEE" w:rsidP="00ED17B5">
            <w:pPr>
              <w:spacing w:line="276" w:lineRule="auto"/>
              <w:rPr>
                <w:b/>
                <w:u w:val="single"/>
              </w:rPr>
            </w:pPr>
            <w:hyperlink w:anchor="Squatting" w:history="1">
              <w:r w:rsidR="00FC2558" w:rsidRPr="00ED17B5">
                <w:rPr>
                  <w:rStyle w:val="Hyperlink"/>
                  <w:b/>
                </w:rPr>
                <w:t>Squatting</w:t>
              </w:r>
            </w:hyperlink>
          </w:p>
        </w:tc>
        <w:tc>
          <w:tcPr>
            <w:tcW w:w="1417" w:type="dxa"/>
            <w:tcBorders>
              <w:bottom w:val="single" w:sz="4" w:space="0" w:color="auto"/>
            </w:tcBorders>
            <w:shd w:val="clear" w:color="auto" w:fill="FFFFFF" w:themeFill="background1"/>
          </w:tcPr>
          <w:p w:rsidR="00FC2558" w:rsidRDefault="00FC2558" w:rsidP="00ED17B5">
            <w:pPr>
              <w:spacing w:line="276" w:lineRule="auto"/>
            </w:pPr>
            <w:r>
              <w:t>No</w:t>
            </w:r>
          </w:p>
        </w:tc>
        <w:tc>
          <w:tcPr>
            <w:tcW w:w="7196" w:type="dxa"/>
            <w:tcBorders>
              <w:bottom w:val="single" w:sz="4" w:space="0" w:color="auto"/>
            </w:tcBorders>
            <w:shd w:val="clear" w:color="auto" w:fill="FFFFFF" w:themeFill="background1"/>
          </w:tcPr>
          <w:p w:rsidR="00FC2558" w:rsidRPr="00F37A6A" w:rsidRDefault="00FC2558" w:rsidP="00ED17B5">
            <w:pPr>
              <w:pStyle w:val="NormalIndent"/>
              <w:ind w:left="0"/>
              <w:rPr>
                <w:color w:val="000000" w:themeColor="text1"/>
              </w:rPr>
            </w:pPr>
            <w:r>
              <w:rPr>
                <w:color w:val="000000" w:themeColor="text1"/>
              </w:rPr>
              <w:t>I</w:t>
            </w:r>
            <w:r w:rsidRPr="007969EC">
              <w:rPr>
                <w:color w:val="000000" w:themeColor="text1"/>
              </w:rPr>
              <w:t xml:space="preserve">llegally living on land which is not one's own, including </w:t>
            </w:r>
            <w:r>
              <w:rPr>
                <w:color w:val="000000" w:themeColor="text1"/>
              </w:rPr>
              <w:t>either</w:t>
            </w:r>
            <w:r w:rsidRPr="007969EC">
              <w:rPr>
                <w:color w:val="000000" w:themeColor="text1"/>
              </w:rPr>
              <w:t xml:space="preserve"> public or private land.</w:t>
            </w:r>
          </w:p>
        </w:tc>
      </w:tr>
      <w:tr w:rsidR="00FC2558" w:rsidRPr="00C55E40" w:rsidTr="00D531DE">
        <w:tc>
          <w:tcPr>
            <w:tcW w:w="10315" w:type="dxa"/>
            <w:gridSpan w:val="3"/>
            <w:tcBorders>
              <w:left w:val="nil"/>
              <w:bottom w:val="single" w:sz="4" w:space="0" w:color="FFFFFF" w:themeColor="background1"/>
              <w:right w:val="nil"/>
            </w:tcBorders>
            <w:shd w:val="clear" w:color="auto" w:fill="FFFFFF" w:themeFill="background1"/>
          </w:tcPr>
          <w:p w:rsidR="00FC2558" w:rsidRDefault="00FC2558" w:rsidP="00ED17B5">
            <w:r>
              <w:t>The most secure forms of tenure are common law freehold, registered leases and 99-year leases of Government land (</w:t>
            </w:r>
            <w:proofErr w:type="spellStart"/>
            <w:r w:rsidRPr="00AA578E">
              <w:rPr>
                <w:i/>
              </w:rPr>
              <w:t>khas</w:t>
            </w:r>
            <w:proofErr w:type="spellEnd"/>
            <w:r>
              <w:t xml:space="preserve">). However, even persons with these types of tenure may face difficulty maintaining their land due to widespread </w:t>
            </w:r>
            <w:proofErr w:type="spellStart"/>
            <w:r>
              <w:t>landgrabbing</w:t>
            </w:r>
            <w:proofErr w:type="spellEnd"/>
            <w:r>
              <w:t>.</w:t>
            </w:r>
          </w:p>
          <w:p w:rsidR="00FC2558" w:rsidRDefault="00FC2558" w:rsidP="00ED17B5">
            <w:r>
              <w:t xml:space="preserve">The first three types of tenure in the table above are required to be registered. In practice, serious problems with Bangladesh's land registration process mean that informal </w:t>
            </w:r>
            <w:proofErr w:type="spellStart"/>
            <w:r>
              <w:t>conveyancing</w:t>
            </w:r>
            <w:proofErr w:type="spellEnd"/>
            <w:r>
              <w:t xml:space="preserve"> is extremely common and land record certificates (</w:t>
            </w:r>
            <w:proofErr w:type="spellStart"/>
            <w:r w:rsidRPr="00F87797">
              <w:rPr>
                <w:i/>
              </w:rPr>
              <w:t>khatian</w:t>
            </w:r>
            <w:r>
              <w:rPr>
                <w:i/>
              </w:rPr>
              <w:t>s</w:t>
            </w:r>
            <w:proofErr w:type="spellEnd"/>
            <w:r>
              <w:t xml:space="preserve">) cannot be relied on as conclusive proof of land ownership or rights </w:t>
            </w:r>
            <w:r w:rsidRPr="005C72DF">
              <w:t xml:space="preserve">(see </w:t>
            </w:r>
            <w:hyperlink w:anchor="DocumentTenure" w:history="1">
              <w:r w:rsidRPr="005C72DF">
                <w:rPr>
                  <w:rStyle w:val="Hyperlink"/>
                  <w:color w:val="auto"/>
                  <w:u w:val="none"/>
                </w:rPr>
                <w:t>section 2.2</w:t>
              </w:r>
            </w:hyperlink>
            <w:r w:rsidRPr="005C72DF">
              <w:t xml:space="preserve"> of t</w:t>
            </w:r>
            <w:r>
              <w:t>he attached memo).</w:t>
            </w:r>
          </w:p>
          <w:p w:rsidR="00D531DE" w:rsidRPr="00324B3A" w:rsidRDefault="00D531DE" w:rsidP="00ED17B5"/>
        </w:tc>
      </w:tr>
    </w:tbl>
    <w:tbl>
      <w:tblPr>
        <w:tblStyle w:val="TableGrid"/>
        <w:tblW w:w="0" w:type="auto"/>
        <w:tblInd w:w="-743" w:type="dxa"/>
        <w:tblLook w:val="04A0" w:firstRow="1" w:lastRow="0" w:firstColumn="1" w:lastColumn="0" w:noHBand="0" w:noVBand="1"/>
      </w:tblPr>
      <w:tblGrid>
        <w:gridCol w:w="2411"/>
        <w:gridCol w:w="7904"/>
      </w:tblGrid>
      <w:tr w:rsidR="00FC2558" w:rsidTr="00D531DE">
        <w:tc>
          <w:tcPr>
            <w:tcW w:w="10315"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FC2558" w:rsidRPr="000F3732" w:rsidRDefault="00061FEE" w:rsidP="000F3732">
            <w:pPr>
              <w:spacing w:line="276" w:lineRule="auto"/>
              <w:rPr>
                <w:b/>
                <w:sz w:val="22"/>
                <w:szCs w:val="22"/>
              </w:rPr>
            </w:pPr>
            <w:hyperlink w:anchor="SecurityofTenure" w:history="1">
              <w:r w:rsidR="00FC2558" w:rsidRPr="000F3732">
                <w:rPr>
                  <w:rStyle w:val="Hyperlink"/>
                  <w:b/>
                  <w:color w:val="auto"/>
                  <w:sz w:val="22"/>
                  <w:szCs w:val="22"/>
                  <w:u w:val="none"/>
                </w:rPr>
                <w:t>3. S</w:t>
              </w:r>
              <w:r w:rsidR="000F3732" w:rsidRPr="000F3732">
                <w:rPr>
                  <w:rStyle w:val="Hyperlink"/>
                  <w:b/>
                  <w:color w:val="auto"/>
                  <w:sz w:val="22"/>
                  <w:szCs w:val="22"/>
                  <w:u w:val="none"/>
                </w:rPr>
                <w:t>ecurity</w:t>
              </w:r>
            </w:hyperlink>
            <w:r w:rsidR="000F3732" w:rsidRPr="000F3732">
              <w:rPr>
                <w:rStyle w:val="Hyperlink"/>
                <w:b/>
                <w:color w:val="auto"/>
                <w:sz w:val="22"/>
                <w:szCs w:val="22"/>
                <w:u w:val="none"/>
              </w:rPr>
              <w:t xml:space="preserve"> of tenure of vulnerable groups</w:t>
            </w:r>
          </w:p>
        </w:tc>
      </w:tr>
      <w:tr w:rsidR="00FC2558" w:rsidTr="00D531DE">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C2558" w:rsidRPr="00A775FB" w:rsidRDefault="00061FEE" w:rsidP="00A775FB">
            <w:pPr>
              <w:rPr>
                <w:b/>
              </w:rPr>
            </w:pPr>
            <w:hyperlink w:anchor="IndigenousGroups" w:history="1">
              <w:bookmarkStart w:id="4" w:name="_Toc512935686"/>
              <w:r w:rsidR="00FC2558" w:rsidRPr="00A775FB">
                <w:rPr>
                  <w:rStyle w:val="Hyperlink"/>
                  <w:b/>
                </w:rPr>
                <w:t>Indigenous groups</w:t>
              </w:r>
              <w:bookmarkEnd w:id="4"/>
            </w:hyperlink>
          </w:p>
        </w:tc>
        <w:tc>
          <w:tcPr>
            <w:tcW w:w="7904" w:type="dxa"/>
            <w:tcBorders>
              <w:left w:val="single" w:sz="4" w:space="0" w:color="000000" w:themeColor="text1"/>
              <w:right w:val="single" w:sz="4" w:space="0" w:color="000000" w:themeColor="text1"/>
            </w:tcBorders>
          </w:tcPr>
          <w:p w:rsidR="00FC2558" w:rsidRPr="00C832CB" w:rsidRDefault="00FC2558" w:rsidP="00ED17B5">
            <w:pPr>
              <w:spacing w:line="276" w:lineRule="auto"/>
            </w:pPr>
            <w:r>
              <w:t xml:space="preserve">Outside of the </w:t>
            </w:r>
            <w:r w:rsidRPr="00024A24">
              <w:t xml:space="preserve">Chittagong Hill Tracts </w:t>
            </w:r>
            <w:r>
              <w:t xml:space="preserve">region, customary ownership of land is not legally recognised. Within the </w:t>
            </w:r>
            <w:r w:rsidRPr="00024A24">
              <w:t xml:space="preserve">Chittagong Hill Tracts </w:t>
            </w:r>
            <w:r>
              <w:t>region, the migration of Bengali settlers onto customary land has created conflict with indigenous peoples, who often lack the resources to adequately defend their property rights.</w:t>
            </w:r>
          </w:p>
        </w:tc>
      </w:tr>
      <w:tr w:rsidR="00FC2558" w:rsidTr="00ED17B5">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C2558" w:rsidRPr="00A775FB" w:rsidRDefault="00061FEE" w:rsidP="00A775FB">
            <w:pPr>
              <w:rPr>
                <w:b/>
              </w:rPr>
            </w:pPr>
            <w:hyperlink w:anchor="Women" w:history="1">
              <w:bookmarkStart w:id="5" w:name="_Toc512935687"/>
              <w:r w:rsidR="00FC2558" w:rsidRPr="00A775FB">
                <w:rPr>
                  <w:rStyle w:val="Hyperlink"/>
                  <w:b/>
                </w:rPr>
                <w:t>Women</w:t>
              </w:r>
              <w:bookmarkEnd w:id="5"/>
            </w:hyperlink>
          </w:p>
        </w:tc>
        <w:tc>
          <w:tcPr>
            <w:tcW w:w="7904" w:type="dxa"/>
            <w:tcBorders>
              <w:left w:val="single" w:sz="4" w:space="0" w:color="000000" w:themeColor="text1"/>
            </w:tcBorders>
          </w:tcPr>
          <w:p w:rsidR="00FC2558" w:rsidRPr="00895D0F" w:rsidRDefault="00FC2558" w:rsidP="00ED17B5">
            <w:pPr>
              <w:spacing w:line="276" w:lineRule="auto"/>
            </w:pPr>
            <w:r>
              <w:t xml:space="preserve">In practice, women in Bangladesh rarely have formal, legal property rights. This is largely due to Muslim and Hindu inheritance laws, which limit wives' and daughters' entitlements to inherit property. The religious and social norm of </w:t>
            </w:r>
            <w:r w:rsidRPr="00895D0F">
              <w:rPr>
                <w:i/>
              </w:rPr>
              <w:t>purdah</w:t>
            </w:r>
            <w:r>
              <w:t xml:space="preserve">, which restricts women's interactions with persons outside of her family, is also a barrier to </w:t>
            </w:r>
            <w:proofErr w:type="gramStart"/>
            <w:r>
              <w:t>women  understanding</w:t>
            </w:r>
            <w:proofErr w:type="gramEnd"/>
            <w:r>
              <w:t>, acquiring and enforcing property rights.</w:t>
            </w:r>
          </w:p>
        </w:tc>
      </w:tr>
      <w:tr w:rsidR="00FC2558" w:rsidTr="00ED17B5">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C2558" w:rsidRPr="00A775FB" w:rsidRDefault="00061FEE" w:rsidP="00A775FB">
            <w:pPr>
              <w:rPr>
                <w:b/>
              </w:rPr>
            </w:pPr>
            <w:hyperlink w:anchor="MinorityGroups" w:history="1">
              <w:bookmarkStart w:id="6" w:name="_Toc512935688"/>
              <w:r w:rsidR="00FC2558" w:rsidRPr="00A775FB">
                <w:rPr>
                  <w:rStyle w:val="Hyperlink"/>
                  <w:b/>
                </w:rPr>
                <w:t>Minority groups</w:t>
              </w:r>
              <w:bookmarkEnd w:id="6"/>
            </w:hyperlink>
          </w:p>
        </w:tc>
        <w:tc>
          <w:tcPr>
            <w:tcW w:w="7904" w:type="dxa"/>
            <w:tcBorders>
              <w:left w:val="single" w:sz="4" w:space="0" w:color="000000" w:themeColor="text1"/>
            </w:tcBorders>
          </w:tcPr>
          <w:p w:rsidR="00FC2558" w:rsidRPr="007A1DA0" w:rsidRDefault="00FC2558" w:rsidP="00ED17B5">
            <w:pPr>
              <w:spacing w:line="276" w:lineRule="auto"/>
            </w:pPr>
            <w:r>
              <w:t xml:space="preserve">Until 2001, Bangladesh's Hindu, Buddhist and Christian populations were often targeted under the </w:t>
            </w:r>
            <w:r w:rsidRPr="00215335">
              <w:rPr>
                <w:i/>
              </w:rPr>
              <w:t xml:space="preserve">Vested Property </w:t>
            </w:r>
            <w:r w:rsidRPr="00215335">
              <w:t>Act</w:t>
            </w:r>
            <w:r>
              <w:t>, which permitted the Government to confiscate property from any individual it designated an 'enemy of the State'. Although this law has been repealed, its legacy is the dispossession of religious minorities of large amounts of property.</w:t>
            </w:r>
          </w:p>
        </w:tc>
      </w:tr>
      <w:tr w:rsidR="00FC2558" w:rsidTr="00ED17B5">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C2558" w:rsidRPr="00A775FB" w:rsidRDefault="00061FEE" w:rsidP="00A775FB">
            <w:pPr>
              <w:rPr>
                <w:b/>
              </w:rPr>
            </w:pPr>
            <w:hyperlink w:anchor="InformalSettlements" w:history="1">
              <w:bookmarkStart w:id="7" w:name="_Toc512935689"/>
              <w:r w:rsidR="00FC2558" w:rsidRPr="00A775FB">
                <w:rPr>
                  <w:rStyle w:val="Hyperlink"/>
                  <w:b/>
                </w:rPr>
                <w:t>Informal settlements</w:t>
              </w:r>
              <w:bookmarkEnd w:id="7"/>
            </w:hyperlink>
          </w:p>
        </w:tc>
        <w:tc>
          <w:tcPr>
            <w:tcW w:w="7904" w:type="dxa"/>
            <w:tcBorders>
              <w:left w:val="single" w:sz="4" w:space="0" w:color="000000" w:themeColor="text1"/>
              <w:bottom w:val="single" w:sz="4" w:space="0" w:color="auto"/>
            </w:tcBorders>
          </w:tcPr>
          <w:p w:rsidR="00FC2558" w:rsidRPr="007A1DA0" w:rsidRDefault="00FC2558" w:rsidP="00ED17B5">
            <w:pPr>
              <w:spacing w:line="276" w:lineRule="auto"/>
            </w:pPr>
            <w:r>
              <w:t>In all major urban centres, a significant proportion of the total population lives in slums. However, tenure arrangements within slums are diverse and not all slum residents experience a high degree of tenure insecurity. Slum residents with the least secure tenure are those squatting on public land.</w:t>
            </w:r>
          </w:p>
        </w:tc>
      </w:tr>
      <w:tr w:rsidR="00FC2558" w:rsidTr="00ED17B5">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C2558" w:rsidRPr="00A775FB" w:rsidRDefault="00061FEE" w:rsidP="00A775FB">
            <w:pPr>
              <w:rPr>
                <w:b/>
              </w:rPr>
            </w:pPr>
            <w:hyperlink w:anchor="LandlessPeopleSquatters" w:history="1">
              <w:bookmarkStart w:id="8" w:name="_Toc512935690"/>
              <w:r w:rsidR="00FC2558" w:rsidRPr="00A775FB">
                <w:rPr>
                  <w:rStyle w:val="Hyperlink"/>
                  <w:b/>
                </w:rPr>
                <w:t>Landless people</w:t>
              </w:r>
              <w:bookmarkEnd w:id="8"/>
            </w:hyperlink>
          </w:p>
        </w:tc>
        <w:tc>
          <w:tcPr>
            <w:tcW w:w="7904" w:type="dxa"/>
            <w:tcBorders>
              <w:left w:val="single" w:sz="4" w:space="0" w:color="000000" w:themeColor="text1"/>
              <w:bottom w:val="single" w:sz="4" w:space="0" w:color="auto"/>
            </w:tcBorders>
          </w:tcPr>
          <w:p w:rsidR="00FC2558" w:rsidRPr="007A1DA0" w:rsidRDefault="00FC2558" w:rsidP="00ED17B5">
            <w:pPr>
              <w:spacing w:line="276" w:lineRule="auto"/>
            </w:pPr>
            <w:r>
              <w:t>The principle of adverse possession applies. A squatter will acquire rights to land if the rightful owner does not bring proceedings to evict them within 12 years of the date on which they began squatting on the land.</w:t>
            </w:r>
          </w:p>
        </w:tc>
      </w:tr>
      <w:tr w:rsidR="00FC2558" w:rsidRPr="007A1DA0" w:rsidTr="00ED17B5">
        <w:tc>
          <w:tcPr>
            <w:tcW w:w="10315"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FC2558" w:rsidRPr="009A40F6" w:rsidRDefault="00FC2558" w:rsidP="00ED17B5">
            <w:pPr>
              <w:spacing w:line="276" w:lineRule="auto"/>
              <w:rPr>
                <w:b/>
              </w:rPr>
            </w:pPr>
          </w:p>
          <w:p w:rsidR="00FC2558" w:rsidRPr="000F3732" w:rsidRDefault="00061FEE" w:rsidP="000F3732">
            <w:pPr>
              <w:spacing w:line="276" w:lineRule="auto"/>
              <w:rPr>
                <w:b/>
                <w:sz w:val="22"/>
                <w:szCs w:val="22"/>
              </w:rPr>
            </w:pPr>
            <w:hyperlink w:anchor="EvictionExpropriationRelocation" w:history="1">
              <w:r w:rsidR="000F3732">
                <w:rPr>
                  <w:rStyle w:val="Hyperlink"/>
                  <w:b/>
                  <w:color w:val="auto"/>
                  <w:sz w:val="22"/>
                  <w:szCs w:val="22"/>
                  <w:u w:val="none"/>
                </w:rPr>
                <w:t xml:space="preserve">4. Eviction and expropriation </w:t>
              </w:r>
            </w:hyperlink>
          </w:p>
        </w:tc>
      </w:tr>
      <w:tr w:rsidR="00FC2558" w:rsidRPr="007A1DA0" w:rsidTr="00ED17B5">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C2558" w:rsidRPr="00A775FB" w:rsidRDefault="00061FEE" w:rsidP="00A775FB">
            <w:pPr>
              <w:rPr>
                <w:b/>
              </w:rPr>
            </w:pPr>
            <w:hyperlink w:anchor="Eviction" w:history="1">
              <w:bookmarkStart w:id="9" w:name="_Toc512935691"/>
              <w:r w:rsidR="00FC2558" w:rsidRPr="00A775FB">
                <w:rPr>
                  <w:rStyle w:val="Hyperlink"/>
                  <w:b/>
                </w:rPr>
                <w:t>Eviction</w:t>
              </w:r>
              <w:bookmarkEnd w:id="9"/>
            </w:hyperlink>
          </w:p>
        </w:tc>
        <w:tc>
          <w:tcPr>
            <w:tcW w:w="7904" w:type="dxa"/>
            <w:tcBorders>
              <w:left w:val="single" w:sz="4" w:space="0" w:color="000000" w:themeColor="text1"/>
            </w:tcBorders>
          </w:tcPr>
          <w:p w:rsidR="00FC2558" w:rsidRPr="007A1DA0" w:rsidRDefault="00FC2558" w:rsidP="00ED17B5">
            <w:pPr>
              <w:spacing w:line="276" w:lineRule="auto"/>
            </w:pPr>
            <w:r>
              <w:t>The Government is entitled to evict persons squatting on its land, provided that it gives such persons 30 days' notice. This can be reduced to 7 days' notice in certain circumstances. It is unlawful for the Government to evict persons without providing alternative housing or resettlement plans.</w:t>
            </w:r>
          </w:p>
        </w:tc>
      </w:tr>
      <w:tr w:rsidR="00FC2558" w:rsidRPr="007A1DA0" w:rsidTr="00ED17B5">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C2558" w:rsidRPr="00A775FB" w:rsidRDefault="00061FEE" w:rsidP="00A775FB">
            <w:pPr>
              <w:rPr>
                <w:b/>
              </w:rPr>
            </w:pPr>
            <w:hyperlink w:anchor="Expropriation" w:history="1">
              <w:r w:rsidR="00FC2558" w:rsidRPr="00A775FB">
                <w:rPr>
                  <w:rStyle w:val="Hyperlink"/>
                  <w:b/>
                </w:rPr>
                <w:t>Expropriation</w:t>
              </w:r>
            </w:hyperlink>
          </w:p>
        </w:tc>
        <w:tc>
          <w:tcPr>
            <w:tcW w:w="7904" w:type="dxa"/>
            <w:tcBorders>
              <w:left w:val="single" w:sz="4" w:space="0" w:color="000000" w:themeColor="text1"/>
            </w:tcBorders>
          </w:tcPr>
          <w:p w:rsidR="00FC2558" w:rsidRPr="007A1DA0" w:rsidRDefault="00FC2558" w:rsidP="00ED17B5">
            <w:pPr>
              <w:spacing w:line="276" w:lineRule="auto"/>
            </w:pPr>
            <w:r>
              <w:t xml:space="preserve">The Government </w:t>
            </w:r>
            <w:proofErr w:type="gramStart"/>
            <w:r>
              <w:t>may  acquire</w:t>
            </w:r>
            <w:proofErr w:type="gramEnd"/>
            <w:r>
              <w:t xml:space="preserve"> property that is needed, or likely to be needed, for any public purpose or the public interest. Compensation must be provided. However, g</w:t>
            </w:r>
            <w:r w:rsidRPr="005008CF">
              <w:t>iven the high rates of unregistered landholdings, land is often seized without compensatio</w:t>
            </w:r>
            <w:r>
              <w:t>n.</w:t>
            </w:r>
          </w:p>
        </w:tc>
      </w:tr>
    </w:tbl>
    <w:p w:rsidR="00FC2558" w:rsidRDefault="00FC2558" w:rsidP="00063269">
      <w:pPr>
        <w:sectPr w:rsidR="00FC2558" w:rsidSect="001861C5">
          <w:headerReference w:type="default" r:id="rId13"/>
          <w:headerReference w:type="first" r:id="rId14"/>
          <w:footerReference w:type="first" r:id="rId15"/>
          <w:pgSz w:w="11907" w:h="16839"/>
          <w:pgMar w:top="1701" w:right="1134" w:bottom="1134" w:left="1417" w:header="708" w:footer="708" w:gutter="0"/>
          <w:cols w:space="708"/>
          <w:titlePg/>
          <w:docGrid w:linePitch="360"/>
        </w:sectPr>
      </w:pPr>
    </w:p>
    <w:p w:rsidR="00FC2558" w:rsidRDefault="00FC2558" w:rsidP="00ED17B5">
      <w:pPr>
        <w:pStyle w:val="AllensHeading1"/>
        <w:numPr>
          <w:ilvl w:val="0"/>
          <w:numId w:val="0"/>
        </w:numPr>
      </w:pPr>
    </w:p>
    <w:p w:rsidR="00063269" w:rsidRDefault="00063269" w:rsidP="00063269"/>
    <w:p w:rsidR="00063269" w:rsidRDefault="00063269" w:rsidP="00063269"/>
    <w:p w:rsidR="00063269" w:rsidRDefault="00063269" w:rsidP="00063269"/>
    <w:p w:rsidR="00063269" w:rsidRDefault="00063269" w:rsidP="00063269"/>
    <w:p w:rsidR="00063269" w:rsidRDefault="00063269" w:rsidP="00063269"/>
    <w:p w:rsidR="007B7332" w:rsidRDefault="007B7332" w:rsidP="007B7332">
      <w:pPr>
        <w:pStyle w:val="Title"/>
        <w:jc w:val="center"/>
        <w:rPr>
          <w:b/>
          <w:bCs/>
        </w:rPr>
      </w:pPr>
    </w:p>
    <w:p w:rsidR="007B7332" w:rsidRDefault="007B7332" w:rsidP="007B7332">
      <w:pPr>
        <w:pStyle w:val="Title"/>
        <w:jc w:val="center"/>
        <w:rPr>
          <w:b/>
          <w:bCs/>
        </w:rPr>
      </w:pPr>
    </w:p>
    <w:p w:rsidR="007B7332" w:rsidRDefault="007B7332" w:rsidP="007B7332">
      <w:pPr>
        <w:pStyle w:val="Title"/>
        <w:jc w:val="center"/>
        <w:rPr>
          <w:b/>
          <w:bCs/>
        </w:rPr>
      </w:pPr>
      <w:r>
        <w:rPr>
          <w:b/>
          <w:bCs/>
        </w:rPr>
        <w:t>Disaster Law Housing, Land and</w:t>
      </w:r>
    </w:p>
    <w:p w:rsidR="007B7332" w:rsidRDefault="007B7332" w:rsidP="007B7332">
      <w:pPr>
        <w:pStyle w:val="Title"/>
        <w:jc w:val="center"/>
        <w:rPr>
          <w:b/>
          <w:bCs/>
        </w:rPr>
      </w:pPr>
      <w:r w:rsidRPr="00F92C8D">
        <w:rPr>
          <w:b/>
          <w:bCs/>
        </w:rPr>
        <w:t>Property Mapping Project</w:t>
      </w:r>
    </w:p>
    <w:p w:rsidR="007B7332" w:rsidRPr="005D6E30" w:rsidRDefault="007B7332" w:rsidP="007B7332">
      <w:pPr>
        <w:pStyle w:val="Title"/>
        <w:jc w:val="center"/>
        <w:rPr>
          <w:b/>
          <w:bCs/>
        </w:rPr>
      </w:pPr>
    </w:p>
    <w:p w:rsidR="007B7332" w:rsidRDefault="007B7332" w:rsidP="007B7332">
      <w:pPr>
        <w:pStyle w:val="Title"/>
        <w:jc w:val="center"/>
        <w:rPr>
          <w:b/>
        </w:rPr>
      </w:pPr>
      <w:r>
        <w:rPr>
          <w:b/>
        </w:rPr>
        <w:t>Bangladesh</w:t>
      </w: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Default="00FC2558" w:rsidP="007B7332">
      <w:pPr>
        <w:pStyle w:val="Title"/>
        <w:jc w:val="center"/>
        <w:rPr>
          <w:b/>
        </w:rPr>
      </w:pPr>
    </w:p>
    <w:p w:rsidR="00FC2558" w:rsidRPr="009A2ADB" w:rsidRDefault="00FC2558" w:rsidP="007B7332">
      <w:pPr>
        <w:pStyle w:val="Title"/>
        <w:jc w:val="center"/>
        <w:rPr>
          <w:b/>
        </w:rPr>
      </w:pPr>
    </w:p>
    <w:p w:rsidR="00063269" w:rsidRDefault="00063269" w:rsidP="00063269">
      <w:pPr>
        <w:jc w:val="center"/>
      </w:pPr>
    </w:p>
    <w:p w:rsidR="00E01D8B" w:rsidRDefault="00063269" w:rsidP="005045CF">
      <w:pPr>
        <w:pStyle w:val="ContentsHeading"/>
        <w:rPr>
          <w:noProof/>
        </w:rPr>
      </w:pPr>
      <w:r w:rsidRPr="00C53540">
        <w:lastRenderedPageBreak/>
        <w:t>Contents</w:t>
      </w:r>
      <w:r>
        <w:fldChar w:fldCharType="begin"/>
      </w:r>
      <w:r>
        <w:instrText xml:space="preserve"> TOC \o "1-3" \h \z \t "Schedule,1" </w:instrText>
      </w:r>
      <w:r>
        <w:fldChar w:fldCharType="separate"/>
      </w:r>
    </w:p>
    <w:p w:rsidR="00E01D8B" w:rsidRDefault="00061FEE">
      <w:pPr>
        <w:pStyle w:val="TOC1"/>
        <w:rPr>
          <w:rFonts w:asciiTheme="minorHAnsi" w:eastAsiaTheme="minorEastAsia" w:hAnsiTheme="minorHAnsi" w:cstheme="minorBidi"/>
          <w:b w:val="0"/>
          <w:sz w:val="22"/>
          <w:szCs w:val="22"/>
          <w:lang w:eastAsia="en-AU"/>
        </w:rPr>
      </w:pPr>
      <w:hyperlink w:anchor="_Toc513106741" w:history="1">
        <w:r w:rsidR="00E01D8B" w:rsidRPr="004A5B67">
          <w:rPr>
            <w:rStyle w:val="Hyperlink"/>
          </w:rPr>
          <w:t>1</w:t>
        </w:r>
        <w:r w:rsidR="00E01D8B">
          <w:rPr>
            <w:rFonts w:asciiTheme="minorHAnsi" w:eastAsiaTheme="minorEastAsia" w:hAnsiTheme="minorHAnsi" w:cstheme="minorBidi"/>
            <w:b w:val="0"/>
            <w:sz w:val="22"/>
            <w:szCs w:val="22"/>
            <w:lang w:eastAsia="en-AU"/>
          </w:rPr>
          <w:tab/>
        </w:r>
        <w:r w:rsidR="00E01D8B" w:rsidRPr="004A5B67">
          <w:rPr>
            <w:rStyle w:val="Hyperlink"/>
          </w:rPr>
          <w:t>Introduction</w:t>
        </w:r>
        <w:r w:rsidR="00E01D8B">
          <w:rPr>
            <w:webHidden/>
          </w:rPr>
          <w:tab/>
        </w:r>
        <w:r w:rsidR="00E01D8B">
          <w:rPr>
            <w:webHidden/>
          </w:rPr>
          <w:fldChar w:fldCharType="begin"/>
        </w:r>
        <w:r w:rsidR="00E01D8B">
          <w:rPr>
            <w:webHidden/>
          </w:rPr>
          <w:instrText xml:space="preserve"> PAGEREF _Toc513106741 \h </w:instrText>
        </w:r>
        <w:r w:rsidR="00E01D8B">
          <w:rPr>
            <w:webHidden/>
          </w:rPr>
        </w:r>
        <w:r w:rsidR="00E01D8B">
          <w:rPr>
            <w:webHidden/>
          </w:rPr>
          <w:fldChar w:fldCharType="separate"/>
        </w:r>
        <w:r w:rsidR="00E01D8B">
          <w:rPr>
            <w:webHidden/>
          </w:rPr>
          <w:t>3</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42" w:history="1">
        <w:r w:rsidR="00E01D8B" w:rsidRPr="004A5B67">
          <w:rPr>
            <w:rStyle w:val="Hyperlink"/>
          </w:rPr>
          <w:t>1.1</w:t>
        </w:r>
        <w:r w:rsidR="00E01D8B">
          <w:rPr>
            <w:rFonts w:asciiTheme="minorHAnsi" w:eastAsiaTheme="minorEastAsia" w:hAnsiTheme="minorHAnsi" w:cstheme="minorBidi"/>
            <w:sz w:val="22"/>
            <w:szCs w:val="22"/>
            <w:lang w:eastAsia="en-AU"/>
          </w:rPr>
          <w:tab/>
        </w:r>
        <w:r w:rsidR="00E01D8B" w:rsidRPr="004A5B67">
          <w:rPr>
            <w:rStyle w:val="Hyperlink"/>
          </w:rPr>
          <w:t>Overview</w:t>
        </w:r>
        <w:r w:rsidR="00E01D8B">
          <w:rPr>
            <w:webHidden/>
          </w:rPr>
          <w:tab/>
        </w:r>
        <w:r w:rsidR="00E01D8B">
          <w:rPr>
            <w:webHidden/>
          </w:rPr>
          <w:fldChar w:fldCharType="begin"/>
        </w:r>
        <w:r w:rsidR="00E01D8B">
          <w:rPr>
            <w:webHidden/>
          </w:rPr>
          <w:instrText xml:space="preserve"> PAGEREF _Toc513106742 \h </w:instrText>
        </w:r>
        <w:r w:rsidR="00E01D8B">
          <w:rPr>
            <w:webHidden/>
          </w:rPr>
        </w:r>
        <w:r w:rsidR="00E01D8B">
          <w:rPr>
            <w:webHidden/>
          </w:rPr>
          <w:fldChar w:fldCharType="separate"/>
        </w:r>
        <w:r w:rsidR="00E01D8B">
          <w:rPr>
            <w:webHidden/>
          </w:rPr>
          <w:t>3</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43" w:history="1">
        <w:r w:rsidR="00E01D8B" w:rsidRPr="004A5B67">
          <w:rPr>
            <w:rStyle w:val="Hyperlink"/>
          </w:rPr>
          <w:t>1.2</w:t>
        </w:r>
        <w:r w:rsidR="00E01D8B">
          <w:rPr>
            <w:rFonts w:asciiTheme="minorHAnsi" w:eastAsiaTheme="minorEastAsia" w:hAnsiTheme="minorHAnsi" w:cstheme="minorBidi"/>
            <w:sz w:val="22"/>
            <w:szCs w:val="22"/>
            <w:lang w:eastAsia="en-AU"/>
          </w:rPr>
          <w:tab/>
        </w:r>
        <w:r w:rsidR="00E01D8B" w:rsidRPr="004A5B67">
          <w:rPr>
            <w:rStyle w:val="Hyperlink"/>
          </w:rPr>
          <w:t>Background information on Bangladesh</w:t>
        </w:r>
        <w:r w:rsidR="00E01D8B">
          <w:rPr>
            <w:webHidden/>
          </w:rPr>
          <w:tab/>
        </w:r>
        <w:r w:rsidR="00E01D8B">
          <w:rPr>
            <w:webHidden/>
          </w:rPr>
          <w:fldChar w:fldCharType="begin"/>
        </w:r>
        <w:r w:rsidR="00E01D8B">
          <w:rPr>
            <w:webHidden/>
          </w:rPr>
          <w:instrText xml:space="preserve"> PAGEREF _Toc513106743 \h </w:instrText>
        </w:r>
        <w:r w:rsidR="00E01D8B">
          <w:rPr>
            <w:webHidden/>
          </w:rPr>
        </w:r>
        <w:r w:rsidR="00E01D8B">
          <w:rPr>
            <w:webHidden/>
          </w:rPr>
          <w:fldChar w:fldCharType="separate"/>
        </w:r>
        <w:r w:rsidR="00E01D8B">
          <w:rPr>
            <w:webHidden/>
          </w:rPr>
          <w:t>3</w:t>
        </w:r>
        <w:r w:rsidR="00E01D8B">
          <w:rPr>
            <w:webHidden/>
          </w:rPr>
          <w:fldChar w:fldCharType="end"/>
        </w:r>
      </w:hyperlink>
    </w:p>
    <w:p w:rsidR="00E01D8B" w:rsidRDefault="00061FEE">
      <w:pPr>
        <w:pStyle w:val="TOC1"/>
        <w:rPr>
          <w:rFonts w:asciiTheme="minorHAnsi" w:eastAsiaTheme="minorEastAsia" w:hAnsiTheme="minorHAnsi" w:cstheme="minorBidi"/>
          <w:b w:val="0"/>
          <w:sz w:val="22"/>
          <w:szCs w:val="22"/>
          <w:lang w:eastAsia="en-AU"/>
        </w:rPr>
      </w:pPr>
      <w:hyperlink w:anchor="_Toc513106744" w:history="1">
        <w:r w:rsidR="00E01D8B" w:rsidRPr="004A5B67">
          <w:rPr>
            <w:rStyle w:val="Hyperlink"/>
          </w:rPr>
          <w:t>2</w:t>
        </w:r>
        <w:r w:rsidR="00E01D8B">
          <w:rPr>
            <w:rFonts w:asciiTheme="minorHAnsi" w:eastAsiaTheme="minorEastAsia" w:hAnsiTheme="minorHAnsi" w:cstheme="minorBidi"/>
            <w:b w:val="0"/>
            <w:sz w:val="22"/>
            <w:szCs w:val="22"/>
            <w:lang w:eastAsia="en-AU"/>
          </w:rPr>
          <w:tab/>
        </w:r>
        <w:r w:rsidR="00E01D8B" w:rsidRPr="004A5B67">
          <w:rPr>
            <w:rStyle w:val="Hyperlink"/>
          </w:rPr>
          <w:t>Common Tenure Types</w:t>
        </w:r>
        <w:r w:rsidR="00E01D8B">
          <w:rPr>
            <w:webHidden/>
          </w:rPr>
          <w:tab/>
        </w:r>
        <w:r w:rsidR="00E01D8B">
          <w:rPr>
            <w:webHidden/>
          </w:rPr>
          <w:fldChar w:fldCharType="begin"/>
        </w:r>
        <w:r w:rsidR="00E01D8B">
          <w:rPr>
            <w:webHidden/>
          </w:rPr>
          <w:instrText xml:space="preserve"> PAGEREF _Toc513106744 \h </w:instrText>
        </w:r>
        <w:r w:rsidR="00E01D8B">
          <w:rPr>
            <w:webHidden/>
          </w:rPr>
        </w:r>
        <w:r w:rsidR="00E01D8B">
          <w:rPr>
            <w:webHidden/>
          </w:rPr>
          <w:fldChar w:fldCharType="separate"/>
        </w:r>
        <w:r w:rsidR="00E01D8B">
          <w:rPr>
            <w:webHidden/>
          </w:rPr>
          <w:t>5</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45" w:history="1">
        <w:r w:rsidR="00E01D8B" w:rsidRPr="004A5B67">
          <w:rPr>
            <w:rStyle w:val="Hyperlink"/>
          </w:rPr>
          <w:t>2.1</w:t>
        </w:r>
        <w:r w:rsidR="00E01D8B">
          <w:rPr>
            <w:rFonts w:asciiTheme="minorHAnsi" w:eastAsiaTheme="minorEastAsia" w:hAnsiTheme="minorHAnsi" w:cstheme="minorBidi"/>
            <w:sz w:val="22"/>
            <w:szCs w:val="22"/>
            <w:lang w:eastAsia="en-AU"/>
          </w:rPr>
          <w:tab/>
        </w:r>
        <w:r w:rsidR="00E01D8B" w:rsidRPr="004A5B67">
          <w:rPr>
            <w:rStyle w:val="Hyperlink"/>
          </w:rPr>
          <w:t>Tenure types</w:t>
        </w:r>
        <w:r w:rsidR="00E01D8B">
          <w:rPr>
            <w:webHidden/>
          </w:rPr>
          <w:tab/>
        </w:r>
        <w:r w:rsidR="00E01D8B">
          <w:rPr>
            <w:webHidden/>
          </w:rPr>
          <w:fldChar w:fldCharType="begin"/>
        </w:r>
        <w:r w:rsidR="00E01D8B">
          <w:rPr>
            <w:webHidden/>
          </w:rPr>
          <w:instrText xml:space="preserve"> PAGEREF _Toc513106745 \h </w:instrText>
        </w:r>
        <w:r w:rsidR="00E01D8B">
          <w:rPr>
            <w:webHidden/>
          </w:rPr>
        </w:r>
        <w:r w:rsidR="00E01D8B">
          <w:rPr>
            <w:webHidden/>
          </w:rPr>
          <w:fldChar w:fldCharType="separate"/>
        </w:r>
        <w:r w:rsidR="00E01D8B">
          <w:rPr>
            <w:webHidden/>
          </w:rPr>
          <w:t>5</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46" w:history="1">
        <w:r w:rsidR="00E01D8B" w:rsidRPr="004A5B67">
          <w:rPr>
            <w:rStyle w:val="Hyperlink"/>
          </w:rPr>
          <w:t>2.2</w:t>
        </w:r>
        <w:r w:rsidR="00E01D8B">
          <w:rPr>
            <w:rFonts w:asciiTheme="minorHAnsi" w:eastAsiaTheme="minorEastAsia" w:hAnsiTheme="minorHAnsi" w:cstheme="minorBidi"/>
            <w:sz w:val="22"/>
            <w:szCs w:val="22"/>
            <w:lang w:eastAsia="en-AU"/>
          </w:rPr>
          <w:tab/>
        </w:r>
        <w:r w:rsidR="00E01D8B" w:rsidRPr="004A5B67">
          <w:rPr>
            <w:rStyle w:val="Hyperlink"/>
          </w:rPr>
          <w:t>Documenting Tenure</w:t>
        </w:r>
        <w:r w:rsidR="00E01D8B">
          <w:rPr>
            <w:webHidden/>
          </w:rPr>
          <w:tab/>
        </w:r>
        <w:r w:rsidR="00E01D8B">
          <w:rPr>
            <w:webHidden/>
          </w:rPr>
          <w:fldChar w:fldCharType="begin"/>
        </w:r>
        <w:r w:rsidR="00E01D8B">
          <w:rPr>
            <w:webHidden/>
          </w:rPr>
          <w:instrText xml:space="preserve"> PAGEREF _Toc513106746 \h </w:instrText>
        </w:r>
        <w:r w:rsidR="00E01D8B">
          <w:rPr>
            <w:webHidden/>
          </w:rPr>
        </w:r>
        <w:r w:rsidR="00E01D8B">
          <w:rPr>
            <w:webHidden/>
          </w:rPr>
          <w:fldChar w:fldCharType="separate"/>
        </w:r>
        <w:r w:rsidR="00E01D8B">
          <w:rPr>
            <w:webHidden/>
          </w:rPr>
          <w:t>8</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47" w:history="1">
        <w:r w:rsidR="00E01D8B" w:rsidRPr="004A5B67">
          <w:rPr>
            <w:rStyle w:val="Hyperlink"/>
          </w:rPr>
          <w:t>2.3</w:t>
        </w:r>
        <w:r w:rsidR="00E01D8B">
          <w:rPr>
            <w:rFonts w:asciiTheme="minorHAnsi" w:eastAsiaTheme="minorEastAsia" w:hAnsiTheme="minorHAnsi" w:cstheme="minorBidi"/>
            <w:sz w:val="22"/>
            <w:szCs w:val="22"/>
            <w:lang w:eastAsia="en-AU"/>
          </w:rPr>
          <w:tab/>
        </w:r>
        <w:r w:rsidR="00E01D8B" w:rsidRPr="004A5B67">
          <w:rPr>
            <w:rStyle w:val="Hyperlink"/>
          </w:rPr>
          <w:t>Customary Ownership</w:t>
        </w:r>
        <w:r w:rsidR="00E01D8B">
          <w:rPr>
            <w:webHidden/>
          </w:rPr>
          <w:tab/>
        </w:r>
        <w:r w:rsidR="00E01D8B">
          <w:rPr>
            <w:webHidden/>
          </w:rPr>
          <w:fldChar w:fldCharType="begin"/>
        </w:r>
        <w:r w:rsidR="00E01D8B">
          <w:rPr>
            <w:webHidden/>
          </w:rPr>
          <w:instrText xml:space="preserve"> PAGEREF _Toc513106747 \h </w:instrText>
        </w:r>
        <w:r w:rsidR="00E01D8B">
          <w:rPr>
            <w:webHidden/>
          </w:rPr>
        </w:r>
        <w:r w:rsidR="00E01D8B">
          <w:rPr>
            <w:webHidden/>
          </w:rPr>
          <w:fldChar w:fldCharType="separate"/>
        </w:r>
        <w:r w:rsidR="00E01D8B">
          <w:rPr>
            <w:webHidden/>
          </w:rPr>
          <w:t>9</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48" w:history="1">
        <w:r w:rsidR="00E01D8B" w:rsidRPr="004A5B67">
          <w:rPr>
            <w:rStyle w:val="Hyperlink"/>
          </w:rPr>
          <w:t>2.4</w:t>
        </w:r>
        <w:r w:rsidR="00E01D8B">
          <w:rPr>
            <w:rFonts w:asciiTheme="minorHAnsi" w:eastAsiaTheme="minorEastAsia" w:hAnsiTheme="minorHAnsi" w:cstheme="minorBidi"/>
            <w:sz w:val="22"/>
            <w:szCs w:val="22"/>
            <w:lang w:eastAsia="en-AU"/>
          </w:rPr>
          <w:tab/>
        </w:r>
        <w:r w:rsidR="00E01D8B" w:rsidRPr="004A5B67">
          <w:rPr>
            <w:rStyle w:val="Hyperlink"/>
          </w:rPr>
          <w:t>Informal Settlements</w:t>
        </w:r>
        <w:r w:rsidR="00E01D8B">
          <w:rPr>
            <w:webHidden/>
          </w:rPr>
          <w:tab/>
        </w:r>
        <w:r w:rsidR="00E01D8B">
          <w:rPr>
            <w:webHidden/>
          </w:rPr>
          <w:fldChar w:fldCharType="begin"/>
        </w:r>
        <w:r w:rsidR="00E01D8B">
          <w:rPr>
            <w:webHidden/>
          </w:rPr>
          <w:instrText xml:space="preserve"> PAGEREF _Toc513106748 \h </w:instrText>
        </w:r>
        <w:r w:rsidR="00E01D8B">
          <w:rPr>
            <w:webHidden/>
          </w:rPr>
        </w:r>
        <w:r w:rsidR="00E01D8B">
          <w:rPr>
            <w:webHidden/>
          </w:rPr>
          <w:fldChar w:fldCharType="separate"/>
        </w:r>
        <w:r w:rsidR="00E01D8B">
          <w:rPr>
            <w:webHidden/>
          </w:rPr>
          <w:t>10</w:t>
        </w:r>
        <w:r w:rsidR="00E01D8B">
          <w:rPr>
            <w:webHidden/>
          </w:rPr>
          <w:fldChar w:fldCharType="end"/>
        </w:r>
      </w:hyperlink>
    </w:p>
    <w:p w:rsidR="00E01D8B" w:rsidRDefault="00061FEE">
      <w:pPr>
        <w:pStyle w:val="TOC1"/>
        <w:rPr>
          <w:rFonts w:asciiTheme="minorHAnsi" w:eastAsiaTheme="minorEastAsia" w:hAnsiTheme="minorHAnsi" w:cstheme="minorBidi"/>
          <w:b w:val="0"/>
          <w:sz w:val="22"/>
          <w:szCs w:val="22"/>
          <w:lang w:eastAsia="en-AU"/>
        </w:rPr>
      </w:pPr>
      <w:hyperlink w:anchor="_Toc513106749" w:history="1">
        <w:r w:rsidR="00E01D8B" w:rsidRPr="004A5B67">
          <w:rPr>
            <w:rStyle w:val="Hyperlink"/>
          </w:rPr>
          <w:t>3</w:t>
        </w:r>
        <w:r w:rsidR="00E01D8B">
          <w:rPr>
            <w:rFonts w:asciiTheme="minorHAnsi" w:eastAsiaTheme="minorEastAsia" w:hAnsiTheme="minorHAnsi" w:cstheme="minorBidi"/>
            <w:b w:val="0"/>
            <w:sz w:val="22"/>
            <w:szCs w:val="22"/>
            <w:lang w:eastAsia="en-AU"/>
          </w:rPr>
          <w:tab/>
        </w:r>
        <w:r w:rsidR="00E01D8B" w:rsidRPr="004A5B67">
          <w:rPr>
            <w:rStyle w:val="Hyperlink"/>
          </w:rPr>
          <w:t>Security of Tenure of Vulnerable Groups</w:t>
        </w:r>
        <w:r w:rsidR="00E01D8B">
          <w:rPr>
            <w:webHidden/>
          </w:rPr>
          <w:tab/>
        </w:r>
        <w:r w:rsidR="00E01D8B">
          <w:rPr>
            <w:webHidden/>
          </w:rPr>
          <w:fldChar w:fldCharType="begin"/>
        </w:r>
        <w:r w:rsidR="00E01D8B">
          <w:rPr>
            <w:webHidden/>
          </w:rPr>
          <w:instrText xml:space="preserve"> PAGEREF _Toc513106749 \h </w:instrText>
        </w:r>
        <w:r w:rsidR="00E01D8B">
          <w:rPr>
            <w:webHidden/>
          </w:rPr>
        </w:r>
        <w:r w:rsidR="00E01D8B">
          <w:rPr>
            <w:webHidden/>
          </w:rPr>
          <w:fldChar w:fldCharType="separate"/>
        </w:r>
        <w:r w:rsidR="00E01D8B">
          <w:rPr>
            <w:webHidden/>
          </w:rPr>
          <w:t>11</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50" w:history="1">
        <w:r w:rsidR="00E01D8B" w:rsidRPr="004A5B67">
          <w:rPr>
            <w:rStyle w:val="Hyperlink"/>
          </w:rPr>
          <w:t>3.1</w:t>
        </w:r>
        <w:r w:rsidR="00E01D8B">
          <w:rPr>
            <w:rFonts w:asciiTheme="minorHAnsi" w:eastAsiaTheme="minorEastAsia" w:hAnsiTheme="minorHAnsi" w:cstheme="minorBidi"/>
            <w:sz w:val="22"/>
            <w:szCs w:val="22"/>
            <w:lang w:eastAsia="en-AU"/>
          </w:rPr>
          <w:tab/>
        </w:r>
        <w:r w:rsidR="00E01D8B" w:rsidRPr="004A5B67">
          <w:rPr>
            <w:rStyle w:val="Hyperlink"/>
          </w:rPr>
          <w:t>Women</w:t>
        </w:r>
        <w:r w:rsidR="00E01D8B">
          <w:rPr>
            <w:webHidden/>
          </w:rPr>
          <w:tab/>
        </w:r>
        <w:r w:rsidR="00E01D8B">
          <w:rPr>
            <w:webHidden/>
          </w:rPr>
          <w:fldChar w:fldCharType="begin"/>
        </w:r>
        <w:r w:rsidR="00E01D8B">
          <w:rPr>
            <w:webHidden/>
          </w:rPr>
          <w:instrText xml:space="preserve"> PAGEREF _Toc513106750 \h </w:instrText>
        </w:r>
        <w:r w:rsidR="00E01D8B">
          <w:rPr>
            <w:webHidden/>
          </w:rPr>
        </w:r>
        <w:r w:rsidR="00E01D8B">
          <w:rPr>
            <w:webHidden/>
          </w:rPr>
          <w:fldChar w:fldCharType="separate"/>
        </w:r>
        <w:r w:rsidR="00E01D8B">
          <w:rPr>
            <w:webHidden/>
          </w:rPr>
          <w:t>11</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51" w:history="1">
        <w:r w:rsidR="00E01D8B" w:rsidRPr="004A5B67">
          <w:rPr>
            <w:rStyle w:val="Hyperlink"/>
          </w:rPr>
          <w:t>3.2</w:t>
        </w:r>
        <w:r w:rsidR="00E01D8B">
          <w:rPr>
            <w:rFonts w:asciiTheme="minorHAnsi" w:eastAsiaTheme="minorEastAsia" w:hAnsiTheme="minorHAnsi" w:cstheme="minorBidi"/>
            <w:sz w:val="22"/>
            <w:szCs w:val="22"/>
            <w:lang w:eastAsia="en-AU"/>
          </w:rPr>
          <w:tab/>
        </w:r>
        <w:r w:rsidR="00E01D8B" w:rsidRPr="004A5B67">
          <w:rPr>
            <w:rStyle w:val="Hyperlink"/>
          </w:rPr>
          <w:t>Indigenous Groups</w:t>
        </w:r>
        <w:r w:rsidR="00E01D8B">
          <w:rPr>
            <w:webHidden/>
          </w:rPr>
          <w:tab/>
        </w:r>
        <w:r w:rsidR="00E01D8B">
          <w:rPr>
            <w:webHidden/>
          </w:rPr>
          <w:fldChar w:fldCharType="begin"/>
        </w:r>
        <w:r w:rsidR="00E01D8B">
          <w:rPr>
            <w:webHidden/>
          </w:rPr>
          <w:instrText xml:space="preserve"> PAGEREF _Toc513106751 \h </w:instrText>
        </w:r>
        <w:r w:rsidR="00E01D8B">
          <w:rPr>
            <w:webHidden/>
          </w:rPr>
        </w:r>
        <w:r w:rsidR="00E01D8B">
          <w:rPr>
            <w:webHidden/>
          </w:rPr>
          <w:fldChar w:fldCharType="separate"/>
        </w:r>
        <w:r w:rsidR="00E01D8B">
          <w:rPr>
            <w:webHidden/>
          </w:rPr>
          <w:t>12</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52" w:history="1">
        <w:r w:rsidR="00E01D8B" w:rsidRPr="004A5B67">
          <w:rPr>
            <w:rStyle w:val="Hyperlink"/>
          </w:rPr>
          <w:t>3.3</w:t>
        </w:r>
        <w:r w:rsidR="00E01D8B">
          <w:rPr>
            <w:rFonts w:asciiTheme="minorHAnsi" w:eastAsiaTheme="minorEastAsia" w:hAnsiTheme="minorHAnsi" w:cstheme="minorBidi"/>
            <w:sz w:val="22"/>
            <w:szCs w:val="22"/>
            <w:lang w:eastAsia="en-AU"/>
          </w:rPr>
          <w:tab/>
        </w:r>
        <w:r w:rsidR="00E01D8B" w:rsidRPr="004A5B67">
          <w:rPr>
            <w:rStyle w:val="Hyperlink"/>
          </w:rPr>
          <w:t>Minority Groups</w:t>
        </w:r>
        <w:r w:rsidR="00E01D8B">
          <w:rPr>
            <w:webHidden/>
          </w:rPr>
          <w:tab/>
        </w:r>
        <w:r w:rsidR="00E01D8B">
          <w:rPr>
            <w:webHidden/>
          </w:rPr>
          <w:fldChar w:fldCharType="begin"/>
        </w:r>
        <w:r w:rsidR="00E01D8B">
          <w:rPr>
            <w:webHidden/>
          </w:rPr>
          <w:instrText xml:space="preserve"> PAGEREF _Toc513106752 \h </w:instrText>
        </w:r>
        <w:r w:rsidR="00E01D8B">
          <w:rPr>
            <w:webHidden/>
          </w:rPr>
        </w:r>
        <w:r w:rsidR="00E01D8B">
          <w:rPr>
            <w:webHidden/>
          </w:rPr>
          <w:fldChar w:fldCharType="separate"/>
        </w:r>
        <w:r w:rsidR="00E01D8B">
          <w:rPr>
            <w:webHidden/>
          </w:rPr>
          <w:t>12</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53" w:history="1">
        <w:r w:rsidR="00E01D8B" w:rsidRPr="004A5B67">
          <w:rPr>
            <w:rStyle w:val="Hyperlink"/>
          </w:rPr>
          <w:t>3.4</w:t>
        </w:r>
        <w:r w:rsidR="00E01D8B">
          <w:rPr>
            <w:rFonts w:asciiTheme="minorHAnsi" w:eastAsiaTheme="minorEastAsia" w:hAnsiTheme="minorHAnsi" w:cstheme="minorBidi"/>
            <w:sz w:val="22"/>
            <w:szCs w:val="22"/>
            <w:lang w:eastAsia="en-AU"/>
          </w:rPr>
          <w:tab/>
        </w:r>
        <w:r w:rsidR="00E01D8B" w:rsidRPr="004A5B67">
          <w:rPr>
            <w:rStyle w:val="Hyperlink"/>
          </w:rPr>
          <w:t>Landless People and Squatters</w:t>
        </w:r>
        <w:r w:rsidR="00E01D8B">
          <w:rPr>
            <w:webHidden/>
          </w:rPr>
          <w:tab/>
        </w:r>
        <w:r w:rsidR="00E01D8B">
          <w:rPr>
            <w:webHidden/>
          </w:rPr>
          <w:fldChar w:fldCharType="begin"/>
        </w:r>
        <w:r w:rsidR="00E01D8B">
          <w:rPr>
            <w:webHidden/>
          </w:rPr>
          <w:instrText xml:space="preserve"> PAGEREF _Toc513106753 \h </w:instrText>
        </w:r>
        <w:r w:rsidR="00E01D8B">
          <w:rPr>
            <w:webHidden/>
          </w:rPr>
        </w:r>
        <w:r w:rsidR="00E01D8B">
          <w:rPr>
            <w:webHidden/>
          </w:rPr>
          <w:fldChar w:fldCharType="separate"/>
        </w:r>
        <w:r w:rsidR="00E01D8B">
          <w:rPr>
            <w:webHidden/>
          </w:rPr>
          <w:t>13</w:t>
        </w:r>
        <w:r w:rsidR="00E01D8B">
          <w:rPr>
            <w:webHidden/>
          </w:rPr>
          <w:fldChar w:fldCharType="end"/>
        </w:r>
      </w:hyperlink>
    </w:p>
    <w:p w:rsidR="00E01D8B" w:rsidRDefault="00061FEE">
      <w:pPr>
        <w:pStyle w:val="TOC1"/>
        <w:rPr>
          <w:rFonts w:asciiTheme="minorHAnsi" w:eastAsiaTheme="minorEastAsia" w:hAnsiTheme="minorHAnsi" w:cstheme="minorBidi"/>
          <w:b w:val="0"/>
          <w:sz w:val="22"/>
          <w:szCs w:val="22"/>
          <w:lang w:eastAsia="en-AU"/>
        </w:rPr>
      </w:pPr>
      <w:hyperlink w:anchor="_Toc513106754" w:history="1">
        <w:r w:rsidR="00E01D8B" w:rsidRPr="004A5B67">
          <w:rPr>
            <w:rStyle w:val="Hyperlink"/>
          </w:rPr>
          <w:t>4</w:t>
        </w:r>
        <w:r w:rsidR="00E01D8B">
          <w:rPr>
            <w:rFonts w:asciiTheme="minorHAnsi" w:eastAsiaTheme="minorEastAsia" w:hAnsiTheme="minorHAnsi" w:cstheme="minorBidi"/>
            <w:b w:val="0"/>
            <w:sz w:val="22"/>
            <w:szCs w:val="22"/>
            <w:lang w:eastAsia="en-AU"/>
          </w:rPr>
          <w:tab/>
        </w:r>
        <w:r w:rsidR="00E01D8B" w:rsidRPr="004A5B67">
          <w:rPr>
            <w:rStyle w:val="Hyperlink"/>
          </w:rPr>
          <w:t>Eviction, Expropriation and Relocation</w:t>
        </w:r>
        <w:r w:rsidR="00E01D8B">
          <w:rPr>
            <w:webHidden/>
          </w:rPr>
          <w:tab/>
        </w:r>
        <w:r w:rsidR="00E01D8B">
          <w:rPr>
            <w:webHidden/>
          </w:rPr>
          <w:fldChar w:fldCharType="begin"/>
        </w:r>
        <w:r w:rsidR="00E01D8B">
          <w:rPr>
            <w:webHidden/>
          </w:rPr>
          <w:instrText xml:space="preserve"> PAGEREF _Toc513106754 \h </w:instrText>
        </w:r>
        <w:r w:rsidR="00E01D8B">
          <w:rPr>
            <w:webHidden/>
          </w:rPr>
        </w:r>
        <w:r w:rsidR="00E01D8B">
          <w:rPr>
            <w:webHidden/>
          </w:rPr>
          <w:fldChar w:fldCharType="separate"/>
        </w:r>
        <w:r w:rsidR="00E01D8B">
          <w:rPr>
            <w:webHidden/>
          </w:rPr>
          <w:t>13</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55" w:history="1">
        <w:r w:rsidR="00E01D8B" w:rsidRPr="004A5B67">
          <w:rPr>
            <w:rStyle w:val="Hyperlink"/>
          </w:rPr>
          <w:t>4.1</w:t>
        </w:r>
        <w:r w:rsidR="00E01D8B">
          <w:rPr>
            <w:rFonts w:asciiTheme="minorHAnsi" w:eastAsiaTheme="minorEastAsia" w:hAnsiTheme="minorHAnsi" w:cstheme="minorBidi"/>
            <w:sz w:val="22"/>
            <w:szCs w:val="22"/>
            <w:lang w:eastAsia="en-AU"/>
          </w:rPr>
          <w:tab/>
        </w:r>
        <w:r w:rsidR="00E01D8B" w:rsidRPr="004A5B67">
          <w:rPr>
            <w:rStyle w:val="Hyperlink"/>
          </w:rPr>
          <w:t>Eviction</w:t>
        </w:r>
        <w:r w:rsidR="00E01D8B">
          <w:rPr>
            <w:webHidden/>
          </w:rPr>
          <w:tab/>
        </w:r>
        <w:r w:rsidR="00E01D8B">
          <w:rPr>
            <w:webHidden/>
          </w:rPr>
          <w:fldChar w:fldCharType="begin"/>
        </w:r>
        <w:r w:rsidR="00E01D8B">
          <w:rPr>
            <w:webHidden/>
          </w:rPr>
          <w:instrText xml:space="preserve"> PAGEREF _Toc513106755 \h </w:instrText>
        </w:r>
        <w:r w:rsidR="00E01D8B">
          <w:rPr>
            <w:webHidden/>
          </w:rPr>
        </w:r>
        <w:r w:rsidR="00E01D8B">
          <w:rPr>
            <w:webHidden/>
          </w:rPr>
          <w:fldChar w:fldCharType="separate"/>
        </w:r>
        <w:r w:rsidR="00E01D8B">
          <w:rPr>
            <w:webHidden/>
          </w:rPr>
          <w:t>13</w:t>
        </w:r>
        <w:r w:rsidR="00E01D8B">
          <w:rPr>
            <w:webHidden/>
          </w:rPr>
          <w:fldChar w:fldCharType="end"/>
        </w:r>
      </w:hyperlink>
    </w:p>
    <w:p w:rsidR="00E01D8B" w:rsidRDefault="00061FEE">
      <w:pPr>
        <w:pStyle w:val="TOC2"/>
        <w:tabs>
          <w:tab w:val="left" w:pos="1418"/>
        </w:tabs>
        <w:rPr>
          <w:rFonts w:asciiTheme="minorHAnsi" w:eastAsiaTheme="minorEastAsia" w:hAnsiTheme="minorHAnsi" w:cstheme="minorBidi"/>
          <w:sz w:val="22"/>
          <w:szCs w:val="22"/>
          <w:lang w:eastAsia="en-AU"/>
        </w:rPr>
      </w:pPr>
      <w:hyperlink w:anchor="_Toc513106756" w:history="1">
        <w:r w:rsidR="00E01D8B" w:rsidRPr="004A5B67">
          <w:rPr>
            <w:rStyle w:val="Hyperlink"/>
          </w:rPr>
          <w:t>4.2</w:t>
        </w:r>
        <w:r w:rsidR="00E01D8B">
          <w:rPr>
            <w:rFonts w:asciiTheme="minorHAnsi" w:eastAsiaTheme="minorEastAsia" w:hAnsiTheme="minorHAnsi" w:cstheme="minorBidi"/>
            <w:sz w:val="22"/>
            <w:szCs w:val="22"/>
            <w:lang w:eastAsia="en-AU"/>
          </w:rPr>
          <w:tab/>
        </w:r>
        <w:r w:rsidR="00E01D8B" w:rsidRPr="004A5B67">
          <w:rPr>
            <w:rStyle w:val="Hyperlink"/>
          </w:rPr>
          <w:t>Expropriation</w:t>
        </w:r>
        <w:r w:rsidR="00E01D8B">
          <w:rPr>
            <w:webHidden/>
          </w:rPr>
          <w:tab/>
        </w:r>
        <w:r w:rsidR="00E01D8B">
          <w:rPr>
            <w:webHidden/>
          </w:rPr>
          <w:fldChar w:fldCharType="begin"/>
        </w:r>
        <w:r w:rsidR="00E01D8B">
          <w:rPr>
            <w:webHidden/>
          </w:rPr>
          <w:instrText xml:space="preserve"> PAGEREF _Toc513106756 \h </w:instrText>
        </w:r>
        <w:r w:rsidR="00E01D8B">
          <w:rPr>
            <w:webHidden/>
          </w:rPr>
        </w:r>
        <w:r w:rsidR="00E01D8B">
          <w:rPr>
            <w:webHidden/>
          </w:rPr>
          <w:fldChar w:fldCharType="separate"/>
        </w:r>
        <w:r w:rsidR="00E01D8B">
          <w:rPr>
            <w:webHidden/>
          </w:rPr>
          <w:t>14</w:t>
        </w:r>
        <w:r w:rsidR="00E01D8B">
          <w:rPr>
            <w:webHidden/>
          </w:rPr>
          <w:fldChar w:fldCharType="end"/>
        </w:r>
      </w:hyperlink>
    </w:p>
    <w:p w:rsidR="00063269" w:rsidRPr="00E6097F" w:rsidRDefault="00063269" w:rsidP="00063269">
      <w:pPr>
        <w:rPr>
          <w:rFonts w:cs="Arial"/>
        </w:rPr>
      </w:pPr>
      <w:r>
        <w:fldChar w:fldCharType="end"/>
      </w:r>
    </w:p>
    <w:p w:rsidR="00D73FCF" w:rsidRPr="00711403" w:rsidRDefault="00D73FCF" w:rsidP="00D73FCF">
      <w:pPr>
        <w:rPr>
          <w:b/>
        </w:rPr>
      </w:pPr>
      <w:r w:rsidRPr="00711403">
        <w:rPr>
          <w:b/>
        </w:rPr>
        <w:t>Disclaimer</w:t>
      </w:r>
    </w:p>
    <w:p w:rsidR="00D73FCF" w:rsidRPr="00687798" w:rsidRDefault="00D73FCF" w:rsidP="00D73FCF">
      <w:r w:rsidRPr="00711403">
        <w:t xml:space="preserve">This report is the result </w:t>
      </w:r>
      <w:r w:rsidR="00A81AC2">
        <w:t>of a desktop review of publicl</w:t>
      </w:r>
      <w:r w:rsidRPr="00711403">
        <w:t>y available information. This report is not legal advice.</w:t>
      </w:r>
    </w:p>
    <w:p w:rsidR="00ED17B5" w:rsidRDefault="00ED17B5" w:rsidP="00ED17B5">
      <w:pPr>
        <w:pStyle w:val="AllensHeading1"/>
        <w:numPr>
          <w:ilvl w:val="0"/>
          <w:numId w:val="0"/>
        </w:numPr>
        <w:ind w:left="709"/>
      </w:pPr>
    </w:p>
    <w:p w:rsidR="00ED17B5" w:rsidRDefault="00ED17B5" w:rsidP="00ED17B5">
      <w:pPr>
        <w:pStyle w:val="AllensHeading2"/>
        <w:numPr>
          <w:ilvl w:val="0"/>
          <w:numId w:val="0"/>
        </w:numPr>
        <w:ind w:left="709"/>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Default="00ED17B5" w:rsidP="00ED17B5">
      <w:pPr>
        <w:pStyle w:val="NormalIndent"/>
      </w:pPr>
    </w:p>
    <w:p w:rsidR="00ED17B5" w:rsidRPr="00ED17B5" w:rsidRDefault="00ED17B5" w:rsidP="00ED17B5">
      <w:pPr>
        <w:pStyle w:val="NormalIndent"/>
      </w:pPr>
    </w:p>
    <w:p w:rsidR="00063269" w:rsidRDefault="00964B16" w:rsidP="00063269">
      <w:pPr>
        <w:pStyle w:val="AllensHeading1"/>
      </w:pPr>
      <w:bookmarkStart w:id="10" w:name="_Toc513106741"/>
      <w:r>
        <w:lastRenderedPageBreak/>
        <w:t>Introduction</w:t>
      </w:r>
      <w:bookmarkEnd w:id="10"/>
    </w:p>
    <w:p w:rsidR="00964B16" w:rsidRDefault="00964B16" w:rsidP="00063269">
      <w:pPr>
        <w:pStyle w:val="AllensHeading2"/>
      </w:pPr>
      <w:bookmarkStart w:id="11" w:name="_Toc513106742"/>
      <w:r>
        <w:t>Overview</w:t>
      </w:r>
      <w:bookmarkEnd w:id="11"/>
    </w:p>
    <w:p w:rsidR="00DF2A54" w:rsidRDefault="00DF2A54" w:rsidP="00DF2A54">
      <w:pPr>
        <w:rPr>
          <w:lang w:val="en-GB"/>
        </w:rPr>
      </w:pPr>
      <w:r w:rsidRPr="00DA20DA">
        <w:rPr>
          <w:lang w:val="en-GB"/>
        </w:rPr>
        <w:t>The Red Cross Red Crescent aims to respond to disasters as rapidly and effectively as possible, by mobili</w:t>
      </w:r>
      <w:r>
        <w:rPr>
          <w:lang w:val="en-GB"/>
        </w:rPr>
        <w:t>s</w:t>
      </w:r>
      <w:r w:rsidRPr="00DA20DA">
        <w:rPr>
          <w:lang w:val="en-GB"/>
        </w:rPr>
        <w:t>ing its resources (people, money and other assets) and using its network in a coordinated manner so that the initial effects are countered and the needs of the affected communities are met.</w:t>
      </w:r>
    </w:p>
    <w:p w:rsidR="00DF2A54" w:rsidRDefault="00DF2A54" w:rsidP="00DF2A54">
      <w:pPr>
        <w:rPr>
          <w:lang w:val="en-GB"/>
        </w:rPr>
      </w:pPr>
      <w:r w:rsidRPr="00DA20DA">
        <w:rPr>
          <w:lang w:val="en-GB"/>
        </w:rPr>
        <w:t>The Australian Red Cross (</w:t>
      </w:r>
      <w:r w:rsidRPr="00DA20DA">
        <w:rPr>
          <w:b/>
          <w:bCs/>
          <w:i/>
          <w:iCs/>
          <w:lang w:val="en-GB"/>
        </w:rPr>
        <w:t>ARC</w:t>
      </w:r>
      <w:r w:rsidRPr="00DA20DA">
        <w:rPr>
          <w:lang w:val="en-GB"/>
        </w:rPr>
        <w:t>) is a key Partner National Society, supporting</w:t>
      </w:r>
      <w:r>
        <w:rPr>
          <w:lang w:val="en-GB"/>
        </w:rPr>
        <w:t xml:space="preserve"> </w:t>
      </w:r>
      <w:r w:rsidRPr="00DA20DA">
        <w:rPr>
          <w:lang w:val="en-GB"/>
        </w:rPr>
        <w:t>the International Federation of Red Cross and Red Crescent Societies</w:t>
      </w:r>
      <w:r>
        <w:rPr>
          <w:lang w:val="en-GB"/>
        </w:rPr>
        <w:t>'</w:t>
      </w:r>
      <w:r w:rsidRPr="00DA20DA">
        <w:rPr>
          <w:lang w:val="en-GB"/>
        </w:rPr>
        <w:t xml:space="preserve"> (</w:t>
      </w:r>
      <w:r w:rsidRPr="00DA20DA">
        <w:rPr>
          <w:b/>
          <w:bCs/>
          <w:lang w:val="en-GB"/>
        </w:rPr>
        <w:t>IFRC</w:t>
      </w:r>
      <w:r w:rsidRPr="00DA20DA">
        <w:rPr>
          <w:lang w:val="en-GB"/>
        </w:rPr>
        <w:t>) response to natural disasters in the A</w:t>
      </w:r>
      <w:r>
        <w:rPr>
          <w:lang w:val="en-GB"/>
        </w:rPr>
        <w:t>sia-Pacific.</w:t>
      </w:r>
    </w:p>
    <w:p w:rsidR="00DF2A54" w:rsidRDefault="00DF2A54" w:rsidP="00DF2A54">
      <w:pPr>
        <w:rPr>
          <w:lang w:val="en-GB"/>
        </w:rPr>
      </w:pPr>
      <w:r w:rsidRPr="00DA20DA">
        <w:rPr>
          <w:lang w:val="en-GB"/>
        </w:rPr>
        <w:t>The Red Cross Red Crescent has identified that better knowledge of local housing, land and property laws in the Asia-Pacific is vital to ensuring that emergency shelter is delivered efficiently and equitably in the aftermath of natural disaste</w:t>
      </w:r>
      <w:r>
        <w:rPr>
          <w:lang w:val="en-GB"/>
        </w:rPr>
        <w:t>rs.</w:t>
      </w:r>
    </w:p>
    <w:p w:rsidR="00DF2A54" w:rsidRDefault="00DF2A54" w:rsidP="00DF2A54">
      <w:r w:rsidRPr="00DA20DA">
        <w:rPr>
          <w:lang w:val="en-GB"/>
        </w:rPr>
        <w:t xml:space="preserve">Australian Red Cross, with technical support and initial research from IFRC, has provided the research template to which this memorandum responds. </w:t>
      </w:r>
      <w:r>
        <w:t>This memorandum comprises three main sections.</w:t>
      </w:r>
    </w:p>
    <w:p w:rsidR="00DF2A54" w:rsidRPr="00B323C9" w:rsidRDefault="00DF2A54" w:rsidP="00DF2A54">
      <w:pPr>
        <w:pStyle w:val="Bullet1"/>
        <w:tabs>
          <w:tab w:val="clear" w:pos="709"/>
          <w:tab w:val="num" w:pos="2836"/>
        </w:tabs>
      </w:pPr>
      <w:r>
        <w:t>The first section, entitled '</w:t>
      </w:r>
      <w:hyperlink w:anchor="CommonTenureTypes" w:history="1">
        <w:r w:rsidRPr="00B323C9">
          <w:rPr>
            <w:rStyle w:val="Hyperlink"/>
            <w:color w:val="auto"/>
            <w:u w:val="none"/>
          </w:rPr>
          <w:t>common tenure types</w:t>
        </w:r>
      </w:hyperlink>
      <w:r w:rsidRPr="00B323C9">
        <w:t>', provides an overview of the different types of housing and land tenure in Bangladesh. It outlines the methods used to create and transfer tenure, and analyses the degree of security of tenure afforded by each form of tenure.</w:t>
      </w:r>
    </w:p>
    <w:p w:rsidR="00DF2A54" w:rsidRPr="00B323C9" w:rsidRDefault="00DF2A54" w:rsidP="00DF2A54">
      <w:pPr>
        <w:pStyle w:val="Bullet1"/>
        <w:tabs>
          <w:tab w:val="clear" w:pos="709"/>
          <w:tab w:val="num" w:pos="4592"/>
        </w:tabs>
      </w:pPr>
      <w:r w:rsidRPr="00B323C9">
        <w:t xml:space="preserve">The second section, entitled </w:t>
      </w:r>
      <w:hyperlink w:anchor="SecurityofTenure" w:history="1">
        <w:r w:rsidRPr="00B323C9">
          <w:rPr>
            <w:rStyle w:val="Hyperlink"/>
            <w:color w:val="auto"/>
            <w:u w:val="none"/>
          </w:rPr>
          <w:t>'security of tenure of vulnerable groups</w:t>
        </w:r>
      </w:hyperlink>
      <w:r w:rsidRPr="00B323C9">
        <w:t>', considers whether, and to what extent, certain groups face legal barriers to owning or accessing land and housing. This section focuses primarily on women,</w:t>
      </w:r>
      <w:r w:rsidRPr="00B323C9">
        <w:rPr>
          <w:b/>
        </w:rPr>
        <w:t xml:space="preserve"> </w:t>
      </w:r>
      <w:r w:rsidRPr="00B323C9">
        <w:t>minority groups, indigenous groups and landless people, each of which face particular legal barriers.</w:t>
      </w:r>
    </w:p>
    <w:p w:rsidR="00964B16" w:rsidRDefault="00DF2A54" w:rsidP="00DF2A54">
      <w:pPr>
        <w:pStyle w:val="Bullet1"/>
        <w:tabs>
          <w:tab w:val="clear" w:pos="709"/>
          <w:tab w:val="num" w:pos="3905"/>
        </w:tabs>
      </w:pPr>
      <w:r w:rsidRPr="00B323C9">
        <w:t xml:space="preserve">The third section, entitled </w:t>
      </w:r>
      <w:hyperlink w:anchor="EvictionExpropriationRelocation" w:history="1">
        <w:r w:rsidRPr="00B323C9">
          <w:rPr>
            <w:rStyle w:val="Hyperlink"/>
            <w:color w:val="auto"/>
            <w:u w:val="none"/>
          </w:rPr>
          <w:t>'eviction, expropriation and relocation</w:t>
        </w:r>
      </w:hyperlink>
      <w:r w:rsidRPr="00B323C9">
        <w:t>', con</w:t>
      </w:r>
      <w:r>
        <w:t>siders Bangladesh's statutory and case law which governs, or is applicable to, forced evictions and compulsory acquisition of land.</w:t>
      </w:r>
    </w:p>
    <w:p w:rsidR="00063269" w:rsidRDefault="00964B16" w:rsidP="00063269">
      <w:pPr>
        <w:pStyle w:val="AllensHeading2"/>
      </w:pPr>
      <w:bookmarkStart w:id="12" w:name="_Toc513106743"/>
      <w:r>
        <w:t>Background information on Bangladesh</w:t>
      </w:r>
      <w:bookmarkEnd w:id="12"/>
    </w:p>
    <w:p w:rsidR="00DF2A54" w:rsidRDefault="00DF2A54" w:rsidP="00DF2A54">
      <w:pPr>
        <w:pStyle w:val="NormalIndent"/>
        <w:ind w:left="0"/>
      </w:pPr>
      <w:r>
        <w:t>Bangladesh is a low-lying country positioned around the Bengal river delta, sharing a border with India and Myanmar. Bangladesh's population of 161 million is overwhelmingly of the Bengali ethnic group and Muslim</w:t>
      </w:r>
      <w:r w:rsidR="00417F6F">
        <w:t xml:space="preserve"> religion, h</w:t>
      </w:r>
      <w:r>
        <w:t xml:space="preserve">owever, </w:t>
      </w:r>
      <w:r w:rsidR="00417F6F">
        <w:t>the country</w:t>
      </w:r>
      <w:r>
        <w:t xml:space="preserve"> also has significant Hindu, Buddhist and Christian minorities. </w:t>
      </w:r>
      <w:r w:rsidR="00417F6F">
        <w:t>Bangladesh has</w:t>
      </w:r>
      <w:r>
        <w:t xml:space="preserve"> 27 indigenous groups with their own language and cultures, which comprise approximately 1.5 per cent of the population.</w:t>
      </w:r>
      <w:r>
        <w:rPr>
          <w:rStyle w:val="FootnoteReference"/>
        </w:rPr>
        <w:footnoteReference w:id="1"/>
      </w:r>
      <w:r>
        <w:t xml:space="preserve"> These indigenous groups are concentrated in the Chittagong Hills Tract Region.</w:t>
      </w:r>
    </w:p>
    <w:p w:rsidR="00DF2A54" w:rsidRDefault="00DF2A54" w:rsidP="00DF2A54">
      <w:pPr>
        <w:pStyle w:val="NormalIndent"/>
        <w:ind w:left="0"/>
      </w:pPr>
      <w:r>
        <w:t xml:space="preserve">The vast majority (approximately 80 per cent) of Bangladesh's land mass is alluvial lowland centred </w:t>
      </w:r>
      <w:proofErr w:type="gramStart"/>
      <w:r>
        <w:t>around</w:t>
      </w:r>
      <w:proofErr w:type="gramEnd"/>
      <w:r>
        <w:t xml:space="preserve"> the Bengal delta, which comprises the Ganges, Brahmaputra and </w:t>
      </w:r>
      <w:proofErr w:type="spellStart"/>
      <w:r>
        <w:t>Meghna</w:t>
      </w:r>
      <w:proofErr w:type="spellEnd"/>
      <w:r>
        <w:t xml:space="preserve"> Rivers. Most of this land is below 10 metres above sea level and highly susceptible to flooding. The only mountainous regions are the Chittagong Hill Tracts in the southeast, the Low Hills of </w:t>
      </w:r>
      <w:proofErr w:type="spellStart"/>
      <w:r>
        <w:t>Sylhet</w:t>
      </w:r>
      <w:proofErr w:type="spellEnd"/>
      <w:r>
        <w:t xml:space="preserve"> in the northeast and the highlands in the north and northwest.</w:t>
      </w:r>
    </w:p>
    <w:p w:rsidR="00DF2A54" w:rsidRDefault="00DF2A54" w:rsidP="00DF2A54">
      <w:pPr>
        <w:pStyle w:val="NormalIndent"/>
        <w:ind w:left="0"/>
      </w:pPr>
      <w:r>
        <w:t>Bangladesh is severely overpopulated, with the population of 161 million located on just 144,000 square kilometres. Approximately 34 per cent of the total population is located in urban areas, with the major cities being:</w:t>
      </w:r>
    </w:p>
    <w:p w:rsidR="00DF2A54" w:rsidRPr="002D6A8A" w:rsidRDefault="00DF2A54" w:rsidP="00DF2A54">
      <w:pPr>
        <w:pStyle w:val="Bullet1"/>
      </w:pPr>
      <w:r w:rsidRPr="00DF2A54">
        <w:rPr>
          <w:lang w:val="en"/>
        </w:rPr>
        <w:t xml:space="preserve">Dhaka with a population of 17.598 million; </w:t>
      </w:r>
    </w:p>
    <w:p w:rsidR="00DF2A54" w:rsidRPr="002D6A8A" w:rsidRDefault="00DF2A54" w:rsidP="00DF2A54">
      <w:pPr>
        <w:pStyle w:val="Bullet1"/>
      </w:pPr>
      <w:r w:rsidRPr="00DF2A54">
        <w:rPr>
          <w:lang w:val="en"/>
        </w:rPr>
        <w:t xml:space="preserve">Chittagong with a population of 4.539 million; </w:t>
      </w:r>
    </w:p>
    <w:p w:rsidR="00DF2A54" w:rsidRPr="002D6A8A" w:rsidRDefault="00DF2A54" w:rsidP="00DF2A54">
      <w:pPr>
        <w:pStyle w:val="Bullet1"/>
      </w:pPr>
      <w:r w:rsidRPr="00DF2A54">
        <w:rPr>
          <w:lang w:val="en"/>
        </w:rPr>
        <w:t>Khulna with a population of 1.022 million; and</w:t>
      </w:r>
    </w:p>
    <w:p w:rsidR="00DF2A54" w:rsidRDefault="00DF2A54" w:rsidP="00DF2A54">
      <w:pPr>
        <w:pStyle w:val="Bullet1"/>
      </w:pPr>
      <w:proofErr w:type="spellStart"/>
      <w:r w:rsidRPr="00DF2A54">
        <w:rPr>
          <w:lang w:val="en"/>
        </w:rPr>
        <w:lastRenderedPageBreak/>
        <w:t>Rajshahi</w:t>
      </w:r>
      <w:proofErr w:type="spellEnd"/>
      <w:r w:rsidRPr="00DF2A54">
        <w:rPr>
          <w:lang w:val="en"/>
        </w:rPr>
        <w:t xml:space="preserve"> with a population of 844,000.</w:t>
      </w:r>
      <w:r>
        <w:rPr>
          <w:rStyle w:val="FootnoteReference"/>
          <w:lang w:val="en"/>
        </w:rPr>
        <w:footnoteReference w:id="2"/>
      </w:r>
    </w:p>
    <w:p w:rsidR="00DF2A54" w:rsidRDefault="00DF2A54" w:rsidP="00DF2A54">
      <w:pPr>
        <w:pStyle w:val="NormalIndent"/>
        <w:ind w:left="0"/>
      </w:pPr>
      <w:r>
        <w:t>The remainder of the population is located in rural areas and is, generally, directly dependent on agriculture for its livelihood, which creates immense pressure on agricultural land.</w:t>
      </w:r>
      <w:r>
        <w:rPr>
          <w:rStyle w:val="FootnoteReference"/>
        </w:rPr>
        <w:footnoteReference w:id="3"/>
      </w:r>
    </w:p>
    <w:p w:rsidR="00DF2A54" w:rsidRDefault="00DF2A54" w:rsidP="00DF2A54">
      <w:pPr>
        <w:pStyle w:val="NormalIndent"/>
        <w:jc w:val="center"/>
      </w:pPr>
      <w:r>
        <w:rPr>
          <w:noProof/>
          <w:lang w:val="es-EC" w:eastAsia="es-EC"/>
        </w:rPr>
        <w:drawing>
          <wp:inline distT="0" distB="0" distL="0" distR="0" wp14:anchorId="53DE4CC6" wp14:editId="12341A47">
            <wp:extent cx="3148330" cy="337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8330" cy="3373120"/>
                    </a:xfrm>
                    <a:prstGeom prst="rect">
                      <a:avLst/>
                    </a:prstGeom>
                    <a:noFill/>
                    <a:ln>
                      <a:noFill/>
                    </a:ln>
                  </pic:spPr>
                </pic:pic>
              </a:graphicData>
            </a:graphic>
          </wp:inline>
        </w:drawing>
      </w:r>
    </w:p>
    <w:p w:rsidR="00DF2A54" w:rsidRDefault="00DF2A54" w:rsidP="00DF2A54">
      <w:pPr>
        <w:pStyle w:val="NormalIndent"/>
        <w:jc w:val="center"/>
        <w:rPr>
          <w:sz w:val="16"/>
          <w:szCs w:val="16"/>
        </w:rPr>
      </w:pPr>
      <w:r w:rsidRPr="000815D4">
        <w:rPr>
          <w:sz w:val="16"/>
          <w:szCs w:val="16"/>
        </w:rPr>
        <w:t xml:space="preserve">(Map </w:t>
      </w:r>
      <w:r>
        <w:rPr>
          <w:sz w:val="16"/>
          <w:szCs w:val="16"/>
        </w:rPr>
        <w:t xml:space="preserve">reproduced from: </w:t>
      </w:r>
      <w:r w:rsidRPr="000815D4">
        <w:rPr>
          <w:sz w:val="16"/>
          <w:szCs w:val="16"/>
        </w:rPr>
        <w:t xml:space="preserve">Central Intelligence Agency, 'Bangladesh' The World </w:t>
      </w:r>
      <w:proofErr w:type="spellStart"/>
      <w:r w:rsidRPr="000815D4">
        <w:rPr>
          <w:sz w:val="16"/>
          <w:szCs w:val="16"/>
        </w:rPr>
        <w:t>Factbook</w:t>
      </w:r>
      <w:proofErr w:type="spellEnd"/>
      <w:r w:rsidRPr="000815D4">
        <w:rPr>
          <w:sz w:val="16"/>
          <w:szCs w:val="16"/>
        </w:rPr>
        <w:t xml:space="preserve"> &lt;https://www.cia.gov/library/publications/the-world-factbook/geos/bg.html</w:t>
      </w:r>
      <w:r>
        <w:rPr>
          <w:sz w:val="16"/>
          <w:szCs w:val="16"/>
        </w:rPr>
        <w:t>&gt;)</w:t>
      </w:r>
    </w:p>
    <w:p w:rsidR="009352F2" w:rsidRDefault="00DF2A54" w:rsidP="00422CE7">
      <w:pPr>
        <w:pStyle w:val="AllensHeading3"/>
        <w:numPr>
          <w:ilvl w:val="0"/>
          <w:numId w:val="0"/>
        </w:numPr>
      </w:pPr>
      <w:r>
        <w:t>Bangladesh</w:t>
      </w:r>
      <w:r w:rsidRPr="000815D4">
        <w:t xml:space="preserve"> has </w:t>
      </w:r>
      <w:r>
        <w:t>six</w:t>
      </w:r>
      <w:r w:rsidRPr="000815D4">
        <w:t xml:space="preserve"> tiers of government</w:t>
      </w:r>
      <w:r>
        <w:t xml:space="preserve"> as shown in the diagram below.</w:t>
      </w:r>
    </w:p>
    <w:p w:rsidR="00FC4FFA" w:rsidRDefault="00FC4FFA" w:rsidP="00422CE7">
      <w:pPr>
        <w:pStyle w:val="AllensHeading3"/>
        <w:numPr>
          <w:ilvl w:val="0"/>
          <w:numId w:val="0"/>
        </w:numPr>
      </w:pPr>
      <w:r>
        <w:rPr>
          <w:noProof/>
          <w:lang w:val="es-EC" w:eastAsia="es-EC"/>
        </w:rPr>
        <w:drawing>
          <wp:inline distT="0" distB="0" distL="0" distR="0" wp14:anchorId="73E0E12B" wp14:editId="152B247C">
            <wp:extent cx="5852160" cy="307715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63269" w:rsidRDefault="00C664C5" w:rsidP="00063269">
      <w:pPr>
        <w:pStyle w:val="AllensHeading1"/>
      </w:pPr>
      <w:bookmarkStart w:id="13" w:name="CommonTenureTypes"/>
      <w:bookmarkStart w:id="14" w:name="_Toc513106744"/>
      <w:bookmarkEnd w:id="13"/>
      <w:r>
        <w:lastRenderedPageBreak/>
        <w:t xml:space="preserve">Common </w:t>
      </w:r>
      <w:r w:rsidR="00063269">
        <w:t>Tenure</w:t>
      </w:r>
      <w:r>
        <w:t xml:space="preserve"> Types</w:t>
      </w:r>
      <w:bookmarkEnd w:id="14"/>
    </w:p>
    <w:p w:rsidR="000E014F" w:rsidRDefault="000E014F" w:rsidP="00063269">
      <w:pPr>
        <w:pStyle w:val="AllensHeading2"/>
      </w:pPr>
      <w:bookmarkStart w:id="15" w:name="_Toc513106745"/>
      <w:r>
        <w:t>Tenure types</w:t>
      </w:r>
      <w:bookmarkEnd w:id="15"/>
    </w:p>
    <w:p w:rsidR="00FB65BF" w:rsidRPr="000E014F" w:rsidRDefault="00FB65BF" w:rsidP="000E014F">
      <w:pPr>
        <w:pStyle w:val="AllensHeading3"/>
        <w:rPr>
          <w:b/>
        </w:rPr>
      </w:pPr>
      <w:bookmarkStart w:id="16" w:name="Laws"/>
      <w:bookmarkEnd w:id="16"/>
      <w:r w:rsidRPr="000E014F">
        <w:rPr>
          <w:b/>
        </w:rPr>
        <w:t>What are the key pieces of legislation governing housing, land, building and planning? Please provide links to copies of the legislation.</w:t>
      </w:r>
    </w:p>
    <w:p w:rsidR="002371F6" w:rsidRDefault="002371F6" w:rsidP="000E014F">
      <w:pPr>
        <w:pStyle w:val="NormalIndent"/>
        <w:ind w:left="753"/>
        <w:rPr>
          <w:rFonts w:eastAsiaTheme="minorHAnsi"/>
          <w:lang w:eastAsia="en-US"/>
        </w:rPr>
      </w:pPr>
      <w:r>
        <w:rPr>
          <w:rFonts w:eastAsiaTheme="minorHAnsi"/>
          <w:lang w:eastAsia="en-US"/>
        </w:rPr>
        <w:t xml:space="preserve">The key pieces of legislation governing housing, land, building and planning </w:t>
      </w:r>
      <w:r w:rsidR="009D3F7C">
        <w:rPr>
          <w:rFonts w:eastAsiaTheme="minorHAnsi"/>
          <w:lang w:eastAsia="en-US"/>
        </w:rPr>
        <w:t>include</w:t>
      </w:r>
      <w:r>
        <w:rPr>
          <w:rFonts w:eastAsiaTheme="minorHAnsi"/>
          <w:lang w:eastAsia="en-US"/>
        </w:rPr>
        <w:t>:</w:t>
      </w:r>
    </w:p>
    <w:p w:rsidR="00C4246C" w:rsidRPr="00C4246C" w:rsidRDefault="00FB65BF" w:rsidP="000E014F">
      <w:pPr>
        <w:pStyle w:val="NormalIndent"/>
        <w:numPr>
          <w:ilvl w:val="0"/>
          <w:numId w:val="26"/>
        </w:numPr>
        <w:ind w:left="1124"/>
        <w:rPr>
          <w:rFonts w:eastAsiaTheme="minorHAnsi" w:cs="Arial"/>
          <w:i/>
          <w:lang w:eastAsia="en-US"/>
        </w:rPr>
      </w:pPr>
      <w:r w:rsidRPr="005C13D6">
        <w:rPr>
          <w:rFonts w:eastAsiaTheme="minorHAnsi"/>
          <w:lang w:eastAsia="en-US"/>
        </w:rPr>
        <w:t xml:space="preserve">the </w:t>
      </w:r>
      <w:hyperlink r:id="rId22" w:history="1">
        <w:r w:rsidR="00036E91">
          <w:rPr>
            <w:rStyle w:val="Hyperlink"/>
            <w:rFonts w:eastAsiaTheme="minorHAnsi"/>
            <w:i/>
            <w:lang w:eastAsia="en-US"/>
          </w:rPr>
          <w:t>Transfer of Property Act 18</w:t>
        </w:r>
        <w:r w:rsidR="00036E91" w:rsidRPr="00036E91">
          <w:rPr>
            <w:rStyle w:val="Hyperlink"/>
            <w:rFonts w:eastAsiaTheme="minorHAnsi"/>
            <w:i/>
            <w:lang w:eastAsia="en-US"/>
          </w:rPr>
          <w:t>82</w:t>
        </w:r>
      </w:hyperlink>
      <w:r w:rsidR="009D3F7C">
        <w:rPr>
          <w:rFonts w:eastAsiaTheme="minorHAnsi"/>
          <w:i/>
          <w:lang w:eastAsia="en-US"/>
        </w:rPr>
        <w:t xml:space="preserve"> </w:t>
      </w:r>
      <w:r w:rsidR="009D3F7C" w:rsidRPr="009D3F7C">
        <w:rPr>
          <w:rFonts w:eastAsiaTheme="minorHAnsi"/>
          <w:lang w:eastAsia="en-US"/>
        </w:rPr>
        <w:t>which governs</w:t>
      </w:r>
      <w:r w:rsidR="009D3F7C">
        <w:rPr>
          <w:rFonts w:eastAsiaTheme="minorHAnsi"/>
          <w:lang w:eastAsia="en-US"/>
        </w:rPr>
        <w:t xml:space="preserve"> the transfer of private interests in land</w:t>
      </w:r>
      <w:r w:rsidR="009D3F7C" w:rsidRPr="009D3F7C">
        <w:rPr>
          <w:rFonts w:eastAsiaTheme="minorHAnsi"/>
          <w:lang w:eastAsia="en-US"/>
        </w:rPr>
        <w:t>;</w:t>
      </w:r>
    </w:p>
    <w:p w:rsidR="00FB65BF" w:rsidRPr="00C4246C" w:rsidRDefault="005C13D6" w:rsidP="000E014F">
      <w:pPr>
        <w:pStyle w:val="NormalIndent"/>
        <w:numPr>
          <w:ilvl w:val="0"/>
          <w:numId w:val="26"/>
        </w:numPr>
        <w:ind w:left="1124"/>
        <w:rPr>
          <w:rFonts w:eastAsiaTheme="minorHAnsi" w:cs="Arial"/>
          <w:i/>
          <w:lang w:eastAsia="en-US"/>
        </w:rPr>
      </w:pPr>
      <w:r>
        <w:rPr>
          <w:rFonts w:eastAsiaTheme="minorHAnsi"/>
          <w:lang w:eastAsia="en-US"/>
        </w:rPr>
        <w:t xml:space="preserve">the </w:t>
      </w:r>
      <w:hyperlink r:id="rId23" w:history="1">
        <w:r w:rsidR="00036E91" w:rsidRPr="00036E91">
          <w:rPr>
            <w:rStyle w:val="Hyperlink"/>
            <w:rFonts w:eastAsiaTheme="minorHAnsi"/>
            <w:i/>
            <w:lang w:eastAsia="en-US"/>
          </w:rPr>
          <w:t>Registration Act 1908</w:t>
        </w:r>
      </w:hyperlink>
      <w:r w:rsidR="00C4246C">
        <w:rPr>
          <w:rFonts w:eastAsiaTheme="minorHAnsi"/>
          <w:i/>
          <w:lang w:eastAsia="en-US"/>
        </w:rPr>
        <w:t xml:space="preserve"> </w:t>
      </w:r>
      <w:r w:rsidR="00C4246C">
        <w:rPr>
          <w:rFonts w:eastAsiaTheme="minorHAnsi"/>
          <w:lang w:eastAsia="en-US"/>
        </w:rPr>
        <w:t>which governs registration of private interests in land;</w:t>
      </w:r>
    </w:p>
    <w:p w:rsidR="00C4246C" w:rsidRPr="00A96F8B" w:rsidRDefault="00C4246C" w:rsidP="000E014F">
      <w:pPr>
        <w:pStyle w:val="NormalIndent"/>
        <w:numPr>
          <w:ilvl w:val="0"/>
          <w:numId w:val="26"/>
        </w:numPr>
        <w:ind w:left="1124"/>
        <w:rPr>
          <w:rFonts w:eastAsiaTheme="minorHAnsi" w:cs="Arial"/>
          <w:i/>
          <w:lang w:eastAsia="en-US"/>
        </w:rPr>
      </w:pPr>
      <w:r>
        <w:rPr>
          <w:rFonts w:eastAsiaTheme="minorHAnsi"/>
          <w:lang w:eastAsia="en-US"/>
        </w:rPr>
        <w:t xml:space="preserve">the </w:t>
      </w:r>
      <w:hyperlink r:id="rId24" w:history="1">
        <w:r w:rsidRPr="00C4246C">
          <w:rPr>
            <w:rStyle w:val="Hyperlink"/>
            <w:rFonts w:eastAsiaTheme="minorHAnsi" w:cs="Arial"/>
            <w:i/>
            <w:lang w:eastAsia="en-US"/>
          </w:rPr>
          <w:t>Land Reforms Ordinance of 1984</w:t>
        </w:r>
      </w:hyperlink>
      <w:r>
        <w:rPr>
          <w:rFonts w:eastAsiaTheme="minorHAnsi" w:cs="Arial"/>
          <w:lang w:eastAsia="en-US"/>
        </w:rPr>
        <w:t xml:space="preserve"> which establish</w:t>
      </w:r>
      <w:r w:rsidR="00070200">
        <w:rPr>
          <w:rFonts w:eastAsiaTheme="minorHAnsi" w:cs="Arial"/>
          <w:lang w:eastAsia="en-US"/>
        </w:rPr>
        <w:t>es</w:t>
      </w:r>
      <w:r>
        <w:rPr>
          <w:rFonts w:eastAsiaTheme="minorHAnsi" w:cs="Arial"/>
          <w:lang w:eastAsia="en-US"/>
        </w:rPr>
        <w:t xml:space="preserve"> a land ceiling, govern</w:t>
      </w:r>
      <w:r w:rsidR="00070200">
        <w:rPr>
          <w:rFonts w:eastAsiaTheme="minorHAnsi" w:cs="Arial"/>
          <w:lang w:eastAsia="en-US"/>
        </w:rPr>
        <w:t>s</w:t>
      </w:r>
      <w:r>
        <w:rPr>
          <w:rFonts w:eastAsiaTheme="minorHAnsi" w:cs="Arial"/>
          <w:lang w:eastAsia="en-US"/>
        </w:rPr>
        <w:t xml:space="preserve"> the di</w:t>
      </w:r>
      <w:r w:rsidR="00A96F8B">
        <w:rPr>
          <w:rFonts w:eastAsiaTheme="minorHAnsi" w:cs="Arial"/>
          <w:lang w:eastAsia="en-US"/>
        </w:rPr>
        <w:t>stribution of G</w:t>
      </w:r>
      <w:r>
        <w:rPr>
          <w:rFonts w:eastAsiaTheme="minorHAnsi" w:cs="Arial"/>
          <w:lang w:eastAsia="en-US"/>
        </w:rPr>
        <w:t xml:space="preserve">overnment land </w:t>
      </w:r>
      <w:r w:rsidR="00A96F8B">
        <w:rPr>
          <w:rFonts w:eastAsiaTheme="minorHAnsi" w:cs="Arial"/>
          <w:lang w:eastAsia="en-US"/>
        </w:rPr>
        <w:t>(</w:t>
      </w:r>
      <w:proofErr w:type="spellStart"/>
      <w:r w:rsidR="00A96F8B" w:rsidRPr="00A96F8B">
        <w:rPr>
          <w:rFonts w:eastAsiaTheme="minorHAnsi" w:cs="Arial"/>
          <w:i/>
          <w:lang w:eastAsia="en-US"/>
        </w:rPr>
        <w:t>khas</w:t>
      </w:r>
      <w:proofErr w:type="spellEnd"/>
      <w:r w:rsidR="00A96F8B">
        <w:rPr>
          <w:rFonts w:eastAsiaTheme="minorHAnsi" w:cs="Arial"/>
          <w:lang w:eastAsia="en-US"/>
        </w:rPr>
        <w:t xml:space="preserve">) </w:t>
      </w:r>
      <w:r>
        <w:rPr>
          <w:rFonts w:eastAsiaTheme="minorHAnsi" w:cs="Arial"/>
          <w:lang w:eastAsia="en-US"/>
        </w:rPr>
        <w:t>to the landless and regulate</w:t>
      </w:r>
      <w:r w:rsidR="00070200">
        <w:rPr>
          <w:rFonts w:eastAsiaTheme="minorHAnsi" w:cs="Arial"/>
          <w:lang w:eastAsia="en-US"/>
        </w:rPr>
        <w:t>s</w:t>
      </w:r>
      <w:r w:rsidR="00A96F8B">
        <w:rPr>
          <w:rFonts w:eastAsiaTheme="minorHAnsi" w:cs="Arial"/>
          <w:lang w:eastAsia="en-US"/>
        </w:rPr>
        <w:t xml:space="preserve"> sharecropping agreements;</w:t>
      </w:r>
      <w:r w:rsidR="00417F6F">
        <w:rPr>
          <w:rFonts w:eastAsiaTheme="minorHAnsi" w:cs="Arial"/>
          <w:lang w:eastAsia="en-US"/>
        </w:rPr>
        <w:t xml:space="preserve"> and</w:t>
      </w:r>
    </w:p>
    <w:p w:rsidR="00A96F8B" w:rsidRPr="00C4246C" w:rsidRDefault="00A96F8B" w:rsidP="000E014F">
      <w:pPr>
        <w:pStyle w:val="NormalIndent"/>
        <w:numPr>
          <w:ilvl w:val="0"/>
          <w:numId w:val="26"/>
        </w:numPr>
        <w:ind w:left="1124"/>
        <w:rPr>
          <w:rFonts w:eastAsiaTheme="minorHAnsi" w:cs="Arial"/>
          <w:i/>
          <w:lang w:eastAsia="en-US"/>
        </w:rPr>
      </w:pPr>
      <w:proofErr w:type="gramStart"/>
      <w:r>
        <w:rPr>
          <w:rFonts w:eastAsiaTheme="minorHAnsi" w:cs="Arial"/>
          <w:lang w:eastAsia="en-US"/>
        </w:rPr>
        <w:t>the</w:t>
      </w:r>
      <w:proofErr w:type="gramEnd"/>
      <w:r>
        <w:rPr>
          <w:rFonts w:eastAsiaTheme="minorHAnsi" w:cs="Arial"/>
          <w:lang w:eastAsia="en-US"/>
        </w:rPr>
        <w:t xml:space="preserve"> </w:t>
      </w:r>
      <w:proofErr w:type="spellStart"/>
      <w:r w:rsidRPr="00A96F8B">
        <w:rPr>
          <w:rFonts w:eastAsiaTheme="minorHAnsi" w:cs="Arial"/>
          <w:i/>
          <w:lang w:eastAsia="en-US"/>
        </w:rPr>
        <w:t>Khas</w:t>
      </w:r>
      <w:proofErr w:type="spellEnd"/>
      <w:r w:rsidRPr="00A96F8B">
        <w:rPr>
          <w:rFonts w:eastAsiaTheme="minorHAnsi" w:cs="Arial"/>
          <w:i/>
          <w:lang w:eastAsia="en-US"/>
        </w:rPr>
        <w:t xml:space="preserve"> Land Settlement Polic</w:t>
      </w:r>
      <w:r>
        <w:rPr>
          <w:rFonts w:eastAsiaTheme="minorHAnsi" w:cs="Arial"/>
          <w:lang w:eastAsia="en-US"/>
        </w:rPr>
        <w:t>y which also regulates the distribution of Government (</w:t>
      </w:r>
      <w:proofErr w:type="spellStart"/>
      <w:r w:rsidRPr="00A96F8B">
        <w:rPr>
          <w:rFonts w:eastAsiaTheme="minorHAnsi" w:cs="Arial"/>
          <w:i/>
          <w:lang w:eastAsia="en-US"/>
        </w:rPr>
        <w:t>khas</w:t>
      </w:r>
      <w:proofErr w:type="spellEnd"/>
      <w:r>
        <w:rPr>
          <w:rFonts w:eastAsiaTheme="minorHAnsi" w:cs="Arial"/>
          <w:lang w:eastAsia="en-US"/>
        </w:rPr>
        <w:t>) land to the landless.</w:t>
      </w:r>
    </w:p>
    <w:p w:rsidR="00063269" w:rsidRPr="000E014F" w:rsidRDefault="00AA00A3" w:rsidP="000E014F">
      <w:pPr>
        <w:pStyle w:val="AllensHeading3"/>
        <w:rPr>
          <w:b/>
        </w:rPr>
      </w:pPr>
      <w:r w:rsidRPr="000E014F">
        <w:rPr>
          <w:b/>
        </w:rPr>
        <w:t>What types of tenure exist?</w:t>
      </w:r>
    </w:p>
    <w:p w:rsidR="00AA00A3" w:rsidRDefault="00DD1E00" w:rsidP="00063269">
      <w:pPr>
        <w:pStyle w:val="NormalIndent"/>
        <w:spacing w:after="240"/>
      </w:pPr>
      <w:r>
        <w:t>The table below summarises the main forms of tenure in Bangladesh.</w:t>
      </w:r>
      <w:r>
        <w:rPr>
          <w:rStyle w:val="FootnoteReference"/>
        </w:rPr>
        <w:footnoteReference w:id="4"/>
      </w:r>
      <w:r w:rsidR="00B215EB">
        <w:t xml:space="preserve"> It is important to understand that </w:t>
      </w:r>
      <w:r w:rsidR="006B6449">
        <w:t>the</w:t>
      </w:r>
      <w:r w:rsidR="00B215EB">
        <w:t xml:space="preserve"> types of tenure </w:t>
      </w:r>
      <w:r w:rsidR="006B6449">
        <w:t xml:space="preserve">in the table below may co-exist so that there are several </w:t>
      </w:r>
      <w:r w:rsidR="000727E4">
        <w:t>layers of tenure in relation to one parcel of land.</w:t>
      </w:r>
      <w:r w:rsidR="00CB3FAE">
        <w:t xml:space="preserve"> </w:t>
      </w:r>
      <w:r w:rsidR="006B6449">
        <w:t xml:space="preserve">For example, a person who has common law freehold may enter into a 2-year lease with a tenant, who may in turn lease </w:t>
      </w:r>
      <w:r w:rsidR="00C23CF0">
        <w:t>a room</w:t>
      </w:r>
      <w:r w:rsidR="006B6449">
        <w:t xml:space="preserve"> </w:t>
      </w:r>
      <w:r w:rsidR="00C23CF0">
        <w:t>to a sub-tenant</w:t>
      </w:r>
      <w:r w:rsidR="006B6449">
        <w:t>.</w:t>
      </w:r>
    </w:p>
    <w:tbl>
      <w:tblPr>
        <w:tblStyle w:val="LightShading-Accent1"/>
        <w:tblW w:w="8930" w:type="dxa"/>
        <w:tblInd w:w="817" w:type="dxa"/>
        <w:tblLook w:val="04A0" w:firstRow="1" w:lastRow="0" w:firstColumn="1" w:lastColumn="0" w:noHBand="0" w:noVBand="1"/>
      </w:tblPr>
      <w:tblGrid>
        <w:gridCol w:w="1628"/>
        <w:gridCol w:w="7302"/>
      </w:tblGrid>
      <w:tr w:rsidR="00024A24" w:rsidRPr="00024A24" w:rsidTr="00024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rsidR="00024A24" w:rsidRPr="00024A24" w:rsidRDefault="00024A24" w:rsidP="00221A36">
            <w:pPr>
              <w:pStyle w:val="NormalIndent"/>
              <w:ind w:left="0"/>
              <w:rPr>
                <w:color w:val="auto"/>
              </w:rPr>
            </w:pPr>
            <w:r w:rsidRPr="00024A24">
              <w:rPr>
                <w:color w:val="auto"/>
              </w:rPr>
              <w:t>Tenure type</w:t>
            </w:r>
          </w:p>
        </w:tc>
        <w:tc>
          <w:tcPr>
            <w:tcW w:w="7302" w:type="dxa"/>
          </w:tcPr>
          <w:p w:rsidR="00024A24" w:rsidRPr="00024A24" w:rsidRDefault="00D95A29" w:rsidP="00D95A29">
            <w:pPr>
              <w:pStyle w:val="NormalIndent"/>
              <w:ind w:left="0"/>
              <w:cnfStyle w:val="100000000000" w:firstRow="1" w:lastRow="0" w:firstColumn="0" w:lastColumn="0" w:oddVBand="0" w:evenVBand="0" w:oddHBand="0" w:evenHBand="0" w:firstRowFirstColumn="0" w:firstRowLastColumn="0" w:lastRowFirstColumn="0" w:lastRowLastColumn="0"/>
              <w:rPr>
                <w:color w:val="auto"/>
              </w:rPr>
            </w:pPr>
            <w:r>
              <w:rPr>
                <w:color w:val="auto"/>
              </w:rPr>
              <w:t>Description</w:t>
            </w:r>
          </w:p>
        </w:tc>
      </w:tr>
      <w:tr w:rsidR="00024A24" w:rsidRPr="00024A24" w:rsidTr="0002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rsidR="00024A24" w:rsidRPr="00024A24" w:rsidRDefault="00024A24" w:rsidP="00024A24">
            <w:pPr>
              <w:pStyle w:val="NormalIndent"/>
              <w:ind w:left="0"/>
              <w:rPr>
                <w:color w:val="auto"/>
              </w:rPr>
            </w:pPr>
            <w:bookmarkStart w:id="17" w:name="CommonLawFreehold"/>
            <w:bookmarkEnd w:id="17"/>
            <w:r w:rsidRPr="00024A24">
              <w:rPr>
                <w:color w:val="auto"/>
              </w:rPr>
              <w:t>Common Law Freehold</w:t>
            </w:r>
          </w:p>
        </w:tc>
        <w:tc>
          <w:tcPr>
            <w:tcW w:w="7302" w:type="dxa"/>
          </w:tcPr>
          <w:p w:rsidR="00024A24" w:rsidRPr="00024A24" w:rsidRDefault="00024A24" w:rsidP="00070200">
            <w:pPr>
              <w:pStyle w:val="NormalIndent"/>
              <w:ind w:left="0"/>
              <w:cnfStyle w:val="000000100000" w:firstRow="0" w:lastRow="0" w:firstColumn="0" w:lastColumn="0" w:oddVBand="0" w:evenVBand="0" w:oddHBand="1" w:evenHBand="0" w:firstRowFirstColumn="0" w:firstRowLastColumn="0" w:lastRowFirstColumn="0" w:lastRowLastColumn="0"/>
              <w:rPr>
                <w:color w:val="auto"/>
              </w:rPr>
            </w:pPr>
            <w:r w:rsidRPr="00024A24">
              <w:rPr>
                <w:color w:val="auto"/>
              </w:rPr>
              <w:t>Exclusive ownership of</w:t>
            </w:r>
            <w:r w:rsidR="00C94212">
              <w:rPr>
                <w:color w:val="auto"/>
              </w:rPr>
              <w:t xml:space="preserve"> land for an indefinite period.</w:t>
            </w:r>
            <w:r w:rsidR="00070200">
              <w:rPr>
                <w:color w:val="auto"/>
              </w:rPr>
              <w:t xml:space="preserve"> Under Bangladeshi law, no private individual is entitled to own more than 20 acres of agricultural land.</w:t>
            </w:r>
            <w:r w:rsidR="00070200">
              <w:rPr>
                <w:rStyle w:val="FootnoteReference"/>
                <w:color w:val="auto"/>
              </w:rPr>
              <w:footnoteReference w:id="5"/>
            </w:r>
          </w:p>
        </w:tc>
      </w:tr>
      <w:tr w:rsidR="00024A24" w:rsidRPr="00024A24" w:rsidTr="00024A24">
        <w:tc>
          <w:tcPr>
            <w:cnfStyle w:val="001000000000" w:firstRow="0" w:lastRow="0" w:firstColumn="1" w:lastColumn="0" w:oddVBand="0" w:evenVBand="0" w:oddHBand="0" w:evenHBand="0" w:firstRowFirstColumn="0" w:firstRowLastColumn="0" w:lastRowFirstColumn="0" w:lastRowLastColumn="0"/>
            <w:tcW w:w="1628" w:type="dxa"/>
          </w:tcPr>
          <w:p w:rsidR="00024A24" w:rsidRPr="00024A24" w:rsidRDefault="00B215EB" w:rsidP="006F459D">
            <w:pPr>
              <w:pStyle w:val="NormalIndent"/>
              <w:ind w:left="0"/>
              <w:rPr>
                <w:color w:val="auto"/>
              </w:rPr>
            </w:pPr>
            <w:bookmarkStart w:id="18" w:name="PermanentLeaseKhaslease"/>
            <w:bookmarkEnd w:id="18"/>
            <w:r>
              <w:rPr>
                <w:color w:val="auto"/>
              </w:rPr>
              <w:t xml:space="preserve">Permanent lease / </w:t>
            </w:r>
            <w:proofErr w:type="spellStart"/>
            <w:r w:rsidR="006F459D">
              <w:rPr>
                <w:color w:val="auto"/>
              </w:rPr>
              <w:t>K</w:t>
            </w:r>
            <w:r w:rsidR="00024A24" w:rsidRPr="00024A24">
              <w:rPr>
                <w:color w:val="auto"/>
              </w:rPr>
              <w:t>has</w:t>
            </w:r>
            <w:proofErr w:type="spellEnd"/>
            <w:r w:rsidR="006F459D">
              <w:rPr>
                <w:color w:val="auto"/>
              </w:rPr>
              <w:t xml:space="preserve"> lease</w:t>
            </w:r>
          </w:p>
        </w:tc>
        <w:tc>
          <w:tcPr>
            <w:tcW w:w="7302" w:type="dxa"/>
          </w:tcPr>
          <w:p w:rsidR="00024A24" w:rsidRPr="00024A24" w:rsidRDefault="00AF07AA" w:rsidP="00DD1E00">
            <w:pPr>
              <w:pStyle w:val="NormalIndent"/>
              <w:ind w:left="0"/>
              <w:cnfStyle w:val="000000000000" w:firstRow="0" w:lastRow="0" w:firstColumn="0" w:lastColumn="0" w:oddVBand="0" w:evenVBand="0" w:oddHBand="0" w:evenHBand="0" w:firstRowFirstColumn="0" w:firstRowLastColumn="0" w:lastRowFirstColumn="0" w:lastRowLastColumn="0"/>
              <w:rPr>
                <w:color w:val="auto"/>
              </w:rPr>
            </w:pPr>
            <w:r>
              <w:rPr>
                <w:color w:val="auto"/>
              </w:rPr>
              <w:t>The r</w:t>
            </w:r>
            <w:r w:rsidR="00341A0C">
              <w:rPr>
                <w:color w:val="auto"/>
              </w:rPr>
              <w:t>ight to use</w:t>
            </w:r>
            <w:r w:rsidR="00EC6613">
              <w:rPr>
                <w:color w:val="auto"/>
              </w:rPr>
              <w:t xml:space="preserve"> a plot of</w:t>
            </w:r>
            <w:r w:rsidR="00341A0C">
              <w:rPr>
                <w:color w:val="auto"/>
              </w:rPr>
              <w:t xml:space="preserve"> </w:t>
            </w:r>
            <w:r w:rsidR="00F77B67">
              <w:rPr>
                <w:color w:val="auto"/>
              </w:rPr>
              <w:t xml:space="preserve">government land </w:t>
            </w:r>
            <w:r w:rsidR="00EC6613">
              <w:rPr>
                <w:color w:val="auto"/>
              </w:rPr>
              <w:t xml:space="preserve">ranging between one and three acres </w:t>
            </w:r>
            <w:r w:rsidR="00F77B67">
              <w:rPr>
                <w:color w:val="auto"/>
              </w:rPr>
              <w:t>for a period of 99-years</w:t>
            </w:r>
            <w:r w:rsidR="00EC6613">
              <w:rPr>
                <w:color w:val="auto"/>
              </w:rPr>
              <w:t xml:space="preserve"> at no cost. Rights to use </w:t>
            </w:r>
            <w:proofErr w:type="spellStart"/>
            <w:r w:rsidR="00EC6613" w:rsidRPr="00EC6613">
              <w:rPr>
                <w:i/>
                <w:color w:val="auto"/>
              </w:rPr>
              <w:t>khas</w:t>
            </w:r>
            <w:proofErr w:type="spellEnd"/>
            <w:r w:rsidR="00EC6613">
              <w:rPr>
                <w:color w:val="auto"/>
              </w:rPr>
              <w:t xml:space="preserve"> are </w:t>
            </w:r>
            <w:r>
              <w:rPr>
                <w:color w:val="auto"/>
              </w:rPr>
              <w:t>granted by the Ministry of Lands</w:t>
            </w:r>
            <w:r w:rsidR="00F77B67">
              <w:rPr>
                <w:color w:val="auto"/>
              </w:rPr>
              <w:t xml:space="preserve"> to </w:t>
            </w:r>
            <w:r w:rsidR="00ED414B">
              <w:rPr>
                <w:color w:val="auto"/>
              </w:rPr>
              <w:t xml:space="preserve">landless </w:t>
            </w:r>
            <w:r w:rsidR="00F77B67">
              <w:rPr>
                <w:color w:val="auto"/>
              </w:rPr>
              <w:t>pers</w:t>
            </w:r>
            <w:r>
              <w:rPr>
                <w:color w:val="auto"/>
              </w:rPr>
              <w:t xml:space="preserve">ons </w:t>
            </w:r>
            <w:r w:rsidR="00ED414B">
              <w:rPr>
                <w:color w:val="auto"/>
              </w:rPr>
              <w:t>(</w:t>
            </w:r>
            <w:proofErr w:type="spellStart"/>
            <w:r w:rsidR="00ED414B">
              <w:rPr>
                <w:color w:val="auto"/>
              </w:rPr>
              <w:t>ie</w:t>
            </w:r>
            <w:proofErr w:type="spellEnd"/>
            <w:r w:rsidR="00ED414B">
              <w:rPr>
                <w:color w:val="auto"/>
              </w:rPr>
              <w:t xml:space="preserve">, persons </w:t>
            </w:r>
            <w:r>
              <w:rPr>
                <w:color w:val="auto"/>
              </w:rPr>
              <w:t>without common law freehold</w:t>
            </w:r>
            <w:r w:rsidR="00ED414B">
              <w:rPr>
                <w:color w:val="auto"/>
              </w:rPr>
              <w:t>)</w:t>
            </w:r>
            <w:r w:rsidR="00024A24" w:rsidRPr="00024A24">
              <w:rPr>
                <w:color w:val="auto"/>
              </w:rPr>
              <w:t>.</w:t>
            </w:r>
            <w:r w:rsidR="00B215EB">
              <w:rPr>
                <w:color w:val="auto"/>
              </w:rPr>
              <w:t xml:space="preserve"> This type of tenure is often referred to as a 'permanent lease'.</w:t>
            </w:r>
          </w:p>
        </w:tc>
      </w:tr>
      <w:tr w:rsidR="00024A24" w:rsidRPr="00AF23DC" w:rsidTr="0002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rsidR="00024A24" w:rsidRPr="00024A24" w:rsidRDefault="00024A24" w:rsidP="00024A24">
            <w:pPr>
              <w:pStyle w:val="NormalIndent"/>
              <w:ind w:left="0"/>
              <w:rPr>
                <w:color w:val="auto"/>
              </w:rPr>
            </w:pPr>
            <w:bookmarkStart w:id="19" w:name="Leasehold"/>
            <w:bookmarkEnd w:id="19"/>
            <w:r w:rsidRPr="00024A24">
              <w:rPr>
                <w:color w:val="auto"/>
              </w:rPr>
              <w:t>Leasehold</w:t>
            </w:r>
          </w:p>
        </w:tc>
        <w:tc>
          <w:tcPr>
            <w:tcW w:w="7302" w:type="dxa"/>
          </w:tcPr>
          <w:p w:rsidR="008253DB" w:rsidRPr="00AF23DC" w:rsidRDefault="00024A24" w:rsidP="004C08AE">
            <w:pPr>
              <w:pStyle w:val="NormalIndent"/>
              <w:ind w:left="0"/>
              <w:cnfStyle w:val="000000100000" w:firstRow="0" w:lastRow="0" w:firstColumn="0" w:lastColumn="0" w:oddVBand="0" w:evenVBand="0" w:oddHBand="1" w:evenHBand="0" w:firstRowFirstColumn="0" w:firstRowLastColumn="0" w:lastRowFirstColumn="0" w:lastRowLastColumn="0"/>
              <w:rPr>
                <w:color w:val="auto"/>
              </w:rPr>
            </w:pPr>
            <w:r w:rsidRPr="00AF23DC">
              <w:rPr>
                <w:color w:val="auto"/>
              </w:rPr>
              <w:t xml:space="preserve">The right </w:t>
            </w:r>
            <w:r w:rsidR="00F77B67" w:rsidRPr="00AF23DC">
              <w:rPr>
                <w:color w:val="auto"/>
              </w:rPr>
              <w:t xml:space="preserve">to use land </w:t>
            </w:r>
            <w:r w:rsidR="003E5DDF">
              <w:rPr>
                <w:color w:val="auto"/>
              </w:rPr>
              <w:t xml:space="preserve">or housing </w:t>
            </w:r>
            <w:r w:rsidR="00F77B67" w:rsidRPr="00AF23DC">
              <w:rPr>
                <w:color w:val="auto"/>
              </w:rPr>
              <w:t>owned by another for a fixed period</w:t>
            </w:r>
            <w:r w:rsidR="00A24E33">
              <w:rPr>
                <w:color w:val="auto"/>
              </w:rPr>
              <w:t xml:space="preserve"> in exchange for payment of rent, often referred to as a cash lease</w:t>
            </w:r>
            <w:r w:rsidR="00F77B67" w:rsidRPr="00AF23DC">
              <w:rPr>
                <w:color w:val="auto"/>
              </w:rPr>
              <w:t xml:space="preserve">. </w:t>
            </w:r>
            <w:r w:rsidR="006B6449" w:rsidRPr="00AF23DC">
              <w:rPr>
                <w:color w:val="auto"/>
              </w:rPr>
              <w:t xml:space="preserve">Leases of </w:t>
            </w:r>
            <w:r w:rsidR="000727E4" w:rsidRPr="00AF23DC">
              <w:rPr>
                <w:color w:val="auto"/>
              </w:rPr>
              <w:t>more than one year</w:t>
            </w:r>
            <w:r w:rsidR="006B6449" w:rsidRPr="00AF23DC">
              <w:rPr>
                <w:color w:val="auto"/>
              </w:rPr>
              <w:t xml:space="preserve"> must be registered.</w:t>
            </w:r>
            <w:r w:rsidR="003E5DDF">
              <w:rPr>
                <w:color w:val="auto"/>
              </w:rPr>
              <w:t xml:space="preserve"> Leases of one year or less do not need to be in writing.</w:t>
            </w:r>
          </w:p>
        </w:tc>
      </w:tr>
      <w:tr w:rsidR="00A24E33" w:rsidRPr="00024A24" w:rsidTr="00024A24">
        <w:tc>
          <w:tcPr>
            <w:cnfStyle w:val="001000000000" w:firstRow="0" w:lastRow="0" w:firstColumn="1" w:lastColumn="0" w:oddVBand="0" w:evenVBand="0" w:oddHBand="0" w:evenHBand="0" w:firstRowFirstColumn="0" w:firstRowLastColumn="0" w:lastRowFirstColumn="0" w:lastRowLastColumn="0"/>
            <w:tcW w:w="1628" w:type="dxa"/>
          </w:tcPr>
          <w:p w:rsidR="00A24E33" w:rsidRPr="00024A24" w:rsidRDefault="00A24E33" w:rsidP="00357000">
            <w:pPr>
              <w:pStyle w:val="NormalIndent"/>
              <w:ind w:left="0"/>
            </w:pPr>
            <w:bookmarkStart w:id="20" w:name="SharecroppingAgreement"/>
            <w:bookmarkEnd w:id="20"/>
            <w:r w:rsidRPr="00A24E33">
              <w:rPr>
                <w:color w:val="000000" w:themeColor="text1"/>
              </w:rPr>
              <w:t>Sharecropping agreement</w:t>
            </w:r>
          </w:p>
        </w:tc>
        <w:tc>
          <w:tcPr>
            <w:tcW w:w="7302" w:type="dxa"/>
          </w:tcPr>
          <w:p w:rsidR="00A24E33" w:rsidRDefault="00C23CF0" w:rsidP="00357000">
            <w:pPr>
              <w:pStyle w:val="NormalIndent"/>
              <w:ind w:left="0"/>
              <w:cnfStyle w:val="000000000000" w:firstRow="0" w:lastRow="0" w:firstColumn="0" w:lastColumn="0" w:oddVBand="0" w:evenVBand="0" w:oddHBand="0" w:evenHBand="0" w:firstRowFirstColumn="0" w:firstRowLastColumn="0" w:lastRowFirstColumn="0" w:lastRowLastColumn="0"/>
            </w:pPr>
            <w:r>
              <w:rPr>
                <w:color w:val="auto"/>
              </w:rPr>
              <w:t>T</w:t>
            </w:r>
            <w:r w:rsidR="00A24E33" w:rsidRPr="00AF23DC">
              <w:rPr>
                <w:color w:val="auto"/>
              </w:rPr>
              <w:t>he sharecropper and landowner each receive one-third of the crop, and the remaining third is allocated based on their contribution to the costs of growing the crops. Sharecropper contracts must be for a minimum of five years and are heritable.</w:t>
            </w:r>
          </w:p>
        </w:tc>
      </w:tr>
      <w:tr w:rsidR="00024A24" w:rsidRPr="00024A24" w:rsidTr="0002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rsidR="00024A24" w:rsidRPr="00024A24" w:rsidRDefault="00024A24" w:rsidP="00357000">
            <w:pPr>
              <w:pStyle w:val="NormalIndent"/>
              <w:ind w:left="0"/>
              <w:rPr>
                <w:color w:val="auto"/>
              </w:rPr>
            </w:pPr>
            <w:bookmarkStart w:id="21" w:name="CustomaryOwnership"/>
            <w:bookmarkEnd w:id="21"/>
            <w:r w:rsidRPr="00024A24">
              <w:rPr>
                <w:color w:val="auto"/>
              </w:rPr>
              <w:t xml:space="preserve">Customary </w:t>
            </w:r>
            <w:r w:rsidR="00357000">
              <w:rPr>
                <w:color w:val="auto"/>
              </w:rPr>
              <w:t>ownership</w:t>
            </w:r>
          </w:p>
        </w:tc>
        <w:tc>
          <w:tcPr>
            <w:tcW w:w="7302" w:type="dxa"/>
          </w:tcPr>
          <w:p w:rsidR="00024A24" w:rsidRPr="00024A24" w:rsidRDefault="0092252A" w:rsidP="00C23CF0">
            <w:pPr>
              <w:pStyle w:val="NormalIndent"/>
              <w:ind w:left="0"/>
              <w:cnfStyle w:val="000000100000" w:firstRow="0" w:lastRow="0" w:firstColumn="0" w:lastColumn="0" w:oddVBand="0" w:evenVBand="0" w:oddHBand="1" w:evenHBand="0" w:firstRowFirstColumn="0" w:firstRowLastColumn="0" w:lastRowFirstColumn="0" w:lastRowLastColumn="0"/>
              <w:rPr>
                <w:color w:val="auto"/>
              </w:rPr>
            </w:pPr>
            <w:r>
              <w:rPr>
                <w:color w:val="auto"/>
              </w:rPr>
              <w:t>In t</w:t>
            </w:r>
            <w:r w:rsidR="00024A24" w:rsidRPr="00024A24">
              <w:rPr>
                <w:color w:val="auto"/>
              </w:rPr>
              <w:t xml:space="preserve">he Chittagong Hill Tracts </w:t>
            </w:r>
            <w:r>
              <w:rPr>
                <w:color w:val="auto"/>
              </w:rPr>
              <w:t>official government institutions and customary institutions share authority over property law. In practice, however, customary law is practiced and government institutions rarely intervene</w:t>
            </w:r>
            <w:r w:rsidR="00024A24" w:rsidRPr="00024A24">
              <w:rPr>
                <w:color w:val="auto"/>
              </w:rPr>
              <w:t>.</w:t>
            </w:r>
          </w:p>
        </w:tc>
      </w:tr>
      <w:tr w:rsidR="00C664C5" w:rsidRPr="00024A24" w:rsidTr="00024A24">
        <w:tc>
          <w:tcPr>
            <w:cnfStyle w:val="001000000000" w:firstRow="0" w:lastRow="0" w:firstColumn="1" w:lastColumn="0" w:oddVBand="0" w:evenVBand="0" w:oddHBand="0" w:evenHBand="0" w:firstRowFirstColumn="0" w:firstRowLastColumn="0" w:lastRowFirstColumn="0" w:lastRowLastColumn="0"/>
            <w:tcW w:w="1628" w:type="dxa"/>
          </w:tcPr>
          <w:p w:rsidR="00C664C5" w:rsidRPr="00024A24" w:rsidRDefault="00C664C5" w:rsidP="00024A24">
            <w:pPr>
              <w:pStyle w:val="NormalIndent"/>
              <w:ind w:left="0"/>
            </w:pPr>
            <w:bookmarkStart w:id="22" w:name="CooperativeOwnership"/>
            <w:bookmarkEnd w:id="22"/>
            <w:r w:rsidRPr="00C664C5">
              <w:rPr>
                <w:color w:val="000000" w:themeColor="text1"/>
              </w:rPr>
              <w:lastRenderedPageBreak/>
              <w:t>Co-operative ownership</w:t>
            </w:r>
          </w:p>
        </w:tc>
        <w:tc>
          <w:tcPr>
            <w:tcW w:w="7302" w:type="dxa"/>
          </w:tcPr>
          <w:p w:rsidR="00C664C5" w:rsidRPr="00C664C5" w:rsidRDefault="00C664C5" w:rsidP="00024A24">
            <w:pPr>
              <w:pStyle w:val="NormalIndent"/>
              <w:ind w:left="0"/>
              <w:cnfStyle w:val="000000000000" w:firstRow="0" w:lastRow="0" w:firstColumn="0" w:lastColumn="0" w:oddVBand="0" w:evenVBand="0" w:oddHBand="0" w:evenHBand="0" w:firstRowFirstColumn="0" w:firstRowLastColumn="0" w:lastRowFirstColumn="0" w:lastRowLastColumn="0"/>
            </w:pPr>
            <w:r w:rsidRPr="00C664C5">
              <w:rPr>
                <w:color w:val="auto"/>
              </w:rPr>
              <w:t>Where a person uses land and housing as a member of a registered co-cooperative society which owns the land.</w:t>
            </w:r>
          </w:p>
        </w:tc>
      </w:tr>
      <w:tr w:rsidR="00CD2881" w:rsidRPr="00024A24" w:rsidTr="0002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rsidR="00CD2881" w:rsidRPr="00024A24" w:rsidRDefault="00CD2881" w:rsidP="00024A24">
            <w:pPr>
              <w:pStyle w:val="NormalIndent"/>
              <w:ind w:left="0"/>
            </w:pPr>
            <w:bookmarkStart w:id="23" w:name="TiedTenancy"/>
            <w:bookmarkEnd w:id="23"/>
            <w:r w:rsidRPr="00CD2881">
              <w:rPr>
                <w:color w:val="000000" w:themeColor="text1"/>
              </w:rPr>
              <w:t>Tied tenancy</w:t>
            </w:r>
          </w:p>
        </w:tc>
        <w:tc>
          <w:tcPr>
            <w:tcW w:w="7302" w:type="dxa"/>
          </w:tcPr>
          <w:p w:rsidR="00CD2881" w:rsidRDefault="00CD2881" w:rsidP="00357000">
            <w:pPr>
              <w:pStyle w:val="NormalIndent"/>
              <w:ind w:left="0"/>
              <w:cnfStyle w:val="000000100000" w:firstRow="0" w:lastRow="0" w:firstColumn="0" w:lastColumn="0" w:oddVBand="0" w:evenVBand="0" w:oddHBand="1" w:evenHBand="0" w:firstRowFirstColumn="0" w:firstRowLastColumn="0" w:lastRowFirstColumn="0" w:lastRowLastColumn="0"/>
            </w:pPr>
            <w:r>
              <w:rPr>
                <w:color w:val="auto"/>
              </w:rPr>
              <w:t xml:space="preserve">Where a person occupies residential accommodation </w:t>
            </w:r>
            <w:r w:rsidR="00357000">
              <w:rPr>
                <w:color w:val="auto"/>
              </w:rPr>
              <w:t>in their capacity as</w:t>
            </w:r>
            <w:r>
              <w:rPr>
                <w:color w:val="auto"/>
              </w:rPr>
              <w:t xml:space="preserve"> an employee of a government</w:t>
            </w:r>
            <w:r w:rsidR="004D4D22">
              <w:rPr>
                <w:color w:val="auto"/>
              </w:rPr>
              <w:t xml:space="preserve"> agency or private organisation, or as a labourer on agricultural land.</w:t>
            </w:r>
          </w:p>
        </w:tc>
      </w:tr>
      <w:tr w:rsidR="003E5DDF" w:rsidRPr="00024A24" w:rsidTr="00024A24">
        <w:tc>
          <w:tcPr>
            <w:cnfStyle w:val="001000000000" w:firstRow="0" w:lastRow="0" w:firstColumn="1" w:lastColumn="0" w:oddVBand="0" w:evenVBand="0" w:oddHBand="0" w:evenHBand="0" w:firstRowFirstColumn="0" w:firstRowLastColumn="0" w:lastRowFirstColumn="0" w:lastRowLastColumn="0"/>
            <w:tcW w:w="1628" w:type="dxa"/>
          </w:tcPr>
          <w:p w:rsidR="003E5DDF" w:rsidRDefault="003E5DDF" w:rsidP="00024A24">
            <w:pPr>
              <w:pStyle w:val="NormalIndent"/>
              <w:ind w:left="0"/>
            </w:pPr>
            <w:bookmarkStart w:id="24" w:name="BedRoomRental"/>
            <w:bookmarkEnd w:id="24"/>
            <w:r w:rsidRPr="003E5DDF">
              <w:rPr>
                <w:color w:val="000000" w:themeColor="text1"/>
              </w:rPr>
              <w:t>Bed or room rental</w:t>
            </w:r>
          </w:p>
        </w:tc>
        <w:tc>
          <w:tcPr>
            <w:tcW w:w="7302" w:type="dxa"/>
          </w:tcPr>
          <w:p w:rsidR="003E5DDF" w:rsidRPr="003E5DDF" w:rsidRDefault="00C23CF0" w:rsidP="00C23CF0">
            <w:pPr>
              <w:pStyle w:val="NormalIndent"/>
              <w:ind w:left="0"/>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Where a person rooms a bed or room, usually on a short-term basis. </w:t>
            </w:r>
            <w:r w:rsidR="003E5DDF" w:rsidRPr="003E5DDF">
              <w:rPr>
                <w:color w:val="auto"/>
              </w:rPr>
              <w:t>Bed rental</w:t>
            </w:r>
            <w:r w:rsidR="003E5DDF">
              <w:rPr>
                <w:color w:val="auto"/>
              </w:rPr>
              <w:t xml:space="preserve"> </w:t>
            </w:r>
            <w:r>
              <w:rPr>
                <w:color w:val="auto"/>
              </w:rPr>
              <w:t>is often referred to as 'mess housing'.</w:t>
            </w:r>
          </w:p>
        </w:tc>
      </w:tr>
      <w:tr w:rsidR="00024A24" w:rsidRPr="00024A24" w:rsidTr="0002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rsidR="00024A24" w:rsidRPr="00024A24" w:rsidRDefault="00217175" w:rsidP="00024A24">
            <w:pPr>
              <w:pStyle w:val="NormalIndent"/>
              <w:ind w:left="0"/>
              <w:rPr>
                <w:color w:val="auto"/>
              </w:rPr>
            </w:pPr>
            <w:bookmarkStart w:id="25" w:name="InformalTenureTypes"/>
            <w:bookmarkEnd w:id="25"/>
            <w:r>
              <w:rPr>
                <w:color w:val="auto"/>
              </w:rPr>
              <w:t>Informal</w:t>
            </w:r>
            <w:r w:rsidR="00024A24" w:rsidRPr="00024A24">
              <w:rPr>
                <w:color w:val="auto"/>
              </w:rPr>
              <w:t xml:space="preserve"> tenure</w:t>
            </w:r>
            <w:r w:rsidR="006B6449">
              <w:rPr>
                <w:color w:val="auto"/>
              </w:rPr>
              <w:t xml:space="preserve"> types</w:t>
            </w:r>
          </w:p>
        </w:tc>
        <w:tc>
          <w:tcPr>
            <w:tcW w:w="7302" w:type="dxa"/>
          </w:tcPr>
          <w:p w:rsidR="00217175" w:rsidRDefault="0092252A" w:rsidP="00024A24">
            <w:pPr>
              <w:pStyle w:val="NormalIndent"/>
              <w:ind w:left="0"/>
              <w:cnfStyle w:val="000000100000" w:firstRow="0" w:lastRow="0" w:firstColumn="0" w:lastColumn="0" w:oddVBand="0" w:evenVBand="0" w:oddHBand="1" w:evenHBand="0" w:firstRowFirstColumn="0" w:firstRowLastColumn="0" w:lastRowFirstColumn="0" w:lastRowLastColumn="0"/>
              <w:rPr>
                <w:color w:val="auto"/>
              </w:rPr>
            </w:pPr>
            <w:r>
              <w:rPr>
                <w:color w:val="auto"/>
              </w:rPr>
              <w:t>There</w:t>
            </w:r>
            <w:r w:rsidR="00970612">
              <w:rPr>
                <w:color w:val="auto"/>
              </w:rPr>
              <w:t xml:space="preserve"> are many types of </w:t>
            </w:r>
            <w:r w:rsidR="00217175">
              <w:rPr>
                <w:color w:val="auto"/>
              </w:rPr>
              <w:t>informal</w:t>
            </w:r>
            <w:r w:rsidR="00970612">
              <w:rPr>
                <w:color w:val="auto"/>
              </w:rPr>
              <w:t xml:space="preserve"> tenure, meaning </w:t>
            </w:r>
            <w:r w:rsidR="00217175">
              <w:rPr>
                <w:color w:val="auto"/>
              </w:rPr>
              <w:t xml:space="preserve">tenure which </w:t>
            </w:r>
            <w:r w:rsidR="00C657B5">
              <w:rPr>
                <w:color w:val="auto"/>
              </w:rPr>
              <w:t xml:space="preserve">does not comply with </w:t>
            </w:r>
            <w:r w:rsidR="0098365A">
              <w:rPr>
                <w:color w:val="auto"/>
              </w:rPr>
              <w:t>registration</w:t>
            </w:r>
            <w:r w:rsidR="00C657B5">
              <w:rPr>
                <w:color w:val="auto"/>
              </w:rPr>
              <w:t xml:space="preserve"> requirements.</w:t>
            </w:r>
            <w:r w:rsidR="00C23CF0">
              <w:rPr>
                <w:color w:val="auto"/>
              </w:rPr>
              <w:t xml:space="preserve"> </w:t>
            </w:r>
            <w:r w:rsidR="00217175">
              <w:rPr>
                <w:color w:val="auto"/>
              </w:rPr>
              <w:t>This includes the following.</w:t>
            </w:r>
          </w:p>
          <w:p w:rsidR="00C664C5" w:rsidRDefault="00C23CF0" w:rsidP="00C664C5">
            <w:pPr>
              <w:pStyle w:val="NormalIndent"/>
              <w:numPr>
                <w:ilvl w:val="0"/>
                <w:numId w:val="21"/>
              </w:numPr>
              <w:cnfStyle w:val="000000100000" w:firstRow="0" w:lastRow="0" w:firstColumn="0" w:lastColumn="0" w:oddVBand="0" w:evenVBand="0" w:oddHBand="1" w:evenHBand="0" w:firstRowFirstColumn="0" w:firstRowLastColumn="0" w:lastRowFirstColumn="0" w:lastRowLastColumn="0"/>
              <w:rPr>
                <w:color w:val="auto"/>
              </w:rPr>
            </w:pPr>
            <w:r>
              <w:rPr>
                <w:b/>
                <w:color w:val="auto"/>
              </w:rPr>
              <w:t>l</w:t>
            </w:r>
            <w:r w:rsidR="00407538">
              <w:rPr>
                <w:b/>
                <w:color w:val="auto"/>
              </w:rPr>
              <w:t xml:space="preserve">easing </w:t>
            </w:r>
            <w:r w:rsidR="00C664C5">
              <w:rPr>
                <w:b/>
                <w:color w:val="auto"/>
              </w:rPr>
              <w:t xml:space="preserve">without a </w:t>
            </w:r>
            <w:r w:rsidR="004C08AE">
              <w:rPr>
                <w:b/>
                <w:color w:val="auto"/>
              </w:rPr>
              <w:t>registered lease</w:t>
            </w:r>
            <w:r w:rsidR="00C664C5">
              <w:rPr>
                <w:b/>
                <w:color w:val="auto"/>
              </w:rPr>
              <w:t xml:space="preserve"> </w:t>
            </w:r>
            <w:r w:rsidR="00C664C5">
              <w:rPr>
                <w:color w:val="auto"/>
              </w:rPr>
              <w:t xml:space="preserve">— </w:t>
            </w:r>
            <w:r>
              <w:rPr>
                <w:color w:val="auto"/>
              </w:rPr>
              <w:t>a</w:t>
            </w:r>
            <w:r w:rsidR="00C664C5">
              <w:rPr>
                <w:color w:val="auto"/>
              </w:rPr>
              <w:t xml:space="preserve"> person </w:t>
            </w:r>
            <w:r w:rsidR="00217175">
              <w:rPr>
                <w:color w:val="auto"/>
              </w:rPr>
              <w:t xml:space="preserve">who </w:t>
            </w:r>
            <w:r w:rsidR="00AF23DC">
              <w:rPr>
                <w:color w:val="auto"/>
              </w:rPr>
              <w:t xml:space="preserve">has a verbal agreement to </w:t>
            </w:r>
            <w:r w:rsidR="00C664C5">
              <w:rPr>
                <w:color w:val="auto"/>
              </w:rPr>
              <w:t>occup</w:t>
            </w:r>
            <w:r w:rsidR="00AF23DC">
              <w:rPr>
                <w:color w:val="auto"/>
              </w:rPr>
              <w:t xml:space="preserve">y </w:t>
            </w:r>
            <w:r w:rsidR="00C664C5">
              <w:rPr>
                <w:color w:val="auto"/>
              </w:rPr>
              <w:t xml:space="preserve">land or housing in exchange for payment of rent </w:t>
            </w:r>
            <w:r w:rsidR="00AF23DC">
              <w:rPr>
                <w:color w:val="auto"/>
              </w:rPr>
              <w:t xml:space="preserve">for more than one year, or </w:t>
            </w:r>
            <w:r w:rsidR="00AF2D4D">
              <w:rPr>
                <w:color w:val="auto"/>
              </w:rPr>
              <w:t>from year to year</w:t>
            </w:r>
            <w:r w:rsidR="001E10CD">
              <w:rPr>
                <w:color w:val="auto"/>
              </w:rPr>
              <w:t>.</w:t>
            </w:r>
          </w:p>
          <w:p w:rsidR="00407538" w:rsidRPr="00C7492C" w:rsidRDefault="00C23CF0" w:rsidP="002371F6">
            <w:pPr>
              <w:pStyle w:val="NormalIndent"/>
              <w:numPr>
                <w:ilvl w:val="0"/>
                <w:numId w:val="21"/>
              </w:numPr>
              <w:cnfStyle w:val="000000100000" w:firstRow="0" w:lastRow="0" w:firstColumn="0" w:lastColumn="0" w:oddVBand="0" w:evenVBand="0" w:oddHBand="1" w:evenHBand="0" w:firstRowFirstColumn="0" w:firstRowLastColumn="0" w:lastRowFirstColumn="0" w:lastRowLastColumn="0"/>
              <w:rPr>
                <w:color w:val="auto"/>
              </w:rPr>
            </w:pPr>
            <w:proofErr w:type="gramStart"/>
            <w:r>
              <w:rPr>
                <w:b/>
                <w:color w:val="auto"/>
              </w:rPr>
              <w:t>o</w:t>
            </w:r>
            <w:r w:rsidR="00407538">
              <w:rPr>
                <w:b/>
                <w:color w:val="auto"/>
              </w:rPr>
              <w:t>wning</w:t>
            </w:r>
            <w:proofErr w:type="gramEnd"/>
            <w:r w:rsidR="00407538">
              <w:rPr>
                <w:b/>
                <w:color w:val="auto"/>
              </w:rPr>
              <w:t xml:space="preserve"> land </w:t>
            </w:r>
            <w:r w:rsidR="002371F6">
              <w:rPr>
                <w:b/>
                <w:color w:val="auto"/>
              </w:rPr>
              <w:t xml:space="preserve">which has not been correctly registered </w:t>
            </w:r>
            <w:r>
              <w:rPr>
                <w:color w:val="auto"/>
              </w:rPr>
              <w:t>— a</w:t>
            </w:r>
            <w:r w:rsidR="00407538">
              <w:rPr>
                <w:color w:val="auto"/>
              </w:rPr>
              <w:t xml:space="preserve"> person owns land in circumstances </w:t>
            </w:r>
            <w:r w:rsidR="002371F6">
              <w:rPr>
                <w:color w:val="auto"/>
              </w:rPr>
              <w:t>but</w:t>
            </w:r>
            <w:r w:rsidR="00407538">
              <w:rPr>
                <w:color w:val="auto"/>
              </w:rPr>
              <w:t xml:space="preserve"> the land is not properly registered. For example, the transfer of the land </w:t>
            </w:r>
            <w:r w:rsidR="002371F6">
              <w:rPr>
                <w:color w:val="auto"/>
              </w:rPr>
              <w:t xml:space="preserve">to the current owner </w:t>
            </w:r>
            <w:r w:rsidR="00407538">
              <w:rPr>
                <w:color w:val="auto"/>
              </w:rPr>
              <w:t xml:space="preserve">was not registered, or the </w:t>
            </w:r>
            <w:r w:rsidR="002371F6">
              <w:rPr>
                <w:color w:val="auto"/>
              </w:rPr>
              <w:t xml:space="preserve">current owner owns </w:t>
            </w:r>
            <w:r w:rsidR="00407538">
              <w:rPr>
                <w:color w:val="auto"/>
              </w:rPr>
              <w:t>part of a subdivided block and the subdivision has not been registered.</w:t>
            </w:r>
          </w:p>
        </w:tc>
      </w:tr>
      <w:tr w:rsidR="007969EC" w:rsidRPr="00024A24" w:rsidTr="00024A24">
        <w:tc>
          <w:tcPr>
            <w:cnfStyle w:val="001000000000" w:firstRow="0" w:lastRow="0" w:firstColumn="1" w:lastColumn="0" w:oddVBand="0" w:evenVBand="0" w:oddHBand="0" w:evenHBand="0" w:firstRowFirstColumn="0" w:firstRowLastColumn="0" w:lastRowFirstColumn="0" w:lastRowLastColumn="0"/>
            <w:tcW w:w="1628" w:type="dxa"/>
          </w:tcPr>
          <w:p w:rsidR="007969EC" w:rsidRPr="007969EC" w:rsidRDefault="007969EC" w:rsidP="00024A24">
            <w:pPr>
              <w:pStyle w:val="NormalIndent"/>
              <w:ind w:left="0"/>
              <w:rPr>
                <w:color w:val="000000" w:themeColor="text1"/>
              </w:rPr>
            </w:pPr>
            <w:bookmarkStart w:id="26" w:name="Squatting"/>
            <w:bookmarkEnd w:id="26"/>
            <w:r w:rsidRPr="007969EC">
              <w:rPr>
                <w:color w:val="000000" w:themeColor="text1"/>
              </w:rPr>
              <w:t>Squatting</w:t>
            </w:r>
          </w:p>
        </w:tc>
        <w:tc>
          <w:tcPr>
            <w:tcW w:w="7302" w:type="dxa"/>
          </w:tcPr>
          <w:p w:rsidR="007969EC" w:rsidRDefault="00C23CF0" w:rsidP="00024A24">
            <w:pPr>
              <w:pStyle w:val="NormalIndent"/>
              <w:ind w:left="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Squatting refers to</w:t>
            </w:r>
            <w:r w:rsidR="007969EC" w:rsidRPr="007969EC">
              <w:rPr>
                <w:color w:val="000000" w:themeColor="text1"/>
              </w:rPr>
              <w:t xml:space="preserve"> living on land which is not one's own</w:t>
            </w:r>
            <w:r>
              <w:rPr>
                <w:color w:val="000000" w:themeColor="text1"/>
              </w:rPr>
              <w:t>, whether public or private, without any right or permissions to do so</w:t>
            </w:r>
            <w:r w:rsidR="007969EC" w:rsidRPr="007969EC">
              <w:rPr>
                <w:color w:val="000000" w:themeColor="text1"/>
              </w:rPr>
              <w:t>.</w:t>
            </w:r>
            <w:r w:rsidR="007969EC">
              <w:rPr>
                <w:color w:val="000000" w:themeColor="text1"/>
              </w:rPr>
              <w:t xml:space="preserve"> There are at least two forms of squatting:</w:t>
            </w:r>
          </w:p>
          <w:p w:rsidR="007969EC" w:rsidRPr="007969EC" w:rsidRDefault="007969EC" w:rsidP="007969EC">
            <w:pPr>
              <w:pStyle w:val="Bullet2"/>
              <w:ind w:left="709"/>
              <w:cnfStyle w:val="000000000000" w:firstRow="0" w:lastRow="0" w:firstColumn="0" w:lastColumn="0" w:oddVBand="0" w:evenVBand="0" w:oddHBand="0" w:evenHBand="0" w:firstRowFirstColumn="0" w:firstRowLastColumn="0" w:lastRowFirstColumn="0" w:lastRowLastColumn="0"/>
              <w:rPr>
                <w:color w:val="000000" w:themeColor="text1"/>
              </w:rPr>
            </w:pPr>
            <w:r w:rsidRPr="007969EC">
              <w:rPr>
                <w:color w:val="000000" w:themeColor="text1"/>
              </w:rPr>
              <w:t xml:space="preserve">squatting on land and living </w:t>
            </w:r>
            <w:r w:rsidR="0018005E">
              <w:rPr>
                <w:color w:val="000000" w:themeColor="text1"/>
              </w:rPr>
              <w:t>in self-constructed housing</w:t>
            </w:r>
            <w:r w:rsidR="00C23CF0">
              <w:rPr>
                <w:color w:val="000000" w:themeColor="text1"/>
              </w:rPr>
              <w:t xml:space="preserve"> or shelter</w:t>
            </w:r>
            <w:r w:rsidR="0018005E">
              <w:rPr>
                <w:color w:val="000000" w:themeColor="text1"/>
              </w:rPr>
              <w:t>; or</w:t>
            </w:r>
          </w:p>
          <w:p w:rsidR="007969EC" w:rsidRPr="007969EC" w:rsidRDefault="007969EC" w:rsidP="00EB2E68">
            <w:pPr>
              <w:pStyle w:val="Bullet2"/>
              <w:ind w:left="709"/>
              <w:cnfStyle w:val="000000000000" w:firstRow="0" w:lastRow="0" w:firstColumn="0" w:lastColumn="0" w:oddVBand="0" w:evenVBand="0" w:oddHBand="0" w:evenHBand="0" w:firstRowFirstColumn="0" w:firstRowLastColumn="0" w:lastRowFirstColumn="0" w:lastRowLastColumn="0"/>
            </w:pPr>
            <w:proofErr w:type="gramStart"/>
            <w:r w:rsidRPr="007969EC">
              <w:rPr>
                <w:color w:val="000000" w:themeColor="text1"/>
              </w:rPr>
              <w:t>squatting</w:t>
            </w:r>
            <w:proofErr w:type="gramEnd"/>
            <w:r w:rsidRPr="007969EC">
              <w:rPr>
                <w:color w:val="000000" w:themeColor="text1"/>
              </w:rPr>
              <w:t xml:space="preserve"> on land by renting housing unlawfully constructe</w:t>
            </w:r>
            <w:r w:rsidR="00EB2E68">
              <w:rPr>
                <w:color w:val="000000" w:themeColor="text1"/>
              </w:rPr>
              <w:t>d on the land by another person</w:t>
            </w:r>
            <w:r w:rsidRPr="007969EC">
              <w:rPr>
                <w:color w:val="000000" w:themeColor="text1"/>
              </w:rPr>
              <w:t>.</w:t>
            </w:r>
          </w:p>
        </w:tc>
      </w:tr>
    </w:tbl>
    <w:p w:rsidR="00AA00A3" w:rsidRPr="000E014F" w:rsidRDefault="00AA00A3" w:rsidP="000E014F">
      <w:pPr>
        <w:pStyle w:val="AllensHeading3"/>
        <w:rPr>
          <w:b/>
        </w:rPr>
      </w:pPr>
      <w:r w:rsidRPr="000E014F">
        <w:rPr>
          <w:b/>
        </w:rPr>
        <w:t>Which, if any, of these types of tenure provide a high degree of security of tenure?</w:t>
      </w:r>
    </w:p>
    <w:p w:rsidR="006B6449" w:rsidRPr="00EB2E68" w:rsidRDefault="00EB2E68" w:rsidP="00131D71">
      <w:pPr>
        <w:pStyle w:val="NormalIndent"/>
      </w:pPr>
      <w:r>
        <w:t>The most secure forms of tenure are common law freehold, registered lease</w:t>
      </w:r>
      <w:r w:rsidR="0059357C">
        <w:t>s</w:t>
      </w:r>
      <w:r>
        <w:t xml:space="preserve"> and 99-year lease</w:t>
      </w:r>
      <w:r w:rsidR="0059357C">
        <w:t>s</w:t>
      </w:r>
      <w:r>
        <w:t xml:space="preserve"> of Government land</w:t>
      </w:r>
      <w:r w:rsidR="00C23CF0">
        <w:t xml:space="preserve"> (</w:t>
      </w:r>
      <w:proofErr w:type="spellStart"/>
      <w:r w:rsidR="00C23CF0" w:rsidRPr="00C23CF0">
        <w:rPr>
          <w:i/>
        </w:rPr>
        <w:t>khas</w:t>
      </w:r>
      <w:proofErr w:type="spellEnd"/>
      <w:r w:rsidR="00C23CF0">
        <w:t>)</w:t>
      </w:r>
      <w:r>
        <w:t xml:space="preserve">. However, even </w:t>
      </w:r>
      <w:r w:rsidR="0059357C">
        <w:t>persons with these types of tenure may face difficulty maintaining and proving the</w:t>
      </w:r>
      <w:r w:rsidR="008F1C5B">
        <w:t xml:space="preserve">ir tenure. </w:t>
      </w:r>
      <w:r w:rsidR="0059357C">
        <w:t>As discuss</w:t>
      </w:r>
      <w:r w:rsidR="003E071C">
        <w:t>ed in greater det</w:t>
      </w:r>
      <w:r w:rsidR="003E071C" w:rsidRPr="005C72DF">
        <w:t xml:space="preserve">ail in </w:t>
      </w:r>
      <w:hyperlink w:anchor="DocumentTenure" w:history="1">
        <w:r w:rsidR="003E071C" w:rsidRPr="005C72DF">
          <w:rPr>
            <w:rStyle w:val="Hyperlink"/>
            <w:color w:val="auto"/>
            <w:u w:val="none"/>
          </w:rPr>
          <w:t xml:space="preserve">section 2.2 </w:t>
        </w:r>
        <w:r w:rsidR="0059357C" w:rsidRPr="005C72DF">
          <w:rPr>
            <w:rStyle w:val="Hyperlink"/>
            <w:color w:val="auto"/>
            <w:u w:val="none"/>
          </w:rPr>
          <w:t>below</w:t>
        </w:r>
      </w:hyperlink>
      <w:r w:rsidR="0059357C" w:rsidRPr="005C72DF">
        <w:t xml:space="preserve">, </w:t>
      </w:r>
      <w:proofErr w:type="spellStart"/>
      <w:r w:rsidR="0059357C">
        <w:t>landgrabbing</w:t>
      </w:r>
      <w:proofErr w:type="spellEnd"/>
      <w:r w:rsidR="0059357C">
        <w:t xml:space="preserve"> is widespread in Bangladesh and poses a threat to persons with all types of tenure. Further, serious problems with Bangladesh's land registra</w:t>
      </w:r>
      <w:r w:rsidR="008F1C5B">
        <w:t>tion process means that land record certificates (</w:t>
      </w:r>
      <w:proofErr w:type="spellStart"/>
      <w:r w:rsidR="008F1C5B" w:rsidRPr="00F87797">
        <w:rPr>
          <w:i/>
        </w:rPr>
        <w:t>khatian</w:t>
      </w:r>
      <w:r w:rsidR="008F1C5B">
        <w:rPr>
          <w:i/>
        </w:rPr>
        <w:t>s</w:t>
      </w:r>
      <w:proofErr w:type="spellEnd"/>
      <w:r w:rsidR="008F1C5B">
        <w:t>) cannot be relied on a</w:t>
      </w:r>
      <w:r w:rsidR="00C23CF0">
        <w:t>s conclusive proof of ownership</w:t>
      </w:r>
      <w:r w:rsidR="00E414BB">
        <w:t xml:space="preserve"> or rights</w:t>
      </w:r>
      <w:r w:rsidR="008F1C5B">
        <w:t>.</w:t>
      </w:r>
    </w:p>
    <w:p w:rsidR="006B6449" w:rsidRPr="000E014F" w:rsidRDefault="006B6449" w:rsidP="000E014F">
      <w:pPr>
        <w:pStyle w:val="AllensHeading3"/>
        <w:rPr>
          <w:b/>
        </w:rPr>
      </w:pPr>
      <w:r w:rsidRPr="000E014F">
        <w:rPr>
          <w:b/>
        </w:rPr>
        <w:t>How does tenure differ between urban and rural areas? If possible, please provide statistics about the prevalence of each type of tenure in urban and rural areas.</w:t>
      </w:r>
    </w:p>
    <w:p w:rsidR="00131D71" w:rsidRDefault="000727E4" w:rsidP="000727E4">
      <w:pPr>
        <w:pStyle w:val="NormalIndent"/>
      </w:pPr>
      <w:r>
        <w:t xml:space="preserve">Detailed statistics about the prevalence of each type of tenure in urban and rural areas are not available. However, </w:t>
      </w:r>
      <w:r w:rsidR="00CD2881">
        <w:t xml:space="preserve">it is possible to generalise that </w:t>
      </w:r>
      <w:r w:rsidR="00587970">
        <w:t xml:space="preserve">rural residents are more likely to have </w:t>
      </w:r>
      <w:r w:rsidR="00C23CF0">
        <w:t xml:space="preserve">the more secure types of tenure: </w:t>
      </w:r>
      <w:r w:rsidR="00587970">
        <w:t>c</w:t>
      </w:r>
      <w:r w:rsidR="00587970" w:rsidRPr="00587970">
        <w:t xml:space="preserve">ommon </w:t>
      </w:r>
      <w:r w:rsidR="00587970">
        <w:t>law fre</w:t>
      </w:r>
      <w:r w:rsidR="00587970" w:rsidRPr="00587970">
        <w:t>ehold</w:t>
      </w:r>
      <w:r w:rsidR="00587970">
        <w:t>, permanent freehold (</w:t>
      </w:r>
      <w:proofErr w:type="spellStart"/>
      <w:r w:rsidR="00587970" w:rsidRPr="00587970">
        <w:rPr>
          <w:i/>
        </w:rPr>
        <w:t>khas</w:t>
      </w:r>
      <w:proofErr w:type="spellEnd"/>
      <w:r w:rsidR="00587970">
        <w:t xml:space="preserve">) or </w:t>
      </w:r>
      <w:r w:rsidR="00131D71">
        <w:t>leasehold tenure.</w:t>
      </w:r>
    </w:p>
    <w:p w:rsidR="008D0644" w:rsidRDefault="00C23CF0" w:rsidP="000727E4">
      <w:pPr>
        <w:pStyle w:val="NormalIndent"/>
      </w:pPr>
      <w:r>
        <w:t>T</w:t>
      </w:r>
      <w:r w:rsidR="00C657B5">
        <w:t>he majority of urban residents access land</w:t>
      </w:r>
      <w:r w:rsidR="00846839">
        <w:t xml:space="preserve"> through informal </w:t>
      </w:r>
      <w:proofErr w:type="spellStart"/>
      <w:r w:rsidR="00846839">
        <w:t>conveyancing</w:t>
      </w:r>
      <w:proofErr w:type="spellEnd"/>
      <w:r w:rsidR="00846839">
        <w:t xml:space="preserve"> or oral agreements</w:t>
      </w:r>
      <w:r w:rsidR="00C657B5">
        <w:t>.</w:t>
      </w:r>
      <w:r w:rsidR="00C657B5">
        <w:rPr>
          <w:rStyle w:val="FootnoteReference"/>
        </w:rPr>
        <w:footnoteReference w:id="6"/>
      </w:r>
      <w:r w:rsidR="00C657B5">
        <w:t xml:space="preserve"> </w:t>
      </w:r>
      <w:r w:rsidR="008D0644">
        <w:t>S</w:t>
      </w:r>
      <w:r w:rsidR="00D05CA4">
        <w:t>lum</w:t>
      </w:r>
      <w:r w:rsidR="00CB3FAE">
        <w:t xml:space="preserve"> settlement</w:t>
      </w:r>
      <w:r w:rsidR="00AD2046">
        <w:t>s</w:t>
      </w:r>
      <w:r w:rsidR="00CB3FAE">
        <w:t xml:space="preserve"> are highly prevalent in </w:t>
      </w:r>
      <w:r w:rsidR="008D0644">
        <w:t xml:space="preserve">all </w:t>
      </w:r>
      <w:r w:rsidR="00CB3FAE">
        <w:t>urban areas</w:t>
      </w:r>
      <w:r w:rsidR="00D05CA4">
        <w:t xml:space="preserve"> and are characterised by less secure tenure arrangements </w:t>
      </w:r>
      <w:r w:rsidR="008D0644">
        <w:t xml:space="preserve">created through informal </w:t>
      </w:r>
      <w:proofErr w:type="spellStart"/>
      <w:r w:rsidR="008D0644">
        <w:t>conveyancing</w:t>
      </w:r>
      <w:proofErr w:type="spellEnd"/>
      <w:r w:rsidR="008D0644">
        <w:t xml:space="preserve"> or oral agreements, such as room and bed rental, and squatting.</w:t>
      </w:r>
      <w:r w:rsidR="008D0644">
        <w:rPr>
          <w:rStyle w:val="FootnoteReference"/>
        </w:rPr>
        <w:footnoteReference w:id="7"/>
      </w:r>
    </w:p>
    <w:p w:rsidR="000441CD" w:rsidRPr="000E014F" w:rsidRDefault="000441CD" w:rsidP="000E014F">
      <w:pPr>
        <w:pStyle w:val="AllensHeading3"/>
        <w:rPr>
          <w:b/>
        </w:rPr>
      </w:pPr>
      <w:bookmarkStart w:id="27" w:name="KeyGovernmentActors"/>
      <w:bookmarkEnd w:id="27"/>
      <w:r w:rsidRPr="000E014F">
        <w:rPr>
          <w:b/>
        </w:rPr>
        <w:lastRenderedPageBreak/>
        <w:t>What are the main government and non-government bodies (</w:t>
      </w:r>
      <w:proofErr w:type="spellStart"/>
      <w:r w:rsidRPr="000E014F">
        <w:rPr>
          <w:b/>
        </w:rPr>
        <w:t>eg</w:t>
      </w:r>
      <w:proofErr w:type="spellEnd"/>
      <w:r w:rsidRPr="000E014F">
        <w:rPr>
          <w:b/>
        </w:rPr>
        <w:t>, representative bodies) which administer or deal with housing, land and property?</w:t>
      </w:r>
    </w:p>
    <w:p w:rsidR="00775D7B" w:rsidRDefault="00775D7B" w:rsidP="00CB3FAE">
      <w:pPr>
        <w:pStyle w:val="NormalIndent"/>
      </w:pPr>
      <w:r>
        <w:t xml:space="preserve">The main government </w:t>
      </w:r>
      <w:r w:rsidR="00AA5BF2">
        <w:t>department</w:t>
      </w:r>
      <w:r w:rsidR="00460775">
        <w:t xml:space="preserve"> responsible for land </w:t>
      </w:r>
      <w:r>
        <w:t xml:space="preserve">administration is the </w:t>
      </w:r>
      <w:r w:rsidRPr="006F459D">
        <w:rPr>
          <w:b/>
          <w:i/>
        </w:rPr>
        <w:t>Ministry of Land</w:t>
      </w:r>
      <w:r w:rsidR="00AA5BF2" w:rsidRPr="006F459D">
        <w:rPr>
          <w:b/>
          <w:i/>
        </w:rPr>
        <w:t>s</w:t>
      </w:r>
      <w:r>
        <w:t>, which has the following divisions.</w:t>
      </w:r>
    </w:p>
    <w:p w:rsidR="00980E92" w:rsidRDefault="00980E92" w:rsidP="00980E92">
      <w:pPr>
        <w:pStyle w:val="NormalIndent"/>
        <w:numPr>
          <w:ilvl w:val="0"/>
          <w:numId w:val="24"/>
        </w:numPr>
      </w:pPr>
      <w:r>
        <w:t xml:space="preserve">The </w:t>
      </w:r>
      <w:r w:rsidRPr="00775D7B">
        <w:rPr>
          <w:b/>
          <w:i/>
        </w:rPr>
        <w:t>Directorate of Land Record &amp; Survey</w:t>
      </w:r>
      <w:r>
        <w:t xml:space="preserve"> is responsible for conducting surveys of land </w:t>
      </w:r>
      <w:r w:rsidR="00287819">
        <w:t>and producing</w:t>
      </w:r>
      <w:r>
        <w:t xml:space="preserve"> individual land record certificates (</w:t>
      </w:r>
      <w:proofErr w:type="spellStart"/>
      <w:r w:rsidRPr="00750D96">
        <w:rPr>
          <w:i/>
        </w:rPr>
        <w:t>khatian</w:t>
      </w:r>
      <w:proofErr w:type="spellEnd"/>
      <w:r>
        <w:t>) and maps (</w:t>
      </w:r>
      <w:proofErr w:type="spellStart"/>
      <w:r w:rsidRPr="00750D96">
        <w:rPr>
          <w:i/>
        </w:rPr>
        <w:t>mouza</w:t>
      </w:r>
      <w:proofErr w:type="spellEnd"/>
      <w:r>
        <w:t>) for each plot of land.</w:t>
      </w:r>
      <w:r w:rsidR="00287819">
        <w:rPr>
          <w:rStyle w:val="FootnoteReference"/>
        </w:rPr>
        <w:footnoteReference w:id="8"/>
      </w:r>
    </w:p>
    <w:p w:rsidR="00775D7B" w:rsidRDefault="00775D7B" w:rsidP="00775D7B">
      <w:pPr>
        <w:pStyle w:val="NormalIndent"/>
        <w:numPr>
          <w:ilvl w:val="0"/>
          <w:numId w:val="24"/>
        </w:numPr>
      </w:pPr>
      <w:r>
        <w:t xml:space="preserve">The </w:t>
      </w:r>
      <w:r w:rsidR="00750D96" w:rsidRPr="00775D7B">
        <w:rPr>
          <w:b/>
          <w:i/>
        </w:rPr>
        <w:t>Land Reform Board</w:t>
      </w:r>
      <w:r w:rsidR="00750D96">
        <w:t xml:space="preserve"> </w:t>
      </w:r>
      <w:r>
        <w:t xml:space="preserve">is responsible for administering </w:t>
      </w:r>
      <w:r w:rsidR="006F459D" w:rsidRPr="006F459D">
        <w:t>Government</w:t>
      </w:r>
      <w:r w:rsidRPr="006F459D">
        <w:t xml:space="preserve"> </w:t>
      </w:r>
      <w:r>
        <w:t>land</w:t>
      </w:r>
      <w:r w:rsidR="006F459D">
        <w:t xml:space="preserve"> (</w:t>
      </w:r>
      <w:proofErr w:type="spellStart"/>
      <w:r w:rsidR="006F459D">
        <w:t>ie</w:t>
      </w:r>
      <w:proofErr w:type="spellEnd"/>
      <w:r w:rsidR="006F459D">
        <w:t xml:space="preserve">, </w:t>
      </w:r>
      <w:proofErr w:type="spellStart"/>
      <w:r w:rsidR="006F459D" w:rsidRPr="006F459D">
        <w:rPr>
          <w:i/>
        </w:rPr>
        <w:t>khas</w:t>
      </w:r>
      <w:proofErr w:type="spellEnd"/>
      <w:r w:rsidR="006F459D">
        <w:t>)</w:t>
      </w:r>
      <w:r>
        <w:t xml:space="preserve">, </w:t>
      </w:r>
      <w:r w:rsidR="00CD1B6A">
        <w:t xml:space="preserve">setting and collecting </w:t>
      </w:r>
      <w:r w:rsidR="00B158A8">
        <w:t>the Land Development Tax</w:t>
      </w:r>
      <w:r w:rsidR="00980E92">
        <w:t xml:space="preserve">, </w:t>
      </w:r>
      <w:r w:rsidR="00750D96">
        <w:t>implementing land reform legislation</w:t>
      </w:r>
      <w:r w:rsidR="00980E92">
        <w:t xml:space="preserve">, and </w:t>
      </w:r>
      <w:r w:rsidR="00222C1C">
        <w:t>preparing updated</w:t>
      </w:r>
      <w:r w:rsidR="00980E92">
        <w:t xml:space="preserve"> </w:t>
      </w:r>
      <w:r w:rsidR="00287819">
        <w:t>land record certificates (</w:t>
      </w:r>
      <w:proofErr w:type="spellStart"/>
      <w:r w:rsidR="00287819" w:rsidRPr="00287819">
        <w:rPr>
          <w:i/>
        </w:rPr>
        <w:t>khatians</w:t>
      </w:r>
      <w:proofErr w:type="spellEnd"/>
      <w:r w:rsidR="00287819">
        <w:t xml:space="preserve">) and </w:t>
      </w:r>
      <w:r w:rsidR="00980E92">
        <w:t xml:space="preserve">maps </w:t>
      </w:r>
      <w:r w:rsidR="00287819">
        <w:t>(</w:t>
      </w:r>
      <w:proofErr w:type="spellStart"/>
      <w:r w:rsidR="00287819" w:rsidRPr="00287819">
        <w:rPr>
          <w:i/>
        </w:rPr>
        <w:t>mouza</w:t>
      </w:r>
      <w:proofErr w:type="spellEnd"/>
      <w:r w:rsidR="00287819">
        <w:t xml:space="preserve">) </w:t>
      </w:r>
      <w:r w:rsidR="00980E92">
        <w:t>in between surveys</w:t>
      </w:r>
      <w:r w:rsidR="00750D96">
        <w:t>.</w:t>
      </w:r>
      <w:r w:rsidR="00AA5BF2">
        <w:rPr>
          <w:rStyle w:val="FootnoteReference"/>
        </w:rPr>
        <w:footnoteReference w:id="9"/>
      </w:r>
      <w:r w:rsidR="00980E92">
        <w:t xml:space="preserve"> The Land Reform Board </w:t>
      </w:r>
      <w:r w:rsidR="00BF33ED">
        <w:t xml:space="preserve">operates through </w:t>
      </w:r>
      <w:proofErr w:type="spellStart"/>
      <w:r w:rsidR="00BF33ED" w:rsidRPr="00BF33ED">
        <w:rPr>
          <w:i/>
        </w:rPr>
        <w:t>upazila</w:t>
      </w:r>
      <w:proofErr w:type="spellEnd"/>
      <w:r w:rsidR="00BF33ED">
        <w:t xml:space="preserve"> Land Offices and Union Council </w:t>
      </w:r>
      <w:r w:rsidR="00BF33ED" w:rsidRPr="00BF33ED">
        <w:rPr>
          <w:i/>
        </w:rPr>
        <w:t>tehsil</w:t>
      </w:r>
      <w:r w:rsidR="00BF33ED">
        <w:t xml:space="preserve"> offices.</w:t>
      </w:r>
    </w:p>
    <w:p w:rsidR="00775D7B" w:rsidRDefault="00775D7B" w:rsidP="00775D7B">
      <w:pPr>
        <w:pStyle w:val="NormalIndent"/>
        <w:numPr>
          <w:ilvl w:val="0"/>
          <w:numId w:val="24"/>
        </w:numPr>
      </w:pPr>
      <w:r>
        <w:t xml:space="preserve">The </w:t>
      </w:r>
      <w:r w:rsidRPr="00775D7B">
        <w:rPr>
          <w:b/>
          <w:i/>
        </w:rPr>
        <w:t>Land Appeal Board</w:t>
      </w:r>
      <w:r>
        <w:t xml:space="preserve"> is </w:t>
      </w:r>
      <w:r w:rsidR="00AA5BF2">
        <w:t xml:space="preserve">responsible for determining appeals against the decisions of government officials in relation to land issues, namely </w:t>
      </w:r>
      <w:r w:rsidR="006F459D">
        <w:t>land taxes</w:t>
      </w:r>
      <w:r w:rsidR="00AA5BF2">
        <w:t>, and the ownership and boundaries of land</w:t>
      </w:r>
      <w:r w:rsidR="006F459D">
        <w:t xml:space="preserve"> as recorded </w:t>
      </w:r>
      <w:r w:rsidR="00287819">
        <w:t>in land record certificates (</w:t>
      </w:r>
      <w:proofErr w:type="spellStart"/>
      <w:r w:rsidR="00287819" w:rsidRPr="00287819">
        <w:rPr>
          <w:i/>
        </w:rPr>
        <w:t>khatians</w:t>
      </w:r>
      <w:proofErr w:type="spellEnd"/>
      <w:r w:rsidR="00287819">
        <w:t>) and maps (</w:t>
      </w:r>
      <w:proofErr w:type="spellStart"/>
      <w:r w:rsidR="00287819" w:rsidRPr="00287819">
        <w:rPr>
          <w:i/>
        </w:rPr>
        <w:t>mouza</w:t>
      </w:r>
      <w:proofErr w:type="spellEnd"/>
      <w:r w:rsidR="00287819">
        <w:t>)</w:t>
      </w:r>
      <w:r w:rsidR="00AA5BF2">
        <w:t>.</w:t>
      </w:r>
      <w:r w:rsidR="00AA5BF2">
        <w:rPr>
          <w:rStyle w:val="FootnoteReference"/>
        </w:rPr>
        <w:footnoteReference w:id="10"/>
      </w:r>
    </w:p>
    <w:p w:rsidR="00B158A8" w:rsidRDefault="00CD1B6A" w:rsidP="00332D93">
      <w:pPr>
        <w:pStyle w:val="NormalIndent"/>
      </w:pPr>
      <w:r>
        <w:t xml:space="preserve">In addition to the </w:t>
      </w:r>
      <w:r w:rsidR="00B158A8">
        <w:t>above</w:t>
      </w:r>
      <w:r>
        <w:t>,</w:t>
      </w:r>
      <w:r w:rsidR="00B158A8">
        <w:t xml:space="preserve"> the </w:t>
      </w:r>
      <w:r w:rsidR="00B158A8" w:rsidRPr="008D0644">
        <w:rPr>
          <w:b/>
          <w:i/>
        </w:rPr>
        <w:t>Department of Land Registration</w:t>
      </w:r>
      <w:r w:rsidR="00B158A8">
        <w:t xml:space="preserve"> is responsible for </w:t>
      </w:r>
      <w:r w:rsidR="00974C8F">
        <w:t xml:space="preserve">registering </w:t>
      </w:r>
      <w:r w:rsidR="009C132D">
        <w:t>changes to land ownership arising from sales or other transfers of land</w:t>
      </w:r>
      <w:r w:rsidR="00974C8F">
        <w:t xml:space="preserve">, </w:t>
      </w:r>
      <w:r w:rsidR="00B158A8">
        <w:t xml:space="preserve">reporting </w:t>
      </w:r>
      <w:r w:rsidR="009C132D">
        <w:t>changes</w:t>
      </w:r>
      <w:r w:rsidR="00B158A8">
        <w:t xml:space="preserve"> to the Ministry of Lands and collecting the Immovable Property Transfer Tax. The Department of Land Registration </w:t>
      </w:r>
      <w:r w:rsidR="00750D96">
        <w:t>sits</w:t>
      </w:r>
      <w:r w:rsidR="00B158A8">
        <w:t xml:space="preserve"> within the </w:t>
      </w:r>
      <w:r w:rsidR="00B158A8" w:rsidRPr="008D0644">
        <w:rPr>
          <w:b/>
          <w:i/>
        </w:rPr>
        <w:t>Ministry of Law, Justice and Parliamentary Affairs</w:t>
      </w:r>
      <w:r w:rsidR="00B158A8">
        <w:t>.</w:t>
      </w:r>
      <w:r w:rsidR="009C132D">
        <w:t xml:space="preserve"> It operates through District Registrars at district level, and Sub-Registrars at </w:t>
      </w:r>
      <w:proofErr w:type="spellStart"/>
      <w:r w:rsidR="009C132D" w:rsidRPr="009C132D">
        <w:rPr>
          <w:i/>
        </w:rPr>
        <w:t>upazila</w:t>
      </w:r>
      <w:proofErr w:type="spellEnd"/>
      <w:r w:rsidR="009C132D">
        <w:t xml:space="preserve"> (sub-district) level.</w:t>
      </w:r>
      <w:r w:rsidR="00BF33ED">
        <w:rPr>
          <w:rStyle w:val="FootnoteReference"/>
        </w:rPr>
        <w:footnoteReference w:id="11"/>
      </w:r>
    </w:p>
    <w:p w:rsidR="00775D7B" w:rsidRDefault="00B158A8" w:rsidP="00332D93">
      <w:pPr>
        <w:pStyle w:val="NormalIndent"/>
      </w:pPr>
      <w:r>
        <w:t>T</w:t>
      </w:r>
      <w:r w:rsidR="00460775">
        <w:t>he following government departments or agencies are involved in housing</w:t>
      </w:r>
      <w:r w:rsidR="005C13D6">
        <w:t xml:space="preserve"> and planning law and policy</w:t>
      </w:r>
      <w:r w:rsidR="00460775">
        <w:t>.</w:t>
      </w:r>
    </w:p>
    <w:p w:rsidR="00460775" w:rsidRDefault="00460775" w:rsidP="00460775">
      <w:pPr>
        <w:pStyle w:val="NormalIndent"/>
        <w:numPr>
          <w:ilvl w:val="0"/>
          <w:numId w:val="25"/>
        </w:numPr>
      </w:pPr>
      <w:r>
        <w:t xml:space="preserve">The </w:t>
      </w:r>
      <w:r w:rsidRPr="00460775">
        <w:rPr>
          <w:b/>
          <w:i/>
        </w:rPr>
        <w:t>National Housing Authority</w:t>
      </w:r>
      <w:r>
        <w:t xml:space="preserve"> is responsible for implementing the </w:t>
      </w:r>
      <w:r w:rsidR="000D5108">
        <w:t xml:space="preserve">national </w:t>
      </w:r>
      <w:r>
        <w:t xml:space="preserve">Government's housing policies and is, therefore, involved in developing and providing public housing, and implementing </w:t>
      </w:r>
      <w:r w:rsidR="000D5108">
        <w:t>slum resettlement projects</w:t>
      </w:r>
      <w:r>
        <w:t>.</w:t>
      </w:r>
      <w:r w:rsidR="000D5108">
        <w:rPr>
          <w:rStyle w:val="FootnoteReference"/>
        </w:rPr>
        <w:footnoteReference w:id="12"/>
      </w:r>
    </w:p>
    <w:p w:rsidR="0076148C" w:rsidRDefault="0076148C" w:rsidP="000A0385">
      <w:pPr>
        <w:pStyle w:val="NormalIndent"/>
        <w:numPr>
          <w:ilvl w:val="0"/>
          <w:numId w:val="25"/>
        </w:numPr>
      </w:pPr>
      <w:r>
        <w:t xml:space="preserve">The </w:t>
      </w:r>
      <w:r w:rsidRPr="0076148C">
        <w:rPr>
          <w:b/>
          <w:i/>
        </w:rPr>
        <w:t>Urban Development Directorate</w:t>
      </w:r>
      <w:r>
        <w:t xml:space="preserve"> is the national agency responsible for administering planning law and policy, however several cities have their own planning agencies as follows:</w:t>
      </w:r>
    </w:p>
    <w:p w:rsidR="0076148C" w:rsidRDefault="0076148C" w:rsidP="0076148C">
      <w:pPr>
        <w:pStyle w:val="NormalIndent"/>
        <w:numPr>
          <w:ilvl w:val="1"/>
          <w:numId w:val="25"/>
        </w:numPr>
      </w:pPr>
      <w:r w:rsidRPr="005C13D6">
        <w:rPr>
          <w:b/>
          <w:i/>
        </w:rPr>
        <w:t>Capital Development Authority</w:t>
      </w:r>
      <w:r>
        <w:t xml:space="preserve"> (</w:t>
      </w:r>
      <w:proofErr w:type="spellStart"/>
      <w:r w:rsidRPr="000A0385">
        <w:rPr>
          <w:i/>
        </w:rPr>
        <w:t>Rajdhani</w:t>
      </w:r>
      <w:proofErr w:type="spellEnd"/>
      <w:r w:rsidRPr="000A0385">
        <w:rPr>
          <w:i/>
        </w:rPr>
        <w:t xml:space="preserve"> </w:t>
      </w:r>
      <w:proofErr w:type="spellStart"/>
      <w:r w:rsidRPr="000A0385">
        <w:rPr>
          <w:i/>
        </w:rPr>
        <w:t>Unnayan</w:t>
      </w:r>
      <w:proofErr w:type="spellEnd"/>
      <w:r w:rsidRPr="000A0385">
        <w:rPr>
          <w:i/>
        </w:rPr>
        <w:t xml:space="preserve"> </w:t>
      </w:r>
      <w:proofErr w:type="spellStart"/>
      <w:r w:rsidRPr="000A0385">
        <w:rPr>
          <w:i/>
        </w:rPr>
        <w:t>Kartripakkha</w:t>
      </w:r>
      <w:proofErr w:type="spellEnd"/>
      <w:r w:rsidRPr="000A0385">
        <w:t xml:space="preserve"> or </w:t>
      </w:r>
      <w:r w:rsidRPr="000A0385">
        <w:rPr>
          <w:i/>
        </w:rPr>
        <w:t>RAJUK</w:t>
      </w:r>
      <w:r>
        <w:t xml:space="preserve"> in Bengali)</w:t>
      </w:r>
      <w:r w:rsidR="005C13D6">
        <w:t xml:space="preserve"> </w:t>
      </w:r>
      <w:r>
        <w:t xml:space="preserve">for the </w:t>
      </w:r>
      <w:r w:rsidR="005C13D6">
        <w:t xml:space="preserve">nation's </w:t>
      </w:r>
      <w:r>
        <w:t xml:space="preserve">capital </w:t>
      </w:r>
      <w:r w:rsidR="005C13D6">
        <w:t>Dhaka</w:t>
      </w:r>
      <w:r>
        <w:t>;</w:t>
      </w:r>
    </w:p>
    <w:p w:rsidR="0076148C" w:rsidRDefault="0076148C" w:rsidP="0076148C">
      <w:pPr>
        <w:pStyle w:val="NormalIndent"/>
        <w:numPr>
          <w:ilvl w:val="1"/>
          <w:numId w:val="25"/>
        </w:numPr>
      </w:pPr>
      <w:r w:rsidRPr="005C13D6">
        <w:rPr>
          <w:b/>
          <w:i/>
        </w:rPr>
        <w:t>Chittagong Development Authority</w:t>
      </w:r>
      <w:r>
        <w:t>;</w:t>
      </w:r>
    </w:p>
    <w:p w:rsidR="0076148C" w:rsidRDefault="0076148C" w:rsidP="0076148C">
      <w:pPr>
        <w:pStyle w:val="NormalIndent"/>
        <w:numPr>
          <w:ilvl w:val="1"/>
          <w:numId w:val="25"/>
        </w:numPr>
      </w:pPr>
      <w:r w:rsidRPr="005C13D6">
        <w:rPr>
          <w:b/>
          <w:i/>
        </w:rPr>
        <w:t>Khulna Development Authority</w:t>
      </w:r>
      <w:r>
        <w:t>; and</w:t>
      </w:r>
    </w:p>
    <w:p w:rsidR="0076148C" w:rsidRDefault="0076148C" w:rsidP="0076148C">
      <w:pPr>
        <w:pStyle w:val="NormalIndent"/>
        <w:numPr>
          <w:ilvl w:val="1"/>
          <w:numId w:val="25"/>
        </w:numPr>
      </w:pPr>
      <w:proofErr w:type="spellStart"/>
      <w:r w:rsidRPr="005C13D6">
        <w:rPr>
          <w:b/>
          <w:i/>
        </w:rPr>
        <w:t>Rajshahi</w:t>
      </w:r>
      <w:proofErr w:type="spellEnd"/>
      <w:r w:rsidRPr="005C13D6">
        <w:rPr>
          <w:b/>
          <w:i/>
        </w:rPr>
        <w:t xml:space="preserve"> Town Development Authority</w:t>
      </w:r>
      <w:r>
        <w:t>.</w:t>
      </w:r>
    </w:p>
    <w:p w:rsidR="0076148C" w:rsidRPr="005C13D6" w:rsidRDefault="0076148C" w:rsidP="00FB393E">
      <w:pPr>
        <w:pStyle w:val="NormalIndent"/>
        <w:rPr>
          <w:color w:val="000000" w:themeColor="text1"/>
        </w:rPr>
      </w:pPr>
      <w:r w:rsidRPr="005C13D6">
        <w:rPr>
          <w:color w:val="000000" w:themeColor="text1"/>
        </w:rPr>
        <w:t xml:space="preserve">Planning agencies may be </w:t>
      </w:r>
      <w:r w:rsidR="005C13D6">
        <w:rPr>
          <w:color w:val="000000" w:themeColor="text1"/>
        </w:rPr>
        <w:t xml:space="preserve">also be </w:t>
      </w:r>
      <w:r w:rsidRPr="005C13D6">
        <w:rPr>
          <w:color w:val="000000" w:themeColor="text1"/>
        </w:rPr>
        <w:t xml:space="preserve">involved in housing development </w:t>
      </w:r>
      <w:r w:rsidR="005C13D6">
        <w:rPr>
          <w:color w:val="000000" w:themeColor="text1"/>
        </w:rPr>
        <w:t xml:space="preserve">and slum resettlement </w:t>
      </w:r>
      <w:r w:rsidRPr="005C13D6">
        <w:rPr>
          <w:color w:val="000000" w:themeColor="text1"/>
        </w:rPr>
        <w:t>projects.</w:t>
      </w:r>
      <w:r w:rsidRPr="005C13D6">
        <w:rPr>
          <w:rStyle w:val="FootnoteReference"/>
          <w:color w:val="000000" w:themeColor="text1"/>
        </w:rPr>
        <w:footnoteReference w:id="13"/>
      </w:r>
    </w:p>
    <w:p w:rsidR="002641C5" w:rsidRDefault="002641C5" w:rsidP="00C102D4">
      <w:pPr>
        <w:pStyle w:val="AllensHeading2"/>
      </w:pPr>
      <w:bookmarkStart w:id="28" w:name="DocumentTenure"/>
      <w:bookmarkStart w:id="29" w:name="_Toc513106746"/>
      <w:bookmarkEnd w:id="28"/>
      <w:r>
        <w:lastRenderedPageBreak/>
        <w:t>Documenting Tenure</w:t>
      </w:r>
      <w:bookmarkEnd w:id="29"/>
    </w:p>
    <w:p w:rsidR="002641C5" w:rsidRDefault="002641C5" w:rsidP="002641C5">
      <w:pPr>
        <w:pStyle w:val="AllensHeading3"/>
        <w:rPr>
          <w:b/>
        </w:rPr>
      </w:pPr>
      <w:r w:rsidRPr="002641C5">
        <w:rPr>
          <w:b/>
        </w:rPr>
        <w:t>What statutory instruments or legal documents (</w:t>
      </w:r>
      <w:proofErr w:type="spellStart"/>
      <w:r w:rsidRPr="002641C5">
        <w:rPr>
          <w:b/>
        </w:rPr>
        <w:t>eg</w:t>
      </w:r>
      <w:proofErr w:type="spellEnd"/>
      <w:r w:rsidRPr="002641C5">
        <w:rPr>
          <w:b/>
        </w:rPr>
        <w:t>, title deed or leases) are used to create or transfer tenure?</w:t>
      </w:r>
    </w:p>
    <w:p w:rsidR="002641C5" w:rsidRDefault="002641C5" w:rsidP="002641C5">
      <w:pPr>
        <w:pStyle w:val="AllensHeading3"/>
        <w:rPr>
          <w:b/>
        </w:rPr>
      </w:pPr>
      <w:r>
        <w:rPr>
          <w:b/>
        </w:rPr>
        <w:t>What non-legal documents or actions (</w:t>
      </w:r>
      <w:proofErr w:type="spellStart"/>
      <w:r>
        <w:rPr>
          <w:b/>
        </w:rPr>
        <w:t>eg</w:t>
      </w:r>
      <w:proofErr w:type="spellEnd"/>
      <w:r>
        <w:rPr>
          <w:b/>
        </w:rPr>
        <w:t>, verbal agreements or handshakes) are used to create or transfer tenure?</w:t>
      </w:r>
    </w:p>
    <w:p w:rsidR="00846839" w:rsidRDefault="00961BC3" w:rsidP="00C102D4">
      <w:pPr>
        <w:pStyle w:val="NormalIndent"/>
        <w:spacing w:after="240"/>
        <w:rPr>
          <w:rFonts w:eastAsiaTheme="minorHAnsi" w:cs="Arial"/>
          <w:lang w:eastAsia="en-US"/>
        </w:rPr>
      </w:pPr>
      <w:r>
        <w:rPr>
          <w:rFonts w:eastAsiaTheme="minorHAnsi" w:cs="Arial"/>
          <w:lang w:eastAsia="en-US"/>
        </w:rPr>
        <w:t xml:space="preserve">Under Bangladeshi law, the following types of </w:t>
      </w:r>
      <w:r w:rsidR="009E5730">
        <w:rPr>
          <w:rFonts w:eastAsiaTheme="minorHAnsi" w:cs="Arial"/>
          <w:lang w:eastAsia="en-US"/>
        </w:rPr>
        <w:t>transactions</w:t>
      </w:r>
      <w:r>
        <w:rPr>
          <w:rFonts w:eastAsiaTheme="minorHAnsi" w:cs="Arial"/>
          <w:lang w:eastAsia="en-US"/>
        </w:rPr>
        <w:t xml:space="preserve"> are required to be registered:</w:t>
      </w:r>
      <w:r w:rsidR="00846839">
        <w:rPr>
          <w:rFonts w:eastAsiaTheme="minorHAnsi" w:cs="Arial"/>
          <w:lang w:eastAsia="en-US"/>
        </w:rPr>
        <w:t xml:space="preserve"> </w:t>
      </w:r>
      <w:r w:rsidR="003D2EF2">
        <w:rPr>
          <w:rFonts w:eastAsiaTheme="minorHAnsi" w:cs="Arial"/>
          <w:lang w:eastAsia="en-US"/>
        </w:rPr>
        <w:t>leases for more than one</w:t>
      </w:r>
      <w:r w:rsidR="00AF2D4D">
        <w:rPr>
          <w:rFonts w:eastAsiaTheme="minorHAnsi" w:cs="Arial"/>
          <w:lang w:eastAsia="en-US"/>
        </w:rPr>
        <w:t xml:space="preserve"> </w:t>
      </w:r>
      <w:r w:rsidR="003D2EF2">
        <w:rPr>
          <w:rFonts w:eastAsiaTheme="minorHAnsi" w:cs="Arial"/>
          <w:lang w:eastAsia="en-US"/>
        </w:rPr>
        <w:t>yea</w:t>
      </w:r>
      <w:r w:rsidR="00AF2D4D">
        <w:rPr>
          <w:rFonts w:eastAsiaTheme="minorHAnsi" w:cs="Arial"/>
          <w:lang w:eastAsia="en-US"/>
        </w:rPr>
        <w:t>r, or from year to year</w:t>
      </w:r>
      <w:r w:rsidR="003D2EF2">
        <w:rPr>
          <w:rFonts w:eastAsiaTheme="minorHAnsi" w:cs="Arial"/>
          <w:lang w:eastAsia="en-US"/>
        </w:rPr>
        <w:t>;</w:t>
      </w:r>
      <w:r w:rsidR="00AF2D4D">
        <w:rPr>
          <w:rStyle w:val="FootnoteReference"/>
          <w:rFonts w:eastAsiaTheme="minorHAnsi" w:cs="Arial"/>
          <w:lang w:eastAsia="en-US"/>
        </w:rPr>
        <w:footnoteReference w:id="14"/>
      </w:r>
      <w:r w:rsidR="00846839">
        <w:rPr>
          <w:rFonts w:eastAsiaTheme="minorHAnsi" w:cs="Arial"/>
          <w:lang w:eastAsia="en-US"/>
        </w:rPr>
        <w:t xml:space="preserve"> </w:t>
      </w:r>
      <w:r w:rsidR="00F05726">
        <w:rPr>
          <w:rFonts w:eastAsiaTheme="minorHAnsi" w:cs="Arial"/>
          <w:lang w:eastAsia="en-US"/>
        </w:rPr>
        <w:t xml:space="preserve">transactions relating to common law freehold, </w:t>
      </w:r>
      <w:r w:rsidR="00C42C86">
        <w:rPr>
          <w:rFonts w:eastAsiaTheme="minorHAnsi" w:cs="Arial"/>
          <w:lang w:eastAsia="en-US"/>
        </w:rPr>
        <w:t>su</w:t>
      </w:r>
      <w:r w:rsidR="00846839">
        <w:rPr>
          <w:rFonts w:eastAsiaTheme="minorHAnsi" w:cs="Arial"/>
          <w:lang w:eastAsia="en-US"/>
        </w:rPr>
        <w:t>ch as transfers or subdivisions</w:t>
      </w:r>
      <w:r w:rsidR="008D0644">
        <w:rPr>
          <w:rFonts w:eastAsiaTheme="minorHAnsi" w:cs="Arial"/>
          <w:lang w:eastAsia="en-US"/>
        </w:rPr>
        <w:t>; and the grant of 99-year leases of Government land (</w:t>
      </w:r>
      <w:proofErr w:type="spellStart"/>
      <w:r w:rsidR="008D0644" w:rsidRPr="008D0644">
        <w:rPr>
          <w:rFonts w:eastAsiaTheme="minorHAnsi" w:cs="Arial"/>
          <w:i/>
          <w:lang w:eastAsia="en-US"/>
        </w:rPr>
        <w:t>khas</w:t>
      </w:r>
      <w:proofErr w:type="spellEnd"/>
      <w:r w:rsidR="008D0644">
        <w:rPr>
          <w:rFonts w:eastAsiaTheme="minorHAnsi" w:cs="Arial"/>
          <w:lang w:eastAsia="en-US"/>
        </w:rPr>
        <w:t>)</w:t>
      </w:r>
      <w:r w:rsidR="00846839">
        <w:rPr>
          <w:rFonts w:eastAsiaTheme="minorHAnsi" w:cs="Arial"/>
          <w:lang w:eastAsia="en-US"/>
        </w:rPr>
        <w:t>.</w:t>
      </w:r>
      <w:r w:rsidR="00AD05B1">
        <w:rPr>
          <w:rStyle w:val="FootnoteReference"/>
          <w:rFonts w:eastAsiaTheme="minorHAnsi" w:cs="Arial"/>
          <w:lang w:eastAsia="en-US"/>
        </w:rPr>
        <w:footnoteReference w:id="15"/>
      </w:r>
      <w:r w:rsidR="008D0644">
        <w:rPr>
          <w:rFonts w:eastAsiaTheme="minorHAnsi" w:cs="Arial"/>
          <w:lang w:eastAsia="en-US"/>
        </w:rPr>
        <w:t xml:space="preserve"> </w:t>
      </w:r>
      <w:r w:rsidR="00AD05B1">
        <w:rPr>
          <w:rFonts w:eastAsiaTheme="minorHAnsi" w:cs="Arial"/>
          <w:lang w:eastAsia="en-US"/>
        </w:rPr>
        <w:t>It is possible for the Government to exempt leases of 5-years or less from the requirement of registration by publishing an order in the official Gazette.</w:t>
      </w:r>
      <w:r w:rsidR="00AD05B1">
        <w:rPr>
          <w:rStyle w:val="FootnoteReference"/>
          <w:rFonts w:eastAsiaTheme="minorHAnsi" w:cs="Arial"/>
          <w:lang w:eastAsia="en-US"/>
        </w:rPr>
        <w:footnoteReference w:id="16"/>
      </w:r>
      <w:r w:rsidR="00AD05B1">
        <w:rPr>
          <w:rFonts w:eastAsiaTheme="minorHAnsi" w:cs="Arial"/>
          <w:lang w:eastAsia="en-US"/>
        </w:rPr>
        <w:t xml:space="preserve"> However, we are not aware of any orders to this effect.</w:t>
      </w:r>
    </w:p>
    <w:p w:rsidR="00961BC3" w:rsidRDefault="00961BC3" w:rsidP="008D0644">
      <w:pPr>
        <w:pStyle w:val="NormalIndent"/>
        <w:spacing w:after="240"/>
        <w:rPr>
          <w:rFonts w:eastAsiaTheme="minorHAnsi" w:cs="Arial"/>
          <w:lang w:eastAsia="en-US"/>
        </w:rPr>
      </w:pPr>
      <w:r>
        <w:rPr>
          <w:rFonts w:eastAsiaTheme="minorHAnsi" w:cs="Arial"/>
          <w:lang w:eastAsia="en-US"/>
        </w:rPr>
        <w:t xml:space="preserve">In practice, </w:t>
      </w:r>
      <w:r w:rsidR="00586700">
        <w:rPr>
          <w:rFonts w:eastAsiaTheme="minorHAnsi" w:cs="Arial"/>
          <w:lang w:eastAsia="en-US"/>
        </w:rPr>
        <w:t xml:space="preserve">informal </w:t>
      </w:r>
      <w:proofErr w:type="spellStart"/>
      <w:r w:rsidR="00586700">
        <w:rPr>
          <w:rFonts w:eastAsiaTheme="minorHAnsi" w:cs="Arial"/>
          <w:lang w:eastAsia="en-US"/>
        </w:rPr>
        <w:t>conveyancing</w:t>
      </w:r>
      <w:proofErr w:type="spellEnd"/>
      <w:r w:rsidR="00586700">
        <w:rPr>
          <w:rFonts w:eastAsiaTheme="minorHAnsi" w:cs="Arial"/>
          <w:lang w:eastAsia="en-US"/>
        </w:rPr>
        <w:t xml:space="preserve"> is extremely common because </w:t>
      </w:r>
      <w:r>
        <w:rPr>
          <w:rFonts w:eastAsiaTheme="minorHAnsi" w:cs="Arial"/>
          <w:lang w:eastAsia="en-US"/>
        </w:rPr>
        <w:t xml:space="preserve">there are </w:t>
      </w:r>
      <w:r w:rsidR="009142B8">
        <w:rPr>
          <w:rFonts w:eastAsiaTheme="minorHAnsi" w:cs="Arial"/>
          <w:lang w:eastAsia="en-US"/>
        </w:rPr>
        <w:t>major</w:t>
      </w:r>
      <w:r>
        <w:rPr>
          <w:rFonts w:eastAsiaTheme="minorHAnsi" w:cs="Arial"/>
          <w:lang w:eastAsia="en-US"/>
        </w:rPr>
        <w:t xml:space="preserve"> problems</w:t>
      </w:r>
      <w:r w:rsidR="009142B8">
        <w:rPr>
          <w:rFonts w:eastAsiaTheme="minorHAnsi" w:cs="Arial"/>
          <w:lang w:eastAsia="en-US"/>
        </w:rPr>
        <w:t xml:space="preserve"> with </w:t>
      </w:r>
      <w:r>
        <w:rPr>
          <w:rFonts w:eastAsiaTheme="minorHAnsi" w:cs="Arial"/>
          <w:lang w:eastAsia="en-US"/>
        </w:rPr>
        <w:t>Bangladesh'</w:t>
      </w:r>
      <w:r w:rsidR="008D0644">
        <w:rPr>
          <w:rFonts w:eastAsiaTheme="minorHAnsi" w:cs="Arial"/>
          <w:lang w:eastAsia="en-US"/>
        </w:rPr>
        <w:t>s</w:t>
      </w:r>
      <w:r>
        <w:rPr>
          <w:rFonts w:eastAsiaTheme="minorHAnsi" w:cs="Arial"/>
          <w:lang w:eastAsia="en-US"/>
        </w:rPr>
        <w:t xml:space="preserve"> land registration process. </w:t>
      </w:r>
      <w:r w:rsidR="008D0644">
        <w:rPr>
          <w:rFonts w:eastAsiaTheme="minorHAnsi" w:cs="Arial"/>
          <w:lang w:eastAsia="en-US"/>
        </w:rPr>
        <w:t xml:space="preserve">We use the term 'informal </w:t>
      </w:r>
      <w:proofErr w:type="spellStart"/>
      <w:r w:rsidR="008D0644">
        <w:rPr>
          <w:rFonts w:eastAsiaTheme="minorHAnsi" w:cs="Arial"/>
          <w:lang w:eastAsia="en-US"/>
        </w:rPr>
        <w:t>conveyancing</w:t>
      </w:r>
      <w:proofErr w:type="spellEnd"/>
      <w:r w:rsidR="008D0644">
        <w:rPr>
          <w:rFonts w:eastAsiaTheme="minorHAnsi" w:cs="Arial"/>
          <w:lang w:eastAsia="en-US"/>
        </w:rPr>
        <w:t xml:space="preserve">' to refer to transactions which do not adhere to registration requirements. </w:t>
      </w:r>
      <w:r w:rsidR="00F05726">
        <w:rPr>
          <w:rFonts w:eastAsiaTheme="minorHAnsi" w:cs="Arial"/>
          <w:lang w:eastAsia="en-US"/>
        </w:rPr>
        <w:t>The World Bank rates Bangladesh 186</w:t>
      </w:r>
      <w:r w:rsidR="00F05726" w:rsidRPr="002E2C30">
        <w:rPr>
          <w:rFonts w:eastAsiaTheme="minorHAnsi" w:cs="Arial"/>
          <w:vertAlign w:val="superscript"/>
          <w:lang w:eastAsia="en-US"/>
        </w:rPr>
        <w:t>th</w:t>
      </w:r>
      <w:r w:rsidR="00F05726">
        <w:rPr>
          <w:rFonts w:eastAsiaTheme="minorHAnsi" w:cs="Arial"/>
          <w:lang w:eastAsia="en-US"/>
        </w:rPr>
        <w:t xml:space="preserve"> of 190 countries in terms of the ease, efficiency and quality of its land registration processes.</w:t>
      </w:r>
      <w:r w:rsidR="00F05726">
        <w:rPr>
          <w:rStyle w:val="FootnoteReference"/>
          <w:rFonts w:eastAsiaTheme="minorHAnsi" w:cs="Arial"/>
          <w:lang w:eastAsia="en-US"/>
        </w:rPr>
        <w:footnoteReference w:id="17"/>
      </w:r>
      <w:r w:rsidR="00F05726">
        <w:rPr>
          <w:rFonts w:eastAsiaTheme="minorHAnsi" w:cs="Arial"/>
          <w:lang w:eastAsia="en-US"/>
        </w:rPr>
        <w:t xml:space="preserve"> </w:t>
      </w:r>
      <w:r>
        <w:rPr>
          <w:rFonts w:eastAsiaTheme="minorHAnsi" w:cs="Arial"/>
          <w:lang w:eastAsia="en-US"/>
        </w:rPr>
        <w:t xml:space="preserve">The deficiencies </w:t>
      </w:r>
      <w:r w:rsidR="009142B8">
        <w:rPr>
          <w:rFonts w:eastAsiaTheme="minorHAnsi" w:cs="Arial"/>
          <w:lang w:eastAsia="en-US"/>
        </w:rPr>
        <w:t xml:space="preserve">in </w:t>
      </w:r>
      <w:r w:rsidR="000D7B75">
        <w:rPr>
          <w:rFonts w:eastAsiaTheme="minorHAnsi" w:cs="Arial"/>
          <w:lang w:eastAsia="en-US"/>
        </w:rPr>
        <w:t>Bangladesh'</w:t>
      </w:r>
      <w:r w:rsidR="009142B8">
        <w:rPr>
          <w:rFonts w:eastAsiaTheme="minorHAnsi" w:cs="Arial"/>
          <w:lang w:eastAsia="en-US"/>
        </w:rPr>
        <w:t xml:space="preserve"> land registration </w:t>
      </w:r>
      <w:proofErr w:type="gramStart"/>
      <w:r w:rsidR="009142B8">
        <w:rPr>
          <w:rFonts w:eastAsiaTheme="minorHAnsi" w:cs="Arial"/>
          <w:lang w:eastAsia="en-US"/>
        </w:rPr>
        <w:t xml:space="preserve">process </w:t>
      </w:r>
      <w:r>
        <w:rPr>
          <w:rFonts w:eastAsiaTheme="minorHAnsi" w:cs="Arial"/>
          <w:lang w:eastAsia="en-US"/>
        </w:rPr>
        <w:t>are</w:t>
      </w:r>
      <w:proofErr w:type="gramEnd"/>
      <w:r>
        <w:rPr>
          <w:rFonts w:eastAsiaTheme="minorHAnsi" w:cs="Arial"/>
          <w:lang w:eastAsia="en-US"/>
        </w:rPr>
        <w:t xml:space="preserve"> as follows:</w:t>
      </w:r>
    </w:p>
    <w:p w:rsidR="003D2EF2" w:rsidRDefault="00586700" w:rsidP="00961BC3">
      <w:pPr>
        <w:pStyle w:val="NormalIndent"/>
        <w:numPr>
          <w:ilvl w:val="0"/>
          <w:numId w:val="27"/>
        </w:numPr>
        <w:spacing w:after="240"/>
        <w:rPr>
          <w:rFonts w:eastAsiaTheme="minorHAnsi" w:cs="Arial"/>
          <w:lang w:eastAsia="en-US"/>
        </w:rPr>
      </w:pPr>
      <w:r>
        <w:rPr>
          <w:rFonts w:eastAsiaTheme="minorHAnsi" w:cs="Arial"/>
          <w:lang w:eastAsia="en-US"/>
        </w:rPr>
        <w:t xml:space="preserve">Land registration is </w:t>
      </w:r>
      <w:r w:rsidR="00AF23DC">
        <w:rPr>
          <w:rFonts w:eastAsiaTheme="minorHAnsi" w:cs="Arial"/>
          <w:lang w:eastAsia="en-US"/>
        </w:rPr>
        <w:t>a complex</w:t>
      </w:r>
      <w:r>
        <w:rPr>
          <w:rFonts w:eastAsiaTheme="minorHAnsi" w:cs="Arial"/>
          <w:lang w:eastAsia="en-US"/>
        </w:rPr>
        <w:t xml:space="preserve">, </w:t>
      </w:r>
      <w:r w:rsidR="00AF23DC">
        <w:rPr>
          <w:rFonts w:eastAsiaTheme="minorHAnsi" w:cs="Arial"/>
          <w:lang w:eastAsia="en-US"/>
        </w:rPr>
        <w:t>lengthy</w:t>
      </w:r>
      <w:r>
        <w:rPr>
          <w:rFonts w:eastAsiaTheme="minorHAnsi" w:cs="Arial"/>
          <w:lang w:eastAsia="en-US"/>
        </w:rPr>
        <w:t xml:space="preserve"> and expensive</w:t>
      </w:r>
      <w:r w:rsidR="00AF23DC">
        <w:rPr>
          <w:rFonts w:eastAsiaTheme="minorHAnsi" w:cs="Arial"/>
          <w:lang w:eastAsia="en-US"/>
        </w:rPr>
        <w:t xml:space="preserve"> process</w:t>
      </w:r>
      <w:r>
        <w:rPr>
          <w:rFonts w:eastAsiaTheme="minorHAnsi" w:cs="Arial"/>
          <w:lang w:eastAsia="en-US"/>
        </w:rPr>
        <w:t xml:space="preserve">. For example, </w:t>
      </w:r>
      <w:r w:rsidR="003D2EF2">
        <w:rPr>
          <w:rFonts w:eastAsiaTheme="minorHAnsi" w:cs="Arial"/>
          <w:lang w:eastAsia="en-US"/>
        </w:rPr>
        <w:t>in Dhaka registering a transfer of freehold land will take approximately 245 days, require a payment of 10% of the purchase price and involve 8 different procedures.</w:t>
      </w:r>
      <w:r w:rsidR="003D2EF2">
        <w:rPr>
          <w:rStyle w:val="FootnoteReference"/>
          <w:rFonts w:eastAsiaTheme="minorHAnsi" w:cs="Arial"/>
          <w:lang w:eastAsia="en-US"/>
        </w:rPr>
        <w:footnoteReference w:id="18"/>
      </w:r>
      <w:r w:rsidR="003D2EF2">
        <w:rPr>
          <w:rFonts w:eastAsiaTheme="minorHAnsi" w:cs="Arial"/>
          <w:lang w:eastAsia="en-US"/>
        </w:rPr>
        <w:t xml:space="preserve"> These procedures are generally too difficult for lay people to </w:t>
      </w:r>
      <w:r w:rsidR="00AF23DC">
        <w:rPr>
          <w:rFonts w:eastAsiaTheme="minorHAnsi" w:cs="Arial"/>
          <w:lang w:eastAsia="en-US"/>
        </w:rPr>
        <w:t>follow</w:t>
      </w:r>
      <w:r w:rsidR="003D2EF2">
        <w:rPr>
          <w:rFonts w:eastAsiaTheme="minorHAnsi" w:cs="Arial"/>
          <w:lang w:eastAsia="en-US"/>
        </w:rPr>
        <w:t xml:space="preserve"> without legal assistance</w:t>
      </w:r>
      <w:r w:rsidR="000D7B75">
        <w:rPr>
          <w:rFonts w:eastAsiaTheme="minorHAnsi" w:cs="Arial"/>
          <w:lang w:eastAsia="en-US"/>
        </w:rPr>
        <w:t>, and too expensive for the urban poor</w:t>
      </w:r>
      <w:r w:rsidR="003D2EF2">
        <w:rPr>
          <w:rFonts w:eastAsiaTheme="minorHAnsi" w:cs="Arial"/>
          <w:lang w:eastAsia="en-US"/>
        </w:rPr>
        <w:t>.</w:t>
      </w:r>
      <w:r w:rsidR="003D2EF2">
        <w:rPr>
          <w:rStyle w:val="FootnoteReference"/>
          <w:rFonts w:eastAsiaTheme="minorHAnsi" w:cs="Arial"/>
          <w:lang w:eastAsia="en-US"/>
        </w:rPr>
        <w:footnoteReference w:id="19"/>
      </w:r>
      <w:r w:rsidR="000D7B75">
        <w:rPr>
          <w:rFonts w:eastAsiaTheme="minorHAnsi" w:cs="Arial"/>
          <w:lang w:eastAsia="en-US"/>
        </w:rPr>
        <w:t xml:space="preserve"> The cost of land registration is exacerbated by government corruption, which means it can be necessary to pay bribes in order to have transactions registered.</w:t>
      </w:r>
      <w:r w:rsidR="000D7B75">
        <w:rPr>
          <w:rStyle w:val="FootnoteReference"/>
          <w:rFonts w:eastAsiaTheme="minorHAnsi" w:cs="Arial"/>
          <w:lang w:eastAsia="en-US"/>
        </w:rPr>
        <w:footnoteReference w:id="20"/>
      </w:r>
    </w:p>
    <w:p w:rsidR="00F87797" w:rsidRDefault="009A7DDD" w:rsidP="00961BC3">
      <w:pPr>
        <w:pStyle w:val="NormalIndent"/>
        <w:numPr>
          <w:ilvl w:val="0"/>
          <w:numId w:val="27"/>
        </w:numPr>
        <w:spacing w:after="240"/>
        <w:rPr>
          <w:rFonts w:eastAsiaTheme="minorHAnsi" w:cs="Arial"/>
          <w:lang w:eastAsia="en-US"/>
        </w:rPr>
      </w:pPr>
      <w:r>
        <w:rPr>
          <w:rFonts w:eastAsiaTheme="minorHAnsi" w:cs="Arial"/>
          <w:lang w:eastAsia="en-US"/>
        </w:rPr>
        <w:t>The accuracy of land record certificates (</w:t>
      </w:r>
      <w:proofErr w:type="spellStart"/>
      <w:r w:rsidRPr="009A7DDD">
        <w:rPr>
          <w:rFonts w:eastAsiaTheme="minorHAnsi" w:cs="Arial"/>
          <w:i/>
          <w:lang w:eastAsia="en-US"/>
        </w:rPr>
        <w:t>khatia</w:t>
      </w:r>
      <w:r>
        <w:rPr>
          <w:rFonts w:eastAsiaTheme="minorHAnsi" w:cs="Arial"/>
          <w:lang w:eastAsia="en-US"/>
        </w:rPr>
        <w:t>n</w:t>
      </w:r>
      <w:proofErr w:type="spellEnd"/>
      <w:r>
        <w:rPr>
          <w:rFonts w:eastAsiaTheme="minorHAnsi" w:cs="Arial"/>
          <w:lang w:eastAsia="en-US"/>
        </w:rPr>
        <w:t>) and maps (</w:t>
      </w:r>
      <w:proofErr w:type="spellStart"/>
      <w:r w:rsidRPr="009A7DDD">
        <w:rPr>
          <w:rFonts w:eastAsiaTheme="minorHAnsi" w:cs="Arial"/>
          <w:i/>
          <w:lang w:eastAsia="en-US"/>
        </w:rPr>
        <w:t>mouza</w:t>
      </w:r>
      <w:proofErr w:type="spellEnd"/>
      <w:r>
        <w:rPr>
          <w:rFonts w:eastAsiaTheme="minorHAnsi" w:cs="Arial"/>
          <w:lang w:eastAsia="en-US"/>
        </w:rPr>
        <w:t>)</w:t>
      </w:r>
      <w:r w:rsidR="00606270">
        <w:rPr>
          <w:rFonts w:eastAsiaTheme="minorHAnsi" w:cs="Arial"/>
          <w:lang w:eastAsia="en-US"/>
        </w:rPr>
        <w:t xml:space="preserve"> is undermined by the fact that </w:t>
      </w:r>
      <w:r w:rsidR="00F87797">
        <w:rPr>
          <w:rFonts w:eastAsiaTheme="minorHAnsi" w:cs="Arial"/>
          <w:lang w:eastAsia="en-US"/>
        </w:rPr>
        <w:t xml:space="preserve">several government agencies </w:t>
      </w:r>
      <w:r>
        <w:rPr>
          <w:rFonts w:eastAsiaTheme="minorHAnsi" w:cs="Arial"/>
          <w:lang w:eastAsia="en-US"/>
        </w:rPr>
        <w:t xml:space="preserve">are </w:t>
      </w:r>
      <w:r w:rsidR="00F87797">
        <w:rPr>
          <w:rFonts w:eastAsiaTheme="minorHAnsi" w:cs="Arial"/>
          <w:lang w:eastAsia="en-US"/>
        </w:rPr>
        <w:t>involved in the land registration process</w:t>
      </w:r>
      <w:r w:rsidR="00606270">
        <w:rPr>
          <w:rFonts w:eastAsiaTheme="minorHAnsi" w:cs="Arial"/>
          <w:lang w:eastAsia="en-US"/>
        </w:rPr>
        <w:t xml:space="preserve"> and there is poor coordination between them. </w:t>
      </w:r>
      <w:r w:rsidR="000E32E4">
        <w:rPr>
          <w:rFonts w:eastAsiaTheme="minorHAnsi" w:cs="Arial"/>
          <w:lang w:eastAsia="en-US"/>
        </w:rPr>
        <w:t>Ownership rights are recorded in three different offices</w:t>
      </w:r>
      <w:r w:rsidR="009E5730">
        <w:rPr>
          <w:rFonts w:eastAsiaTheme="minorHAnsi" w:cs="Arial"/>
          <w:lang w:eastAsia="en-US"/>
        </w:rPr>
        <w:t>:</w:t>
      </w:r>
    </w:p>
    <w:p w:rsidR="009E5730" w:rsidRPr="009E5730" w:rsidRDefault="009E5730" w:rsidP="009E5730">
      <w:pPr>
        <w:pStyle w:val="NormalIndent"/>
        <w:numPr>
          <w:ilvl w:val="1"/>
          <w:numId w:val="27"/>
        </w:numPr>
        <w:spacing w:after="240"/>
        <w:rPr>
          <w:rFonts w:eastAsiaTheme="minorHAnsi" w:cs="Arial"/>
          <w:lang w:eastAsia="en-US"/>
        </w:rPr>
      </w:pPr>
      <w:r w:rsidRPr="009E5730">
        <w:t>the Directorate of Land Record &amp; Survey</w:t>
      </w:r>
      <w:r>
        <w:t xml:space="preserve"> </w:t>
      </w:r>
      <w:r w:rsidR="00606270">
        <w:t>(</w:t>
      </w:r>
      <w:r w:rsidR="00606270" w:rsidRPr="00606270">
        <w:rPr>
          <w:b/>
          <w:i/>
        </w:rPr>
        <w:t>DLRS</w:t>
      </w:r>
      <w:r w:rsidR="00606270">
        <w:t xml:space="preserve">) </w:t>
      </w:r>
      <w:r>
        <w:t>is responsible</w:t>
      </w:r>
      <w:r w:rsidR="00287819">
        <w:t xml:space="preserve"> for conducting surveys of land</w:t>
      </w:r>
      <w:r>
        <w:t>, including preparing individual land record certificates (</w:t>
      </w:r>
      <w:proofErr w:type="spellStart"/>
      <w:r w:rsidRPr="00750D96">
        <w:rPr>
          <w:i/>
        </w:rPr>
        <w:t>khatian</w:t>
      </w:r>
      <w:proofErr w:type="spellEnd"/>
      <w:r>
        <w:t>) and maps (</w:t>
      </w:r>
      <w:proofErr w:type="spellStart"/>
      <w:r w:rsidRPr="00750D96">
        <w:rPr>
          <w:i/>
        </w:rPr>
        <w:t>mouza</w:t>
      </w:r>
      <w:proofErr w:type="spellEnd"/>
      <w:r>
        <w:t>);</w:t>
      </w:r>
    </w:p>
    <w:p w:rsidR="009E5730" w:rsidRPr="009E5730" w:rsidRDefault="009E5730" w:rsidP="009E5730">
      <w:pPr>
        <w:pStyle w:val="NormalIndent"/>
        <w:numPr>
          <w:ilvl w:val="1"/>
          <w:numId w:val="27"/>
        </w:numPr>
        <w:spacing w:after="240"/>
        <w:rPr>
          <w:rFonts w:eastAsiaTheme="minorHAnsi" w:cs="Arial"/>
          <w:lang w:eastAsia="en-US"/>
        </w:rPr>
      </w:pPr>
      <w:r>
        <w:t xml:space="preserve">the Department of Land Registration </w:t>
      </w:r>
      <w:r w:rsidR="00606270">
        <w:t>(</w:t>
      </w:r>
      <w:r w:rsidR="00606270" w:rsidRPr="00606270">
        <w:rPr>
          <w:b/>
          <w:i/>
        </w:rPr>
        <w:t>DLR</w:t>
      </w:r>
      <w:r w:rsidR="00606270">
        <w:t xml:space="preserve">) </w:t>
      </w:r>
      <w:r>
        <w:t xml:space="preserve">is responsible for </w:t>
      </w:r>
      <w:r w:rsidR="00974C8F">
        <w:t>registering land transfers</w:t>
      </w:r>
      <w:r>
        <w:t xml:space="preserve"> and reporting these to the Land Reform Board; and</w:t>
      </w:r>
    </w:p>
    <w:p w:rsidR="009E5730" w:rsidRDefault="009E5730" w:rsidP="009E5730">
      <w:pPr>
        <w:pStyle w:val="NormalIndent"/>
        <w:numPr>
          <w:ilvl w:val="1"/>
          <w:numId w:val="27"/>
        </w:numPr>
        <w:spacing w:after="240"/>
        <w:rPr>
          <w:rFonts w:eastAsiaTheme="minorHAnsi" w:cs="Arial"/>
          <w:lang w:eastAsia="en-US"/>
        </w:rPr>
      </w:pPr>
      <w:proofErr w:type="gramStart"/>
      <w:r w:rsidRPr="009E5730">
        <w:rPr>
          <w:rFonts w:eastAsiaTheme="minorHAnsi" w:cs="Arial"/>
          <w:lang w:eastAsia="en-US"/>
        </w:rPr>
        <w:t>the</w:t>
      </w:r>
      <w:proofErr w:type="gramEnd"/>
      <w:r w:rsidRPr="009E5730">
        <w:rPr>
          <w:rFonts w:eastAsiaTheme="minorHAnsi" w:cs="Arial"/>
          <w:lang w:eastAsia="en-US"/>
        </w:rPr>
        <w:t xml:space="preserve"> Land Reform Board </w:t>
      </w:r>
      <w:r w:rsidR="00606270">
        <w:rPr>
          <w:rFonts w:eastAsiaTheme="minorHAnsi" w:cs="Arial"/>
          <w:lang w:eastAsia="en-US"/>
        </w:rPr>
        <w:t>(</w:t>
      </w:r>
      <w:r w:rsidR="00606270" w:rsidRPr="00606270">
        <w:rPr>
          <w:rFonts w:eastAsiaTheme="minorHAnsi" w:cs="Arial"/>
          <w:b/>
          <w:i/>
          <w:lang w:eastAsia="en-US"/>
        </w:rPr>
        <w:t>LRB</w:t>
      </w:r>
      <w:r w:rsidR="00606270">
        <w:rPr>
          <w:rFonts w:eastAsiaTheme="minorHAnsi" w:cs="Arial"/>
          <w:lang w:eastAsia="en-US"/>
        </w:rPr>
        <w:t xml:space="preserve">) </w:t>
      </w:r>
      <w:r w:rsidRPr="009E5730">
        <w:rPr>
          <w:rFonts w:eastAsiaTheme="minorHAnsi" w:cs="Arial"/>
          <w:lang w:eastAsia="en-US"/>
        </w:rPr>
        <w:t xml:space="preserve">is responsible for </w:t>
      </w:r>
      <w:r w:rsidR="00287819">
        <w:rPr>
          <w:rFonts w:eastAsiaTheme="minorHAnsi" w:cs="Arial"/>
          <w:lang w:eastAsia="en-US"/>
        </w:rPr>
        <w:t xml:space="preserve">manually preparing updated </w:t>
      </w:r>
      <w:r w:rsidR="000E32E4">
        <w:t>land record certificates (</w:t>
      </w:r>
      <w:proofErr w:type="spellStart"/>
      <w:r w:rsidR="000E32E4" w:rsidRPr="00750D96">
        <w:rPr>
          <w:i/>
        </w:rPr>
        <w:t>khatian</w:t>
      </w:r>
      <w:proofErr w:type="spellEnd"/>
      <w:r w:rsidR="000E32E4">
        <w:t>) and maps (</w:t>
      </w:r>
      <w:proofErr w:type="spellStart"/>
      <w:r w:rsidR="000E32E4" w:rsidRPr="00750D96">
        <w:rPr>
          <w:i/>
        </w:rPr>
        <w:t>mouza</w:t>
      </w:r>
      <w:proofErr w:type="spellEnd"/>
      <w:r w:rsidR="000E32E4">
        <w:t>)</w:t>
      </w:r>
      <w:r w:rsidR="00287819">
        <w:t>.</w:t>
      </w:r>
    </w:p>
    <w:p w:rsidR="002D289A" w:rsidRDefault="00606270" w:rsidP="002D289A">
      <w:pPr>
        <w:pStyle w:val="NormalIndent"/>
        <w:spacing w:after="240"/>
        <w:ind w:left="1080"/>
        <w:rPr>
          <w:rFonts w:eastAsiaTheme="minorHAnsi" w:cs="Arial"/>
          <w:lang w:eastAsia="en-US"/>
        </w:rPr>
      </w:pPr>
      <w:r>
        <w:rPr>
          <w:rFonts w:eastAsiaTheme="minorHAnsi" w:cs="Arial"/>
          <w:lang w:eastAsia="en-US"/>
        </w:rPr>
        <w:lastRenderedPageBreak/>
        <w:t xml:space="preserve">Delays in communication between the DLR and LRB mean that records held by the LRB may not be </w:t>
      </w:r>
      <w:r w:rsidR="00287819">
        <w:rPr>
          <w:rFonts w:eastAsiaTheme="minorHAnsi" w:cs="Arial"/>
          <w:lang w:eastAsia="en-US"/>
        </w:rPr>
        <w:t>up-to-date</w:t>
      </w:r>
      <w:r>
        <w:rPr>
          <w:rFonts w:eastAsiaTheme="minorHAnsi" w:cs="Arial"/>
          <w:lang w:eastAsia="en-US"/>
        </w:rPr>
        <w:t xml:space="preserve">. Further, </w:t>
      </w:r>
      <w:proofErr w:type="gramStart"/>
      <w:r>
        <w:rPr>
          <w:rFonts w:eastAsiaTheme="minorHAnsi" w:cs="Arial"/>
          <w:lang w:eastAsia="en-US"/>
        </w:rPr>
        <w:t>this system products</w:t>
      </w:r>
      <w:proofErr w:type="gramEnd"/>
      <w:r>
        <w:rPr>
          <w:rFonts w:eastAsiaTheme="minorHAnsi" w:cs="Arial"/>
          <w:lang w:eastAsia="en-US"/>
        </w:rPr>
        <w:t xml:space="preserve"> duplicate and potentially inconsistent </w:t>
      </w:r>
      <w:r w:rsidR="009A7DDD">
        <w:t>land record certificates (</w:t>
      </w:r>
      <w:proofErr w:type="spellStart"/>
      <w:r w:rsidR="009A7DDD" w:rsidRPr="009A7DDD">
        <w:rPr>
          <w:i/>
        </w:rPr>
        <w:t>khatian</w:t>
      </w:r>
      <w:proofErr w:type="spellEnd"/>
      <w:r w:rsidR="009A7DDD">
        <w:t>) and maps (</w:t>
      </w:r>
      <w:proofErr w:type="spellStart"/>
      <w:r w:rsidR="009A7DDD" w:rsidRPr="009A7DDD">
        <w:rPr>
          <w:i/>
        </w:rPr>
        <w:t>mouza</w:t>
      </w:r>
      <w:proofErr w:type="spellEnd"/>
      <w:r w:rsidR="009A7DDD">
        <w:t>)</w:t>
      </w:r>
      <w:r>
        <w:t xml:space="preserve">. The </w:t>
      </w:r>
      <w:proofErr w:type="spellStart"/>
      <w:r w:rsidRPr="009A7DDD">
        <w:rPr>
          <w:i/>
        </w:rPr>
        <w:t>khatians</w:t>
      </w:r>
      <w:proofErr w:type="spellEnd"/>
      <w:r w:rsidR="009A7DDD">
        <w:t xml:space="preserve"> held by the DLRS, which are updated following transfers of land, </w:t>
      </w:r>
      <w:r>
        <w:t>may be dif</w:t>
      </w:r>
      <w:r w:rsidR="009A7DDD">
        <w:t xml:space="preserve">ferent to the </w:t>
      </w:r>
      <w:proofErr w:type="spellStart"/>
      <w:r w:rsidR="009A7DDD" w:rsidRPr="009A7DDD">
        <w:rPr>
          <w:i/>
        </w:rPr>
        <w:t>khatians</w:t>
      </w:r>
      <w:proofErr w:type="spellEnd"/>
      <w:r w:rsidR="009A7DDD">
        <w:t xml:space="preserve"> held by the LRB, which are prepared following land surveys</w:t>
      </w:r>
      <w:r>
        <w:t>.</w:t>
      </w:r>
      <w:r w:rsidR="0060704F">
        <w:rPr>
          <w:rStyle w:val="FootnoteReference"/>
        </w:rPr>
        <w:footnoteReference w:id="21"/>
      </w:r>
    </w:p>
    <w:p w:rsidR="0060704F" w:rsidRDefault="0098365A" w:rsidP="0060704F">
      <w:pPr>
        <w:pStyle w:val="NormalIndent"/>
        <w:numPr>
          <w:ilvl w:val="0"/>
          <w:numId w:val="27"/>
        </w:numPr>
        <w:spacing w:after="240"/>
        <w:rPr>
          <w:rFonts w:eastAsiaTheme="minorHAnsi" w:cs="Arial"/>
          <w:lang w:eastAsia="en-US"/>
        </w:rPr>
      </w:pPr>
      <w:r>
        <w:rPr>
          <w:rFonts w:eastAsiaTheme="minorHAnsi" w:cs="Arial"/>
          <w:lang w:eastAsia="en-US"/>
        </w:rPr>
        <w:t xml:space="preserve">Due to poor coordination between government agencies, a </w:t>
      </w:r>
      <w:r w:rsidR="0060704F">
        <w:t>land record certificate (</w:t>
      </w:r>
      <w:proofErr w:type="spellStart"/>
      <w:r w:rsidR="0060704F" w:rsidRPr="00F87797">
        <w:rPr>
          <w:i/>
        </w:rPr>
        <w:t>khatian</w:t>
      </w:r>
      <w:proofErr w:type="spellEnd"/>
      <w:r w:rsidR="0060704F">
        <w:t xml:space="preserve">) </w:t>
      </w:r>
      <w:r w:rsidR="00974C8F">
        <w:t xml:space="preserve">issued by either DLRS or the LRB </w:t>
      </w:r>
      <w:r>
        <w:t>cannot be relied on as</w:t>
      </w:r>
      <w:r w:rsidR="0060704F">
        <w:t xml:space="preserve"> conclusive proof of ownership. If a person wishes to conclusively prove ownership of common law freehold, they </w:t>
      </w:r>
      <w:r w:rsidR="00C551A0">
        <w:t xml:space="preserve">may </w:t>
      </w:r>
      <w:r w:rsidR="0060704F">
        <w:t xml:space="preserve">require </w:t>
      </w:r>
      <w:r w:rsidR="00C551A0">
        <w:t>copies of both</w:t>
      </w:r>
      <w:r w:rsidR="0060704F">
        <w:t xml:space="preserve"> </w:t>
      </w:r>
      <w:proofErr w:type="spellStart"/>
      <w:r w:rsidR="0060704F" w:rsidRPr="00F87797">
        <w:rPr>
          <w:rFonts w:eastAsiaTheme="minorHAnsi" w:cs="Arial"/>
          <w:i/>
          <w:lang w:eastAsia="en-US"/>
        </w:rPr>
        <w:t>khatian</w:t>
      </w:r>
      <w:r w:rsidR="00C551A0">
        <w:rPr>
          <w:rFonts w:eastAsiaTheme="minorHAnsi" w:cs="Arial"/>
          <w:i/>
          <w:lang w:eastAsia="en-US"/>
        </w:rPr>
        <w:t>s</w:t>
      </w:r>
      <w:proofErr w:type="spellEnd"/>
      <w:r w:rsidR="00C551A0">
        <w:rPr>
          <w:rFonts w:eastAsiaTheme="minorHAnsi" w:cs="Arial"/>
          <w:lang w:eastAsia="en-US"/>
        </w:rPr>
        <w:t xml:space="preserve"> (</w:t>
      </w:r>
      <w:proofErr w:type="spellStart"/>
      <w:r w:rsidR="00C551A0">
        <w:rPr>
          <w:rFonts w:eastAsiaTheme="minorHAnsi" w:cs="Arial"/>
          <w:lang w:eastAsia="en-US"/>
        </w:rPr>
        <w:t>ie</w:t>
      </w:r>
      <w:proofErr w:type="spellEnd"/>
      <w:r w:rsidR="00C551A0">
        <w:rPr>
          <w:rFonts w:eastAsiaTheme="minorHAnsi" w:cs="Arial"/>
          <w:lang w:eastAsia="en-US"/>
        </w:rPr>
        <w:t>, from the DLRS and LRB</w:t>
      </w:r>
      <w:proofErr w:type="gramStart"/>
      <w:r w:rsidR="00C551A0">
        <w:rPr>
          <w:rFonts w:eastAsiaTheme="minorHAnsi" w:cs="Arial"/>
          <w:lang w:eastAsia="en-US"/>
        </w:rPr>
        <w:t>)  and</w:t>
      </w:r>
      <w:proofErr w:type="gramEnd"/>
      <w:r w:rsidR="00C551A0">
        <w:rPr>
          <w:rFonts w:eastAsiaTheme="minorHAnsi" w:cs="Arial"/>
          <w:lang w:eastAsia="en-US"/>
        </w:rPr>
        <w:t xml:space="preserve"> the deeds or other documents used to transfer the land.</w:t>
      </w:r>
      <w:r w:rsidR="00C551A0">
        <w:rPr>
          <w:rStyle w:val="FootnoteReference"/>
          <w:rFonts w:eastAsiaTheme="minorHAnsi" w:cs="Arial"/>
          <w:lang w:eastAsia="en-US"/>
        </w:rPr>
        <w:footnoteReference w:id="22"/>
      </w:r>
    </w:p>
    <w:p w:rsidR="00A61E5B" w:rsidRDefault="0060704F" w:rsidP="00961BC3">
      <w:pPr>
        <w:pStyle w:val="NormalIndent"/>
        <w:numPr>
          <w:ilvl w:val="0"/>
          <w:numId w:val="27"/>
        </w:numPr>
        <w:spacing w:after="240"/>
        <w:rPr>
          <w:rFonts w:eastAsiaTheme="minorHAnsi" w:cs="Arial"/>
          <w:lang w:eastAsia="en-US"/>
        </w:rPr>
      </w:pPr>
      <w:r>
        <w:rPr>
          <w:rFonts w:eastAsiaTheme="minorHAnsi" w:cs="Arial"/>
          <w:lang w:eastAsia="en-US"/>
        </w:rPr>
        <w:t>The land registration system has been partially digitalised, however many records are still held</w:t>
      </w:r>
      <w:r w:rsidR="000F48E8">
        <w:rPr>
          <w:rFonts w:eastAsiaTheme="minorHAnsi" w:cs="Arial"/>
          <w:lang w:eastAsia="en-US"/>
        </w:rPr>
        <w:t xml:space="preserve"> in hard copy</w:t>
      </w:r>
      <w:r w:rsidR="00095D36">
        <w:rPr>
          <w:rFonts w:eastAsiaTheme="minorHAnsi" w:cs="Arial"/>
          <w:lang w:eastAsia="en-US"/>
        </w:rPr>
        <w:t xml:space="preserve"> and updated manually</w:t>
      </w:r>
      <w:r w:rsidR="00F05726">
        <w:rPr>
          <w:rFonts w:eastAsiaTheme="minorHAnsi" w:cs="Arial"/>
          <w:lang w:eastAsia="en-US"/>
        </w:rPr>
        <w:t>.</w:t>
      </w:r>
      <w:r w:rsidR="00F05726">
        <w:rPr>
          <w:rStyle w:val="FootnoteReference"/>
          <w:rFonts w:eastAsiaTheme="minorHAnsi" w:cs="Arial"/>
          <w:lang w:eastAsia="en-US"/>
        </w:rPr>
        <w:footnoteReference w:id="23"/>
      </w:r>
      <w:r w:rsidR="00F05726">
        <w:rPr>
          <w:rFonts w:eastAsiaTheme="minorHAnsi" w:cs="Arial"/>
          <w:lang w:eastAsia="en-US"/>
        </w:rPr>
        <w:t xml:space="preserve"> </w:t>
      </w:r>
      <w:r>
        <w:rPr>
          <w:rFonts w:eastAsiaTheme="minorHAnsi" w:cs="Arial"/>
          <w:lang w:eastAsia="en-US"/>
        </w:rPr>
        <w:t xml:space="preserve">For example, updated </w:t>
      </w:r>
      <w:proofErr w:type="spellStart"/>
      <w:r w:rsidRPr="008D0644">
        <w:rPr>
          <w:rFonts w:eastAsiaTheme="minorHAnsi" w:cs="Arial"/>
          <w:i/>
          <w:lang w:eastAsia="en-US"/>
        </w:rPr>
        <w:t>khatians</w:t>
      </w:r>
      <w:proofErr w:type="spellEnd"/>
      <w:r>
        <w:rPr>
          <w:rFonts w:eastAsiaTheme="minorHAnsi" w:cs="Arial"/>
          <w:lang w:eastAsia="en-US"/>
        </w:rPr>
        <w:t xml:space="preserve"> prepared by the </w:t>
      </w:r>
      <w:proofErr w:type="spellStart"/>
      <w:r w:rsidRPr="0060704F">
        <w:rPr>
          <w:rFonts w:eastAsiaTheme="minorHAnsi" w:cs="Arial"/>
          <w:i/>
          <w:lang w:eastAsia="en-US"/>
        </w:rPr>
        <w:t>Upazila</w:t>
      </w:r>
      <w:proofErr w:type="spellEnd"/>
      <w:r>
        <w:rPr>
          <w:rFonts w:eastAsiaTheme="minorHAnsi" w:cs="Arial"/>
          <w:lang w:eastAsia="en-US"/>
        </w:rPr>
        <w:t xml:space="preserve"> office of the LRB are prepared manually. Hard copy </w:t>
      </w:r>
      <w:proofErr w:type="spellStart"/>
      <w:r w:rsidR="00C551A0" w:rsidRPr="008D0644">
        <w:rPr>
          <w:rFonts w:eastAsiaTheme="minorHAnsi" w:cs="Arial"/>
          <w:i/>
          <w:lang w:eastAsia="en-US"/>
        </w:rPr>
        <w:t>khatians</w:t>
      </w:r>
      <w:proofErr w:type="spellEnd"/>
      <w:r w:rsidR="00095D36">
        <w:rPr>
          <w:rFonts w:eastAsiaTheme="minorHAnsi" w:cs="Arial"/>
          <w:lang w:eastAsia="en-US"/>
        </w:rPr>
        <w:t xml:space="preserve"> </w:t>
      </w:r>
      <w:r w:rsidR="00C551A0">
        <w:rPr>
          <w:rFonts w:eastAsiaTheme="minorHAnsi" w:cs="Arial"/>
          <w:lang w:eastAsia="en-US"/>
        </w:rPr>
        <w:t xml:space="preserve">maintained by the LRB </w:t>
      </w:r>
      <w:r w:rsidR="00095D36">
        <w:rPr>
          <w:rFonts w:eastAsiaTheme="minorHAnsi" w:cs="Arial"/>
          <w:lang w:eastAsia="en-US"/>
        </w:rPr>
        <w:t>are</w:t>
      </w:r>
      <w:r w:rsidR="00C551A0">
        <w:rPr>
          <w:rFonts w:eastAsiaTheme="minorHAnsi" w:cs="Arial"/>
          <w:lang w:eastAsia="en-US"/>
        </w:rPr>
        <w:t xml:space="preserve"> often</w:t>
      </w:r>
      <w:r w:rsidR="00095D36">
        <w:rPr>
          <w:rFonts w:eastAsiaTheme="minorHAnsi" w:cs="Arial"/>
          <w:lang w:eastAsia="en-US"/>
        </w:rPr>
        <w:t xml:space="preserve"> worn out and indecipherable due to </w:t>
      </w:r>
      <w:r w:rsidR="00A17A34">
        <w:rPr>
          <w:rFonts w:eastAsiaTheme="minorHAnsi" w:cs="Arial"/>
          <w:lang w:eastAsia="en-US"/>
        </w:rPr>
        <w:t>damage from humidity and insects.</w:t>
      </w:r>
      <w:r w:rsidR="00A17A34">
        <w:rPr>
          <w:rStyle w:val="FootnoteReference"/>
          <w:rFonts w:eastAsiaTheme="minorHAnsi" w:cs="Arial"/>
          <w:lang w:eastAsia="en-US"/>
        </w:rPr>
        <w:footnoteReference w:id="24"/>
      </w:r>
    </w:p>
    <w:p w:rsidR="009E5730" w:rsidRDefault="009E5730" w:rsidP="009E5730">
      <w:pPr>
        <w:pStyle w:val="NormalIndent"/>
        <w:numPr>
          <w:ilvl w:val="0"/>
          <w:numId w:val="27"/>
        </w:numPr>
        <w:spacing w:after="240"/>
        <w:rPr>
          <w:rFonts w:eastAsiaTheme="minorHAnsi" w:cs="Arial"/>
          <w:lang w:eastAsia="en-US"/>
        </w:rPr>
      </w:pPr>
      <w:r>
        <w:rPr>
          <w:rFonts w:eastAsiaTheme="minorHAnsi" w:cs="Arial"/>
          <w:lang w:eastAsia="en-US"/>
        </w:rPr>
        <w:t>There is a widespread phenomenon known as '</w:t>
      </w:r>
      <w:proofErr w:type="spellStart"/>
      <w:r>
        <w:rPr>
          <w:rFonts w:eastAsiaTheme="minorHAnsi" w:cs="Arial"/>
          <w:lang w:eastAsia="en-US"/>
        </w:rPr>
        <w:t>landgrabbing</w:t>
      </w:r>
      <w:proofErr w:type="spellEnd"/>
      <w:r>
        <w:rPr>
          <w:rFonts w:eastAsiaTheme="minorHAnsi" w:cs="Arial"/>
          <w:lang w:eastAsia="en-US"/>
        </w:rPr>
        <w:t>', whereby private individuals or entities 'grab' land from its rightful owner by forging land registration documents, often with the assistance of corrupt government officials</w:t>
      </w:r>
      <w:r w:rsidR="00762400">
        <w:rPr>
          <w:rFonts w:eastAsiaTheme="minorHAnsi" w:cs="Arial"/>
          <w:lang w:eastAsia="en-US"/>
        </w:rPr>
        <w:t xml:space="preserve"> who accept bribes</w:t>
      </w:r>
      <w:r>
        <w:rPr>
          <w:rFonts w:eastAsiaTheme="minorHAnsi" w:cs="Arial"/>
          <w:lang w:eastAsia="en-US"/>
        </w:rPr>
        <w:t>.</w:t>
      </w:r>
      <w:r>
        <w:rPr>
          <w:rStyle w:val="FootnoteReference"/>
          <w:rFonts w:eastAsiaTheme="minorHAnsi" w:cs="Arial"/>
          <w:lang w:eastAsia="en-US"/>
        </w:rPr>
        <w:footnoteReference w:id="25"/>
      </w:r>
      <w:r>
        <w:rPr>
          <w:rFonts w:eastAsiaTheme="minorHAnsi" w:cs="Arial"/>
          <w:lang w:eastAsia="en-US"/>
        </w:rPr>
        <w:t xml:space="preserve"> The prevalence of this type of fraud </w:t>
      </w:r>
      <w:r w:rsidR="00762400">
        <w:rPr>
          <w:rFonts w:eastAsiaTheme="minorHAnsi" w:cs="Arial"/>
          <w:lang w:eastAsia="en-US"/>
        </w:rPr>
        <w:t xml:space="preserve">further undermines the value of </w:t>
      </w:r>
      <w:proofErr w:type="spellStart"/>
      <w:r w:rsidR="00762400" w:rsidRPr="00762400">
        <w:rPr>
          <w:rFonts w:eastAsiaTheme="minorHAnsi" w:cs="Arial"/>
          <w:i/>
          <w:lang w:eastAsia="en-US"/>
        </w:rPr>
        <w:t>khatians</w:t>
      </w:r>
      <w:proofErr w:type="spellEnd"/>
      <w:r w:rsidR="00762400">
        <w:rPr>
          <w:rFonts w:eastAsiaTheme="minorHAnsi" w:cs="Arial"/>
          <w:lang w:eastAsia="en-US"/>
        </w:rPr>
        <w:t xml:space="preserve"> as proof of land ownership.</w:t>
      </w:r>
    </w:p>
    <w:p w:rsidR="00222C1C" w:rsidRDefault="00F05726" w:rsidP="00287819">
      <w:pPr>
        <w:pStyle w:val="NormalIndent"/>
        <w:spacing w:after="240"/>
        <w:ind w:left="720"/>
        <w:rPr>
          <w:rFonts w:eastAsiaTheme="minorHAnsi" w:cs="Arial"/>
          <w:lang w:eastAsia="en-US"/>
        </w:rPr>
      </w:pPr>
      <w:r>
        <w:rPr>
          <w:rFonts w:eastAsiaTheme="minorHAnsi" w:cs="Arial"/>
          <w:lang w:eastAsia="en-US"/>
        </w:rPr>
        <w:t>Due to the above problems,</w:t>
      </w:r>
      <w:r w:rsidR="00762400">
        <w:rPr>
          <w:rFonts w:eastAsiaTheme="minorHAnsi" w:cs="Arial"/>
          <w:lang w:eastAsia="en-US"/>
        </w:rPr>
        <w:t xml:space="preserve"> the land registration process has</w:t>
      </w:r>
      <w:r>
        <w:rPr>
          <w:rFonts w:eastAsiaTheme="minorHAnsi" w:cs="Arial"/>
          <w:lang w:eastAsia="en-US"/>
        </w:rPr>
        <w:t xml:space="preserve"> 'no meaning or relevance to the majority of the urban poor'.</w:t>
      </w:r>
      <w:r>
        <w:rPr>
          <w:rStyle w:val="FootnoteReference"/>
          <w:rFonts w:eastAsiaTheme="minorHAnsi" w:cs="Arial"/>
          <w:lang w:eastAsia="en-US"/>
        </w:rPr>
        <w:footnoteReference w:id="26"/>
      </w:r>
      <w:r>
        <w:rPr>
          <w:rFonts w:eastAsiaTheme="minorHAnsi" w:cs="Arial"/>
          <w:lang w:eastAsia="en-US"/>
        </w:rPr>
        <w:t xml:space="preserve"> Instead, the majority of urban residents in Bangladesh access tenure via informal </w:t>
      </w:r>
      <w:proofErr w:type="spellStart"/>
      <w:r>
        <w:rPr>
          <w:rFonts w:eastAsiaTheme="minorHAnsi" w:cs="Arial"/>
          <w:lang w:eastAsia="en-US"/>
        </w:rPr>
        <w:t>conveyancing</w:t>
      </w:r>
      <w:proofErr w:type="spellEnd"/>
      <w:r w:rsidR="00846839">
        <w:rPr>
          <w:rFonts w:eastAsiaTheme="minorHAnsi" w:cs="Arial"/>
          <w:lang w:eastAsia="en-US"/>
        </w:rPr>
        <w:t xml:space="preserve"> or oral agreements.</w:t>
      </w:r>
      <w:r w:rsidR="0098365A">
        <w:rPr>
          <w:rFonts w:eastAsiaTheme="minorHAnsi" w:cs="Arial"/>
          <w:lang w:eastAsia="en-US"/>
        </w:rPr>
        <w:t xml:space="preserve"> Oral lease agreements pose no legal issue, provided their duration is one year or less.</w:t>
      </w:r>
      <w:r w:rsidR="00D960E8">
        <w:rPr>
          <w:rStyle w:val="FootnoteReference"/>
          <w:rFonts w:eastAsiaTheme="minorHAnsi" w:cs="Arial"/>
          <w:lang w:eastAsia="en-US"/>
        </w:rPr>
        <w:footnoteReference w:id="27"/>
      </w:r>
      <w:r w:rsidR="0098365A">
        <w:rPr>
          <w:rFonts w:eastAsiaTheme="minorHAnsi" w:cs="Arial"/>
          <w:lang w:eastAsia="en-US"/>
        </w:rPr>
        <w:t xml:space="preserve"> </w:t>
      </w:r>
      <w:r w:rsidR="001A2997">
        <w:rPr>
          <w:rFonts w:eastAsiaTheme="minorHAnsi" w:cs="Arial"/>
          <w:lang w:eastAsia="en-US"/>
        </w:rPr>
        <w:t xml:space="preserve">However, documents which are required to be </w:t>
      </w:r>
      <w:r w:rsidR="000E014F">
        <w:rPr>
          <w:rFonts w:eastAsiaTheme="minorHAnsi" w:cs="Arial"/>
          <w:lang w:eastAsia="en-US"/>
        </w:rPr>
        <w:t>registered but are not registered are legally ineffective and, therefore, unenforceable.</w:t>
      </w:r>
      <w:r w:rsidR="000E014F">
        <w:rPr>
          <w:rStyle w:val="FootnoteReference"/>
          <w:rFonts w:eastAsiaTheme="minorHAnsi" w:cs="Arial"/>
          <w:lang w:eastAsia="en-US"/>
        </w:rPr>
        <w:footnoteReference w:id="28"/>
      </w:r>
    </w:p>
    <w:p w:rsidR="000E014F" w:rsidRDefault="000E014F" w:rsidP="00063269">
      <w:pPr>
        <w:pStyle w:val="AllensHeading2"/>
      </w:pPr>
      <w:bookmarkStart w:id="30" w:name="CustomaryOwnership23"/>
      <w:bookmarkStart w:id="31" w:name="_Toc513106747"/>
      <w:bookmarkEnd w:id="30"/>
      <w:r>
        <w:t>Customary Ownership</w:t>
      </w:r>
      <w:bookmarkEnd w:id="31"/>
    </w:p>
    <w:p w:rsidR="006938F2" w:rsidRDefault="006938F2" w:rsidP="00A26BFA">
      <w:pPr>
        <w:pStyle w:val="AllensHeading3"/>
        <w:numPr>
          <w:ilvl w:val="0"/>
          <w:numId w:val="0"/>
        </w:numPr>
        <w:ind w:left="720"/>
      </w:pPr>
      <w:r>
        <w:t>Indigenous people comprise approximately 1.2% of Bangladesh's population and comprise two main geographical groups: plains dwellers and hills communities.</w:t>
      </w:r>
      <w:r>
        <w:rPr>
          <w:rStyle w:val="FootnoteReference"/>
        </w:rPr>
        <w:footnoteReference w:id="29"/>
      </w:r>
      <w:r>
        <w:t xml:space="preserve"> The hills communities live predominantly in the Chittagong Hill Tracts Region (</w:t>
      </w:r>
      <w:r w:rsidRPr="005B3A03">
        <w:rPr>
          <w:b/>
          <w:i/>
        </w:rPr>
        <w:t>CHT Region</w:t>
      </w:r>
      <w:r>
        <w:t>), while the plains dwellers are predominantly located in the north, north-west and north-east of the country.</w:t>
      </w:r>
    </w:p>
    <w:p w:rsidR="004E1B09" w:rsidRPr="006311E6" w:rsidRDefault="005B3A03" w:rsidP="00A26BFA">
      <w:pPr>
        <w:ind w:left="720"/>
      </w:pPr>
      <w:r>
        <w:t>The CHT region has a separate legal and administrative regime which blends customary</w:t>
      </w:r>
      <w:r w:rsidR="004E1B09">
        <w:t xml:space="preserve"> and formal law</w:t>
      </w:r>
      <w:r>
        <w:t>.</w:t>
      </w:r>
      <w:r w:rsidR="006938F2">
        <w:t xml:space="preserve"> </w:t>
      </w:r>
      <w:r w:rsidR="004E1B09">
        <w:t>Although G</w:t>
      </w:r>
      <w:r w:rsidR="004E1B09" w:rsidRPr="006311E6">
        <w:t xml:space="preserve">overnment institutions maintain concurrent jurisdiction, </w:t>
      </w:r>
      <w:r w:rsidR="004E1B09">
        <w:t>they rarely exercise this power</w:t>
      </w:r>
      <w:r w:rsidR="004E1B09" w:rsidRPr="006311E6">
        <w:t>.</w:t>
      </w:r>
      <w:r w:rsidR="004E1B09" w:rsidRPr="006311E6">
        <w:rPr>
          <w:vertAlign w:val="superscript"/>
        </w:rPr>
        <w:footnoteReference w:id="30"/>
      </w:r>
      <w:r w:rsidR="004E1B09">
        <w:t xml:space="preserve"> Therefore, land use and ownership is governed by customary law.</w:t>
      </w:r>
    </w:p>
    <w:p w:rsidR="005B3A03" w:rsidRDefault="004E1B09" w:rsidP="00A26BFA">
      <w:pPr>
        <w:pStyle w:val="AllensHeading3"/>
        <w:numPr>
          <w:ilvl w:val="0"/>
          <w:numId w:val="0"/>
        </w:numPr>
        <w:ind w:left="720"/>
      </w:pPr>
      <w:r>
        <w:lastRenderedPageBreak/>
        <w:t xml:space="preserve">There are groups of plains dwellers who continue to follow customary principles of land use and ownership. However, outside the CHT Region, </w:t>
      </w:r>
      <w:r w:rsidR="00762400">
        <w:t xml:space="preserve">the formal law applies and </w:t>
      </w:r>
      <w:r>
        <w:t xml:space="preserve">customary law is not </w:t>
      </w:r>
      <w:r w:rsidR="00762400">
        <w:t xml:space="preserve">legally </w:t>
      </w:r>
      <w:r>
        <w:t>recognis</w:t>
      </w:r>
      <w:r w:rsidR="00762400">
        <w:t>ed</w:t>
      </w:r>
      <w:r w:rsidR="00A26BFA">
        <w:t>.</w:t>
      </w:r>
      <w:r w:rsidR="00A26BFA" w:rsidRPr="006311E6">
        <w:rPr>
          <w:vertAlign w:val="superscript"/>
        </w:rPr>
        <w:footnoteReference w:id="31"/>
      </w:r>
    </w:p>
    <w:p w:rsidR="00A26BFA" w:rsidRPr="00463B44" w:rsidRDefault="00A26BFA" w:rsidP="004F73DC">
      <w:pPr>
        <w:pStyle w:val="AllensHeading2"/>
      </w:pPr>
      <w:bookmarkStart w:id="32" w:name="InformalSettlements"/>
      <w:bookmarkStart w:id="33" w:name="_Toc513106748"/>
      <w:bookmarkEnd w:id="32"/>
      <w:r w:rsidRPr="00463B44">
        <w:t>Informal Settlements</w:t>
      </w:r>
      <w:bookmarkEnd w:id="33"/>
    </w:p>
    <w:p w:rsidR="00A26BFA" w:rsidRDefault="00A26BFA" w:rsidP="004F73DC">
      <w:pPr>
        <w:pStyle w:val="AllensHeading3"/>
        <w:rPr>
          <w:b/>
        </w:rPr>
      </w:pPr>
      <w:bookmarkStart w:id="34" w:name="_Ref470097516"/>
      <w:r w:rsidRPr="004F73DC">
        <w:rPr>
          <w:b/>
        </w:rPr>
        <w:t>What are the locations and boundaries of informal settlements?</w:t>
      </w:r>
      <w:bookmarkEnd w:id="34"/>
    </w:p>
    <w:p w:rsidR="00E9207A" w:rsidRPr="004F73DC" w:rsidRDefault="00E9207A" w:rsidP="00E9207A">
      <w:pPr>
        <w:pStyle w:val="AllensHeading3"/>
        <w:rPr>
          <w:b/>
        </w:rPr>
      </w:pPr>
      <w:r w:rsidRPr="004F73DC">
        <w:rPr>
          <w:b/>
        </w:rPr>
        <w:t>What kinds of tenure arrangements are in place in informal settlements?</w:t>
      </w:r>
    </w:p>
    <w:p w:rsidR="00676ED7" w:rsidRDefault="00A269C7" w:rsidP="00A26BFA">
      <w:pPr>
        <w:pStyle w:val="NormalIndent"/>
      </w:pPr>
      <w:r>
        <w:t>R</w:t>
      </w:r>
      <w:r w:rsidR="00E9207A">
        <w:t xml:space="preserve">esearch and mapping activities </w:t>
      </w:r>
      <w:r w:rsidR="00E86696">
        <w:t xml:space="preserve">in Bangladesh </w:t>
      </w:r>
      <w:r w:rsidR="00762400">
        <w:t xml:space="preserve">generally </w:t>
      </w:r>
      <w:r w:rsidR="00E9207A">
        <w:t xml:space="preserve">focus on the </w:t>
      </w:r>
      <w:r w:rsidR="00E86696">
        <w:t>broad</w:t>
      </w:r>
      <w:r w:rsidR="00EB20E4">
        <w:t xml:space="preserve"> category of </w:t>
      </w:r>
      <w:r>
        <w:t>'</w:t>
      </w:r>
      <w:r w:rsidR="00F93D17">
        <w:t>slums</w:t>
      </w:r>
      <w:r>
        <w:t>'</w:t>
      </w:r>
      <w:r w:rsidR="00F93D17">
        <w:t xml:space="preserve"> (</w:t>
      </w:r>
      <w:proofErr w:type="spellStart"/>
      <w:r w:rsidR="00F93D17" w:rsidRPr="00F93D17">
        <w:rPr>
          <w:i/>
        </w:rPr>
        <w:t>bastees</w:t>
      </w:r>
      <w:proofErr w:type="spellEnd"/>
      <w:r w:rsidR="00F93D17">
        <w:t>)</w:t>
      </w:r>
      <w:r w:rsidR="00E86696">
        <w:t xml:space="preserve">, which </w:t>
      </w:r>
      <w:r>
        <w:t xml:space="preserve">refers to a settlement which features most </w:t>
      </w:r>
      <w:r w:rsidR="00676ED7">
        <w:t>(but not necessarily all) of the following</w:t>
      </w:r>
      <w:r>
        <w:t xml:space="preserve"> characteristics</w:t>
      </w:r>
      <w:r w:rsidR="00676ED7">
        <w:t>:</w:t>
      </w:r>
    </w:p>
    <w:p w:rsidR="00676ED7" w:rsidRDefault="00676ED7" w:rsidP="00676ED7">
      <w:pPr>
        <w:pStyle w:val="Bullet2"/>
      </w:pPr>
      <w:r>
        <w:t>predominantly very poor quality housing;</w:t>
      </w:r>
    </w:p>
    <w:p w:rsidR="00676ED7" w:rsidRDefault="00676ED7" w:rsidP="00676ED7">
      <w:pPr>
        <w:pStyle w:val="Bullet2"/>
      </w:pPr>
      <w:r>
        <w:t>very high population density and room crowding;</w:t>
      </w:r>
    </w:p>
    <w:p w:rsidR="00676ED7" w:rsidRDefault="00676ED7" w:rsidP="00676ED7">
      <w:pPr>
        <w:pStyle w:val="Bullet2"/>
      </w:pPr>
      <w:r>
        <w:t>poor environmental services, especially water and sanitation;</w:t>
      </w:r>
    </w:p>
    <w:p w:rsidR="00676ED7" w:rsidRDefault="00676ED7" w:rsidP="00676ED7">
      <w:pPr>
        <w:pStyle w:val="Bullet2"/>
      </w:pPr>
      <w:r>
        <w:t>low socio-economic status; and</w:t>
      </w:r>
    </w:p>
    <w:p w:rsidR="00676ED7" w:rsidRDefault="00676ED7" w:rsidP="00676ED7">
      <w:pPr>
        <w:pStyle w:val="Bullet2"/>
      </w:pPr>
      <w:proofErr w:type="gramStart"/>
      <w:r>
        <w:t>lack</w:t>
      </w:r>
      <w:proofErr w:type="gramEnd"/>
      <w:r>
        <w:t xml:space="preserve"> of security of tenure.</w:t>
      </w:r>
      <w:r w:rsidR="00E86696">
        <w:rPr>
          <w:rStyle w:val="FootnoteReference"/>
        </w:rPr>
        <w:footnoteReference w:id="32"/>
      </w:r>
    </w:p>
    <w:p w:rsidR="00E9207A" w:rsidRDefault="00E86696" w:rsidP="00A26BFA">
      <w:pPr>
        <w:pStyle w:val="NormalIndent"/>
      </w:pPr>
      <w:r w:rsidRPr="00E86696">
        <w:t>Slums</w:t>
      </w:r>
      <w:r w:rsidR="00E9207A">
        <w:t xml:space="preserve"> are </w:t>
      </w:r>
      <w:r w:rsidR="00E9207A" w:rsidRPr="00463B44">
        <w:t xml:space="preserve">commonplace </w:t>
      </w:r>
      <w:r w:rsidR="00E9207A">
        <w:t>throughout</w:t>
      </w:r>
      <w:r w:rsidR="00E9207A" w:rsidRPr="00463B44">
        <w:t xml:space="preserve"> Bangladesh</w:t>
      </w:r>
      <w:r w:rsidR="00E9207A">
        <w:t>, and are particularly prevalent in urban areas</w:t>
      </w:r>
      <w:r w:rsidR="00E9207A" w:rsidRPr="00463B44">
        <w:t>.</w:t>
      </w:r>
      <w:r w:rsidR="00E9207A">
        <w:t xml:space="preserve"> </w:t>
      </w:r>
      <w:r w:rsidR="00EC00D4">
        <w:t>In a</w:t>
      </w:r>
      <w:r w:rsidR="00E9207A">
        <w:t>ll major urban centres</w:t>
      </w:r>
      <w:r w:rsidR="00EC00D4">
        <w:t xml:space="preserve">, a </w:t>
      </w:r>
      <w:r w:rsidR="00E9207A">
        <w:t>significant proportion of the total population liv</w:t>
      </w:r>
      <w:r w:rsidR="00EC00D4">
        <w:t xml:space="preserve">es </w:t>
      </w:r>
      <w:r w:rsidR="00E9207A">
        <w:t xml:space="preserve">in </w:t>
      </w:r>
      <w:r w:rsidR="00762400" w:rsidRPr="00762400">
        <w:t>slums</w:t>
      </w:r>
      <w:r w:rsidR="00E9207A" w:rsidRPr="00762400">
        <w:t>,</w:t>
      </w:r>
      <w:r w:rsidR="00E9207A">
        <w:t xml:space="preserve"> as follows:</w:t>
      </w:r>
    </w:p>
    <w:p w:rsidR="00E9207A" w:rsidRDefault="00E9207A" w:rsidP="00E9207A">
      <w:pPr>
        <w:pStyle w:val="Bullet2"/>
      </w:pPr>
      <w:r>
        <w:t>37 per cent in the Dhaka Metropolitan Area;</w:t>
      </w:r>
    </w:p>
    <w:p w:rsidR="00E9207A" w:rsidRDefault="00E9207A" w:rsidP="00E9207A">
      <w:pPr>
        <w:pStyle w:val="Bullet2"/>
      </w:pPr>
      <w:r>
        <w:t>35 per cent in Chittagong;</w:t>
      </w:r>
    </w:p>
    <w:p w:rsidR="00E9207A" w:rsidRDefault="00E9207A" w:rsidP="00E9207A">
      <w:pPr>
        <w:pStyle w:val="Bullet2"/>
      </w:pPr>
      <w:r>
        <w:t xml:space="preserve">19.5 per cent </w:t>
      </w:r>
      <w:r w:rsidR="007262E5">
        <w:t>in Khulna;</w:t>
      </w:r>
    </w:p>
    <w:p w:rsidR="007262E5" w:rsidRDefault="00E9207A" w:rsidP="00E9207A">
      <w:pPr>
        <w:pStyle w:val="Bullet2"/>
      </w:pPr>
      <w:r>
        <w:t xml:space="preserve">32 per cent in </w:t>
      </w:r>
      <w:proofErr w:type="spellStart"/>
      <w:r w:rsidR="007262E5">
        <w:t>Rajshahi</w:t>
      </w:r>
      <w:proofErr w:type="spellEnd"/>
      <w:r w:rsidR="007262E5">
        <w:t>;</w:t>
      </w:r>
    </w:p>
    <w:p w:rsidR="007262E5" w:rsidRDefault="007262E5" w:rsidP="00E9207A">
      <w:pPr>
        <w:pStyle w:val="Bullet2"/>
      </w:pPr>
      <w:r>
        <w:t xml:space="preserve">27.4 per cent in </w:t>
      </w:r>
      <w:proofErr w:type="spellStart"/>
      <w:r>
        <w:t>Sylhet</w:t>
      </w:r>
      <w:proofErr w:type="spellEnd"/>
      <w:r>
        <w:t>; and</w:t>
      </w:r>
    </w:p>
    <w:p w:rsidR="00E9207A" w:rsidRDefault="007262E5" w:rsidP="00E9207A">
      <w:pPr>
        <w:pStyle w:val="Bullet2"/>
      </w:pPr>
      <w:r>
        <w:t>30.1 per cent in Barisal.</w:t>
      </w:r>
      <w:r>
        <w:rPr>
          <w:rStyle w:val="FootnoteReference"/>
        </w:rPr>
        <w:footnoteReference w:id="33"/>
      </w:r>
    </w:p>
    <w:p w:rsidR="00EB20E4" w:rsidRDefault="007262E5" w:rsidP="00A26BFA">
      <w:pPr>
        <w:pStyle w:val="NormalIndent"/>
      </w:pPr>
      <w:r>
        <w:t>In 2005, the Centre for Urban Studies, MEASURE Evaluation and the National Institute of Population Research and Training comprehensive</w:t>
      </w:r>
      <w:r w:rsidR="00AF6156">
        <w:t>ly</w:t>
      </w:r>
      <w:r>
        <w:t xml:space="preserve"> mapp</w:t>
      </w:r>
      <w:r w:rsidR="00AF6156">
        <w:t xml:space="preserve">ed </w:t>
      </w:r>
      <w:r w:rsidR="0053218D" w:rsidRPr="0053218D">
        <w:t xml:space="preserve">slums </w:t>
      </w:r>
      <w:r>
        <w:t xml:space="preserve">in the above </w:t>
      </w:r>
      <w:r w:rsidR="00AF6156">
        <w:t>six urban centres and produced a 'slum map' for each city.</w:t>
      </w:r>
      <w:r w:rsidR="00AF6156">
        <w:rPr>
          <w:rStyle w:val="FootnoteReference"/>
        </w:rPr>
        <w:footnoteReference w:id="34"/>
      </w:r>
      <w:r w:rsidR="00AF6156">
        <w:t xml:space="preserve"> </w:t>
      </w:r>
      <w:r w:rsidR="00D7216D">
        <w:t xml:space="preserve">We refer to this as the 2005 Slum Mapping Study. </w:t>
      </w:r>
      <w:r w:rsidR="00AF6156">
        <w:t xml:space="preserve">These maps are reproduced in Schedules 1 to 6 to this memorandum. Unfortunately, more </w:t>
      </w:r>
      <w:r w:rsidR="00F93D17">
        <w:t>recent</w:t>
      </w:r>
      <w:r w:rsidR="00AF6156">
        <w:t xml:space="preserve"> maps are not available.</w:t>
      </w:r>
    </w:p>
    <w:p w:rsidR="00E86696" w:rsidRDefault="0053218D" w:rsidP="00A26BFA">
      <w:pPr>
        <w:pStyle w:val="NormalIndent"/>
      </w:pPr>
      <w:r>
        <w:t>T</w:t>
      </w:r>
      <w:r w:rsidR="00E86696">
        <w:t>here are many different forms of tenure present in slums, including the following:</w:t>
      </w:r>
    </w:p>
    <w:p w:rsidR="00FA04C2" w:rsidRDefault="00FA04C2" w:rsidP="00E86696">
      <w:pPr>
        <w:pStyle w:val="Bullet2"/>
      </w:pPr>
      <w:r>
        <w:t>owning registered land;</w:t>
      </w:r>
    </w:p>
    <w:p w:rsidR="00FA04C2" w:rsidRDefault="00FA04C2" w:rsidP="00FA04C2">
      <w:pPr>
        <w:pStyle w:val="Bullet2"/>
      </w:pPr>
      <w:r>
        <w:t>renting</w:t>
      </w:r>
      <w:r w:rsidR="00694B3B">
        <w:t xml:space="preserve"> land and/or</w:t>
      </w:r>
      <w:r>
        <w:t xml:space="preserve"> housing </w:t>
      </w:r>
      <w:r w:rsidR="00694B3B">
        <w:t>under</w:t>
      </w:r>
      <w:r>
        <w:t xml:space="preserve"> a written contract;</w:t>
      </w:r>
    </w:p>
    <w:p w:rsidR="00FA04C2" w:rsidRDefault="00FA04C2" w:rsidP="00FA04C2">
      <w:pPr>
        <w:pStyle w:val="Bullet2"/>
      </w:pPr>
      <w:r>
        <w:t xml:space="preserve">renting </w:t>
      </w:r>
      <w:r w:rsidR="00694B3B">
        <w:t xml:space="preserve">land and/or </w:t>
      </w:r>
      <w:r>
        <w:t xml:space="preserve">housing </w:t>
      </w:r>
      <w:r w:rsidR="00694B3B">
        <w:t>under</w:t>
      </w:r>
      <w:r>
        <w:t xml:space="preserve"> a verbal agreement;</w:t>
      </w:r>
    </w:p>
    <w:p w:rsidR="00E86696" w:rsidRDefault="00FA04C2" w:rsidP="00E86696">
      <w:pPr>
        <w:pStyle w:val="Bullet2"/>
      </w:pPr>
      <w:r>
        <w:t xml:space="preserve">renting a </w:t>
      </w:r>
      <w:r w:rsidR="00E86696">
        <w:t>room or bed</w:t>
      </w:r>
      <w:r w:rsidR="0053218D">
        <w:t xml:space="preserve"> </w:t>
      </w:r>
      <w:r w:rsidR="00694B3B">
        <w:t>under</w:t>
      </w:r>
      <w:r w:rsidR="0053218D">
        <w:t xml:space="preserve"> a verbal agreement</w:t>
      </w:r>
      <w:r>
        <w:t>;</w:t>
      </w:r>
    </w:p>
    <w:p w:rsidR="00FA04C2" w:rsidRDefault="00FA04C2" w:rsidP="00FA04C2">
      <w:pPr>
        <w:pStyle w:val="Bullet2"/>
      </w:pPr>
      <w:r>
        <w:t>owning subdivided but unregistered land;</w:t>
      </w:r>
    </w:p>
    <w:p w:rsidR="00FA04C2" w:rsidRDefault="00FA04C2" w:rsidP="00FA04C2">
      <w:pPr>
        <w:pStyle w:val="Bullet2"/>
      </w:pPr>
      <w:r>
        <w:t xml:space="preserve">renting </w:t>
      </w:r>
      <w:r w:rsidR="00694B3B">
        <w:t xml:space="preserve">land and/or housing on </w:t>
      </w:r>
      <w:r>
        <w:t>subdivided but unregistered land;</w:t>
      </w:r>
    </w:p>
    <w:p w:rsidR="00FA04C2" w:rsidRDefault="00FA04C2" w:rsidP="00FA04C2">
      <w:pPr>
        <w:pStyle w:val="Bullet2"/>
      </w:pPr>
      <w:r>
        <w:lastRenderedPageBreak/>
        <w:t>squatting on land and living in self-constructed housing;</w:t>
      </w:r>
    </w:p>
    <w:p w:rsidR="0053218D" w:rsidRDefault="0053218D" w:rsidP="00E86696">
      <w:pPr>
        <w:pStyle w:val="Bullet2"/>
      </w:pPr>
      <w:r>
        <w:t>squatting on land by renting housing unlawfully constructed on the land by another person;</w:t>
      </w:r>
    </w:p>
    <w:p w:rsidR="0053218D" w:rsidRDefault="0053218D" w:rsidP="0053218D">
      <w:pPr>
        <w:pStyle w:val="Bullet2"/>
      </w:pPr>
      <w:proofErr w:type="gramStart"/>
      <w:r>
        <w:t>street</w:t>
      </w:r>
      <w:proofErr w:type="gramEnd"/>
      <w:r>
        <w:t xml:space="preserve"> dwelling (</w:t>
      </w:r>
      <w:proofErr w:type="spellStart"/>
      <w:r>
        <w:t>ie</w:t>
      </w:r>
      <w:proofErr w:type="spellEnd"/>
      <w:r>
        <w:t>, homelessness).</w:t>
      </w:r>
      <w:r>
        <w:rPr>
          <w:rStyle w:val="FootnoteReference"/>
        </w:rPr>
        <w:footnoteReference w:id="35"/>
      </w:r>
    </w:p>
    <w:p w:rsidR="0053218D" w:rsidRDefault="0053218D" w:rsidP="0053218D">
      <w:pPr>
        <w:pStyle w:val="Bullet2"/>
        <w:numPr>
          <w:ilvl w:val="0"/>
          <w:numId w:val="0"/>
        </w:numPr>
        <w:ind w:left="709"/>
      </w:pPr>
      <w:r>
        <w:t xml:space="preserve">It is important to note that the above types of tenure vary in the degree of security which they provide. The first </w:t>
      </w:r>
      <w:r w:rsidR="00694B3B">
        <w:t>two</w:t>
      </w:r>
      <w:r>
        <w:t xml:space="preserve"> types of tenure </w:t>
      </w:r>
      <w:r w:rsidR="00694B3B">
        <w:t xml:space="preserve">are </w:t>
      </w:r>
      <w:r>
        <w:t>reasonably secure</w:t>
      </w:r>
      <w:r w:rsidR="00805A18">
        <w:t>, while most of the</w:t>
      </w:r>
      <w:r w:rsidR="00762400">
        <w:t xml:space="preserve"> </w:t>
      </w:r>
      <w:r w:rsidR="00805A18">
        <w:t>remaining types of tenure lack security. The</w:t>
      </w:r>
      <w:r w:rsidR="00D7216D">
        <w:t xml:space="preserve"> degree of tenure security</w:t>
      </w:r>
      <w:r w:rsidR="00694B3B">
        <w:t xml:space="preserve"> </w:t>
      </w:r>
      <w:r w:rsidR="00805A18">
        <w:t xml:space="preserve">always </w:t>
      </w:r>
      <w:r w:rsidR="00694B3B">
        <w:t>depends on the specific circumstances involved</w:t>
      </w:r>
      <w:r w:rsidR="00762400">
        <w:t xml:space="preserve">, </w:t>
      </w:r>
      <w:r w:rsidR="00805A18">
        <w:t>such as the nature of relationships with the landowner or landlord.</w:t>
      </w:r>
    </w:p>
    <w:p w:rsidR="000A735A" w:rsidRPr="00C57533" w:rsidRDefault="004807EE" w:rsidP="000A735A">
      <w:pPr>
        <w:pStyle w:val="AllensHeading1"/>
      </w:pPr>
      <w:bookmarkStart w:id="35" w:name="SecurityofTenure"/>
      <w:bookmarkStart w:id="36" w:name="_Toc474154223"/>
      <w:bookmarkStart w:id="37" w:name="_Toc513106749"/>
      <w:bookmarkEnd w:id="35"/>
      <w:r>
        <w:t>Security of T</w:t>
      </w:r>
      <w:r w:rsidR="000A735A" w:rsidRPr="00C57533">
        <w:t xml:space="preserve">enure of </w:t>
      </w:r>
      <w:r>
        <w:t>V</w:t>
      </w:r>
      <w:r w:rsidR="000A735A" w:rsidRPr="00C57533">
        <w:t xml:space="preserve">ulnerable </w:t>
      </w:r>
      <w:r>
        <w:t>G</w:t>
      </w:r>
      <w:r w:rsidR="000A735A" w:rsidRPr="00C57533">
        <w:t>roups</w:t>
      </w:r>
      <w:bookmarkEnd w:id="36"/>
      <w:bookmarkEnd w:id="37"/>
    </w:p>
    <w:p w:rsidR="000A735A" w:rsidRDefault="000A735A" w:rsidP="000A735A">
      <w:pPr>
        <w:pStyle w:val="AllensHeading2"/>
      </w:pPr>
      <w:bookmarkStart w:id="38" w:name="Women"/>
      <w:bookmarkStart w:id="39" w:name="_Toc513106750"/>
      <w:bookmarkEnd w:id="38"/>
      <w:r w:rsidRPr="00C57533">
        <w:t>Women</w:t>
      </w:r>
      <w:bookmarkEnd w:id="39"/>
    </w:p>
    <w:p w:rsidR="004807EE" w:rsidRDefault="004807EE" w:rsidP="004807EE">
      <w:pPr>
        <w:pStyle w:val="AllensHeading3"/>
        <w:rPr>
          <w:b/>
        </w:rPr>
      </w:pPr>
      <w:r w:rsidRPr="004807EE">
        <w:rPr>
          <w:b/>
        </w:rPr>
        <w:t>Can women legally own, rent or inherit land and housing?</w:t>
      </w:r>
    </w:p>
    <w:p w:rsidR="004807EE" w:rsidRPr="004807EE" w:rsidRDefault="004807EE" w:rsidP="004807EE">
      <w:pPr>
        <w:pStyle w:val="AllensHeading3"/>
        <w:rPr>
          <w:b/>
        </w:rPr>
      </w:pPr>
      <w:r>
        <w:rPr>
          <w:b/>
        </w:rPr>
        <w:t>In practice, do they? If not, why not?</w:t>
      </w:r>
    </w:p>
    <w:p w:rsidR="004807EE" w:rsidRDefault="000A735A" w:rsidP="000A735A">
      <w:pPr>
        <w:pStyle w:val="NormalIndent"/>
      </w:pPr>
      <w:r>
        <w:t xml:space="preserve">The </w:t>
      </w:r>
      <w:r w:rsidRPr="00805A18">
        <w:rPr>
          <w:i/>
        </w:rPr>
        <w:t>Constitution of Bangladesh</w:t>
      </w:r>
      <w:r>
        <w:t xml:space="preserve"> </w:t>
      </w:r>
      <w:r w:rsidR="00C94510">
        <w:t xml:space="preserve">(the </w:t>
      </w:r>
      <w:r w:rsidR="00C94510" w:rsidRPr="00C94510">
        <w:rPr>
          <w:b/>
          <w:i/>
        </w:rPr>
        <w:t>Constitution)</w:t>
      </w:r>
      <w:r w:rsidR="00C94510">
        <w:t xml:space="preserve"> </w:t>
      </w:r>
      <w:r>
        <w:t xml:space="preserve">provides that all citizens are equal before the law and entitled to </w:t>
      </w:r>
      <w:r w:rsidR="004807EE">
        <w:t xml:space="preserve">the </w:t>
      </w:r>
      <w:r>
        <w:t xml:space="preserve">equal protection of the law. </w:t>
      </w:r>
      <w:r w:rsidR="004807EE">
        <w:t xml:space="preserve">In practice, however, </w:t>
      </w:r>
      <w:r>
        <w:t xml:space="preserve">women in Bangladesh rarely </w:t>
      </w:r>
      <w:r w:rsidR="004807EE">
        <w:t>have formal, legal property rights.</w:t>
      </w:r>
      <w:r w:rsidR="00BC6165">
        <w:t xml:space="preserve"> A major reason for this is the laws governing inheritance.</w:t>
      </w:r>
      <w:r w:rsidR="00555A34">
        <w:rPr>
          <w:rStyle w:val="FootnoteReference"/>
        </w:rPr>
        <w:footnoteReference w:id="36"/>
      </w:r>
    </w:p>
    <w:p w:rsidR="00D80C1C" w:rsidRDefault="00BC6165" w:rsidP="0040158B">
      <w:pPr>
        <w:pStyle w:val="Bullet2"/>
        <w:numPr>
          <w:ilvl w:val="0"/>
          <w:numId w:val="0"/>
        </w:numPr>
        <w:ind w:left="709"/>
      </w:pPr>
      <w:r>
        <w:t xml:space="preserve">Matters of inheritance are governed by religious laws and, therefore, depend on whether the deceased is Muslim or Hindu. </w:t>
      </w:r>
      <w:r w:rsidR="0040158B">
        <w:t xml:space="preserve">Under Hindu inheritance laws, women are only entitled to inherit in exceptional circumstances. </w:t>
      </w:r>
      <w:r>
        <w:t>Mo</w:t>
      </w:r>
      <w:r w:rsidR="00805A18">
        <w:t xml:space="preserve">st </w:t>
      </w:r>
      <w:r>
        <w:t>Bangladeshi women are subject to Muslim laws of inheritance</w:t>
      </w:r>
      <w:r w:rsidR="00D80C1C">
        <w:t>, which provide that:</w:t>
      </w:r>
    </w:p>
    <w:p w:rsidR="00D80C1C" w:rsidRDefault="00555A34" w:rsidP="00D80C1C">
      <w:pPr>
        <w:pStyle w:val="Bullet2"/>
      </w:pPr>
      <w:r>
        <w:t xml:space="preserve">daughters of a deceased are entitled to receive half of </w:t>
      </w:r>
      <w:r w:rsidR="00D80C1C">
        <w:t>what the brothers inherit; and</w:t>
      </w:r>
    </w:p>
    <w:p w:rsidR="00D80C1C" w:rsidRDefault="00D80C1C" w:rsidP="00D80C1C">
      <w:pPr>
        <w:pStyle w:val="Bullet2"/>
      </w:pPr>
      <w:proofErr w:type="gramStart"/>
      <w:r>
        <w:t>a</w:t>
      </w:r>
      <w:proofErr w:type="gramEnd"/>
      <w:r>
        <w:t xml:space="preserve"> widow receives one-eighth of her husband’s property if they have children and one-fourth if they do not.</w:t>
      </w:r>
      <w:r>
        <w:rPr>
          <w:rStyle w:val="FootnoteReference"/>
        </w:rPr>
        <w:footnoteReference w:id="37"/>
      </w:r>
    </w:p>
    <w:p w:rsidR="0040158B" w:rsidRDefault="00D80C1C" w:rsidP="0040158B">
      <w:pPr>
        <w:pStyle w:val="NormalIndent"/>
      </w:pPr>
      <w:r>
        <w:t xml:space="preserve">In practice, women's rights to inherit land </w:t>
      </w:r>
      <w:r w:rsidR="00D94128">
        <w:t xml:space="preserve">under Muslim laws </w:t>
      </w:r>
      <w:r>
        <w:t>are undermined by cultural customs</w:t>
      </w:r>
      <w:r w:rsidR="00805A18">
        <w:t>.</w:t>
      </w:r>
      <w:r w:rsidR="00D94128">
        <w:t xml:space="preserve"> </w:t>
      </w:r>
      <w:r>
        <w:t xml:space="preserve"> </w:t>
      </w:r>
      <w:r w:rsidR="00805A18">
        <w:t>F</w:t>
      </w:r>
      <w:r>
        <w:t>or example</w:t>
      </w:r>
      <w:r w:rsidR="00D94128">
        <w:t>,</w:t>
      </w:r>
      <w:r>
        <w:t xml:space="preserve"> the </w:t>
      </w:r>
      <w:proofErr w:type="gramStart"/>
      <w:r>
        <w:t xml:space="preserve">norm that a 'good sister' should surrender </w:t>
      </w:r>
      <w:r w:rsidR="0040158B">
        <w:t>her share</w:t>
      </w:r>
      <w:proofErr w:type="gramEnd"/>
      <w:r w:rsidR="0040158B">
        <w:t xml:space="preserve"> of inheritance in favour of her brothers.</w:t>
      </w:r>
      <w:r w:rsidR="0040158B">
        <w:rPr>
          <w:rStyle w:val="FootnoteReference"/>
        </w:rPr>
        <w:footnoteReference w:id="38"/>
      </w:r>
    </w:p>
    <w:p w:rsidR="00B01E01" w:rsidRPr="00B01E01" w:rsidRDefault="0040158B" w:rsidP="0040158B">
      <w:pPr>
        <w:pStyle w:val="NormalIndent"/>
      </w:pPr>
      <w:r>
        <w:t xml:space="preserve">Women's rights to own and inherit land are also undermined by </w:t>
      </w:r>
      <w:r w:rsidR="00D94128">
        <w:t xml:space="preserve">religious and social </w:t>
      </w:r>
      <w:r w:rsidR="003D6F4A">
        <w:t>norms</w:t>
      </w:r>
      <w:r w:rsidR="00D94128">
        <w:t xml:space="preserve">, including </w:t>
      </w:r>
      <w:r w:rsidR="00D94128" w:rsidRPr="00D94128">
        <w:rPr>
          <w:i/>
        </w:rPr>
        <w:t>purdah</w:t>
      </w:r>
      <w:r w:rsidR="00D94128">
        <w:t xml:space="preserve">, which is a </w:t>
      </w:r>
      <w:r w:rsidR="003D6F4A">
        <w:t xml:space="preserve">Hindu and Muslim </w:t>
      </w:r>
      <w:r w:rsidR="00D94128">
        <w:t xml:space="preserve">practice </w:t>
      </w:r>
      <w:r w:rsidR="003D6F4A">
        <w:t>of restricting women's contact with persons outside of her famil</w:t>
      </w:r>
      <w:r w:rsidR="00805A18">
        <w:t>y</w:t>
      </w:r>
      <w:r w:rsidR="003D6F4A">
        <w:t>.</w:t>
      </w:r>
      <w:r w:rsidR="003D6F4A">
        <w:rPr>
          <w:rStyle w:val="FootnoteReference"/>
        </w:rPr>
        <w:footnoteReference w:id="39"/>
      </w:r>
      <w:r w:rsidR="003D6F4A">
        <w:t xml:space="preserve"> </w:t>
      </w:r>
      <w:r w:rsidR="003D6F4A" w:rsidRPr="003D6F4A">
        <w:rPr>
          <w:i/>
        </w:rPr>
        <w:t>Purdah</w:t>
      </w:r>
      <w:r w:rsidR="003D6F4A">
        <w:t xml:space="preserve"> is a barrier to women understanding, </w:t>
      </w:r>
      <w:r w:rsidR="00B01E01">
        <w:t>acquiring</w:t>
      </w:r>
      <w:r w:rsidR="003D6F4A">
        <w:t xml:space="preserve"> and enforcing property rights, </w:t>
      </w:r>
      <w:r w:rsidR="00B01E01">
        <w:t>and makes them vulnerable to exploitation by male family members</w:t>
      </w:r>
      <w:r w:rsidR="003D6F4A">
        <w:t>.</w:t>
      </w:r>
      <w:r w:rsidR="003D6F4A">
        <w:rPr>
          <w:rStyle w:val="FootnoteReference"/>
        </w:rPr>
        <w:footnoteReference w:id="40"/>
      </w:r>
      <w:r w:rsidR="00651349">
        <w:t xml:space="preserve"> </w:t>
      </w:r>
      <w:r w:rsidR="00B01E01">
        <w:t xml:space="preserve">For example, a man </w:t>
      </w:r>
      <w:r w:rsidR="00B01E01" w:rsidRPr="00BD0EA6">
        <w:t xml:space="preserve">may </w:t>
      </w:r>
      <w:r w:rsidR="00B01E01">
        <w:t>register land in his sister's name, while depriving her of any use or benefit of the land. This allow</w:t>
      </w:r>
      <w:r w:rsidR="00805A18">
        <w:t>s</w:t>
      </w:r>
      <w:r w:rsidR="00B01E01">
        <w:t xml:space="preserve"> him to avoid the </w:t>
      </w:r>
      <w:r w:rsidR="00651349">
        <w:t xml:space="preserve">land </w:t>
      </w:r>
      <w:r w:rsidR="00B01E01">
        <w:t>ceiling of 20 acres</w:t>
      </w:r>
      <w:r w:rsidR="00651349">
        <w:t xml:space="preserve">, and is referred to </w:t>
      </w:r>
      <w:proofErr w:type="gramStart"/>
      <w:r w:rsidR="00651349">
        <w:t xml:space="preserve">as </w:t>
      </w:r>
      <w:r w:rsidR="00B01E01">
        <w:t xml:space="preserve"> a</w:t>
      </w:r>
      <w:proofErr w:type="gramEnd"/>
      <w:r w:rsidR="00B01E01">
        <w:t xml:space="preserve"> </w:t>
      </w:r>
      <w:proofErr w:type="spellStart"/>
      <w:r w:rsidR="00B01E01">
        <w:rPr>
          <w:i/>
        </w:rPr>
        <w:t>benami</w:t>
      </w:r>
      <w:proofErr w:type="spellEnd"/>
      <w:r w:rsidR="00B01E01">
        <w:t xml:space="preserve"> transaction.</w:t>
      </w:r>
      <w:r w:rsidR="00805A18">
        <w:rPr>
          <w:rStyle w:val="FootnoteReference"/>
        </w:rPr>
        <w:footnoteReference w:id="41"/>
      </w:r>
    </w:p>
    <w:p w:rsidR="000A735A" w:rsidRPr="00DC4E73" w:rsidRDefault="000A735A" w:rsidP="000A735A">
      <w:pPr>
        <w:pStyle w:val="AllensHeading2"/>
      </w:pPr>
      <w:bookmarkStart w:id="40" w:name="IndigenousGroups"/>
      <w:bookmarkStart w:id="41" w:name="_Toc474154225"/>
      <w:bookmarkStart w:id="42" w:name="_Toc513106751"/>
      <w:bookmarkEnd w:id="40"/>
      <w:r w:rsidRPr="00DC4E73">
        <w:lastRenderedPageBreak/>
        <w:t>Indigenous Groups</w:t>
      </w:r>
      <w:bookmarkEnd w:id="41"/>
      <w:bookmarkEnd w:id="42"/>
    </w:p>
    <w:p w:rsidR="00570738" w:rsidRPr="00570738" w:rsidRDefault="00570738" w:rsidP="00570738">
      <w:pPr>
        <w:pStyle w:val="AllensHeading3"/>
        <w:rPr>
          <w:b/>
        </w:rPr>
      </w:pPr>
      <w:bookmarkStart w:id="43" w:name="_Toc474154226"/>
      <w:r>
        <w:rPr>
          <w:b/>
        </w:rPr>
        <w:t>Is i</w:t>
      </w:r>
      <w:r w:rsidRPr="00570738">
        <w:rPr>
          <w:b/>
        </w:rPr>
        <w:t>ndigenous customary ownership (or custodianship) of land legally recognised?</w:t>
      </w:r>
    </w:p>
    <w:p w:rsidR="00570738" w:rsidRDefault="00FE3778" w:rsidP="000A735A">
      <w:pPr>
        <w:pStyle w:val="NormalIndent"/>
      </w:pPr>
      <w:r>
        <w:t>As ind</w:t>
      </w:r>
      <w:r w:rsidRPr="00BD132D">
        <w:t xml:space="preserve">icated in </w:t>
      </w:r>
      <w:hyperlink w:anchor="CustomaryOwnership23" w:history="1">
        <w:r w:rsidRPr="00BD132D">
          <w:rPr>
            <w:rStyle w:val="Hyperlink"/>
            <w:color w:val="auto"/>
            <w:u w:val="none"/>
          </w:rPr>
          <w:t>section 2.3</w:t>
        </w:r>
        <w:r w:rsidR="00570738" w:rsidRPr="00BD132D">
          <w:rPr>
            <w:rStyle w:val="Hyperlink"/>
            <w:color w:val="auto"/>
            <w:u w:val="none"/>
          </w:rPr>
          <w:t xml:space="preserve"> above</w:t>
        </w:r>
      </w:hyperlink>
      <w:r w:rsidR="00570738" w:rsidRPr="00BD132D">
        <w:t xml:space="preserve">, </w:t>
      </w:r>
      <w:r w:rsidR="00570738" w:rsidRPr="005C72DF">
        <w:t>w</w:t>
      </w:r>
      <w:r w:rsidR="00570738">
        <w:t xml:space="preserve">ith the exception of the CHT Region, customary ownership of </w:t>
      </w:r>
      <w:r w:rsidR="000C4AB3">
        <w:t>land is not legally recognised.</w:t>
      </w:r>
    </w:p>
    <w:p w:rsidR="00570738" w:rsidRPr="00570738" w:rsidRDefault="00570738" w:rsidP="00570738">
      <w:pPr>
        <w:pStyle w:val="AllensHeading3"/>
        <w:rPr>
          <w:b/>
        </w:rPr>
      </w:pPr>
      <w:r w:rsidRPr="00570738">
        <w:rPr>
          <w:b/>
        </w:rPr>
        <w:t>Do</w:t>
      </w:r>
      <w:r>
        <w:rPr>
          <w:b/>
        </w:rPr>
        <w:t>es customary ownership provide i</w:t>
      </w:r>
      <w:r w:rsidRPr="00570738">
        <w:rPr>
          <w:b/>
        </w:rPr>
        <w:t>ndigenous people with a high degree of security of tenure?</w:t>
      </w:r>
    </w:p>
    <w:p w:rsidR="00570738" w:rsidRPr="00570738" w:rsidRDefault="00570738" w:rsidP="00570738">
      <w:pPr>
        <w:pStyle w:val="AllensHeading3"/>
        <w:rPr>
          <w:b/>
        </w:rPr>
      </w:pPr>
      <w:r w:rsidRPr="00570738">
        <w:rPr>
          <w:b/>
        </w:rPr>
        <w:t>If not, what are the barriers to indigenous people owning and/or living on their land?</w:t>
      </w:r>
    </w:p>
    <w:p w:rsidR="00570738" w:rsidRDefault="00570738" w:rsidP="000A735A">
      <w:pPr>
        <w:pStyle w:val="NormalIndent"/>
      </w:pPr>
      <w:r>
        <w:t>Customary ownership of land generally does not provide indigenous people with a high degree of security of tenure. There are significant barriers to indigenous people living on their customary land</w:t>
      </w:r>
      <w:r w:rsidR="00805A18">
        <w:t>, even in the CHT Region where customary law is observed</w:t>
      </w:r>
      <w:r>
        <w:t>.</w:t>
      </w:r>
      <w:r w:rsidR="006611CA">
        <w:t xml:space="preserve"> The following are two examples from the CHT Region.</w:t>
      </w:r>
    </w:p>
    <w:p w:rsidR="006611CA" w:rsidRDefault="006611CA" w:rsidP="006611CA">
      <w:pPr>
        <w:pStyle w:val="Bullet2"/>
      </w:pPr>
      <w:r>
        <w:t>T</w:t>
      </w:r>
      <w:r w:rsidR="000A2BB3">
        <w:t>he migration of Bengali settlers from the plains onto customary land has created significant conflict.</w:t>
      </w:r>
      <w:r w:rsidR="000A2BB3">
        <w:rPr>
          <w:rStyle w:val="FootnoteReference"/>
        </w:rPr>
        <w:footnoteReference w:id="42"/>
      </w:r>
      <w:r w:rsidR="000A2BB3">
        <w:t xml:space="preserve"> Bengali settlers often fail to recognise customary ownership of land, and indigenous groups </w:t>
      </w:r>
      <w:r w:rsidR="000C4AB3">
        <w:t xml:space="preserve">often </w:t>
      </w:r>
      <w:r w:rsidR="000A2BB3">
        <w:t>lack the resources to defend their rights effectively.</w:t>
      </w:r>
      <w:r w:rsidR="000A2BB3">
        <w:rPr>
          <w:rStyle w:val="FootnoteReference"/>
        </w:rPr>
        <w:footnoteReference w:id="43"/>
      </w:r>
    </w:p>
    <w:p w:rsidR="00570738" w:rsidRDefault="006611CA" w:rsidP="006611CA">
      <w:pPr>
        <w:pStyle w:val="Bullet2"/>
      </w:pPr>
      <w:r>
        <w:t>Major infrastructure and commercial projects have caused significant displacement indigenous people. For example, t</w:t>
      </w:r>
      <w:r w:rsidR="00570738">
        <w:t xml:space="preserve">he construction of the </w:t>
      </w:r>
      <w:proofErr w:type="spellStart"/>
      <w:r w:rsidR="00570738">
        <w:t>Kaptai</w:t>
      </w:r>
      <w:proofErr w:type="spellEnd"/>
      <w:r w:rsidR="00570738">
        <w:t xml:space="preserve"> Dam as part of a hydro-electricity project has submerged 40 per cent of all cultivable land </w:t>
      </w:r>
      <w:r w:rsidR="00805A18">
        <w:t xml:space="preserve">in the CHT Region </w:t>
      </w:r>
      <w:r w:rsidR="00570738">
        <w:t>and displace</w:t>
      </w:r>
      <w:r>
        <w:t>d over 85,000 people.</w:t>
      </w:r>
      <w:r>
        <w:rPr>
          <w:rStyle w:val="FootnoteReference"/>
        </w:rPr>
        <w:footnoteReference w:id="44"/>
      </w:r>
    </w:p>
    <w:p w:rsidR="00651412" w:rsidRDefault="00651412" w:rsidP="000A735A">
      <w:pPr>
        <w:pStyle w:val="AllensHeading2"/>
      </w:pPr>
      <w:bookmarkStart w:id="44" w:name="MinorityGroups"/>
      <w:bookmarkStart w:id="45" w:name="_Toc513106752"/>
      <w:bookmarkEnd w:id="44"/>
      <w:r>
        <w:t>Minorit</w:t>
      </w:r>
      <w:r w:rsidR="004807EE">
        <w:t>y Groups</w:t>
      </w:r>
      <w:bookmarkEnd w:id="45"/>
    </w:p>
    <w:p w:rsidR="006611CA" w:rsidRPr="006611CA" w:rsidRDefault="006611CA" w:rsidP="006611CA">
      <w:pPr>
        <w:pStyle w:val="AllensHeading3"/>
        <w:rPr>
          <w:b/>
        </w:rPr>
      </w:pPr>
      <w:r w:rsidRPr="006611CA">
        <w:rPr>
          <w:b/>
        </w:rPr>
        <w:t>Can minority groups (</w:t>
      </w:r>
      <w:proofErr w:type="spellStart"/>
      <w:r w:rsidRPr="006611CA">
        <w:rPr>
          <w:b/>
        </w:rPr>
        <w:t>ie</w:t>
      </w:r>
      <w:proofErr w:type="spellEnd"/>
      <w:r w:rsidRPr="006611CA">
        <w:rPr>
          <w:b/>
        </w:rPr>
        <w:t xml:space="preserve">, ethnic minorities, immigrants, </w:t>
      </w:r>
      <w:proofErr w:type="gramStart"/>
      <w:r w:rsidRPr="006611CA">
        <w:rPr>
          <w:b/>
        </w:rPr>
        <w:t>stateless</w:t>
      </w:r>
      <w:proofErr w:type="gramEnd"/>
      <w:r w:rsidRPr="006611CA">
        <w:rPr>
          <w:b/>
        </w:rPr>
        <w:t xml:space="preserve"> people) legally own and/or rent land and housing?</w:t>
      </w:r>
    </w:p>
    <w:p w:rsidR="006611CA" w:rsidRPr="006611CA" w:rsidRDefault="006611CA" w:rsidP="006611CA">
      <w:pPr>
        <w:pStyle w:val="AllensHeading3"/>
        <w:rPr>
          <w:b/>
        </w:rPr>
      </w:pPr>
      <w:r w:rsidRPr="006611CA">
        <w:rPr>
          <w:b/>
        </w:rPr>
        <w:t>If so, are they subject to special conditions or restrictions?</w:t>
      </w:r>
    </w:p>
    <w:p w:rsidR="008E5D9D" w:rsidRDefault="00805A18" w:rsidP="00651412">
      <w:pPr>
        <w:pStyle w:val="NormalIndent"/>
      </w:pPr>
      <w:r>
        <w:t xml:space="preserve">As stated </w:t>
      </w:r>
      <w:r w:rsidR="00DE4308" w:rsidRPr="005C72DF">
        <w:t>in</w:t>
      </w:r>
      <w:hyperlink w:anchor="Women" w:history="1">
        <w:r w:rsidR="00DE4308" w:rsidRPr="005C72DF">
          <w:rPr>
            <w:rStyle w:val="Hyperlink"/>
            <w:color w:val="auto"/>
            <w:u w:val="none"/>
          </w:rPr>
          <w:t xml:space="preserve"> section 3.1 </w:t>
        </w:r>
        <w:r w:rsidRPr="005C72DF">
          <w:rPr>
            <w:rStyle w:val="Hyperlink"/>
            <w:color w:val="auto"/>
            <w:u w:val="none"/>
          </w:rPr>
          <w:t>above</w:t>
        </w:r>
      </w:hyperlink>
      <w:r w:rsidRPr="005C72DF">
        <w:t>, t</w:t>
      </w:r>
      <w:r w:rsidR="006611CA" w:rsidRPr="005C72DF">
        <w:t>he Constitutio</w:t>
      </w:r>
      <w:r w:rsidR="006611CA">
        <w:t>n provides that all citizens are equal before the law and entitled to t</w:t>
      </w:r>
      <w:r w:rsidR="008E5D9D">
        <w:t>he equal protection of the law.</w:t>
      </w:r>
      <w:r>
        <w:t xml:space="preserve"> </w:t>
      </w:r>
      <w:r w:rsidR="006611CA">
        <w:t xml:space="preserve">Notwithstanding this </w:t>
      </w:r>
      <w:r>
        <w:t xml:space="preserve">Constitutional </w:t>
      </w:r>
      <w:r w:rsidR="006611CA">
        <w:t xml:space="preserve">protection, </w:t>
      </w:r>
      <w:r w:rsidR="00215335">
        <w:t xml:space="preserve">until 2001, Bangladesh's Hindu, Buddhist and Christian populations were often targeted under the </w:t>
      </w:r>
      <w:r w:rsidR="00215335" w:rsidRPr="00215335">
        <w:rPr>
          <w:i/>
        </w:rPr>
        <w:t xml:space="preserve">Vested Property </w:t>
      </w:r>
      <w:r w:rsidR="00215335" w:rsidRPr="00215335">
        <w:t>Act</w:t>
      </w:r>
      <w:r w:rsidR="00215335">
        <w:t>, which permit</w:t>
      </w:r>
      <w:r w:rsidR="00E43139">
        <w:t>ted</w:t>
      </w:r>
      <w:r w:rsidR="00215335">
        <w:t xml:space="preserve"> the Government to confiscate property from any individual it designated an 'enemy </w:t>
      </w:r>
      <w:r w:rsidR="00E43139">
        <w:t>of the State'.</w:t>
      </w:r>
      <w:r w:rsidR="008E5D9D">
        <w:t xml:space="preserve"> The Hindu minority was heavily targeted under the </w:t>
      </w:r>
      <w:r w:rsidR="008E5D9D" w:rsidRPr="008E5D9D">
        <w:rPr>
          <w:i/>
        </w:rPr>
        <w:t>Vested Property Act</w:t>
      </w:r>
      <w:r w:rsidR="008E5D9D">
        <w:t>, with approximately 45 per cent of the Hindu population affected and 2.6 million acres of property confiscated.</w:t>
      </w:r>
      <w:r w:rsidR="008E5D9D">
        <w:rPr>
          <w:rStyle w:val="FootnoteReference"/>
        </w:rPr>
        <w:footnoteReference w:id="45"/>
      </w:r>
    </w:p>
    <w:p w:rsidR="006611CA" w:rsidRDefault="00E43139" w:rsidP="00651412">
      <w:pPr>
        <w:pStyle w:val="NormalIndent"/>
      </w:pPr>
      <w:r>
        <w:t xml:space="preserve">In 2001, the </w:t>
      </w:r>
      <w:r w:rsidRPr="00E43139">
        <w:rPr>
          <w:i/>
        </w:rPr>
        <w:t>Vested Property Act</w:t>
      </w:r>
      <w:r w:rsidR="00215335">
        <w:t xml:space="preserve"> was repealed and replaced with an act providing a process for affected persons to reclaim their land</w:t>
      </w:r>
      <w:r>
        <w:t xml:space="preserve">, the </w:t>
      </w:r>
      <w:r w:rsidRPr="00E43139">
        <w:rPr>
          <w:i/>
        </w:rPr>
        <w:t>Vested Properties Return Act of 2001</w:t>
      </w:r>
      <w:r w:rsidR="00215335">
        <w:t>.</w:t>
      </w:r>
      <w:r w:rsidR="00215335">
        <w:rPr>
          <w:rStyle w:val="FootnoteReference"/>
        </w:rPr>
        <w:footnoteReference w:id="46"/>
      </w:r>
      <w:r>
        <w:t xml:space="preserve"> </w:t>
      </w:r>
      <w:r w:rsidR="00FC6ADE">
        <w:t xml:space="preserve">The latter Act has, however, </w:t>
      </w:r>
      <w:r w:rsidR="000C4AB3">
        <w:t xml:space="preserve">been </w:t>
      </w:r>
      <w:r w:rsidR="00577169">
        <w:t xml:space="preserve">strongly </w:t>
      </w:r>
      <w:r w:rsidR="000C4AB3">
        <w:t xml:space="preserve">criticised for </w:t>
      </w:r>
      <w:r w:rsidR="00577169">
        <w:t xml:space="preserve">inadequately providing for </w:t>
      </w:r>
      <w:r w:rsidR="000C4AB3">
        <w:t>minorities to reclaim confiscated property</w:t>
      </w:r>
      <w:r w:rsidR="00FC6ADE">
        <w:t>.</w:t>
      </w:r>
      <w:r w:rsidR="00FC6ADE">
        <w:rPr>
          <w:rStyle w:val="FootnoteReference"/>
        </w:rPr>
        <w:footnoteReference w:id="47"/>
      </w:r>
      <w:r w:rsidR="008E5D9D">
        <w:t xml:space="preserve"> The legacy of the </w:t>
      </w:r>
      <w:r w:rsidR="008E5D9D" w:rsidRPr="008E5D9D">
        <w:rPr>
          <w:i/>
        </w:rPr>
        <w:t>Vested Property Act</w:t>
      </w:r>
      <w:r w:rsidR="008E5D9D">
        <w:t xml:space="preserve"> is </w:t>
      </w:r>
      <w:r w:rsidR="005619A2">
        <w:t>that large numbers of Bangladeshi citizens belonging to religious minorities, particularly the Hindu minority, have been dispossessed of property.</w:t>
      </w:r>
    </w:p>
    <w:p w:rsidR="000A735A" w:rsidRPr="00DC4E73" w:rsidRDefault="000A735A" w:rsidP="000A735A">
      <w:pPr>
        <w:pStyle w:val="AllensHeading2"/>
      </w:pPr>
      <w:bookmarkStart w:id="46" w:name="LandlessPeopleSquatters"/>
      <w:bookmarkStart w:id="47" w:name="_Toc513106753"/>
      <w:bookmarkEnd w:id="46"/>
      <w:r w:rsidRPr="00DC4E73">
        <w:lastRenderedPageBreak/>
        <w:t>Landless People</w:t>
      </w:r>
      <w:bookmarkEnd w:id="43"/>
      <w:r w:rsidR="004807EE">
        <w:t xml:space="preserve"> and Squatters</w:t>
      </w:r>
      <w:bookmarkEnd w:id="47"/>
    </w:p>
    <w:p w:rsidR="0028708C" w:rsidRPr="0028708C" w:rsidRDefault="0028708C" w:rsidP="0028708C">
      <w:pPr>
        <w:pStyle w:val="AllensHeading3"/>
        <w:rPr>
          <w:b/>
        </w:rPr>
      </w:pPr>
      <w:r w:rsidRPr="0028708C">
        <w:rPr>
          <w:b/>
        </w:rPr>
        <w:t>Do landless people/squatters have rights to land and/or housing (</w:t>
      </w:r>
      <w:proofErr w:type="spellStart"/>
      <w:r w:rsidRPr="0028708C">
        <w:rPr>
          <w:b/>
        </w:rPr>
        <w:t>eg</w:t>
      </w:r>
      <w:proofErr w:type="spellEnd"/>
      <w:r w:rsidRPr="0028708C">
        <w:rPr>
          <w:b/>
        </w:rPr>
        <w:t>, adverse possession)? If so, are those rights respected?</w:t>
      </w:r>
    </w:p>
    <w:p w:rsidR="005529F5" w:rsidRPr="005529F5" w:rsidRDefault="005529F5" w:rsidP="005529F5">
      <w:pPr>
        <w:pStyle w:val="AllensHeading4"/>
        <w:rPr>
          <w:b/>
        </w:rPr>
      </w:pPr>
      <w:r w:rsidRPr="005529F5">
        <w:rPr>
          <w:b/>
        </w:rPr>
        <w:t>Adverse possession</w:t>
      </w:r>
    </w:p>
    <w:p w:rsidR="005529F5" w:rsidRDefault="005529F5" w:rsidP="005529F5">
      <w:pPr>
        <w:pStyle w:val="AllensHeading4"/>
        <w:numPr>
          <w:ilvl w:val="0"/>
          <w:numId w:val="0"/>
        </w:numPr>
        <w:ind w:left="1418"/>
      </w:pPr>
      <w:r>
        <w:t xml:space="preserve">The principle of adverse possession does exist under Bangladeshi law. </w:t>
      </w:r>
      <w:r w:rsidR="009950DF">
        <w:t>A squatter will acquire rights to land if the rightful owner does not bring proceedings to evict them within 12 years of the date on which they began squatting on the land.</w:t>
      </w:r>
      <w:r w:rsidR="009950DF">
        <w:rPr>
          <w:rStyle w:val="FootnoteReference"/>
        </w:rPr>
        <w:footnoteReference w:id="48"/>
      </w:r>
      <w:r w:rsidR="009950DF">
        <w:t xml:space="preserve"> In practice, however, squatters may not have sufficient resources to successfully invoke this legal principle.</w:t>
      </w:r>
    </w:p>
    <w:p w:rsidR="005529F5" w:rsidRPr="005529F5" w:rsidRDefault="005529F5" w:rsidP="005529F5">
      <w:pPr>
        <w:pStyle w:val="AllensHeading4"/>
        <w:rPr>
          <w:b/>
        </w:rPr>
      </w:pPr>
      <w:r w:rsidRPr="005529F5">
        <w:rPr>
          <w:b/>
        </w:rPr>
        <w:t xml:space="preserve">Distribution of </w:t>
      </w:r>
      <w:proofErr w:type="spellStart"/>
      <w:r w:rsidRPr="005529F5">
        <w:rPr>
          <w:b/>
        </w:rPr>
        <w:t>khas</w:t>
      </w:r>
      <w:proofErr w:type="spellEnd"/>
      <w:r w:rsidRPr="005529F5">
        <w:rPr>
          <w:b/>
        </w:rPr>
        <w:t xml:space="preserve"> to the landless</w:t>
      </w:r>
    </w:p>
    <w:p w:rsidR="00A96F8B" w:rsidRDefault="00A96F8B" w:rsidP="005529F5">
      <w:pPr>
        <w:pStyle w:val="NormalIndent"/>
        <w:ind w:left="1418"/>
      </w:pPr>
      <w:r>
        <w:t>Bangladeshi law provides for a land ceiling of 20 acres of agricultural land per person, and for the distribution of Government land (</w:t>
      </w:r>
      <w:proofErr w:type="spellStart"/>
      <w:r w:rsidRPr="00A96F8B">
        <w:rPr>
          <w:i/>
        </w:rPr>
        <w:t>khas</w:t>
      </w:r>
      <w:proofErr w:type="spellEnd"/>
      <w:r>
        <w:t>) to the landless. Government land includes land formerly held by private individuals which exceeded the land ceiling.</w:t>
      </w:r>
    </w:p>
    <w:p w:rsidR="00A96F8B" w:rsidRDefault="0070297E" w:rsidP="005529F5">
      <w:pPr>
        <w:pStyle w:val="NormalIndent"/>
        <w:ind w:left="1418"/>
      </w:pPr>
      <w:r>
        <w:t xml:space="preserve">There are several barriers to the landless obtaining permanent leases of </w:t>
      </w:r>
      <w:proofErr w:type="spellStart"/>
      <w:r w:rsidRPr="00C94510">
        <w:rPr>
          <w:i/>
        </w:rPr>
        <w:t>khas</w:t>
      </w:r>
      <w:proofErr w:type="spellEnd"/>
      <w:r>
        <w:t xml:space="preserve"> (</w:t>
      </w:r>
      <w:proofErr w:type="spellStart"/>
      <w:r>
        <w:t>ie</w:t>
      </w:r>
      <w:proofErr w:type="spellEnd"/>
      <w:r>
        <w:t>, 99-year leases), including that the application process is lengthy and complex, and corruption within the Ministry of Lands means that bribes may be required for an application to be successful.</w:t>
      </w:r>
      <w:r>
        <w:rPr>
          <w:rStyle w:val="FootnoteReference"/>
        </w:rPr>
        <w:footnoteReference w:id="49"/>
      </w:r>
    </w:p>
    <w:p w:rsidR="004D4D22" w:rsidRDefault="00C94510" w:rsidP="005529F5">
      <w:pPr>
        <w:pStyle w:val="NormalIndent"/>
        <w:ind w:left="1418"/>
      </w:pPr>
      <w:r>
        <w:t>N</w:t>
      </w:r>
      <w:r w:rsidR="0070297E" w:rsidRPr="0070297E">
        <w:t xml:space="preserve">otwithstanding </w:t>
      </w:r>
      <w:r w:rsidR="0070297E">
        <w:t>the</w:t>
      </w:r>
      <w:r w:rsidR="0070297E" w:rsidRPr="0070297E">
        <w:t xml:space="preserve"> formal system for redistributing land, land distribution is extremely inequitable. </w:t>
      </w:r>
      <w:r w:rsidR="009772B3">
        <w:t>Approximately 52 per cent of the rural population (which accounts for almost 75 per cent of the nation's population) is landless or nearly landless (</w:t>
      </w:r>
      <w:proofErr w:type="spellStart"/>
      <w:r w:rsidR="009772B3">
        <w:t>ie</w:t>
      </w:r>
      <w:proofErr w:type="spellEnd"/>
      <w:r w:rsidR="009772B3">
        <w:t xml:space="preserve">, holding a </w:t>
      </w:r>
      <w:r>
        <w:t>negligible</w:t>
      </w:r>
      <w:r w:rsidR="009772B3">
        <w:t xml:space="preserve"> amount of land).</w:t>
      </w:r>
    </w:p>
    <w:p w:rsidR="00063269" w:rsidRPr="005008CF" w:rsidRDefault="00063269" w:rsidP="00063269">
      <w:pPr>
        <w:pStyle w:val="AllensHeading1"/>
      </w:pPr>
      <w:bookmarkStart w:id="48" w:name="EvictionExpropriationRelocation"/>
      <w:bookmarkStart w:id="49" w:name="_Toc513106754"/>
      <w:bookmarkEnd w:id="48"/>
      <w:r w:rsidRPr="005008CF">
        <w:t>Eviction, Expropriation and Relocation</w:t>
      </w:r>
      <w:bookmarkEnd w:id="49"/>
    </w:p>
    <w:p w:rsidR="00396F56" w:rsidRDefault="00396F56" w:rsidP="00396F56">
      <w:pPr>
        <w:pStyle w:val="AllensHeading2"/>
      </w:pPr>
      <w:bookmarkStart w:id="50" w:name="Eviction"/>
      <w:bookmarkStart w:id="51" w:name="_Toc513106755"/>
      <w:bookmarkStart w:id="52" w:name="_Ref468808235"/>
      <w:bookmarkEnd w:id="50"/>
      <w:r w:rsidRPr="005008CF">
        <w:t>Eviction</w:t>
      </w:r>
      <w:bookmarkEnd w:id="51"/>
    </w:p>
    <w:p w:rsidR="00814D45" w:rsidRDefault="00814D45" w:rsidP="00814D45">
      <w:pPr>
        <w:pStyle w:val="AllensHeading3"/>
        <w:rPr>
          <w:rFonts w:eastAsiaTheme="minorHAnsi"/>
          <w:b/>
          <w:lang w:val="en-US" w:eastAsia="en-US"/>
        </w:rPr>
      </w:pPr>
      <w:r w:rsidRPr="007656C0">
        <w:rPr>
          <w:rFonts w:eastAsiaTheme="minorHAnsi"/>
          <w:b/>
          <w:lang w:val="en-US" w:eastAsia="en-US"/>
        </w:rPr>
        <w:t>Are there laws or regulations prohibiting forced evictions?</w:t>
      </w:r>
    </w:p>
    <w:p w:rsidR="00814D45" w:rsidRPr="00814D45" w:rsidRDefault="00814D45" w:rsidP="00814D45">
      <w:pPr>
        <w:pStyle w:val="AllensHeading3"/>
        <w:rPr>
          <w:rFonts w:eastAsiaTheme="minorHAnsi"/>
          <w:b/>
          <w:lang w:val="en-US" w:eastAsia="en-US"/>
        </w:rPr>
      </w:pPr>
      <w:r>
        <w:rPr>
          <w:rFonts w:eastAsiaTheme="minorHAnsi"/>
          <w:b/>
          <w:lang w:val="en-US" w:eastAsia="en-US"/>
        </w:rPr>
        <w:t>In practice, are those laws adhered to?</w:t>
      </w:r>
    </w:p>
    <w:p w:rsidR="00422CE7" w:rsidRDefault="00422CE7" w:rsidP="00422CE7">
      <w:pPr>
        <w:pStyle w:val="NormalIndent"/>
      </w:pPr>
      <w:r>
        <w:t>Forced evictions of squatters occur throughout Bangladesh. The 2005 Slum Mapping Study found that, of the 9,048 slums surveyed, 6.5 per cent had experienced one or more evictions in their present location, or were currently under threat from eviction.</w:t>
      </w:r>
    </w:p>
    <w:p w:rsidR="00422CE7" w:rsidRDefault="00422CE7" w:rsidP="00422CE7">
      <w:pPr>
        <w:pStyle w:val="NormalIndent"/>
      </w:pPr>
      <w:r>
        <w:t>The Study found, however, that evictions are not very common in slums located on private land and run on a commercial basis (</w:t>
      </w:r>
      <w:proofErr w:type="spellStart"/>
      <w:r>
        <w:t>ie</w:t>
      </w:r>
      <w:proofErr w:type="spellEnd"/>
      <w:r>
        <w:t>, where the residents pay rent to a private landowner for beds, rooms or housing).</w:t>
      </w:r>
      <w:r>
        <w:rPr>
          <w:rStyle w:val="FootnoteReference"/>
        </w:rPr>
        <w:footnoteReference w:id="50"/>
      </w:r>
      <w:r>
        <w:t xml:space="preserve"> Evictions are a greater threat to slums located on public land.</w:t>
      </w:r>
    </w:p>
    <w:p w:rsidR="00422CE7" w:rsidRDefault="00422CE7" w:rsidP="00422CE7">
      <w:pPr>
        <w:pStyle w:val="NormalIndent"/>
      </w:pPr>
      <w:r>
        <w:t>The Government is entitled to evict persons squatting on its land, provided that it gives such persons 30 days' notice.</w:t>
      </w:r>
      <w:r>
        <w:rPr>
          <w:rStyle w:val="FootnoteReference"/>
        </w:rPr>
        <w:footnoteReference w:id="51"/>
      </w:r>
      <w:r>
        <w:t xml:space="preserve"> This notice period may be reduced to </w:t>
      </w:r>
      <w:r w:rsidR="00C94510">
        <w:t>7</w:t>
      </w:r>
      <w:r>
        <w:t xml:space="preserve"> days if the Government is satisfied that the full 30-day notice period would not be in the public interest.</w:t>
      </w:r>
      <w:r>
        <w:rPr>
          <w:rStyle w:val="FootnoteReference"/>
        </w:rPr>
        <w:footnoteReference w:id="52"/>
      </w:r>
      <w:r>
        <w:t xml:space="preserve"> There is anecdotal evidence that, in practice, this notice requirement is not always complied with.</w:t>
      </w:r>
      <w:r>
        <w:rPr>
          <w:rStyle w:val="FootnoteReference"/>
        </w:rPr>
        <w:footnoteReference w:id="53"/>
      </w:r>
    </w:p>
    <w:p w:rsidR="00422CE7" w:rsidRDefault="00422CE7" w:rsidP="00422CE7">
      <w:pPr>
        <w:pStyle w:val="NormalIndent"/>
      </w:pPr>
      <w:r>
        <w:lastRenderedPageBreak/>
        <w:t xml:space="preserve">The High Court of Bangladesh has </w:t>
      </w:r>
      <w:r w:rsidR="00C94510">
        <w:t>delivered</w:t>
      </w:r>
      <w:r>
        <w:t xml:space="preserve"> several important judgments in relation to the rights of slum dwellers in relation to forced eviction. These </w:t>
      </w:r>
      <w:r w:rsidR="00C94510">
        <w:t>judgments</w:t>
      </w:r>
      <w:r>
        <w:t xml:space="preserve"> establish that forced eviction without alternative housing or resettlement plans is unlawful.</w:t>
      </w:r>
      <w:r>
        <w:rPr>
          <w:rStyle w:val="FootnoteReference"/>
        </w:rPr>
        <w:footnoteReference w:id="54"/>
      </w:r>
      <w:r>
        <w:t xml:space="preserve"> In practice, successive Governments have failed to adhere to the High Court's rulings by carrying out evictions without providing alternative housing to evictees, or by failing to properly implement resettlement plans.</w:t>
      </w:r>
      <w:r>
        <w:rPr>
          <w:rStyle w:val="FootnoteReference"/>
        </w:rPr>
        <w:footnoteReference w:id="55"/>
      </w:r>
    </w:p>
    <w:p w:rsidR="00063269" w:rsidRPr="005008CF" w:rsidRDefault="00396F56" w:rsidP="00063269">
      <w:pPr>
        <w:pStyle w:val="AllensHeading2"/>
      </w:pPr>
      <w:bookmarkStart w:id="53" w:name="Expropriation"/>
      <w:bookmarkStart w:id="54" w:name="_Toc513106756"/>
      <w:bookmarkEnd w:id="53"/>
      <w:r>
        <w:t>Expropriation</w:t>
      </w:r>
      <w:bookmarkEnd w:id="52"/>
      <w:bookmarkEnd w:id="54"/>
    </w:p>
    <w:p w:rsidR="00814D45" w:rsidRPr="00D04A50" w:rsidRDefault="00814D45" w:rsidP="00814D45">
      <w:pPr>
        <w:pStyle w:val="AllensHeading3"/>
        <w:rPr>
          <w:b/>
        </w:rPr>
      </w:pPr>
      <w:r>
        <w:rPr>
          <w:b/>
        </w:rPr>
        <w:t>Are there laws or regulations permitting the government to expropriate land?</w:t>
      </w:r>
    </w:p>
    <w:p w:rsidR="00814D45" w:rsidRDefault="00814D45" w:rsidP="00814D45">
      <w:pPr>
        <w:ind w:left="709"/>
        <w:jc w:val="both"/>
      </w:pPr>
      <w:r w:rsidRPr="005008CF">
        <w:t xml:space="preserve">Article 42 of the Constitution permits the Government to expropriate the land if </w:t>
      </w:r>
      <w:r>
        <w:t xml:space="preserve">permitted by a law and if </w:t>
      </w:r>
      <w:r w:rsidRPr="005008CF">
        <w:t>due compensation is paid to the registered owner. Given the high rates of unregistered landholdings, land is often seized without compensation.</w:t>
      </w:r>
      <w:r>
        <w:rPr>
          <w:rStyle w:val="FootnoteReference"/>
        </w:rPr>
        <w:footnoteReference w:id="56"/>
      </w:r>
    </w:p>
    <w:p w:rsidR="00C94510" w:rsidRDefault="00814D45" w:rsidP="00814D45">
      <w:pPr>
        <w:ind w:left="709"/>
        <w:jc w:val="both"/>
      </w:pPr>
      <w:r w:rsidRPr="00DA079F">
        <w:t xml:space="preserve">The main instrument for the compulsory acquisition of land for public purposes is the </w:t>
      </w:r>
      <w:r w:rsidRPr="00DA079F">
        <w:rPr>
          <w:i/>
        </w:rPr>
        <w:t xml:space="preserve">Land Acquisition and Requisition Act </w:t>
      </w:r>
      <w:r w:rsidR="00C94510">
        <w:rPr>
          <w:i/>
        </w:rPr>
        <w:t>of Immovable Property Ordinance of</w:t>
      </w:r>
      <w:r w:rsidRPr="00DA079F">
        <w:rPr>
          <w:i/>
        </w:rPr>
        <w:t xml:space="preserve"> 1982. </w:t>
      </w:r>
      <w:r w:rsidR="00C94510">
        <w:t>The G</w:t>
      </w:r>
      <w:r>
        <w:t xml:space="preserve">overnment </w:t>
      </w:r>
      <w:proofErr w:type="gramStart"/>
      <w:r>
        <w:t>may  acquire</w:t>
      </w:r>
      <w:proofErr w:type="gramEnd"/>
      <w:r>
        <w:t xml:space="preserve"> property that 'is needed or likely to be need</w:t>
      </w:r>
      <w:r w:rsidR="00C94510">
        <w:t>ed</w:t>
      </w:r>
      <w:r>
        <w:t xml:space="preserve"> for any public purpose or the public interest'.</w:t>
      </w:r>
      <w:r>
        <w:rPr>
          <w:rStyle w:val="FootnoteReference"/>
        </w:rPr>
        <w:footnoteReference w:id="57"/>
      </w:r>
      <w:r>
        <w:t xml:space="preserve"> Property used for religious or burial or cremation purposes may not be acquired.</w:t>
      </w:r>
      <w:r>
        <w:rPr>
          <w:rStyle w:val="FootnoteReference"/>
        </w:rPr>
        <w:footnoteReference w:id="58"/>
      </w:r>
    </w:p>
    <w:p w:rsidR="00814D45" w:rsidRDefault="00814D45" w:rsidP="00814D45">
      <w:pPr>
        <w:ind w:left="709"/>
        <w:jc w:val="both"/>
      </w:pPr>
      <w:r>
        <w:t xml:space="preserve">The </w:t>
      </w:r>
      <w:r w:rsidR="00C94510">
        <w:t>O</w:t>
      </w:r>
      <w:r>
        <w:t xml:space="preserve">rdinance sets out a process for publishing notices of land to be acquired, accepting objections to this acquisition over the </w:t>
      </w:r>
      <w:r w:rsidR="00C94510">
        <w:t>following</w:t>
      </w:r>
      <w:r>
        <w:t xml:space="preserve"> 15 days, considering objections to the acquisition, the making of reports, and a final decision on the acquisition by the Government or Deputy Commissioner. Where a decision is made by the Government or Deputy Commissioner in relation to the acquisition of land, that decision is conclusive evidence that the property is needed for a public purpose or in the public interest.</w:t>
      </w:r>
      <w:r>
        <w:rPr>
          <w:rStyle w:val="FootnoteReference"/>
        </w:rPr>
        <w:footnoteReference w:id="59"/>
      </w:r>
    </w:p>
    <w:p w:rsidR="00C94510" w:rsidRDefault="00814D45" w:rsidP="00814D45">
      <w:pPr>
        <w:ind w:left="709"/>
        <w:jc w:val="both"/>
      </w:pPr>
      <w:r>
        <w:t xml:space="preserve">The </w:t>
      </w:r>
      <w:r w:rsidR="00C94510">
        <w:t>G</w:t>
      </w:r>
      <w:r w:rsidRPr="00DA079F">
        <w:t xml:space="preserve">overnment </w:t>
      </w:r>
      <w:r>
        <w:t xml:space="preserve">is required </w:t>
      </w:r>
      <w:r w:rsidRPr="00DA079F">
        <w:t xml:space="preserve">to pay </w:t>
      </w:r>
      <w:r>
        <w:t xml:space="preserve">'market value' </w:t>
      </w:r>
      <w:r w:rsidRPr="00DA079F">
        <w:t>compensation for acquired land</w:t>
      </w:r>
      <w:r>
        <w:t xml:space="preserve"> and take a range of factors into </w:t>
      </w:r>
      <w:r w:rsidRPr="009E305A">
        <w:t>consideration.</w:t>
      </w:r>
      <w:r w:rsidRPr="009E305A">
        <w:rPr>
          <w:rStyle w:val="FootnoteReference"/>
        </w:rPr>
        <w:footnoteReference w:id="60"/>
      </w:r>
      <w:r w:rsidRPr="009E305A">
        <w:t xml:space="preserve"> However, compensation is only paid to persons listed as the owners in the land administration records.</w:t>
      </w:r>
      <w:r w:rsidRPr="009E305A">
        <w:rPr>
          <w:rStyle w:val="FootnoteReference"/>
        </w:rPr>
        <w:footnoteReference w:id="61"/>
      </w:r>
      <w:r w:rsidRPr="009E305A">
        <w:t xml:space="preserve"> Further, while compensation is supposed to be at 'market value', the legal assessment processes are reported to almost alw</w:t>
      </w:r>
      <w:r>
        <w:t>ays result in much lower prices and do not compensate for loss of income from land.</w:t>
      </w:r>
      <w:r w:rsidRPr="009E305A">
        <w:rPr>
          <w:rStyle w:val="FootnoteReference"/>
        </w:rPr>
        <w:footnoteReference w:id="62"/>
      </w:r>
    </w:p>
    <w:p w:rsidR="00814D45" w:rsidRDefault="00814D45" w:rsidP="00814D45">
      <w:pPr>
        <w:ind w:left="709"/>
        <w:jc w:val="both"/>
      </w:pPr>
      <w:r w:rsidRPr="009E305A">
        <w:t>Finally, there are concerns that promised payments as a result of these seizures rarely eventuate.</w:t>
      </w:r>
      <w:r w:rsidRPr="009E305A">
        <w:rPr>
          <w:rStyle w:val="FootnoteReference"/>
        </w:rPr>
        <w:footnoteReference w:id="63"/>
      </w:r>
      <w:r>
        <w:t xml:space="preserve"> The Government's title in </w:t>
      </w:r>
      <w:r w:rsidRPr="00D04A50">
        <w:t xml:space="preserve">the property vests upon the payment, or deemed payment, </w:t>
      </w:r>
      <w:r w:rsidRPr="00D04A50">
        <w:lastRenderedPageBreak/>
        <w:t>of the relevant compensation.</w:t>
      </w:r>
      <w:r w:rsidRPr="00D04A50">
        <w:rPr>
          <w:rStyle w:val="FootnoteReference"/>
        </w:rPr>
        <w:footnoteReference w:id="64"/>
      </w:r>
      <w:r w:rsidR="00C94510">
        <w:t xml:space="preserve"> </w:t>
      </w:r>
      <w:r w:rsidRPr="00D04A50">
        <w:t>There is also no resettlement policy or law to assist people who are affected by land acquisition processes.</w:t>
      </w:r>
      <w:r w:rsidRPr="00D04A50">
        <w:rPr>
          <w:rStyle w:val="FootnoteReference"/>
        </w:rPr>
        <w:footnoteReference w:id="65"/>
      </w:r>
    </w:p>
    <w:p w:rsidR="00814D45" w:rsidRPr="006B7B3B" w:rsidRDefault="00814D45" w:rsidP="00814D45">
      <w:pPr>
        <w:pStyle w:val="AllensHeading3"/>
        <w:rPr>
          <w:b/>
        </w:rPr>
      </w:pPr>
      <w:r w:rsidRPr="006B7B3B">
        <w:rPr>
          <w:b/>
        </w:rPr>
        <w:t>If so, are those laws or regulations applicable in the context of a disaster?</w:t>
      </w:r>
    </w:p>
    <w:p w:rsidR="00814D45" w:rsidRDefault="00814D45" w:rsidP="00814D45">
      <w:pPr>
        <w:ind w:left="709"/>
        <w:jc w:val="both"/>
      </w:pPr>
      <w:r>
        <w:t xml:space="preserve">Given the notice provisions, decision making process and the number of objections that can be raised, the </w:t>
      </w:r>
      <w:r w:rsidRPr="00DA079F">
        <w:rPr>
          <w:i/>
        </w:rPr>
        <w:t>Land Acquisition and Requisition Act o</w:t>
      </w:r>
      <w:r w:rsidR="00C94510">
        <w:rPr>
          <w:i/>
        </w:rPr>
        <w:t xml:space="preserve">f Immovable Property Ordinance of </w:t>
      </w:r>
      <w:r w:rsidRPr="00DA079F">
        <w:rPr>
          <w:i/>
        </w:rPr>
        <w:t>1982</w:t>
      </w:r>
      <w:r>
        <w:t xml:space="preserve"> appears unsuited to imme</w:t>
      </w:r>
      <w:r w:rsidR="00C94510">
        <w:t>diate use following a disaster.</w:t>
      </w:r>
    </w:p>
    <w:p w:rsidR="00964B16" w:rsidRDefault="00964B16">
      <w:pPr>
        <w:spacing w:before="0" w:after="200" w:line="276" w:lineRule="auto"/>
      </w:pPr>
      <w:r>
        <w:br w:type="page"/>
      </w:r>
    </w:p>
    <w:p w:rsidR="00964B16" w:rsidRDefault="00964B16" w:rsidP="00964B16">
      <w:pPr>
        <w:pStyle w:val="GeneralHeading1"/>
      </w:pPr>
      <w:r>
        <w:lastRenderedPageBreak/>
        <w:t>Schedule 1</w:t>
      </w:r>
    </w:p>
    <w:p w:rsidR="00390461" w:rsidRPr="00390461" w:rsidRDefault="00390461" w:rsidP="00390461">
      <w:r w:rsidRPr="00F77795">
        <w:rPr>
          <w:b/>
        </w:rPr>
        <w:t>Source:</w:t>
      </w:r>
      <w:r>
        <w:t xml:space="preserve"> </w:t>
      </w:r>
      <w:proofErr w:type="spellStart"/>
      <w:r w:rsidRPr="00390461">
        <w:t>Nazrul</w:t>
      </w:r>
      <w:proofErr w:type="spellEnd"/>
      <w:r w:rsidRPr="00390461">
        <w:t xml:space="preserve"> Islam et al, </w:t>
      </w:r>
      <w:r w:rsidR="00F77795">
        <w:t>above n 7</w:t>
      </w:r>
      <w:r>
        <w:t xml:space="preserve">, </w:t>
      </w:r>
      <w:r w:rsidR="00F77795">
        <w:t>23</w:t>
      </w:r>
    </w:p>
    <w:p w:rsidR="00E51837" w:rsidRDefault="00E51837" w:rsidP="00964B16">
      <w:pPr>
        <w:spacing w:before="0" w:after="200" w:line="276" w:lineRule="auto"/>
      </w:pPr>
      <w:r>
        <w:rPr>
          <w:noProof/>
          <w:lang w:val="es-EC" w:eastAsia="es-EC"/>
        </w:rPr>
        <w:drawing>
          <wp:inline distT="0" distB="0" distL="0" distR="0" wp14:anchorId="4BB5FEC9" wp14:editId="29B9BE78">
            <wp:extent cx="562165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21655" cy="8229600"/>
                    </a:xfrm>
                    <a:prstGeom prst="rect">
                      <a:avLst/>
                    </a:prstGeom>
                  </pic:spPr>
                </pic:pic>
              </a:graphicData>
            </a:graphic>
          </wp:inline>
        </w:drawing>
      </w:r>
    </w:p>
    <w:p w:rsidR="00F77795" w:rsidRPr="00390461" w:rsidRDefault="00F77795" w:rsidP="00F77795">
      <w:r w:rsidRPr="00F77795">
        <w:rPr>
          <w:b/>
        </w:rPr>
        <w:lastRenderedPageBreak/>
        <w:t>Source:</w:t>
      </w:r>
      <w:r>
        <w:t xml:space="preserve"> </w:t>
      </w:r>
      <w:proofErr w:type="spellStart"/>
      <w:r w:rsidRPr="00390461">
        <w:t>Nazrul</w:t>
      </w:r>
      <w:proofErr w:type="spellEnd"/>
      <w:r w:rsidRPr="00390461">
        <w:t xml:space="preserve"> Islam et al, </w:t>
      </w:r>
      <w:r>
        <w:t>above n 7, 25</w:t>
      </w:r>
    </w:p>
    <w:p w:rsidR="00964B16" w:rsidRDefault="00E51837" w:rsidP="00964B16">
      <w:pPr>
        <w:spacing w:before="0" w:after="200" w:line="276" w:lineRule="auto"/>
      </w:pPr>
      <w:r>
        <w:rPr>
          <w:noProof/>
          <w:lang w:val="es-EC" w:eastAsia="es-EC"/>
        </w:rPr>
        <w:drawing>
          <wp:inline distT="0" distB="0" distL="0" distR="0" wp14:anchorId="47A3A870" wp14:editId="42FC8B4C">
            <wp:extent cx="5506299" cy="805617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06299" cy="8056179"/>
                    </a:xfrm>
                    <a:prstGeom prst="rect">
                      <a:avLst/>
                    </a:prstGeom>
                  </pic:spPr>
                </pic:pic>
              </a:graphicData>
            </a:graphic>
          </wp:inline>
        </w:drawing>
      </w:r>
    </w:p>
    <w:p w:rsidR="00774A55" w:rsidRDefault="00774A55">
      <w:pPr>
        <w:spacing w:before="0" w:after="200" w:line="276" w:lineRule="auto"/>
      </w:pPr>
    </w:p>
    <w:p w:rsidR="00F77795" w:rsidRPr="00390461" w:rsidRDefault="00F77795" w:rsidP="00F77795">
      <w:r w:rsidRPr="00F77795">
        <w:rPr>
          <w:b/>
        </w:rPr>
        <w:lastRenderedPageBreak/>
        <w:t>Source:</w:t>
      </w:r>
      <w:r>
        <w:t xml:space="preserve"> </w:t>
      </w:r>
      <w:proofErr w:type="spellStart"/>
      <w:r w:rsidRPr="00390461">
        <w:t>Nazrul</w:t>
      </w:r>
      <w:proofErr w:type="spellEnd"/>
      <w:r w:rsidRPr="00390461">
        <w:t xml:space="preserve"> Islam et al, </w:t>
      </w:r>
      <w:r>
        <w:t>above n 7, 27</w:t>
      </w:r>
    </w:p>
    <w:p w:rsidR="00774A55" w:rsidRDefault="00774A55" w:rsidP="00964B16">
      <w:pPr>
        <w:spacing w:before="0" w:after="200" w:line="276" w:lineRule="auto"/>
      </w:pPr>
      <w:r>
        <w:rPr>
          <w:noProof/>
          <w:lang w:val="es-EC" w:eastAsia="es-EC"/>
        </w:rPr>
        <w:drawing>
          <wp:inline distT="0" distB="0" distL="0" distR="0" wp14:anchorId="279A0A84" wp14:editId="12DE2FD7">
            <wp:extent cx="558990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89905" cy="8229600"/>
                    </a:xfrm>
                    <a:prstGeom prst="rect">
                      <a:avLst/>
                    </a:prstGeom>
                  </pic:spPr>
                </pic:pic>
              </a:graphicData>
            </a:graphic>
          </wp:inline>
        </w:drawing>
      </w:r>
    </w:p>
    <w:p w:rsidR="00F77795" w:rsidRDefault="00F77795">
      <w:pPr>
        <w:spacing w:before="0" w:after="200" w:line="276" w:lineRule="auto"/>
      </w:pPr>
    </w:p>
    <w:p w:rsidR="00F77795" w:rsidRPr="00390461" w:rsidRDefault="00F77795" w:rsidP="00F77795">
      <w:r w:rsidRPr="00F77795">
        <w:rPr>
          <w:b/>
        </w:rPr>
        <w:lastRenderedPageBreak/>
        <w:t>Source:</w:t>
      </w:r>
      <w:r>
        <w:t xml:space="preserve"> </w:t>
      </w:r>
      <w:proofErr w:type="spellStart"/>
      <w:r w:rsidRPr="00390461">
        <w:t>Nazrul</w:t>
      </w:r>
      <w:proofErr w:type="spellEnd"/>
      <w:r w:rsidRPr="00390461">
        <w:t xml:space="preserve"> Islam et al, </w:t>
      </w:r>
      <w:r>
        <w:t>above n 7, 29</w:t>
      </w:r>
    </w:p>
    <w:p w:rsidR="00774A55" w:rsidRDefault="00774A55" w:rsidP="00964B16">
      <w:pPr>
        <w:spacing w:before="0" w:after="200" w:line="276" w:lineRule="auto"/>
      </w:pPr>
      <w:r>
        <w:rPr>
          <w:noProof/>
          <w:lang w:val="es-EC" w:eastAsia="es-EC"/>
        </w:rPr>
        <w:drawing>
          <wp:inline distT="0" distB="0" distL="0" distR="0" wp14:anchorId="37D863C6" wp14:editId="67DF61F3">
            <wp:extent cx="5591175" cy="8229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91175" cy="8229600"/>
                    </a:xfrm>
                    <a:prstGeom prst="rect">
                      <a:avLst/>
                    </a:prstGeom>
                  </pic:spPr>
                </pic:pic>
              </a:graphicData>
            </a:graphic>
          </wp:inline>
        </w:drawing>
      </w:r>
    </w:p>
    <w:p w:rsidR="00F77795" w:rsidRDefault="00F77795">
      <w:pPr>
        <w:spacing w:before="0" w:after="200" w:line="276" w:lineRule="auto"/>
      </w:pPr>
    </w:p>
    <w:p w:rsidR="00F77795" w:rsidRPr="00390461" w:rsidRDefault="00F77795" w:rsidP="00F77795">
      <w:r w:rsidRPr="00F77795">
        <w:rPr>
          <w:b/>
        </w:rPr>
        <w:lastRenderedPageBreak/>
        <w:t>Source:</w:t>
      </w:r>
      <w:r>
        <w:t xml:space="preserve"> </w:t>
      </w:r>
      <w:proofErr w:type="spellStart"/>
      <w:r w:rsidRPr="00390461">
        <w:t>Nazrul</w:t>
      </w:r>
      <w:proofErr w:type="spellEnd"/>
      <w:r w:rsidRPr="00390461">
        <w:t xml:space="preserve"> Islam et al, </w:t>
      </w:r>
      <w:r>
        <w:t>above n 7, 31</w:t>
      </w:r>
    </w:p>
    <w:p w:rsidR="00774A55" w:rsidRDefault="00774A55" w:rsidP="00964B16">
      <w:pPr>
        <w:spacing w:before="0" w:after="200" w:line="276" w:lineRule="auto"/>
      </w:pPr>
      <w:r>
        <w:rPr>
          <w:noProof/>
          <w:lang w:val="es-EC" w:eastAsia="es-EC"/>
        </w:rPr>
        <w:drawing>
          <wp:inline distT="0" distB="0" distL="0" distR="0" wp14:anchorId="26C517D9" wp14:editId="7249EA8A">
            <wp:extent cx="5593715" cy="82296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93715" cy="8229600"/>
                    </a:xfrm>
                    <a:prstGeom prst="rect">
                      <a:avLst/>
                    </a:prstGeom>
                  </pic:spPr>
                </pic:pic>
              </a:graphicData>
            </a:graphic>
          </wp:inline>
        </w:drawing>
      </w:r>
    </w:p>
    <w:p w:rsidR="00F77795" w:rsidRDefault="00F77795">
      <w:pPr>
        <w:spacing w:before="0" w:after="200" w:line="276" w:lineRule="auto"/>
      </w:pPr>
      <w:r>
        <w:br w:type="page"/>
      </w:r>
    </w:p>
    <w:p w:rsidR="00F77795" w:rsidRPr="00390461" w:rsidRDefault="00F77795" w:rsidP="00F77795">
      <w:r w:rsidRPr="00F77795">
        <w:rPr>
          <w:b/>
        </w:rPr>
        <w:lastRenderedPageBreak/>
        <w:t>Source:</w:t>
      </w:r>
      <w:r>
        <w:t xml:space="preserve"> </w:t>
      </w:r>
      <w:proofErr w:type="spellStart"/>
      <w:r w:rsidRPr="00390461">
        <w:t>Nazrul</w:t>
      </w:r>
      <w:proofErr w:type="spellEnd"/>
      <w:r w:rsidRPr="00390461">
        <w:t xml:space="preserve"> Islam et al, </w:t>
      </w:r>
      <w:r>
        <w:t>above n 7, 33</w:t>
      </w:r>
    </w:p>
    <w:p w:rsidR="00774A55" w:rsidRPr="00964B16" w:rsidRDefault="00774A55" w:rsidP="00964B16">
      <w:pPr>
        <w:spacing w:before="0" w:after="200" w:line="276" w:lineRule="auto"/>
      </w:pPr>
      <w:r>
        <w:rPr>
          <w:noProof/>
          <w:lang w:val="es-EC" w:eastAsia="es-EC"/>
        </w:rPr>
        <w:drawing>
          <wp:inline distT="0" distB="0" distL="0" distR="0" wp14:anchorId="53C66499" wp14:editId="24FEE4B7">
            <wp:extent cx="5605145"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05145" cy="8229600"/>
                    </a:xfrm>
                    <a:prstGeom prst="rect">
                      <a:avLst/>
                    </a:prstGeom>
                  </pic:spPr>
                </pic:pic>
              </a:graphicData>
            </a:graphic>
          </wp:inline>
        </w:drawing>
      </w:r>
    </w:p>
    <w:sectPr w:rsidR="00774A55" w:rsidRPr="00964B16" w:rsidSect="00FC2558">
      <w:headerReference w:type="default" r:id="rId31"/>
      <w:footerReference w:type="default" r:id="rId32"/>
      <w:headerReference w:type="first" r:id="rId33"/>
      <w:footerReference w:type="first" r:id="rId34"/>
      <w:pgSz w:w="11907" w:h="16839"/>
      <w:pgMar w:top="1701" w:right="1134"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FEE" w:rsidRDefault="00061FEE" w:rsidP="00620C38">
      <w:pPr>
        <w:spacing w:before="0" w:line="240" w:lineRule="auto"/>
      </w:pPr>
      <w:r>
        <w:separator/>
      </w:r>
    </w:p>
  </w:endnote>
  <w:endnote w:type="continuationSeparator" w:id="0">
    <w:p w:rsidR="00061FEE" w:rsidRDefault="00061FEE" w:rsidP="00620C3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altName w:val="Arial"/>
    <w:panose1 w:val="020B07040202020202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7B5" w:rsidRDefault="00ED17B5" w:rsidP="00DD3A5B">
    <w:pPr>
      <w:pStyle w:val="Footer"/>
      <w:tabs>
        <w:tab w:val="left" w:pos="9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Borders>
        <w:top w:val="single" w:sz="4" w:space="0" w:color="auto"/>
      </w:tblBorders>
      <w:tblLayout w:type="fixed"/>
      <w:tblCellMar>
        <w:left w:w="0" w:type="dxa"/>
        <w:right w:w="0" w:type="dxa"/>
      </w:tblCellMar>
      <w:tblLook w:val="0000" w:firstRow="0" w:lastRow="0" w:firstColumn="0" w:lastColumn="0" w:noHBand="0" w:noVBand="0"/>
    </w:tblPr>
    <w:tblGrid>
      <w:gridCol w:w="8647"/>
      <w:gridCol w:w="709"/>
    </w:tblGrid>
    <w:tr w:rsidR="00ED17B5" w:rsidRPr="00620C38" w:rsidTr="00BD179D">
      <w:tc>
        <w:tcPr>
          <w:tcW w:w="8647" w:type="dxa"/>
        </w:tcPr>
        <w:p w:rsidR="00ED17B5" w:rsidRPr="00620C38" w:rsidRDefault="00ED17B5" w:rsidP="00620C38">
          <w:pPr>
            <w:spacing w:before="40" w:line="240" w:lineRule="auto"/>
            <w:rPr>
              <w:noProof/>
              <w:sz w:val="16"/>
            </w:rPr>
          </w:pPr>
          <w:r w:rsidRPr="00620C38">
            <w:rPr>
              <w:noProof/>
              <w:sz w:val="16"/>
            </w:rPr>
            <w:fldChar w:fldCharType="begin"/>
          </w:r>
          <w:r w:rsidRPr="00620C38">
            <w:rPr>
              <w:noProof/>
              <w:sz w:val="16"/>
            </w:rPr>
            <w:instrText xml:space="preserve"> DOCPROPERTY "DOCSFooter"  \* MERGEFORMAT </w:instrText>
          </w:r>
          <w:r w:rsidRPr="00620C38">
            <w:rPr>
              <w:noProof/>
              <w:sz w:val="16"/>
            </w:rPr>
            <w:fldChar w:fldCharType="separate"/>
          </w:r>
          <w:r w:rsidR="00E01D8B">
            <w:rPr>
              <w:noProof/>
              <w:sz w:val="16"/>
            </w:rPr>
            <w:t xml:space="preserve">lxdp A0138585882v8 120641715 </w:t>
          </w:r>
          <w:r w:rsidRPr="00620C38">
            <w:rPr>
              <w:noProof/>
              <w:sz w:val="16"/>
            </w:rPr>
            <w:fldChar w:fldCharType="end"/>
          </w:r>
          <w:r w:rsidRPr="00620C38">
            <w:rPr>
              <w:noProof/>
              <w:sz w:val="16"/>
            </w:rPr>
            <w:t xml:space="preserve">    </w:t>
          </w:r>
          <w:r w:rsidRPr="00620C38">
            <w:rPr>
              <w:noProof/>
              <w:sz w:val="16"/>
            </w:rPr>
            <w:fldChar w:fldCharType="begin"/>
          </w:r>
          <w:r w:rsidRPr="00620C38">
            <w:rPr>
              <w:noProof/>
              <w:sz w:val="16"/>
            </w:rPr>
            <w:instrText xml:space="preserve"> SAVEDATE \@ "d.M.yyyy" \* MERGEFORMAT </w:instrText>
          </w:r>
          <w:r w:rsidRPr="00620C38">
            <w:rPr>
              <w:noProof/>
              <w:sz w:val="16"/>
            </w:rPr>
            <w:fldChar w:fldCharType="separate"/>
          </w:r>
          <w:r w:rsidR="009251A4">
            <w:rPr>
              <w:noProof/>
              <w:sz w:val="16"/>
            </w:rPr>
            <w:t>24.5.2018</w:t>
          </w:r>
          <w:r w:rsidRPr="00620C38">
            <w:rPr>
              <w:noProof/>
              <w:sz w:val="16"/>
            </w:rPr>
            <w:fldChar w:fldCharType="end"/>
          </w:r>
        </w:p>
      </w:tc>
      <w:tc>
        <w:tcPr>
          <w:tcW w:w="709" w:type="dxa"/>
        </w:tcPr>
        <w:p w:rsidR="00ED17B5" w:rsidRPr="00620C38" w:rsidRDefault="00ED17B5" w:rsidP="00620C38">
          <w:pPr>
            <w:spacing w:before="40" w:line="240" w:lineRule="auto"/>
            <w:jc w:val="right"/>
            <w:rPr>
              <w:noProof/>
              <w:sz w:val="16"/>
            </w:rPr>
          </w:pPr>
          <w:r w:rsidRPr="00620C38">
            <w:rPr>
              <w:noProof/>
              <w:snapToGrid w:val="0"/>
              <w:sz w:val="16"/>
            </w:rPr>
            <w:t xml:space="preserve">page </w:t>
          </w:r>
          <w:r w:rsidRPr="00620C38">
            <w:rPr>
              <w:noProof/>
              <w:snapToGrid w:val="0"/>
              <w:sz w:val="16"/>
            </w:rPr>
            <w:fldChar w:fldCharType="begin"/>
          </w:r>
          <w:r w:rsidRPr="00620C38">
            <w:rPr>
              <w:noProof/>
              <w:snapToGrid w:val="0"/>
              <w:sz w:val="16"/>
            </w:rPr>
            <w:instrText xml:space="preserve"> PAGE </w:instrText>
          </w:r>
          <w:r w:rsidRPr="00620C38">
            <w:rPr>
              <w:noProof/>
              <w:snapToGrid w:val="0"/>
              <w:sz w:val="16"/>
            </w:rPr>
            <w:fldChar w:fldCharType="separate"/>
          </w:r>
          <w:r w:rsidR="009251A4">
            <w:rPr>
              <w:noProof/>
              <w:snapToGrid w:val="0"/>
              <w:sz w:val="16"/>
            </w:rPr>
            <w:t>21</w:t>
          </w:r>
          <w:r w:rsidRPr="00620C38">
            <w:rPr>
              <w:noProof/>
              <w:snapToGrid w:val="0"/>
              <w:sz w:val="16"/>
            </w:rPr>
            <w:fldChar w:fldCharType="end"/>
          </w:r>
        </w:p>
      </w:tc>
    </w:tr>
  </w:tbl>
  <w:p w:rsidR="00ED17B5" w:rsidRPr="00620C38" w:rsidRDefault="00ED17B5" w:rsidP="00620C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Borders>
        <w:top w:val="single" w:sz="4" w:space="0" w:color="auto"/>
      </w:tblBorders>
      <w:tblLayout w:type="fixed"/>
      <w:tblCellMar>
        <w:left w:w="0" w:type="dxa"/>
        <w:right w:w="0" w:type="dxa"/>
      </w:tblCellMar>
      <w:tblLook w:val="0000" w:firstRow="0" w:lastRow="0" w:firstColumn="0" w:lastColumn="0" w:noHBand="0" w:noVBand="0"/>
    </w:tblPr>
    <w:tblGrid>
      <w:gridCol w:w="8647"/>
      <w:gridCol w:w="709"/>
    </w:tblGrid>
    <w:tr w:rsidR="00ED17B5" w:rsidTr="00BD179D">
      <w:tc>
        <w:tcPr>
          <w:tcW w:w="8647" w:type="dxa"/>
        </w:tcPr>
        <w:p w:rsidR="00ED17B5" w:rsidRDefault="00DC04A5" w:rsidP="00BD179D">
          <w:pPr>
            <w:pStyle w:val="Footer"/>
          </w:pPr>
          <w:fldSimple w:instr=" DOCPROPERTY &quot;DOCSFooter&quot;  \* MERGEFORMAT ">
            <w:r w:rsidR="00E01D8B">
              <w:t xml:space="preserve">lxdp A0138585882v8 120641715 </w:t>
            </w:r>
          </w:fldSimple>
          <w:r w:rsidR="00ED17B5">
            <w:t xml:space="preserve">    </w:t>
          </w:r>
          <w:r w:rsidR="00ED17B5">
            <w:fldChar w:fldCharType="begin"/>
          </w:r>
          <w:r w:rsidR="00ED17B5">
            <w:instrText xml:space="preserve"> SAVEDATE \@ "d.M.yyyy" \* MERGEFORMAT </w:instrText>
          </w:r>
          <w:r w:rsidR="00ED17B5">
            <w:fldChar w:fldCharType="separate"/>
          </w:r>
          <w:r w:rsidR="009251A4">
            <w:t>24.5.2018</w:t>
          </w:r>
          <w:r w:rsidR="00ED17B5">
            <w:fldChar w:fldCharType="end"/>
          </w:r>
        </w:p>
      </w:tc>
      <w:tc>
        <w:tcPr>
          <w:tcW w:w="709" w:type="dxa"/>
        </w:tcPr>
        <w:p w:rsidR="00ED17B5" w:rsidRDefault="00ED17B5" w:rsidP="00BD179D">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9251A4">
            <w:rPr>
              <w:snapToGrid w:val="0"/>
            </w:rPr>
            <w:t>1</w:t>
          </w:r>
          <w:r>
            <w:rPr>
              <w:snapToGrid w:val="0"/>
            </w:rPr>
            <w:fldChar w:fldCharType="end"/>
          </w:r>
        </w:p>
      </w:tc>
    </w:tr>
  </w:tbl>
  <w:p w:rsidR="005E7F0B" w:rsidRPr="00620C38" w:rsidRDefault="005E7F0B" w:rsidP="005E7F0B">
    <w:pPr>
      <w:pStyle w:val="Footer"/>
    </w:pPr>
    <w:bookmarkStart w:id="55" w:name="DocumentDisclaimer"/>
    <w:r>
      <w:rPr>
        <w:sz w:val="12"/>
      </w:rPr>
      <w:t>Allens is an independent partnership operating in alliance with Linklaters LLP.</w:t>
    </w:r>
    <w:bookmarkEnd w:id="55"/>
  </w:p>
  <w:p w:rsidR="00ED17B5" w:rsidRPr="00620C38" w:rsidRDefault="00ED17B5" w:rsidP="00417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FEE" w:rsidRDefault="00061FEE" w:rsidP="00620C38">
      <w:pPr>
        <w:spacing w:before="0" w:line="240" w:lineRule="auto"/>
      </w:pPr>
      <w:r>
        <w:separator/>
      </w:r>
    </w:p>
  </w:footnote>
  <w:footnote w:type="continuationSeparator" w:id="0">
    <w:p w:rsidR="00061FEE" w:rsidRDefault="00061FEE" w:rsidP="00620C38">
      <w:pPr>
        <w:spacing w:before="0" w:line="240" w:lineRule="auto"/>
      </w:pPr>
      <w:r>
        <w:continuationSeparator/>
      </w:r>
    </w:p>
  </w:footnote>
  <w:footnote w:id="1">
    <w:p w:rsidR="00ED17B5" w:rsidRDefault="00ED17B5" w:rsidP="00DF2A54">
      <w:pPr>
        <w:pStyle w:val="FootnoteText"/>
      </w:pPr>
      <w:r>
        <w:rPr>
          <w:rStyle w:val="FootnoteReference"/>
        </w:rPr>
        <w:footnoteRef/>
      </w:r>
      <w:r>
        <w:t xml:space="preserve"> International Land Coalition, 'National Engagement Strategy: Promoting People Centred Land Governance – </w:t>
      </w:r>
      <w:proofErr w:type="gramStart"/>
      <w:r>
        <w:t>Bangladesh's(</w:t>
      </w:r>
      <w:proofErr w:type="gramEnd"/>
      <w:r>
        <w:t>2012) &lt;</w:t>
      </w:r>
      <w:r w:rsidRPr="00BF33ED">
        <w:t>http://www.landcoalition.org/sites/default/files/documents/resources/nes_report_4_bangladesh_web_en.pdf</w:t>
      </w:r>
      <w:r>
        <w:t>&gt; 12.</w:t>
      </w:r>
    </w:p>
  </w:footnote>
  <w:footnote w:id="2">
    <w:p w:rsidR="00ED17B5" w:rsidRDefault="00ED17B5" w:rsidP="00DF2A54">
      <w:pPr>
        <w:pStyle w:val="FootnoteText"/>
      </w:pPr>
      <w:r>
        <w:rPr>
          <w:rStyle w:val="FootnoteReference"/>
        </w:rPr>
        <w:footnoteRef/>
      </w:r>
      <w:r>
        <w:t xml:space="preserve"> </w:t>
      </w:r>
      <w:proofErr w:type="gramStart"/>
      <w:r>
        <w:t xml:space="preserve">Central Intelligence Agency, 'Bangladesh' The World </w:t>
      </w:r>
      <w:proofErr w:type="spellStart"/>
      <w:r>
        <w:t>Factbook</w:t>
      </w:r>
      <w:proofErr w:type="spellEnd"/>
      <w:r>
        <w:t xml:space="preserve"> &lt;</w:t>
      </w:r>
      <w:r w:rsidRPr="000815D4">
        <w:t>https://www.cia.gov/library/publications/the-world-factbook/geos/bg.html</w:t>
      </w:r>
      <w:r>
        <w:t>&gt;.</w:t>
      </w:r>
      <w:proofErr w:type="gramEnd"/>
    </w:p>
  </w:footnote>
  <w:footnote w:id="3">
    <w:p w:rsidR="00ED17B5" w:rsidRDefault="00ED17B5" w:rsidP="00DF2A54">
      <w:pPr>
        <w:pStyle w:val="FootnoteText"/>
      </w:pPr>
      <w:r>
        <w:rPr>
          <w:rStyle w:val="FootnoteReference"/>
        </w:rPr>
        <w:footnoteRef/>
      </w:r>
      <w:r>
        <w:t xml:space="preserve"> Ibid.</w:t>
      </w:r>
    </w:p>
  </w:footnote>
  <w:footnote w:id="4">
    <w:p w:rsidR="00ED17B5" w:rsidRDefault="00ED17B5" w:rsidP="00DD1E00">
      <w:pPr>
        <w:pStyle w:val="FootnoteText"/>
      </w:pPr>
      <w:r>
        <w:rPr>
          <w:rStyle w:val="FootnoteReference"/>
        </w:rPr>
        <w:footnoteRef/>
      </w:r>
      <w:r>
        <w:t xml:space="preserve"> The information in this table originates from the following resources: Salma </w:t>
      </w:r>
      <w:proofErr w:type="spellStart"/>
      <w:r>
        <w:t>Shafi</w:t>
      </w:r>
      <w:proofErr w:type="spellEnd"/>
      <w:r>
        <w:t xml:space="preserve">, Geoffrey Payne and Geoffrey Payne and Associates, </w:t>
      </w:r>
      <w:r>
        <w:rPr>
          <w:i/>
        </w:rPr>
        <w:t xml:space="preserve">Land Tenure Security and Land Administration in Bangladesh – Final </w:t>
      </w:r>
      <w:r w:rsidRPr="00BE2F2A">
        <w:rPr>
          <w:i/>
        </w:rPr>
        <w:t>Report</w:t>
      </w:r>
      <w:r>
        <w:t xml:space="preserve"> (June 2007) &lt;</w:t>
      </w:r>
      <w:r w:rsidRPr="00BE2F2A">
        <w:t>http</w:t>
      </w:r>
      <w:r w:rsidRPr="00024A24">
        <w:t>://newgpa.org.uk/wp-content/uploads/2014/03/landtenuresec.pdf</w:t>
      </w:r>
      <w:r>
        <w:t xml:space="preserve">&gt;; </w:t>
      </w:r>
      <w:r w:rsidRPr="00DC5D80">
        <w:t xml:space="preserve">USAID, </w:t>
      </w:r>
      <w:r w:rsidRPr="00DC5D80">
        <w:rPr>
          <w:i/>
        </w:rPr>
        <w:t>Property Rights and Resource Governance – Bangladesh  &lt;</w:t>
      </w:r>
      <w:r w:rsidRPr="00DC5D80">
        <w:t>https://www.land-links.org/wp-content/uploads/2016/09/USAID_Land</w:t>
      </w:r>
      <w:r>
        <w:t xml:space="preserve">_Tenure_Bangladesh_Profile.pdf&gt;; </w:t>
      </w:r>
      <w:proofErr w:type="spellStart"/>
      <w:r w:rsidRPr="00AA00A3">
        <w:t>LANDac</w:t>
      </w:r>
      <w:proofErr w:type="spellEnd"/>
      <w:r w:rsidRPr="00AA00A3">
        <w:t xml:space="preserve">, </w:t>
      </w:r>
      <w:r w:rsidRPr="00AA00A3">
        <w:rPr>
          <w:i/>
        </w:rPr>
        <w:t xml:space="preserve">Food Security and Land Governance Factsheet: Bangladesh </w:t>
      </w:r>
      <w:r w:rsidRPr="00AA00A3">
        <w:t>(2016) Land Governance for Equitable and Sustainable Development &lt;http://www.landgovernance.org/assets/2014/09/Bangladesh-Factsheet-20121.pdf</w:t>
      </w:r>
      <w:r>
        <w:t>&gt;.</w:t>
      </w:r>
    </w:p>
  </w:footnote>
  <w:footnote w:id="5">
    <w:p w:rsidR="00ED17B5" w:rsidRDefault="00ED17B5">
      <w:pPr>
        <w:pStyle w:val="FootnoteText"/>
      </w:pPr>
      <w:r>
        <w:rPr>
          <w:rStyle w:val="FootnoteReference"/>
        </w:rPr>
        <w:footnoteRef/>
      </w:r>
      <w:r>
        <w:t xml:space="preserve"> </w:t>
      </w:r>
      <w:proofErr w:type="gramStart"/>
      <w:r w:rsidRPr="00070200">
        <w:rPr>
          <w:i/>
        </w:rPr>
        <w:t>Land Reforms Ordinance of 1984</w:t>
      </w:r>
      <w:r>
        <w:t>, s 4.</w:t>
      </w:r>
      <w:proofErr w:type="gramEnd"/>
    </w:p>
  </w:footnote>
  <w:footnote w:id="6">
    <w:p w:rsidR="00ED17B5" w:rsidRDefault="00ED17B5" w:rsidP="00C657B5">
      <w:pPr>
        <w:pStyle w:val="FootnoteText"/>
      </w:pPr>
      <w:r>
        <w:rPr>
          <w:rStyle w:val="FootnoteReference"/>
        </w:rPr>
        <w:footnoteRef/>
      </w:r>
      <w:r>
        <w:t xml:space="preserve"> </w:t>
      </w:r>
      <w:proofErr w:type="gramStart"/>
      <w:r w:rsidRPr="00BE2F2A">
        <w:t>USAID, above n 2</w:t>
      </w:r>
      <w:r>
        <w:t>, 6.</w:t>
      </w:r>
      <w:proofErr w:type="gramEnd"/>
    </w:p>
  </w:footnote>
  <w:footnote w:id="7">
    <w:p w:rsidR="00ED17B5" w:rsidRDefault="00ED17B5" w:rsidP="008D0644">
      <w:pPr>
        <w:pStyle w:val="FootnoteText"/>
      </w:pPr>
      <w:r>
        <w:rPr>
          <w:rStyle w:val="FootnoteReference"/>
        </w:rPr>
        <w:footnoteRef/>
      </w:r>
      <w:r>
        <w:t xml:space="preserve"> </w:t>
      </w:r>
      <w:proofErr w:type="spellStart"/>
      <w:r>
        <w:t>Nazrul</w:t>
      </w:r>
      <w:proofErr w:type="spellEnd"/>
      <w:r>
        <w:t xml:space="preserve"> Islam et al, 'Slums of Urban Bangladesh: Mapping and Census, 2005' (Centre for Urban Studies, MEASURE Evaluation and National Institute of Population Research and Training; May 2006) available from &lt;</w:t>
      </w:r>
      <w:r w:rsidRPr="004F73DC">
        <w:t>https://www.measureevaluation.org/resources/publications/tr-06-35</w:t>
      </w:r>
      <w:r>
        <w:t xml:space="preserve">&gt; 20; Salma </w:t>
      </w:r>
      <w:proofErr w:type="spellStart"/>
      <w:r>
        <w:t>Shafi</w:t>
      </w:r>
      <w:proofErr w:type="spellEnd"/>
      <w:r>
        <w:t xml:space="preserve"> et al, above n 4, </w:t>
      </w:r>
      <w:proofErr w:type="gramStart"/>
      <w:r>
        <w:t>vi</w:t>
      </w:r>
      <w:proofErr w:type="gramEnd"/>
      <w:r>
        <w:t>.</w:t>
      </w:r>
    </w:p>
  </w:footnote>
  <w:footnote w:id="8">
    <w:p w:rsidR="00ED17B5" w:rsidRPr="00C80A4E" w:rsidRDefault="00ED17B5" w:rsidP="00287819">
      <w:pPr>
        <w:pStyle w:val="FootnoteText"/>
        <w:rPr>
          <w:rFonts w:cs="Arial"/>
          <w:szCs w:val="16"/>
        </w:rPr>
      </w:pPr>
      <w:r w:rsidRPr="00C80A4E">
        <w:rPr>
          <w:rStyle w:val="FootnoteReference"/>
          <w:rFonts w:cs="Arial"/>
          <w:szCs w:val="16"/>
        </w:rPr>
        <w:footnoteRef/>
      </w:r>
      <w:r w:rsidRPr="00C80A4E">
        <w:rPr>
          <w:rFonts w:cs="Arial"/>
          <w:szCs w:val="16"/>
        </w:rPr>
        <w:t xml:space="preserve"> Ibid.</w:t>
      </w:r>
    </w:p>
  </w:footnote>
  <w:footnote w:id="9">
    <w:p w:rsidR="00ED17B5" w:rsidRPr="00C80A4E" w:rsidRDefault="00ED17B5">
      <w:pPr>
        <w:pStyle w:val="FootnoteText"/>
        <w:rPr>
          <w:rFonts w:cs="Arial"/>
          <w:szCs w:val="16"/>
        </w:rPr>
      </w:pPr>
      <w:r w:rsidRPr="00C80A4E">
        <w:rPr>
          <w:rStyle w:val="FootnoteReference"/>
          <w:rFonts w:cs="Arial"/>
          <w:szCs w:val="16"/>
        </w:rPr>
        <w:footnoteRef/>
      </w:r>
      <w:r w:rsidRPr="00C80A4E">
        <w:rPr>
          <w:rFonts w:cs="Arial"/>
          <w:szCs w:val="16"/>
        </w:rPr>
        <w:t xml:space="preserve"> </w:t>
      </w:r>
      <w:proofErr w:type="spellStart"/>
      <w:proofErr w:type="gramStart"/>
      <w:r w:rsidRPr="00C80A4E">
        <w:rPr>
          <w:rFonts w:cs="Arial"/>
          <w:szCs w:val="16"/>
        </w:rPr>
        <w:t>LANDac</w:t>
      </w:r>
      <w:proofErr w:type="spellEnd"/>
      <w:r w:rsidRPr="00C80A4E">
        <w:rPr>
          <w:rFonts w:cs="Arial"/>
          <w:szCs w:val="16"/>
        </w:rPr>
        <w:t xml:space="preserve">, above n </w:t>
      </w:r>
      <w:r>
        <w:rPr>
          <w:rFonts w:cs="Arial"/>
          <w:szCs w:val="16"/>
        </w:rPr>
        <w:t>4</w:t>
      </w:r>
      <w:r w:rsidRPr="00C80A4E">
        <w:rPr>
          <w:rFonts w:cs="Arial"/>
          <w:szCs w:val="16"/>
        </w:rPr>
        <w:t xml:space="preserve">, 5-6; Salma </w:t>
      </w:r>
      <w:proofErr w:type="spellStart"/>
      <w:r w:rsidRPr="00C80A4E">
        <w:rPr>
          <w:rFonts w:cs="Arial"/>
          <w:szCs w:val="16"/>
        </w:rPr>
        <w:t>Shafi</w:t>
      </w:r>
      <w:proofErr w:type="spellEnd"/>
      <w:r w:rsidRPr="00C80A4E">
        <w:rPr>
          <w:rFonts w:cs="Arial"/>
          <w:szCs w:val="16"/>
        </w:rPr>
        <w:t xml:space="preserve"> et al, above n </w:t>
      </w:r>
      <w:r>
        <w:rPr>
          <w:rFonts w:cs="Arial"/>
          <w:szCs w:val="16"/>
        </w:rPr>
        <w:t>4</w:t>
      </w:r>
      <w:r w:rsidRPr="00C80A4E">
        <w:rPr>
          <w:rFonts w:cs="Arial"/>
          <w:szCs w:val="16"/>
        </w:rPr>
        <w:t>, 3-4.</w:t>
      </w:r>
      <w:proofErr w:type="gramEnd"/>
      <w:r w:rsidRPr="00C80A4E">
        <w:rPr>
          <w:rFonts w:cs="Arial"/>
          <w:szCs w:val="16"/>
        </w:rPr>
        <w:t xml:space="preserve"> See also </w:t>
      </w:r>
      <w:proofErr w:type="spellStart"/>
      <w:r w:rsidRPr="00C80A4E">
        <w:rPr>
          <w:rFonts w:cs="Arial"/>
          <w:szCs w:val="16"/>
        </w:rPr>
        <w:t>Kasphia</w:t>
      </w:r>
      <w:proofErr w:type="spellEnd"/>
      <w:r w:rsidRPr="00C80A4E">
        <w:rPr>
          <w:rFonts w:cs="Arial"/>
          <w:szCs w:val="16"/>
        </w:rPr>
        <w:t xml:space="preserve"> </w:t>
      </w:r>
      <w:proofErr w:type="spellStart"/>
      <w:r w:rsidRPr="00C80A4E">
        <w:rPr>
          <w:rFonts w:cs="Arial"/>
          <w:szCs w:val="16"/>
        </w:rPr>
        <w:t>Nahrin</w:t>
      </w:r>
      <w:proofErr w:type="spellEnd"/>
      <w:r w:rsidRPr="00C80A4E">
        <w:rPr>
          <w:rFonts w:cs="Arial"/>
          <w:szCs w:val="16"/>
        </w:rPr>
        <w:t xml:space="preserve"> and M. </w:t>
      </w:r>
      <w:proofErr w:type="spellStart"/>
      <w:r w:rsidRPr="00C80A4E">
        <w:rPr>
          <w:rFonts w:cs="Arial"/>
          <w:szCs w:val="16"/>
        </w:rPr>
        <w:t>Shafiq</w:t>
      </w:r>
      <w:proofErr w:type="spellEnd"/>
      <w:r w:rsidRPr="00C80A4E">
        <w:rPr>
          <w:rFonts w:cs="Arial"/>
          <w:szCs w:val="16"/>
        </w:rPr>
        <w:t xml:space="preserve">-Ur </w:t>
      </w:r>
      <w:proofErr w:type="spellStart"/>
      <w:r w:rsidRPr="00C80A4E">
        <w:rPr>
          <w:rFonts w:cs="Arial"/>
          <w:szCs w:val="16"/>
        </w:rPr>
        <w:t>Rahman</w:t>
      </w:r>
      <w:proofErr w:type="spellEnd"/>
      <w:r w:rsidRPr="00C80A4E">
        <w:rPr>
          <w:rFonts w:cs="Arial"/>
          <w:szCs w:val="16"/>
        </w:rPr>
        <w:t xml:space="preserve">, 'Land Information System (LIS) for Land Administration and Management in Bangladesh' (2009) 2 </w:t>
      </w:r>
      <w:r w:rsidRPr="00C80A4E">
        <w:rPr>
          <w:rFonts w:cs="Arial"/>
          <w:i/>
          <w:szCs w:val="16"/>
        </w:rPr>
        <w:t>Journal of Bangladesh Institute of Planners</w:t>
      </w:r>
      <w:r w:rsidRPr="00C80A4E">
        <w:rPr>
          <w:rFonts w:cs="Arial"/>
          <w:szCs w:val="16"/>
        </w:rPr>
        <w:t xml:space="preserve"> 116 &lt;http://ndc.gov.bd/lib_mgmt/webroot/earticle/1906/Land_Administration_and_Management_in_Bangladesh.pdf&gt;; </w:t>
      </w:r>
      <w:proofErr w:type="spellStart"/>
      <w:r w:rsidRPr="00C80A4E">
        <w:rPr>
          <w:rFonts w:cs="Arial"/>
          <w:szCs w:val="16"/>
        </w:rPr>
        <w:t>Monzur</w:t>
      </w:r>
      <w:proofErr w:type="spellEnd"/>
      <w:r w:rsidRPr="00C80A4E">
        <w:rPr>
          <w:rFonts w:cs="Arial"/>
          <w:szCs w:val="16"/>
        </w:rPr>
        <w:t xml:space="preserve"> </w:t>
      </w:r>
      <w:proofErr w:type="spellStart"/>
      <w:r w:rsidRPr="00C80A4E">
        <w:rPr>
          <w:rFonts w:cs="Arial"/>
          <w:szCs w:val="16"/>
        </w:rPr>
        <w:t>Hossain</w:t>
      </w:r>
      <w:proofErr w:type="spellEnd"/>
      <w:r w:rsidRPr="00C80A4E">
        <w:rPr>
          <w:rFonts w:cs="Arial"/>
          <w:szCs w:val="16"/>
        </w:rPr>
        <w:t>, 'Improving Land Administration and Management in Bangladesh' (Report prepared for the General Economics Division of the Planning Commission, Bangladesh; 14 January 2015) &lt;http://www.plancomm.gov.bd/wp-content/uploads/2015/02/4_Improving-Land-Administration-and-Mangement.pdf&gt; 20.</w:t>
      </w:r>
    </w:p>
  </w:footnote>
  <w:footnote w:id="10">
    <w:p w:rsidR="00ED17B5" w:rsidRPr="00C80A4E" w:rsidRDefault="00ED17B5">
      <w:pPr>
        <w:pStyle w:val="FootnoteText"/>
        <w:rPr>
          <w:rFonts w:cs="Arial"/>
          <w:szCs w:val="16"/>
        </w:rPr>
      </w:pPr>
      <w:r w:rsidRPr="00C80A4E">
        <w:rPr>
          <w:rStyle w:val="FootnoteReference"/>
          <w:rFonts w:cs="Arial"/>
          <w:szCs w:val="16"/>
        </w:rPr>
        <w:footnoteRef/>
      </w:r>
      <w:r w:rsidRPr="00C80A4E">
        <w:rPr>
          <w:rFonts w:cs="Arial"/>
          <w:szCs w:val="16"/>
        </w:rPr>
        <w:t xml:space="preserve"> Ibid.</w:t>
      </w:r>
    </w:p>
  </w:footnote>
  <w:footnote w:id="11">
    <w:p w:rsidR="00ED17B5" w:rsidRDefault="00ED17B5">
      <w:pPr>
        <w:pStyle w:val="FootnoteText"/>
      </w:pPr>
      <w:r>
        <w:rPr>
          <w:rStyle w:val="FootnoteReference"/>
        </w:rPr>
        <w:footnoteRef/>
      </w:r>
      <w:r>
        <w:t xml:space="preserve"> </w:t>
      </w:r>
      <w:proofErr w:type="gramStart"/>
      <w:r>
        <w:t>International Land Coalition, above n 1.</w:t>
      </w:r>
      <w:proofErr w:type="gramEnd"/>
    </w:p>
  </w:footnote>
  <w:footnote w:id="12">
    <w:p w:rsidR="00ED17B5" w:rsidRDefault="00ED17B5">
      <w:pPr>
        <w:pStyle w:val="FootnoteText"/>
      </w:pPr>
      <w:r w:rsidRPr="00C80A4E">
        <w:rPr>
          <w:rStyle w:val="FootnoteReference"/>
          <w:rFonts w:cs="Arial"/>
          <w:szCs w:val="16"/>
        </w:rPr>
        <w:footnoteRef/>
      </w:r>
      <w:r w:rsidRPr="00C80A4E">
        <w:rPr>
          <w:rFonts w:cs="Arial"/>
          <w:szCs w:val="16"/>
        </w:rPr>
        <w:t xml:space="preserve"> KH MD </w:t>
      </w:r>
      <w:proofErr w:type="spellStart"/>
      <w:r w:rsidRPr="00C80A4E">
        <w:rPr>
          <w:rFonts w:cs="Arial"/>
          <w:szCs w:val="16"/>
        </w:rPr>
        <w:t>Nahiduzzaman</w:t>
      </w:r>
      <w:proofErr w:type="spellEnd"/>
      <w:r w:rsidRPr="00C80A4E">
        <w:rPr>
          <w:rFonts w:cs="Arial"/>
          <w:szCs w:val="16"/>
        </w:rPr>
        <w:t xml:space="preserve">, 'Housing the Urban Poor: An Integrated Governance Perspective' — </w:t>
      </w:r>
      <w:proofErr w:type="gramStart"/>
      <w:r w:rsidRPr="00C80A4E">
        <w:rPr>
          <w:rFonts w:cs="Arial"/>
          <w:szCs w:val="16"/>
        </w:rPr>
        <w:t>The</w:t>
      </w:r>
      <w:proofErr w:type="gramEnd"/>
      <w:r w:rsidRPr="00C80A4E">
        <w:rPr>
          <w:rFonts w:cs="Arial"/>
          <w:szCs w:val="16"/>
        </w:rPr>
        <w:t xml:space="preserve"> Case of Dhaka, Bangladesh' (Doctoral Thesis, Royal Institute of Technology in Stockholm, 2012) 88-89.</w:t>
      </w:r>
    </w:p>
  </w:footnote>
  <w:footnote w:id="13">
    <w:p w:rsidR="00ED17B5" w:rsidRDefault="00ED17B5" w:rsidP="0076148C">
      <w:pPr>
        <w:pStyle w:val="FootnoteText"/>
      </w:pPr>
      <w:r>
        <w:rPr>
          <w:rStyle w:val="FootnoteReference"/>
        </w:rPr>
        <w:footnoteRef/>
      </w:r>
      <w:r>
        <w:t xml:space="preserve"> Ibid.</w:t>
      </w:r>
    </w:p>
  </w:footnote>
  <w:footnote w:id="14">
    <w:p w:rsidR="00ED17B5" w:rsidRDefault="00ED17B5">
      <w:pPr>
        <w:pStyle w:val="FootnoteText"/>
      </w:pPr>
      <w:r>
        <w:rPr>
          <w:rStyle w:val="FootnoteReference"/>
        </w:rPr>
        <w:footnoteRef/>
      </w:r>
      <w:r>
        <w:t xml:space="preserve"> Salma </w:t>
      </w:r>
      <w:proofErr w:type="spellStart"/>
      <w:r>
        <w:t>Shafi</w:t>
      </w:r>
      <w:proofErr w:type="spellEnd"/>
      <w:r>
        <w:t xml:space="preserve"> et al, above n 4, 4; </w:t>
      </w:r>
      <w:r w:rsidRPr="00AD05B1">
        <w:rPr>
          <w:i/>
        </w:rPr>
        <w:t>Registration Act 1908</w:t>
      </w:r>
      <w:r>
        <w:t xml:space="preserve"> s 17(1</w:t>
      </w:r>
      <w:proofErr w:type="gramStart"/>
      <w:r>
        <w:t>)(</w:t>
      </w:r>
      <w:proofErr w:type="gramEnd"/>
      <w:r>
        <w:t>d).</w:t>
      </w:r>
    </w:p>
  </w:footnote>
  <w:footnote w:id="15">
    <w:p w:rsidR="00ED17B5" w:rsidRDefault="00ED17B5">
      <w:pPr>
        <w:pStyle w:val="FootnoteText"/>
      </w:pPr>
      <w:r>
        <w:rPr>
          <w:rStyle w:val="FootnoteReference"/>
        </w:rPr>
        <w:footnoteRef/>
      </w:r>
      <w:r>
        <w:t xml:space="preserve"> </w:t>
      </w:r>
      <w:proofErr w:type="gramStart"/>
      <w:r w:rsidRPr="00AD05B1">
        <w:rPr>
          <w:i/>
        </w:rPr>
        <w:t>Registration Act 1908</w:t>
      </w:r>
      <w:r>
        <w:t xml:space="preserve"> s 17A.</w:t>
      </w:r>
      <w:proofErr w:type="gramEnd"/>
    </w:p>
  </w:footnote>
  <w:footnote w:id="16">
    <w:p w:rsidR="00ED17B5" w:rsidRDefault="00ED17B5">
      <w:pPr>
        <w:pStyle w:val="FootnoteText"/>
      </w:pPr>
      <w:r>
        <w:rPr>
          <w:rStyle w:val="FootnoteReference"/>
        </w:rPr>
        <w:footnoteRef/>
      </w:r>
      <w:r>
        <w:t xml:space="preserve"> </w:t>
      </w:r>
      <w:proofErr w:type="gramStart"/>
      <w:r w:rsidRPr="00693C2C">
        <w:t>Ibid s17.</w:t>
      </w:r>
      <w:proofErr w:type="gramEnd"/>
    </w:p>
  </w:footnote>
  <w:footnote w:id="17">
    <w:p w:rsidR="00ED17B5" w:rsidRDefault="00ED17B5" w:rsidP="00F05726">
      <w:pPr>
        <w:pStyle w:val="FootnoteText"/>
      </w:pPr>
      <w:r>
        <w:rPr>
          <w:rStyle w:val="FootnoteReference"/>
        </w:rPr>
        <w:footnoteRef/>
      </w:r>
      <w:r>
        <w:t xml:space="preserve"> </w:t>
      </w:r>
      <w:proofErr w:type="gramStart"/>
      <w:r>
        <w:t xml:space="preserve">The World Bank, </w:t>
      </w:r>
      <w:r>
        <w:rPr>
          <w:i/>
        </w:rPr>
        <w:t xml:space="preserve">Ease of doing business in </w:t>
      </w:r>
      <w:r w:rsidRPr="00BE2F2A">
        <w:rPr>
          <w:i/>
        </w:rPr>
        <w:t>Bangladesh</w:t>
      </w:r>
      <w:r>
        <w:rPr>
          <w:i/>
        </w:rPr>
        <w:t xml:space="preserve"> </w:t>
      </w:r>
      <w:r>
        <w:t>(2016) &lt;</w:t>
      </w:r>
      <w:r w:rsidRPr="00BE2F2A">
        <w:t>http</w:t>
      </w:r>
      <w:r w:rsidRPr="002E2C30">
        <w:t>://www.doingbusiness.org/data/exploreeconomies/bangladesh#registering-property</w:t>
      </w:r>
      <w:r>
        <w:t>&gt;.</w:t>
      </w:r>
      <w:proofErr w:type="gramEnd"/>
    </w:p>
  </w:footnote>
  <w:footnote w:id="18">
    <w:p w:rsidR="00ED17B5" w:rsidRDefault="00ED17B5">
      <w:pPr>
        <w:pStyle w:val="FootnoteText"/>
      </w:pPr>
      <w:r>
        <w:rPr>
          <w:rStyle w:val="FootnoteReference"/>
        </w:rPr>
        <w:footnoteRef/>
      </w:r>
      <w:r>
        <w:t xml:space="preserve"> </w:t>
      </w:r>
      <w:proofErr w:type="gramStart"/>
      <w:r>
        <w:t>USAID, above n 4, 6.</w:t>
      </w:r>
      <w:proofErr w:type="gramEnd"/>
    </w:p>
  </w:footnote>
  <w:footnote w:id="19">
    <w:p w:rsidR="00ED17B5" w:rsidRDefault="00ED17B5">
      <w:pPr>
        <w:pStyle w:val="FootnoteText"/>
      </w:pPr>
      <w:r>
        <w:rPr>
          <w:rStyle w:val="FootnoteReference"/>
        </w:rPr>
        <w:footnoteRef/>
      </w:r>
      <w:r>
        <w:t xml:space="preserve"> </w:t>
      </w:r>
      <w:proofErr w:type="gramStart"/>
      <w:r>
        <w:t xml:space="preserve">Salma </w:t>
      </w:r>
      <w:proofErr w:type="spellStart"/>
      <w:r>
        <w:t>Shafi</w:t>
      </w:r>
      <w:proofErr w:type="spellEnd"/>
      <w:r>
        <w:t xml:space="preserve"> et al, above n 4, vii.</w:t>
      </w:r>
      <w:proofErr w:type="gramEnd"/>
    </w:p>
  </w:footnote>
  <w:footnote w:id="20">
    <w:p w:rsidR="00ED17B5" w:rsidRDefault="00ED17B5">
      <w:pPr>
        <w:pStyle w:val="FootnoteText"/>
      </w:pPr>
      <w:r>
        <w:rPr>
          <w:rStyle w:val="FootnoteReference"/>
        </w:rPr>
        <w:footnoteRef/>
      </w:r>
      <w:r>
        <w:t xml:space="preserve"> </w:t>
      </w:r>
      <w:proofErr w:type="spellStart"/>
      <w:proofErr w:type="gramStart"/>
      <w:r>
        <w:t>Nahrin</w:t>
      </w:r>
      <w:proofErr w:type="spellEnd"/>
      <w:r>
        <w:t xml:space="preserve"> and </w:t>
      </w:r>
      <w:proofErr w:type="spellStart"/>
      <w:r>
        <w:t>Shafiq</w:t>
      </w:r>
      <w:proofErr w:type="spellEnd"/>
      <w:r>
        <w:t xml:space="preserve">-Ur </w:t>
      </w:r>
      <w:proofErr w:type="spellStart"/>
      <w:r>
        <w:t>Rahman</w:t>
      </w:r>
      <w:proofErr w:type="spellEnd"/>
      <w:r>
        <w:t>, above n 9, 118.</w:t>
      </w:r>
      <w:proofErr w:type="gramEnd"/>
    </w:p>
  </w:footnote>
  <w:footnote w:id="21">
    <w:p w:rsidR="00ED17B5" w:rsidRDefault="00ED17B5">
      <w:pPr>
        <w:pStyle w:val="FootnoteText"/>
      </w:pPr>
      <w:r>
        <w:rPr>
          <w:rStyle w:val="FootnoteReference"/>
        </w:rPr>
        <w:footnoteRef/>
      </w:r>
      <w:r>
        <w:t xml:space="preserve"> </w:t>
      </w:r>
      <w:proofErr w:type="spellStart"/>
      <w:r w:rsidRPr="00C80A4E">
        <w:rPr>
          <w:rFonts w:cs="Arial"/>
          <w:szCs w:val="16"/>
        </w:rPr>
        <w:t>Monzur</w:t>
      </w:r>
      <w:proofErr w:type="spellEnd"/>
      <w:r w:rsidRPr="00C80A4E">
        <w:rPr>
          <w:rFonts w:cs="Arial"/>
          <w:szCs w:val="16"/>
        </w:rPr>
        <w:t xml:space="preserve"> </w:t>
      </w:r>
      <w:proofErr w:type="spellStart"/>
      <w:r w:rsidRPr="00C80A4E">
        <w:rPr>
          <w:rFonts w:cs="Arial"/>
          <w:szCs w:val="16"/>
        </w:rPr>
        <w:t>Hossain</w:t>
      </w:r>
      <w:proofErr w:type="spellEnd"/>
      <w:r w:rsidRPr="00C80A4E">
        <w:rPr>
          <w:rFonts w:cs="Arial"/>
          <w:szCs w:val="16"/>
        </w:rPr>
        <w:t>,</w:t>
      </w:r>
      <w:r>
        <w:rPr>
          <w:rFonts w:cs="Arial"/>
          <w:szCs w:val="16"/>
        </w:rPr>
        <w:t xml:space="preserve"> above n 9, 22-23.</w:t>
      </w:r>
    </w:p>
  </w:footnote>
  <w:footnote w:id="22">
    <w:p w:rsidR="00ED17B5" w:rsidRDefault="00ED17B5">
      <w:pPr>
        <w:pStyle w:val="FootnoteText"/>
      </w:pPr>
      <w:r>
        <w:rPr>
          <w:rStyle w:val="FootnoteReference"/>
        </w:rPr>
        <w:footnoteRef/>
      </w:r>
      <w:r>
        <w:t xml:space="preserve"> Ibid.</w:t>
      </w:r>
    </w:p>
  </w:footnote>
  <w:footnote w:id="23">
    <w:p w:rsidR="00ED17B5" w:rsidRDefault="00ED17B5">
      <w:pPr>
        <w:pStyle w:val="FootnoteText"/>
      </w:pPr>
      <w:r>
        <w:rPr>
          <w:rStyle w:val="FootnoteReference"/>
        </w:rPr>
        <w:footnoteRef/>
      </w:r>
      <w:r>
        <w:t xml:space="preserve"> </w:t>
      </w:r>
      <w:proofErr w:type="spellStart"/>
      <w:r w:rsidRPr="00AA00A3">
        <w:t>LANDac</w:t>
      </w:r>
      <w:proofErr w:type="spellEnd"/>
      <w:r>
        <w:t xml:space="preserve">, above n 4, 6; </w:t>
      </w:r>
      <w:proofErr w:type="spellStart"/>
      <w:r w:rsidRPr="00C80A4E">
        <w:rPr>
          <w:rFonts w:cs="Arial"/>
          <w:szCs w:val="16"/>
        </w:rPr>
        <w:t>Monzur</w:t>
      </w:r>
      <w:proofErr w:type="spellEnd"/>
      <w:r w:rsidRPr="00C80A4E">
        <w:rPr>
          <w:rFonts w:cs="Arial"/>
          <w:szCs w:val="16"/>
        </w:rPr>
        <w:t xml:space="preserve"> </w:t>
      </w:r>
      <w:proofErr w:type="spellStart"/>
      <w:r w:rsidRPr="00C80A4E">
        <w:rPr>
          <w:rFonts w:cs="Arial"/>
          <w:szCs w:val="16"/>
        </w:rPr>
        <w:t>Hossain</w:t>
      </w:r>
      <w:proofErr w:type="spellEnd"/>
      <w:r w:rsidRPr="00C80A4E">
        <w:rPr>
          <w:rFonts w:cs="Arial"/>
          <w:szCs w:val="16"/>
        </w:rPr>
        <w:t>,</w:t>
      </w:r>
      <w:r>
        <w:rPr>
          <w:rFonts w:cs="Arial"/>
          <w:szCs w:val="16"/>
        </w:rPr>
        <w:t xml:space="preserve"> above n 9, 22-23.</w:t>
      </w:r>
    </w:p>
  </w:footnote>
  <w:footnote w:id="24">
    <w:p w:rsidR="00ED17B5" w:rsidRDefault="00ED17B5">
      <w:pPr>
        <w:pStyle w:val="FootnoteText"/>
      </w:pPr>
      <w:r>
        <w:rPr>
          <w:rStyle w:val="FootnoteReference"/>
        </w:rPr>
        <w:footnoteRef/>
      </w:r>
      <w:r>
        <w:t xml:space="preserve"> News from Bangladesh, 'Digitalizing Land Registration in Bangladesh' (4 November 2010) reproduced at &lt;</w:t>
      </w:r>
      <w:r w:rsidRPr="00A17A34">
        <w:t>http://www.unpan.org/PublicAdministrationNews/tabid/115/mctl/ArticleView/ModuleID/1467/articleId/23326/Default.aspx</w:t>
      </w:r>
      <w:r>
        <w:t>&gt;.</w:t>
      </w:r>
    </w:p>
  </w:footnote>
  <w:footnote w:id="25">
    <w:p w:rsidR="00ED17B5" w:rsidRDefault="00ED17B5" w:rsidP="009E5730">
      <w:pPr>
        <w:pStyle w:val="FootnoteText"/>
      </w:pPr>
      <w:r>
        <w:rPr>
          <w:rStyle w:val="FootnoteReference"/>
        </w:rPr>
        <w:footnoteRef/>
      </w:r>
      <w:r>
        <w:t xml:space="preserve"> </w:t>
      </w:r>
      <w:proofErr w:type="gramStart"/>
      <w:r>
        <w:t xml:space="preserve">USAID, above n 4, 6; </w:t>
      </w:r>
      <w:proofErr w:type="spellStart"/>
      <w:r w:rsidRPr="00AA00A3">
        <w:t>LANDac</w:t>
      </w:r>
      <w:proofErr w:type="spellEnd"/>
      <w:r>
        <w:t>, above n 4, 6.</w:t>
      </w:r>
      <w:proofErr w:type="gramEnd"/>
    </w:p>
  </w:footnote>
  <w:footnote w:id="26">
    <w:p w:rsidR="00ED17B5" w:rsidRDefault="00ED17B5" w:rsidP="00F05726">
      <w:pPr>
        <w:pStyle w:val="FootnoteText"/>
      </w:pPr>
      <w:r>
        <w:rPr>
          <w:rStyle w:val="FootnoteReference"/>
        </w:rPr>
        <w:footnoteRef/>
      </w:r>
      <w:r>
        <w:t xml:space="preserve"> </w:t>
      </w:r>
      <w:proofErr w:type="gramStart"/>
      <w:r>
        <w:t xml:space="preserve">Salma </w:t>
      </w:r>
      <w:proofErr w:type="spellStart"/>
      <w:r>
        <w:t>Shafi</w:t>
      </w:r>
      <w:proofErr w:type="spellEnd"/>
      <w:r>
        <w:t xml:space="preserve"> et al, above n 4, 4.</w:t>
      </w:r>
      <w:proofErr w:type="gramEnd"/>
    </w:p>
  </w:footnote>
  <w:footnote w:id="27">
    <w:p w:rsidR="00ED17B5" w:rsidRDefault="00ED17B5">
      <w:pPr>
        <w:pStyle w:val="FootnoteText"/>
      </w:pPr>
      <w:r>
        <w:rPr>
          <w:rStyle w:val="FootnoteReference"/>
        </w:rPr>
        <w:footnoteRef/>
      </w:r>
      <w:r>
        <w:t xml:space="preserve"> </w:t>
      </w:r>
      <w:r w:rsidRPr="00AD05B1">
        <w:rPr>
          <w:i/>
        </w:rPr>
        <w:t>Registration Act 1908</w:t>
      </w:r>
      <w:r>
        <w:t xml:space="preserve"> s 17(1</w:t>
      </w:r>
      <w:proofErr w:type="gramStart"/>
      <w:r>
        <w:t>)(</w:t>
      </w:r>
      <w:proofErr w:type="gramEnd"/>
      <w:r>
        <w:t>d).</w:t>
      </w:r>
    </w:p>
  </w:footnote>
  <w:footnote w:id="28">
    <w:p w:rsidR="00ED17B5" w:rsidRDefault="00ED17B5">
      <w:pPr>
        <w:pStyle w:val="FootnoteText"/>
      </w:pPr>
      <w:r>
        <w:rPr>
          <w:rStyle w:val="FootnoteReference"/>
        </w:rPr>
        <w:footnoteRef/>
      </w:r>
      <w:r>
        <w:t xml:space="preserve"> Osman </w:t>
      </w:r>
      <w:proofErr w:type="spellStart"/>
      <w:r>
        <w:t>Goni</w:t>
      </w:r>
      <w:proofErr w:type="spellEnd"/>
      <w:r>
        <w:t>, 'Registration Law in Bangladesh' &lt;</w:t>
      </w:r>
      <w:r w:rsidRPr="000E014F">
        <w:t>https://osmangoni.com/registration-law-bangladesh/</w:t>
      </w:r>
      <w:r>
        <w:t xml:space="preserve">&gt; citing Registration Act 1908 s 49 and </w:t>
      </w:r>
      <w:proofErr w:type="spellStart"/>
      <w:r w:rsidRPr="000E014F">
        <w:rPr>
          <w:i/>
          <w:lang w:val="en-US"/>
        </w:rPr>
        <w:t>Pabitra</w:t>
      </w:r>
      <w:proofErr w:type="spellEnd"/>
      <w:r w:rsidRPr="000E014F">
        <w:rPr>
          <w:i/>
          <w:lang w:val="en-US"/>
        </w:rPr>
        <w:t xml:space="preserve"> </w:t>
      </w:r>
      <w:proofErr w:type="spellStart"/>
      <w:r w:rsidRPr="000E014F">
        <w:rPr>
          <w:i/>
          <w:lang w:val="en-US"/>
        </w:rPr>
        <w:t>Ranjan</w:t>
      </w:r>
      <w:proofErr w:type="spellEnd"/>
      <w:r w:rsidRPr="000E014F">
        <w:rPr>
          <w:i/>
          <w:lang w:val="en-US"/>
        </w:rPr>
        <w:t xml:space="preserve"> Roy </w:t>
      </w:r>
      <w:proofErr w:type="spellStart"/>
      <w:r w:rsidRPr="000E014F">
        <w:rPr>
          <w:i/>
          <w:lang w:val="en-US"/>
        </w:rPr>
        <w:t>vs</w:t>
      </w:r>
      <w:proofErr w:type="spellEnd"/>
      <w:r w:rsidRPr="000E014F">
        <w:rPr>
          <w:i/>
          <w:lang w:val="en-US"/>
        </w:rPr>
        <w:t xml:space="preserve"> </w:t>
      </w:r>
      <w:proofErr w:type="spellStart"/>
      <w:r w:rsidRPr="000E014F">
        <w:rPr>
          <w:i/>
          <w:lang w:val="en-US"/>
        </w:rPr>
        <w:t>Proshanta</w:t>
      </w:r>
      <w:proofErr w:type="spellEnd"/>
      <w:r w:rsidRPr="000E014F">
        <w:rPr>
          <w:i/>
          <w:lang w:val="en-US"/>
        </w:rPr>
        <w:t xml:space="preserve"> </w:t>
      </w:r>
      <w:proofErr w:type="spellStart"/>
      <w:r w:rsidRPr="000E014F">
        <w:rPr>
          <w:i/>
          <w:lang w:val="en-US"/>
        </w:rPr>
        <w:t>Talukdar</w:t>
      </w:r>
      <w:proofErr w:type="spellEnd"/>
      <w:r w:rsidRPr="000E014F">
        <w:rPr>
          <w:lang w:val="en-US"/>
        </w:rPr>
        <w:t xml:space="preserve"> 14 MLR (2009) 69</w:t>
      </w:r>
      <w:r>
        <w:rPr>
          <w:lang w:val="en-US"/>
        </w:rPr>
        <w:t>.</w:t>
      </w:r>
    </w:p>
  </w:footnote>
  <w:footnote w:id="29">
    <w:p w:rsidR="00ED17B5" w:rsidRDefault="00ED17B5">
      <w:pPr>
        <w:pStyle w:val="FootnoteText"/>
      </w:pPr>
      <w:r>
        <w:rPr>
          <w:rStyle w:val="FootnoteReference"/>
        </w:rPr>
        <w:footnoteRef/>
      </w:r>
      <w:r>
        <w:t xml:space="preserve"> </w:t>
      </w:r>
      <w:proofErr w:type="gramStart"/>
      <w:r>
        <w:t>International Land Coalition, above n 1, 22.</w:t>
      </w:r>
      <w:proofErr w:type="gramEnd"/>
    </w:p>
  </w:footnote>
  <w:footnote w:id="30">
    <w:p w:rsidR="00ED17B5" w:rsidRDefault="00ED17B5" w:rsidP="004E1B09">
      <w:pPr>
        <w:pStyle w:val="FootnoteText"/>
      </w:pPr>
      <w:r>
        <w:rPr>
          <w:rStyle w:val="FootnoteReference"/>
        </w:rPr>
        <w:footnoteRef/>
      </w:r>
      <w:r>
        <w:t xml:space="preserve"> </w:t>
      </w:r>
      <w:proofErr w:type="gramStart"/>
      <w:r w:rsidRPr="00C102D4">
        <w:t>USAID</w:t>
      </w:r>
      <w:r>
        <w:t>, above n 4.</w:t>
      </w:r>
      <w:proofErr w:type="gramEnd"/>
    </w:p>
  </w:footnote>
  <w:footnote w:id="31">
    <w:p w:rsidR="00ED17B5" w:rsidRDefault="00ED17B5" w:rsidP="00A26BFA">
      <w:pPr>
        <w:pStyle w:val="FootnoteText"/>
      </w:pPr>
      <w:r>
        <w:rPr>
          <w:rStyle w:val="FootnoteReference"/>
        </w:rPr>
        <w:footnoteRef/>
      </w:r>
      <w:r>
        <w:t xml:space="preserve"> </w:t>
      </w:r>
      <w:proofErr w:type="gramStart"/>
      <w:r>
        <w:t xml:space="preserve">Raja </w:t>
      </w:r>
      <w:proofErr w:type="spellStart"/>
      <w:r>
        <w:t>Devashi</w:t>
      </w:r>
      <w:proofErr w:type="spellEnd"/>
      <w:r>
        <w:t xml:space="preserve"> Roy, </w:t>
      </w:r>
      <w:r w:rsidRPr="00BE2F2A">
        <w:rPr>
          <w:i/>
        </w:rPr>
        <w:t>Traditional</w:t>
      </w:r>
      <w:r>
        <w:rPr>
          <w:i/>
        </w:rPr>
        <w:t xml:space="preserve"> Customary Laws and Indigenous Peoples in Asia </w:t>
      </w:r>
      <w:r>
        <w:t>(2005) Minority Rights Group International &lt;</w:t>
      </w:r>
      <w:r w:rsidRPr="00BE2F2A">
        <w:t>http://www.refworld.org/pdfid/469cbfb70.pdf</w:t>
      </w:r>
      <w:r>
        <w:t>&gt;.</w:t>
      </w:r>
      <w:proofErr w:type="gramEnd"/>
      <w:r>
        <w:t xml:space="preserve"> </w:t>
      </w:r>
    </w:p>
  </w:footnote>
  <w:footnote w:id="32">
    <w:p w:rsidR="00ED17B5" w:rsidRDefault="00ED17B5">
      <w:pPr>
        <w:pStyle w:val="FootnoteText"/>
      </w:pPr>
      <w:r>
        <w:rPr>
          <w:rStyle w:val="FootnoteReference"/>
        </w:rPr>
        <w:footnoteRef/>
      </w:r>
      <w:r>
        <w:t xml:space="preserve"> </w:t>
      </w:r>
      <w:proofErr w:type="spellStart"/>
      <w:proofErr w:type="gramStart"/>
      <w:r>
        <w:t>Nazrul</w:t>
      </w:r>
      <w:proofErr w:type="spellEnd"/>
      <w:r>
        <w:t xml:space="preserve"> Islam et al, above n 7, 14.</w:t>
      </w:r>
      <w:proofErr w:type="gramEnd"/>
    </w:p>
  </w:footnote>
  <w:footnote w:id="33">
    <w:p w:rsidR="00ED17B5" w:rsidRDefault="00ED17B5">
      <w:pPr>
        <w:pStyle w:val="FootnoteText"/>
      </w:pPr>
      <w:r>
        <w:rPr>
          <w:rStyle w:val="FootnoteReference"/>
        </w:rPr>
        <w:footnoteRef/>
      </w:r>
      <w:r>
        <w:t xml:space="preserve"> </w:t>
      </w:r>
      <w:proofErr w:type="gramStart"/>
      <w:r>
        <w:t>Ibid 20.</w:t>
      </w:r>
      <w:proofErr w:type="gramEnd"/>
    </w:p>
  </w:footnote>
  <w:footnote w:id="34">
    <w:p w:rsidR="00ED17B5" w:rsidRDefault="00ED17B5">
      <w:pPr>
        <w:pStyle w:val="FootnoteText"/>
      </w:pPr>
      <w:r>
        <w:rPr>
          <w:rStyle w:val="FootnoteReference"/>
        </w:rPr>
        <w:footnoteRef/>
      </w:r>
      <w:r>
        <w:t xml:space="preserve"> Ibid.</w:t>
      </w:r>
    </w:p>
  </w:footnote>
  <w:footnote w:id="35">
    <w:p w:rsidR="00ED17B5" w:rsidRDefault="00ED17B5">
      <w:pPr>
        <w:pStyle w:val="FootnoteText"/>
      </w:pPr>
      <w:r>
        <w:rPr>
          <w:rStyle w:val="FootnoteReference"/>
        </w:rPr>
        <w:footnoteRef/>
      </w:r>
      <w:r>
        <w:t xml:space="preserve"> </w:t>
      </w:r>
      <w:proofErr w:type="gramStart"/>
      <w:r>
        <w:t xml:space="preserve">Salma </w:t>
      </w:r>
      <w:proofErr w:type="spellStart"/>
      <w:r>
        <w:t>Shafi</w:t>
      </w:r>
      <w:proofErr w:type="spellEnd"/>
      <w:r>
        <w:t>, Geoffrey Payne and Geoffrey Payne and Associates, above n 3, vi-vii.</w:t>
      </w:r>
      <w:proofErr w:type="gramEnd"/>
      <w:r>
        <w:t xml:space="preserve"> </w:t>
      </w:r>
    </w:p>
  </w:footnote>
  <w:footnote w:id="36">
    <w:p w:rsidR="00ED17B5" w:rsidRDefault="00ED17B5" w:rsidP="00555A34">
      <w:pPr>
        <w:pStyle w:val="FootnoteText"/>
      </w:pPr>
      <w:r>
        <w:rPr>
          <w:rStyle w:val="FootnoteReference"/>
        </w:rPr>
        <w:footnoteRef/>
      </w:r>
      <w:r>
        <w:t xml:space="preserve"> Ibid.</w:t>
      </w:r>
    </w:p>
  </w:footnote>
  <w:footnote w:id="37">
    <w:p w:rsidR="00ED17B5" w:rsidRDefault="00ED17B5" w:rsidP="00D80C1C">
      <w:pPr>
        <w:pStyle w:val="FootnoteText"/>
      </w:pPr>
      <w:r>
        <w:rPr>
          <w:rStyle w:val="FootnoteReference"/>
        </w:rPr>
        <w:footnoteRef/>
      </w:r>
      <w:r>
        <w:t xml:space="preserve"> USAID, above n 4; Sultana Kamal, </w:t>
      </w:r>
      <w:r w:rsidRPr="00BE2F2A">
        <w:rPr>
          <w:i/>
        </w:rPr>
        <w:t>Law for Muslim Women in Bangladesh</w:t>
      </w:r>
      <w:r>
        <w:t xml:space="preserve"> (September 1988) Women Living </w:t>
      </w:r>
      <w:proofErr w:type="gramStart"/>
      <w:r>
        <w:t>Under</w:t>
      </w:r>
      <w:proofErr w:type="gramEnd"/>
      <w:r>
        <w:t xml:space="preserve"> Muslim Laws &lt;</w:t>
      </w:r>
      <w:r w:rsidRPr="00BE2F2A">
        <w:t>http://www.wluml.org/node/248</w:t>
      </w:r>
      <w:r>
        <w:t xml:space="preserve"> &gt;; </w:t>
      </w:r>
      <w:r w:rsidRPr="008C48E4">
        <w:t xml:space="preserve">see also the </w:t>
      </w:r>
      <w:r w:rsidRPr="00D80C1C">
        <w:rPr>
          <w:i/>
        </w:rPr>
        <w:t>Muslim Family Law Ordinance of 1961</w:t>
      </w:r>
      <w:r w:rsidRPr="008C48E4">
        <w:t>.</w:t>
      </w:r>
    </w:p>
  </w:footnote>
  <w:footnote w:id="38">
    <w:p w:rsidR="00ED17B5" w:rsidRDefault="00ED17B5">
      <w:pPr>
        <w:pStyle w:val="FootnoteText"/>
      </w:pPr>
      <w:r>
        <w:rPr>
          <w:rStyle w:val="FootnoteReference"/>
        </w:rPr>
        <w:footnoteRef/>
      </w:r>
      <w:r>
        <w:t xml:space="preserve"> International Land Coalition, above n 1, 24; A M J </w:t>
      </w:r>
      <w:proofErr w:type="spellStart"/>
      <w:r>
        <w:t>Arens</w:t>
      </w:r>
      <w:proofErr w:type="spellEnd"/>
      <w:r>
        <w:t xml:space="preserve">, </w:t>
      </w:r>
      <w:r>
        <w:rPr>
          <w:i/>
        </w:rPr>
        <w:t xml:space="preserve">Women, land and power in Bangladesh: </w:t>
      </w:r>
      <w:proofErr w:type="spellStart"/>
      <w:r>
        <w:rPr>
          <w:i/>
        </w:rPr>
        <w:t>Jhagrapur</w:t>
      </w:r>
      <w:proofErr w:type="spellEnd"/>
      <w:r>
        <w:rPr>
          <w:i/>
        </w:rPr>
        <w:t xml:space="preserve"> revisited</w:t>
      </w:r>
      <w:r>
        <w:t xml:space="preserve"> (2011) University of Amsterdam &lt; </w:t>
      </w:r>
      <w:r w:rsidRPr="00BE2F2A">
        <w:t>https://pure.uva.nl/ws/files/1321666/92159_14.pdf</w:t>
      </w:r>
      <w:r>
        <w:t xml:space="preserve"> &gt;. </w:t>
      </w:r>
    </w:p>
  </w:footnote>
  <w:footnote w:id="39">
    <w:p w:rsidR="00ED17B5" w:rsidRDefault="00ED17B5">
      <w:pPr>
        <w:pStyle w:val="FootnoteText"/>
      </w:pPr>
      <w:r>
        <w:rPr>
          <w:rStyle w:val="FootnoteReference"/>
        </w:rPr>
        <w:footnoteRef/>
      </w:r>
      <w:r>
        <w:t xml:space="preserve"> Ibid.</w:t>
      </w:r>
    </w:p>
  </w:footnote>
  <w:footnote w:id="40">
    <w:p w:rsidR="00ED17B5" w:rsidRDefault="00ED17B5">
      <w:pPr>
        <w:pStyle w:val="FootnoteText"/>
      </w:pPr>
      <w:r>
        <w:rPr>
          <w:rStyle w:val="FootnoteReference"/>
        </w:rPr>
        <w:footnoteRef/>
      </w:r>
      <w:r>
        <w:t xml:space="preserve"> Ibid.</w:t>
      </w:r>
    </w:p>
  </w:footnote>
  <w:footnote w:id="41">
    <w:p w:rsidR="00ED17B5" w:rsidRDefault="00ED17B5">
      <w:pPr>
        <w:pStyle w:val="FootnoteText"/>
      </w:pPr>
      <w:r>
        <w:rPr>
          <w:rStyle w:val="FootnoteReference"/>
        </w:rPr>
        <w:footnoteRef/>
      </w:r>
      <w:r>
        <w:t xml:space="preserve"> Ibid.</w:t>
      </w:r>
    </w:p>
  </w:footnote>
  <w:footnote w:id="42">
    <w:p w:rsidR="00ED17B5" w:rsidRDefault="00ED17B5">
      <w:pPr>
        <w:pStyle w:val="FootnoteText"/>
      </w:pPr>
      <w:r>
        <w:rPr>
          <w:rStyle w:val="FootnoteReference"/>
        </w:rPr>
        <w:footnoteRef/>
      </w:r>
      <w:r>
        <w:t xml:space="preserve"> </w:t>
      </w:r>
      <w:proofErr w:type="gramStart"/>
      <w:r w:rsidRPr="00C102D4">
        <w:t>USAID</w:t>
      </w:r>
      <w:r>
        <w:t>, above n 4, 8.</w:t>
      </w:r>
      <w:proofErr w:type="gramEnd"/>
    </w:p>
  </w:footnote>
  <w:footnote w:id="43">
    <w:p w:rsidR="00ED17B5" w:rsidRDefault="00ED17B5">
      <w:pPr>
        <w:pStyle w:val="FootnoteText"/>
      </w:pPr>
      <w:r>
        <w:rPr>
          <w:rStyle w:val="FootnoteReference"/>
        </w:rPr>
        <w:footnoteRef/>
      </w:r>
      <w:r>
        <w:t xml:space="preserve"> </w:t>
      </w:r>
      <w:proofErr w:type="gramStart"/>
      <w:r>
        <w:t>Ibid 5.</w:t>
      </w:r>
      <w:proofErr w:type="gramEnd"/>
    </w:p>
  </w:footnote>
  <w:footnote w:id="44">
    <w:p w:rsidR="00ED17B5" w:rsidRDefault="00ED17B5">
      <w:pPr>
        <w:pStyle w:val="FootnoteText"/>
      </w:pPr>
      <w:r>
        <w:rPr>
          <w:rStyle w:val="FootnoteReference"/>
        </w:rPr>
        <w:footnoteRef/>
      </w:r>
      <w:r>
        <w:t xml:space="preserve"> </w:t>
      </w:r>
      <w:proofErr w:type="gramStart"/>
      <w:r>
        <w:t>International Land Coalition, above n 1, 23.</w:t>
      </w:r>
      <w:proofErr w:type="gramEnd"/>
    </w:p>
  </w:footnote>
  <w:footnote w:id="45">
    <w:p w:rsidR="00ED17B5" w:rsidRPr="008E5D9D" w:rsidRDefault="00ED17B5">
      <w:pPr>
        <w:pStyle w:val="FootnoteText"/>
      </w:pPr>
      <w:r>
        <w:rPr>
          <w:rStyle w:val="FootnoteReference"/>
        </w:rPr>
        <w:footnoteRef/>
      </w:r>
      <w:r>
        <w:t xml:space="preserve"> </w:t>
      </w:r>
      <w:proofErr w:type="spellStart"/>
      <w:r>
        <w:t>Abul</w:t>
      </w:r>
      <w:proofErr w:type="spellEnd"/>
      <w:r>
        <w:t xml:space="preserve"> </w:t>
      </w:r>
      <w:proofErr w:type="spellStart"/>
      <w:r>
        <w:t>Barkat</w:t>
      </w:r>
      <w:proofErr w:type="spellEnd"/>
      <w:r>
        <w:t xml:space="preserve">, </w:t>
      </w:r>
      <w:r>
        <w:rPr>
          <w:i/>
        </w:rPr>
        <w:t>Deprivation of Hindu Minority in Bangladesh: Living with Vested Property</w:t>
      </w:r>
      <w:r>
        <w:t xml:space="preserve"> (</w:t>
      </w:r>
      <w:proofErr w:type="spellStart"/>
      <w:r>
        <w:t>Pathak</w:t>
      </w:r>
      <w:proofErr w:type="spellEnd"/>
      <w:r>
        <w:t xml:space="preserve"> </w:t>
      </w:r>
      <w:proofErr w:type="spellStart"/>
      <w:r>
        <w:t>Shamabesh</w:t>
      </w:r>
      <w:proofErr w:type="spellEnd"/>
      <w:r>
        <w:t>, Dhaka, 2008) 2.</w:t>
      </w:r>
    </w:p>
  </w:footnote>
  <w:footnote w:id="46">
    <w:p w:rsidR="00ED17B5" w:rsidRDefault="00ED17B5">
      <w:pPr>
        <w:pStyle w:val="FootnoteText"/>
      </w:pPr>
      <w:r>
        <w:rPr>
          <w:rStyle w:val="FootnoteReference"/>
        </w:rPr>
        <w:footnoteRef/>
      </w:r>
      <w:r>
        <w:t xml:space="preserve"> </w:t>
      </w:r>
      <w:proofErr w:type="gramStart"/>
      <w:r>
        <w:t>International Land Coalition, above n 1, 23.</w:t>
      </w:r>
      <w:proofErr w:type="gramEnd"/>
    </w:p>
  </w:footnote>
  <w:footnote w:id="47">
    <w:p w:rsidR="00ED17B5" w:rsidRDefault="00ED17B5">
      <w:pPr>
        <w:pStyle w:val="FootnoteText"/>
      </w:pPr>
      <w:r>
        <w:rPr>
          <w:rStyle w:val="FootnoteReference"/>
        </w:rPr>
        <w:footnoteRef/>
      </w:r>
      <w:r>
        <w:t xml:space="preserve"> See, </w:t>
      </w:r>
      <w:proofErr w:type="spellStart"/>
      <w:r>
        <w:t>eg</w:t>
      </w:r>
      <w:proofErr w:type="spellEnd"/>
      <w:r>
        <w:t xml:space="preserve">, </w:t>
      </w:r>
      <w:proofErr w:type="spellStart"/>
      <w:r>
        <w:t>Upal</w:t>
      </w:r>
      <w:proofErr w:type="spellEnd"/>
      <w:r>
        <w:t xml:space="preserve"> </w:t>
      </w:r>
      <w:proofErr w:type="spellStart"/>
      <w:r>
        <w:t>Aditya</w:t>
      </w:r>
      <w:proofErr w:type="spellEnd"/>
      <w:r>
        <w:t xml:space="preserve"> </w:t>
      </w:r>
      <w:proofErr w:type="spellStart"/>
      <w:r>
        <w:t>Oikya</w:t>
      </w:r>
      <w:proofErr w:type="spellEnd"/>
      <w:r>
        <w:t>, '</w:t>
      </w:r>
      <w:r w:rsidRPr="00FC6ADE">
        <w:rPr>
          <w:lang w:val="en-US"/>
        </w:rPr>
        <w:t>The Vested Property Repeal (Return) Act 2001, A Road to Solution or the Perpetuation of Deprivation of the Hindu Minorities in Bangladesh</w:t>
      </w:r>
      <w:r>
        <w:rPr>
          <w:lang w:val="en-US"/>
        </w:rPr>
        <w:t xml:space="preserve">' </w:t>
      </w:r>
      <w:r>
        <w:rPr>
          <w:i/>
          <w:lang w:val="en-US"/>
        </w:rPr>
        <w:t xml:space="preserve">South Asia Journal </w:t>
      </w:r>
      <w:r>
        <w:rPr>
          <w:lang w:val="en-US"/>
        </w:rPr>
        <w:t>(8 February 2017) &lt;</w:t>
      </w:r>
      <w:r w:rsidRPr="00FC6ADE">
        <w:rPr>
          <w:lang w:val="en-US"/>
        </w:rPr>
        <w:t>http://southasiajournal.net/the-vested-property-repeal-return-act-2001-a-road-to-solution-or-the-perpetuation-of-deprivation-of-the-hindu-minorities-in-bangladesh/</w:t>
      </w:r>
      <w:r>
        <w:rPr>
          <w:lang w:val="en-US"/>
        </w:rPr>
        <w:t>&gt;.</w:t>
      </w:r>
    </w:p>
  </w:footnote>
  <w:footnote w:id="48">
    <w:p w:rsidR="00ED17B5" w:rsidRDefault="00ED17B5">
      <w:pPr>
        <w:pStyle w:val="FootnoteText"/>
      </w:pPr>
      <w:r>
        <w:rPr>
          <w:rStyle w:val="FootnoteReference"/>
        </w:rPr>
        <w:footnoteRef/>
      </w:r>
      <w:r>
        <w:t xml:space="preserve"> </w:t>
      </w:r>
      <w:r w:rsidRPr="009950DF">
        <w:rPr>
          <w:i/>
        </w:rPr>
        <w:t>Limitation Act 1908</w:t>
      </w:r>
      <w:r>
        <w:t xml:space="preserve"> s 28; Item 44 of the First Schedule to the </w:t>
      </w:r>
      <w:r w:rsidRPr="009950DF">
        <w:rPr>
          <w:i/>
        </w:rPr>
        <w:t>Limitation Act 1908</w:t>
      </w:r>
      <w:r>
        <w:t>.</w:t>
      </w:r>
    </w:p>
  </w:footnote>
  <w:footnote w:id="49">
    <w:p w:rsidR="00ED17B5" w:rsidRDefault="00ED17B5">
      <w:pPr>
        <w:pStyle w:val="FootnoteText"/>
      </w:pPr>
      <w:r>
        <w:rPr>
          <w:rStyle w:val="FootnoteReference"/>
        </w:rPr>
        <w:footnoteRef/>
      </w:r>
      <w:r>
        <w:t xml:space="preserve"> </w:t>
      </w:r>
      <w:proofErr w:type="gramStart"/>
      <w:r w:rsidRPr="00C102D4">
        <w:t>USAID</w:t>
      </w:r>
      <w:r>
        <w:t>, above n 4, 6.</w:t>
      </w:r>
      <w:proofErr w:type="gramEnd"/>
    </w:p>
  </w:footnote>
  <w:footnote w:id="50">
    <w:p w:rsidR="00ED17B5" w:rsidRDefault="00ED17B5" w:rsidP="00422CE7">
      <w:pPr>
        <w:pStyle w:val="FootnoteText"/>
      </w:pPr>
      <w:r>
        <w:rPr>
          <w:rStyle w:val="FootnoteReference"/>
        </w:rPr>
        <w:footnoteRef/>
      </w:r>
      <w:r>
        <w:t xml:space="preserve"> </w:t>
      </w:r>
      <w:proofErr w:type="spellStart"/>
      <w:proofErr w:type="gramStart"/>
      <w:r>
        <w:t>Nazrul</w:t>
      </w:r>
      <w:proofErr w:type="spellEnd"/>
      <w:r>
        <w:t xml:space="preserve"> Islam et al, above n 7, 20.</w:t>
      </w:r>
      <w:proofErr w:type="gramEnd"/>
    </w:p>
  </w:footnote>
  <w:footnote w:id="51">
    <w:p w:rsidR="00ED17B5" w:rsidRDefault="00ED17B5" w:rsidP="00422CE7">
      <w:pPr>
        <w:pStyle w:val="FootnoteText"/>
      </w:pPr>
      <w:r>
        <w:rPr>
          <w:rStyle w:val="FootnoteReference"/>
        </w:rPr>
        <w:footnoteRef/>
      </w:r>
      <w:r>
        <w:t xml:space="preserve"> </w:t>
      </w:r>
      <w:proofErr w:type="gramStart"/>
      <w:r w:rsidRPr="002F6C6A">
        <w:rPr>
          <w:i/>
        </w:rPr>
        <w:t>The Government and Local Authority Land and Buildings (Recovery of Possession) Ordinance 1970</w:t>
      </w:r>
      <w:r>
        <w:t xml:space="preserve"> s 5(1).</w:t>
      </w:r>
      <w:proofErr w:type="gramEnd"/>
    </w:p>
  </w:footnote>
  <w:footnote w:id="52">
    <w:p w:rsidR="00ED17B5" w:rsidRDefault="00ED17B5" w:rsidP="00422CE7">
      <w:pPr>
        <w:pStyle w:val="FootnoteText"/>
      </w:pPr>
      <w:r>
        <w:rPr>
          <w:rStyle w:val="FootnoteReference"/>
        </w:rPr>
        <w:footnoteRef/>
      </w:r>
      <w:r>
        <w:t xml:space="preserve"> Ibid.</w:t>
      </w:r>
    </w:p>
  </w:footnote>
  <w:footnote w:id="53">
    <w:p w:rsidR="00ED17B5" w:rsidRPr="00DC0D91" w:rsidRDefault="00ED17B5" w:rsidP="00422CE7">
      <w:pPr>
        <w:pStyle w:val="FootnoteText"/>
      </w:pPr>
      <w:r>
        <w:rPr>
          <w:rStyle w:val="FootnoteReference"/>
        </w:rPr>
        <w:footnoteRef/>
      </w:r>
      <w:r>
        <w:t xml:space="preserve"> Mohamed Abdul </w:t>
      </w:r>
      <w:proofErr w:type="spellStart"/>
      <w:r>
        <w:t>Mohit</w:t>
      </w:r>
      <w:proofErr w:type="spellEnd"/>
      <w:r>
        <w:t>, '</w:t>
      </w:r>
      <w:proofErr w:type="spellStart"/>
      <w:r w:rsidRPr="00DC0D91">
        <w:rPr>
          <w:i/>
        </w:rPr>
        <w:t>Bastee</w:t>
      </w:r>
      <w:proofErr w:type="spellEnd"/>
      <w:r>
        <w:t xml:space="preserve"> Settlements of Dhaka City, Bangladesh: A Review of Policy Approaches and Challenges Ahead' </w:t>
      </w:r>
      <w:proofErr w:type="spellStart"/>
      <w:r>
        <w:rPr>
          <w:i/>
        </w:rPr>
        <w:t>Procedia</w:t>
      </w:r>
      <w:proofErr w:type="spellEnd"/>
      <w:r>
        <w:rPr>
          <w:i/>
        </w:rPr>
        <w:t xml:space="preserve"> – Social and Behavioural </w:t>
      </w:r>
      <w:r w:rsidRPr="00DC0D91">
        <w:t>Sciences</w:t>
      </w:r>
      <w:r>
        <w:t xml:space="preserve"> 26 (2012) 611, </w:t>
      </w:r>
      <w:r w:rsidRPr="00DC0D91">
        <w:t>615</w:t>
      </w:r>
      <w:r>
        <w:t xml:space="preserve">; </w:t>
      </w:r>
      <w:proofErr w:type="spellStart"/>
      <w:r>
        <w:t>Azm</w:t>
      </w:r>
      <w:proofErr w:type="spellEnd"/>
      <w:r>
        <w:t xml:space="preserve"> </w:t>
      </w:r>
      <w:proofErr w:type="spellStart"/>
      <w:r>
        <w:t>Anas</w:t>
      </w:r>
      <w:proofErr w:type="spellEnd"/>
      <w:r>
        <w:t xml:space="preserve">, 'After a Painful Eviction, Bangladesh Slum Dwellers Start Over with a 990Year Lease' </w:t>
      </w:r>
      <w:proofErr w:type="spellStart"/>
      <w:r>
        <w:rPr>
          <w:i/>
        </w:rPr>
        <w:t>Citiscope</w:t>
      </w:r>
      <w:proofErr w:type="spellEnd"/>
      <w:r>
        <w:t xml:space="preserve"> (13 </w:t>
      </w:r>
      <w:proofErr w:type="spellStart"/>
      <w:proofErr w:type="gramStart"/>
      <w:r>
        <w:t>november</w:t>
      </w:r>
      <w:proofErr w:type="spellEnd"/>
      <w:proofErr w:type="gramEnd"/>
      <w:r>
        <w:t xml:space="preserve"> 2015) &lt;</w:t>
      </w:r>
      <w:r w:rsidRPr="00DC0D91">
        <w:t>http://citiscope.org/story/2015/after-painful-eviction-bangladesh-slum-dwellers-start-over-99-year-lease</w:t>
      </w:r>
      <w:r>
        <w:t>&gt;.</w:t>
      </w:r>
    </w:p>
  </w:footnote>
  <w:footnote w:id="54">
    <w:p w:rsidR="00ED17B5" w:rsidRDefault="00ED17B5" w:rsidP="00422CE7">
      <w:pPr>
        <w:pStyle w:val="FootnoteText"/>
      </w:pPr>
      <w:r>
        <w:rPr>
          <w:rStyle w:val="FootnoteReference"/>
        </w:rPr>
        <w:footnoteRef/>
      </w:r>
      <w:r>
        <w:t xml:space="preserve"> Iain Byrne and Sara </w:t>
      </w:r>
      <w:proofErr w:type="spellStart"/>
      <w:r>
        <w:t>Hossain</w:t>
      </w:r>
      <w:proofErr w:type="spellEnd"/>
      <w:r>
        <w:t>, 'South Asia' in Malcolm Langford (</w:t>
      </w:r>
      <w:proofErr w:type="spellStart"/>
      <w:proofErr w:type="gramStart"/>
      <w:r>
        <w:t>ed</w:t>
      </w:r>
      <w:proofErr w:type="spellEnd"/>
      <w:proofErr w:type="gramEnd"/>
      <w:r>
        <w:t xml:space="preserve">) </w:t>
      </w:r>
      <w:r>
        <w:rPr>
          <w:i/>
        </w:rPr>
        <w:t xml:space="preserve">Social Rights </w:t>
      </w:r>
      <w:proofErr w:type="spellStart"/>
      <w:r>
        <w:rPr>
          <w:i/>
        </w:rPr>
        <w:t>Jurisproudence</w:t>
      </w:r>
      <w:proofErr w:type="spellEnd"/>
      <w:r>
        <w:rPr>
          <w:i/>
        </w:rPr>
        <w:t xml:space="preserve">: Emerging Trends in International and Comparative </w:t>
      </w:r>
      <w:r w:rsidRPr="000051BA">
        <w:t>Law</w:t>
      </w:r>
      <w:r>
        <w:t xml:space="preserve"> (Cambridge University Press, 2008) </w:t>
      </w:r>
      <w:r w:rsidRPr="000051BA">
        <w:t>139</w:t>
      </w:r>
      <w:r>
        <w:t xml:space="preserve">-140 citing </w:t>
      </w:r>
      <w:r w:rsidRPr="00E20909">
        <w:rPr>
          <w:i/>
        </w:rPr>
        <w:t>ASK v Government of Bangladesh</w:t>
      </w:r>
      <w:r>
        <w:t xml:space="preserve"> 19 BLD (1999) 488 and </w:t>
      </w:r>
      <w:proofErr w:type="spellStart"/>
      <w:r w:rsidRPr="00CD32CD">
        <w:rPr>
          <w:i/>
        </w:rPr>
        <w:t>Aleya</w:t>
      </w:r>
      <w:proofErr w:type="spellEnd"/>
      <w:r w:rsidRPr="00CD32CD">
        <w:rPr>
          <w:i/>
        </w:rPr>
        <w:t xml:space="preserve"> Begum v Bangladesh &amp; Others</w:t>
      </w:r>
      <w:r>
        <w:t xml:space="preserve"> 53 DLR (2001) 63.</w:t>
      </w:r>
    </w:p>
  </w:footnote>
  <w:footnote w:id="55">
    <w:p w:rsidR="00ED17B5" w:rsidRDefault="00ED17B5" w:rsidP="00422CE7">
      <w:pPr>
        <w:pStyle w:val="FootnoteText"/>
      </w:pPr>
      <w:r>
        <w:rPr>
          <w:rStyle w:val="FootnoteReference"/>
        </w:rPr>
        <w:footnoteRef/>
      </w:r>
      <w:r>
        <w:t xml:space="preserve"> Ibid.</w:t>
      </w:r>
    </w:p>
  </w:footnote>
  <w:footnote w:id="56">
    <w:p w:rsidR="00ED17B5" w:rsidRDefault="00ED17B5" w:rsidP="00814D45">
      <w:pPr>
        <w:pStyle w:val="FootnoteText"/>
      </w:pPr>
      <w:r>
        <w:rPr>
          <w:rStyle w:val="FootnoteReference"/>
        </w:rPr>
        <w:footnoteRef/>
      </w:r>
      <w:r>
        <w:t xml:space="preserve"> </w:t>
      </w:r>
      <w:proofErr w:type="spellStart"/>
      <w:r>
        <w:t>Mahbub</w:t>
      </w:r>
      <w:proofErr w:type="spellEnd"/>
      <w:r>
        <w:t xml:space="preserve"> </w:t>
      </w:r>
      <w:proofErr w:type="spellStart"/>
      <w:r>
        <w:t>Alam</w:t>
      </w:r>
      <w:proofErr w:type="spellEnd"/>
      <w:r>
        <w:t xml:space="preserve"> </w:t>
      </w:r>
      <w:proofErr w:type="spellStart"/>
      <w:r>
        <w:t>Talukder</w:t>
      </w:r>
      <w:proofErr w:type="spellEnd"/>
      <w:r>
        <w:t xml:space="preserve">, </w:t>
      </w:r>
      <w:r>
        <w:rPr>
          <w:i/>
        </w:rPr>
        <w:t xml:space="preserve">Land Acquisition Policy in Bangladesh: A Case Study on the Land Acquisition Activities of </w:t>
      </w:r>
      <w:proofErr w:type="spellStart"/>
      <w:r>
        <w:rPr>
          <w:i/>
        </w:rPr>
        <w:t>Tangail</w:t>
      </w:r>
      <w:proofErr w:type="spellEnd"/>
      <w:r>
        <w:rPr>
          <w:i/>
        </w:rPr>
        <w:t xml:space="preserve"> District, </w:t>
      </w:r>
      <w:r>
        <w:t>LLM Thesis, BRAC University, 2006 &lt;</w:t>
      </w:r>
      <w:r w:rsidRPr="005008CF">
        <w:t>http://dspace.bracu.ac.bd/jspui/bitstream/10361/268/1/Land%20Acquisition%20Policy.PDF</w:t>
      </w:r>
      <w:r>
        <w:t>&gt;.</w:t>
      </w:r>
    </w:p>
  </w:footnote>
  <w:footnote w:id="57">
    <w:p w:rsidR="00ED17B5" w:rsidRPr="00975285" w:rsidRDefault="00ED17B5" w:rsidP="00814D45">
      <w:pPr>
        <w:pStyle w:val="FootnoteText"/>
      </w:pPr>
      <w:r>
        <w:rPr>
          <w:rStyle w:val="FootnoteReference"/>
        </w:rPr>
        <w:footnoteRef/>
      </w:r>
      <w:r>
        <w:t xml:space="preserve"> </w:t>
      </w:r>
      <w:r w:rsidRPr="00DA079F">
        <w:rPr>
          <w:i/>
        </w:rPr>
        <w:t>Land Acquisition and Requisition Act of Immovable Property Ordinance, 1982</w:t>
      </w:r>
      <w:r>
        <w:t>, s 3.</w:t>
      </w:r>
    </w:p>
  </w:footnote>
  <w:footnote w:id="58">
    <w:p w:rsidR="00ED17B5" w:rsidRDefault="00ED17B5" w:rsidP="00814D45">
      <w:pPr>
        <w:pStyle w:val="FootnoteText"/>
      </w:pPr>
      <w:r>
        <w:rPr>
          <w:rStyle w:val="FootnoteReference"/>
        </w:rPr>
        <w:footnoteRef/>
      </w:r>
      <w:r>
        <w:t xml:space="preserve"> Ibid.</w:t>
      </w:r>
    </w:p>
  </w:footnote>
  <w:footnote w:id="59">
    <w:p w:rsidR="00ED17B5" w:rsidRDefault="00ED17B5" w:rsidP="00814D45">
      <w:pPr>
        <w:pStyle w:val="FootnoteText"/>
      </w:pPr>
      <w:r>
        <w:rPr>
          <w:rStyle w:val="FootnoteReference"/>
        </w:rPr>
        <w:footnoteRef/>
      </w:r>
      <w:r>
        <w:t xml:space="preserve"> </w:t>
      </w:r>
      <w:proofErr w:type="gramStart"/>
      <w:r>
        <w:t>Ibid, s 5(2).</w:t>
      </w:r>
      <w:proofErr w:type="gramEnd"/>
    </w:p>
  </w:footnote>
  <w:footnote w:id="60">
    <w:p w:rsidR="00ED17B5" w:rsidRDefault="00ED17B5" w:rsidP="00814D45">
      <w:pPr>
        <w:pStyle w:val="FootnoteText"/>
      </w:pPr>
      <w:r>
        <w:rPr>
          <w:rStyle w:val="FootnoteReference"/>
        </w:rPr>
        <w:footnoteRef/>
      </w:r>
      <w:r>
        <w:t xml:space="preserve"> </w:t>
      </w:r>
      <w:proofErr w:type="gramStart"/>
      <w:r>
        <w:t>Ibid, s 8.</w:t>
      </w:r>
      <w:proofErr w:type="gramEnd"/>
    </w:p>
  </w:footnote>
  <w:footnote w:id="61">
    <w:p w:rsidR="00ED17B5" w:rsidRDefault="00ED17B5" w:rsidP="00814D45">
      <w:pPr>
        <w:pStyle w:val="FootnoteText"/>
      </w:pPr>
      <w:r>
        <w:rPr>
          <w:rStyle w:val="FootnoteReference"/>
        </w:rPr>
        <w:footnoteRef/>
      </w:r>
      <w:r>
        <w:t xml:space="preserve"> </w:t>
      </w:r>
      <w:proofErr w:type="gramStart"/>
      <w:r>
        <w:t xml:space="preserve">USAID, </w:t>
      </w:r>
      <w:r w:rsidRPr="00DC5D80">
        <w:t>above n 4, 8.</w:t>
      </w:r>
      <w:proofErr w:type="gramEnd"/>
    </w:p>
  </w:footnote>
  <w:footnote w:id="62">
    <w:p w:rsidR="00ED17B5" w:rsidRPr="00DA079F" w:rsidRDefault="00ED17B5" w:rsidP="00814D45">
      <w:pPr>
        <w:pStyle w:val="FootnoteText"/>
      </w:pPr>
      <w:r>
        <w:rPr>
          <w:rStyle w:val="FootnoteReference"/>
        </w:rPr>
        <w:footnoteRef/>
      </w:r>
      <w:r>
        <w:t xml:space="preserve"> </w:t>
      </w:r>
      <w:r w:rsidRPr="00DA079F">
        <w:t>Dhaka Water and Sanitation Authority</w:t>
      </w:r>
      <w:r>
        <w:t xml:space="preserve">, </w:t>
      </w:r>
      <w:r w:rsidRPr="00DA079F">
        <w:rPr>
          <w:i/>
        </w:rPr>
        <w:t>Dhaka Water Supply and Sanitation Project: Resettlement Policy</w:t>
      </w:r>
      <w:r>
        <w:t xml:space="preserve"> (2008) &lt;</w:t>
      </w:r>
      <w:r w:rsidRPr="00DA079F">
        <w:t>http://documents.worldbank.org/curated/en/869151468003909535/pdf/RP69500VOL1010BOX0327393B.pdf</w:t>
      </w:r>
      <w:r>
        <w:t>&gt;, 3.</w:t>
      </w:r>
    </w:p>
  </w:footnote>
  <w:footnote w:id="63">
    <w:p w:rsidR="00ED17B5" w:rsidRDefault="00ED17B5" w:rsidP="00814D45">
      <w:pPr>
        <w:pStyle w:val="FootnoteText"/>
      </w:pPr>
      <w:r>
        <w:rPr>
          <w:rStyle w:val="FootnoteReference"/>
        </w:rPr>
        <w:footnoteRef/>
      </w:r>
      <w:r>
        <w:t xml:space="preserve"> </w:t>
      </w:r>
      <w:proofErr w:type="spellStart"/>
      <w:proofErr w:type="gramStart"/>
      <w:r>
        <w:t>LANDac</w:t>
      </w:r>
      <w:proofErr w:type="spellEnd"/>
      <w:r>
        <w:t xml:space="preserve">, </w:t>
      </w:r>
      <w:r w:rsidRPr="004C3721">
        <w:t>a</w:t>
      </w:r>
      <w:r>
        <w:t>bove n 4.</w:t>
      </w:r>
      <w:proofErr w:type="gramEnd"/>
    </w:p>
  </w:footnote>
  <w:footnote w:id="64">
    <w:p w:rsidR="00ED17B5" w:rsidRDefault="00ED17B5" w:rsidP="00814D45">
      <w:pPr>
        <w:pStyle w:val="FootnoteText"/>
      </w:pPr>
      <w:r>
        <w:rPr>
          <w:rStyle w:val="FootnoteReference"/>
        </w:rPr>
        <w:footnoteRef/>
      </w:r>
      <w:r>
        <w:t xml:space="preserve"> </w:t>
      </w:r>
      <w:r w:rsidRPr="00DA079F">
        <w:rPr>
          <w:i/>
        </w:rPr>
        <w:t>Land Acquisition and Requisition Act of Immovable Property Ordinance, 1982</w:t>
      </w:r>
      <w:r>
        <w:t>, s 11.</w:t>
      </w:r>
    </w:p>
  </w:footnote>
  <w:footnote w:id="65">
    <w:p w:rsidR="00ED17B5" w:rsidRDefault="00ED17B5" w:rsidP="00814D45">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7B5" w:rsidRPr="00620C38" w:rsidRDefault="00ED17B5" w:rsidP="00620C38">
    <w:pPr>
      <w:pStyle w:val="Header"/>
    </w:pPr>
    <w:r w:rsidRPr="00DD3A5B">
      <w:rPr>
        <w:lang w:val="es-EC" w:eastAsia="es-EC"/>
      </w:rPr>
      <w:drawing>
        <wp:anchor distT="0" distB="0" distL="114300" distR="114300" simplePos="0" relativeHeight="251663360" behindDoc="0" locked="0" layoutInCell="1" allowOverlap="1" wp14:anchorId="5771B1E7" wp14:editId="3FC2DEC2">
          <wp:simplePos x="0" y="0"/>
          <wp:positionH relativeFrom="column">
            <wp:posOffset>-588645</wp:posOffset>
          </wp:positionH>
          <wp:positionV relativeFrom="paragraph">
            <wp:posOffset>102870</wp:posOffset>
          </wp:positionV>
          <wp:extent cx="4067810" cy="509905"/>
          <wp:effectExtent l="0" t="0" r="889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009" t="26174" r="5188" b="31543"/>
                  <a:stretch/>
                </pic:blipFill>
                <pic:spPr bwMode="auto">
                  <a:xfrm>
                    <a:off x="0" y="0"/>
                    <a:ext cx="4067810"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3A5B">
      <w:rPr>
        <w:lang w:val="es-EC" w:eastAsia="es-EC"/>
      </w:rPr>
      <w:drawing>
        <wp:anchor distT="0" distB="0" distL="114300" distR="114300" simplePos="0" relativeHeight="251662336" behindDoc="0" locked="0" layoutInCell="1" allowOverlap="1" wp14:anchorId="31E88B46" wp14:editId="4133CB41">
          <wp:simplePos x="0" y="0"/>
          <wp:positionH relativeFrom="column">
            <wp:posOffset>3929380</wp:posOffset>
          </wp:positionH>
          <wp:positionV relativeFrom="paragraph">
            <wp:posOffset>-99060</wp:posOffset>
          </wp:positionV>
          <wp:extent cx="2562225" cy="73279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9766"/>
                  <a:stretch/>
                </pic:blipFill>
                <pic:spPr bwMode="auto">
                  <a:xfrm>
                    <a:off x="0" y="0"/>
                    <a:ext cx="2562225"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7B5" w:rsidRDefault="00ED17B5">
    <w:pPr>
      <w:pStyle w:val="Header"/>
    </w:pPr>
    <w:r w:rsidRPr="00DD3A5B">
      <w:rPr>
        <w:lang w:val="es-EC" w:eastAsia="es-EC"/>
      </w:rPr>
      <w:drawing>
        <wp:anchor distT="0" distB="0" distL="114300" distR="114300" simplePos="0" relativeHeight="251660288" behindDoc="0" locked="0" layoutInCell="1" allowOverlap="1" wp14:anchorId="7B0959BF" wp14:editId="30C4EC20">
          <wp:simplePos x="0" y="0"/>
          <wp:positionH relativeFrom="column">
            <wp:posOffset>-617220</wp:posOffset>
          </wp:positionH>
          <wp:positionV relativeFrom="paragraph">
            <wp:posOffset>73025</wp:posOffset>
          </wp:positionV>
          <wp:extent cx="4067810" cy="509905"/>
          <wp:effectExtent l="0" t="0" r="889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009" t="26174" r="5188" b="31543"/>
                  <a:stretch/>
                </pic:blipFill>
                <pic:spPr bwMode="auto">
                  <a:xfrm>
                    <a:off x="0" y="0"/>
                    <a:ext cx="4067810"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3A5B">
      <w:rPr>
        <w:lang w:val="es-EC" w:eastAsia="es-EC"/>
      </w:rPr>
      <w:drawing>
        <wp:anchor distT="0" distB="0" distL="114300" distR="114300" simplePos="0" relativeHeight="251659264" behindDoc="0" locked="0" layoutInCell="1" allowOverlap="1" wp14:anchorId="0DA34525" wp14:editId="4BA054C9">
          <wp:simplePos x="0" y="0"/>
          <wp:positionH relativeFrom="column">
            <wp:posOffset>3900805</wp:posOffset>
          </wp:positionH>
          <wp:positionV relativeFrom="paragraph">
            <wp:posOffset>-128905</wp:posOffset>
          </wp:positionV>
          <wp:extent cx="2562225" cy="73279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9766"/>
                  <a:stretch/>
                </pic:blipFill>
                <pic:spPr bwMode="auto">
                  <a:xfrm>
                    <a:off x="0" y="0"/>
                    <a:ext cx="2562225"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946"/>
      <w:gridCol w:w="2410"/>
    </w:tblGrid>
    <w:tr w:rsidR="00ED17B5" w:rsidRPr="00620C38" w:rsidTr="00BD179D">
      <w:trPr>
        <w:trHeight w:hRule="exact" w:val="900"/>
      </w:trPr>
      <w:tc>
        <w:tcPr>
          <w:tcW w:w="6946" w:type="dxa"/>
          <w:vAlign w:val="bottom"/>
        </w:tcPr>
        <w:p w:rsidR="00ED17B5" w:rsidRPr="00620C38" w:rsidRDefault="00ED17B5" w:rsidP="00620C38">
          <w:pPr>
            <w:spacing w:line="240" w:lineRule="auto"/>
            <w:rPr>
              <w:noProof/>
            </w:rPr>
          </w:pPr>
        </w:p>
      </w:tc>
      <w:tc>
        <w:tcPr>
          <w:tcW w:w="2410" w:type="dxa"/>
          <w:vAlign w:val="bottom"/>
        </w:tcPr>
        <w:p w:rsidR="00ED17B5" w:rsidRPr="00620C38" w:rsidRDefault="00ED17B5" w:rsidP="00620C38">
          <w:pPr>
            <w:spacing w:line="240" w:lineRule="auto"/>
            <w:jc w:val="center"/>
            <w:rPr>
              <w:noProof/>
            </w:rPr>
          </w:pPr>
          <w:r w:rsidRPr="00620C38">
            <w:rPr>
              <w:noProof/>
              <w:lang w:val="es-EC" w:eastAsia="es-EC"/>
            </w:rPr>
            <w:drawing>
              <wp:inline distT="0" distB="0" distL="0" distR="0" wp14:anchorId="125E8367" wp14:editId="4EE3D1DF">
                <wp:extent cx="1442085" cy="132080"/>
                <wp:effectExtent l="0" t="0" r="571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132080"/>
                        </a:xfrm>
                        <a:prstGeom prst="rect">
                          <a:avLst/>
                        </a:prstGeom>
                        <a:noFill/>
                        <a:ln>
                          <a:noFill/>
                        </a:ln>
                      </pic:spPr>
                    </pic:pic>
                  </a:graphicData>
                </a:graphic>
              </wp:inline>
            </w:drawing>
          </w:r>
        </w:p>
      </w:tc>
    </w:tr>
  </w:tbl>
  <w:p w:rsidR="00ED17B5" w:rsidRPr="00620C38" w:rsidRDefault="00ED17B5" w:rsidP="00620C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ayout w:type="fixed"/>
      <w:tblCellMar>
        <w:left w:w="0" w:type="dxa"/>
        <w:right w:w="0" w:type="dxa"/>
      </w:tblCellMar>
      <w:tblLook w:val="0000" w:firstRow="0" w:lastRow="0" w:firstColumn="0" w:lastColumn="0" w:noHBand="0" w:noVBand="0"/>
    </w:tblPr>
    <w:tblGrid>
      <w:gridCol w:w="6946"/>
      <w:gridCol w:w="2410"/>
    </w:tblGrid>
    <w:tr w:rsidR="00ED17B5" w:rsidRPr="0077043A" w:rsidTr="00BD179D">
      <w:trPr>
        <w:trHeight w:hRule="exact" w:val="900"/>
      </w:trPr>
      <w:tc>
        <w:tcPr>
          <w:tcW w:w="6946" w:type="dxa"/>
          <w:vAlign w:val="bottom"/>
        </w:tcPr>
        <w:p w:rsidR="00ED17B5" w:rsidRDefault="00ED17B5" w:rsidP="00BD179D">
          <w:pPr>
            <w:pStyle w:val="HeaderTitle"/>
          </w:pPr>
        </w:p>
      </w:tc>
      <w:tc>
        <w:tcPr>
          <w:tcW w:w="2410" w:type="dxa"/>
          <w:vAlign w:val="bottom"/>
        </w:tcPr>
        <w:p w:rsidR="00ED17B5" w:rsidRPr="006A4582" w:rsidRDefault="00ED17B5" w:rsidP="00BD179D">
          <w:pPr>
            <w:pStyle w:val="HeaderTitle"/>
            <w:jc w:val="right"/>
            <w:rPr>
              <w:rFonts w:ascii="Times New Roman" w:hAnsi="Times New Roman"/>
            </w:rPr>
          </w:pPr>
          <w:r w:rsidRPr="00620C38">
            <w:rPr>
              <w:lang w:val="es-EC" w:eastAsia="es-EC"/>
            </w:rPr>
            <w:drawing>
              <wp:inline distT="0" distB="0" distL="0" distR="0" wp14:anchorId="6B096964" wp14:editId="631D06EE">
                <wp:extent cx="1442085" cy="132080"/>
                <wp:effectExtent l="0" t="0" r="5715"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132080"/>
                        </a:xfrm>
                        <a:prstGeom prst="rect">
                          <a:avLst/>
                        </a:prstGeom>
                        <a:noFill/>
                        <a:ln>
                          <a:noFill/>
                        </a:ln>
                      </pic:spPr>
                    </pic:pic>
                  </a:graphicData>
                </a:graphic>
              </wp:inline>
            </w:drawing>
          </w:r>
        </w:p>
      </w:tc>
    </w:tr>
  </w:tbl>
  <w:p w:rsidR="00ED17B5" w:rsidRPr="00620C38" w:rsidRDefault="00ED17B5" w:rsidP="00620C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EDF"/>
    <w:multiLevelType w:val="hybridMultilevel"/>
    <w:tmpl w:val="223CC0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6B91A9D"/>
    <w:multiLevelType w:val="multilevel"/>
    <w:tmpl w:val="7FF6701A"/>
    <w:lvl w:ilvl="0">
      <w:start w:val="1"/>
      <w:numFmt w:val="decimal"/>
      <w:pStyle w:val="level1"/>
      <w:lvlText w:val="%1"/>
      <w:lvlJc w:val="left"/>
      <w:pPr>
        <w:tabs>
          <w:tab w:val="num" w:pos="709"/>
        </w:tabs>
        <w:ind w:left="709" w:hanging="709"/>
      </w:pPr>
      <w:rPr>
        <w:rFonts w:hint="default"/>
      </w:rPr>
    </w:lvl>
    <w:lvl w:ilvl="1">
      <w:start w:val="1"/>
      <w:numFmt w:val="decimal"/>
      <w:pStyle w:val="level2"/>
      <w:lvlText w:val="%1.%2"/>
      <w:lvlJc w:val="left"/>
      <w:pPr>
        <w:tabs>
          <w:tab w:val="num" w:pos="709"/>
        </w:tabs>
        <w:ind w:left="709" w:hanging="709"/>
      </w:pPr>
      <w:rPr>
        <w:rFonts w:hint="default"/>
      </w:rPr>
    </w:lvl>
    <w:lvl w:ilvl="2">
      <w:start w:val="1"/>
      <w:numFmt w:val="lowerLetter"/>
      <w:pStyle w:val="level3"/>
      <w:lvlText w:val="(%3)"/>
      <w:lvlJc w:val="left"/>
      <w:pPr>
        <w:tabs>
          <w:tab w:val="num" w:pos="1418"/>
        </w:tabs>
        <w:ind w:left="1418" w:hanging="709"/>
      </w:pPr>
      <w:rPr>
        <w:rFonts w:hint="default"/>
      </w:rPr>
    </w:lvl>
    <w:lvl w:ilvl="3">
      <w:start w:val="1"/>
      <w:numFmt w:val="lowerRoman"/>
      <w:pStyle w:val="level4"/>
      <w:lvlText w:val="(%4)"/>
      <w:lvlJc w:val="left"/>
      <w:pPr>
        <w:tabs>
          <w:tab w:val="num" w:pos="2126"/>
        </w:tabs>
        <w:ind w:left="2126" w:hanging="708"/>
      </w:pPr>
      <w:rPr>
        <w:rFonts w:hint="default"/>
      </w:rPr>
    </w:lvl>
    <w:lvl w:ilvl="4">
      <w:start w:val="1"/>
      <w:numFmt w:val="upperLetter"/>
      <w:pStyle w:val="level5"/>
      <w:lvlText w:val="(%5)"/>
      <w:lvlJc w:val="left"/>
      <w:pPr>
        <w:tabs>
          <w:tab w:val="num" w:pos="2835"/>
        </w:tabs>
        <w:ind w:left="2835" w:hanging="709"/>
      </w:pPr>
      <w:rPr>
        <w:rFonts w:hint="default"/>
      </w:rPr>
    </w:lvl>
    <w:lvl w:ilvl="5">
      <w:start w:val="1"/>
      <w:numFmt w:val="decimal"/>
      <w:pStyle w:val="level6"/>
      <w:lvlText w:val="(%6)"/>
      <w:lvlJc w:val="left"/>
      <w:pPr>
        <w:tabs>
          <w:tab w:val="num" w:pos="3544"/>
        </w:tabs>
        <w:ind w:left="3544" w:hanging="709"/>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nsid w:val="101B1BA9"/>
    <w:multiLevelType w:val="hybridMultilevel"/>
    <w:tmpl w:val="8F9AB39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nsid w:val="17401FB3"/>
    <w:multiLevelType w:val="hybridMultilevel"/>
    <w:tmpl w:val="9376BA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nsid w:val="212A0D2A"/>
    <w:multiLevelType w:val="hybridMultilevel"/>
    <w:tmpl w:val="4E94E7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C5A408E"/>
    <w:multiLevelType w:val="hybridMultilevel"/>
    <w:tmpl w:val="9702C7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2DB2662"/>
    <w:multiLevelType w:val="multilevel"/>
    <w:tmpl w:val="A108549C"/>
    <w:lvl w:ilvl="0">
      <w:start w:val="1"/>
      <w:numFmt w:val="decimal"/>
      <w:pStyle w:val="GNLevel1"/>
      <w:lvlText w:val="%1"/>
      <w:lvlJc w:val="left"/>
      <w:pPr>
        <w:tabs>
          <w:tab w:val="num" w:pos="709"/>
        </w:tabs>
        <w:ind w:left="709" w:hanging="709"/>
      </w:pPr>
      <w:rPr>
        <w:rFonts w:hint="default"/>
      </w:rPr>
    </w:lvl>
    <w:lvl w:ilvl="1">
      <w:start w:val="1"/>
      <w:numFmt w:val="lowerLetter"/>
      <w:pStyle w:val="GNLevel2"/>
      <w:lvlText w:val="(%2)"/>
      <w:lvlJc w:val="left"/>
      <w:pPr>
        <w:tabs>
          <w:tab w:val="num" w:pos="1418"/>
        </w:tabs>
        <w:ind w:left="1418" w:hanging="709"/>
      </w:pPr>
      <w:rPr>
        <w:rFonts w:hint="default"/>
      </w:rPr>
    </w:lvl>
    <w:lvl w:ilvl="2">
      <w:start w:val="1"/>
      <w:numFmt w:val="lowerRoman"/>
      <w:pStyle w:val="GNLevel3"/>
      <w:lvlText w:val="(%3)"/>
      <w:lvlJc w:val="left"/>
      <w:pPr>
        <w:tabs>
          <w:tab w:val="num" w:pos="2126"/>
        </w:tabs>
        <w:ind w:left="2126" w:hanging="708"/>
      </w:pPr>
      <w:rPr>
        <w:rFonts w:hint="default"/>
      </w:rPr>
    </w:lvl>
    <w:lvl w:ilvl="3">
      <w:start w:val="1"/>
      <w:numFmt w:val="upperLetter"/>
      <w:pStyle w:val="GNLevel4"/>
      <w:lvlText w:val="(%4)"/>
      <w:lvlJc w:val="left"/>
      <w:pPr>
        <w:tabs>
          <w:tab w:val="num" w:pos="2835"/>
        </w:tabs>
        <w:ind w:left="2835"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lvlText w:val=""/>
      <w:lvlJc w:val="left"/>
      <w:pPr>
        <w:tabs>
          <w:tab w:val="num" w:pos="3402"/>
        </w:tabs>
        <w:ind w:left="3402" w:hanging="567"/>
      </w:pPr>
      <w:rPr>
        <w:rFonts w:hint="default"/>
      </w:rPr>
    </w:lvl>
    <w:lvl w:ilvl="7">
      <w:start w:val="1"/>
      <w:numFmt w:val="none"/>
      <w:lvlText w:val=""/>
      <w:lvlJc w:val="left"/>
      <w:pPr>
        <w:tabs>
          <w:tab w:val="num" w:pos="3402"/>
        </w:tabs>
        <w:ind w:left="3402" w:hanging="567"/>
      </w:pPr>
      <w:rPr>
        <w:rFonts w:hint="default"/>
      </w:rPr>
    </w:lvl>
    <w:lvl w:ilvl="8">
      <w:start w:val="1"/>
      <w:numFmt w:val="none"/>
      <w:lvlText w:val=""/>
      <w:lvlJc w:val="left"/>
      <w:pPr>
        <w:tabs>
          <w:tab w:val="num" w:pos="3402"/>
        </w:tabs>
        <w:ind w:left="3402" w:hanging="567"/>
      </w:pPr>
      <w:rPr>
        <w:rFonts w:hint="default"/>
      </w:rPr>
    </w:lvl>
  </w:abstractNum>
  <w:abstractNum w:abstractNumId="7">
    <w:nsid w:val="343B6E35"/>
    <w:multiLevelType w:val="hybridMultilevel"/>
    <w:tmpl w:val="BC7451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86F29EF"/>
    <w:multiLevelType w:val="hybridMultilevel"/>
    <w:tmpl w:val="C178D3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CA8400C"/>
    <w:multiLevelType w:val="singleLevel"/>
    <w:tmpl w:val="C6EE1BF2"/>
    <w:lvl w:ilvl="0">
      <w:start w:val="1"/>
      <w:numFmt w:val="bullet"/>
      <w:pStyle w:val="Bullet2"/>
      <w:lvlText w:val="•"/>
      <w:lvlJc w:val="left"/>
      <w:pPr>
        <w:tabs>
          <w:tab w:val="num" w:pos="1418"/>
        </w:tabs>
        <w:ind w:left="1418" w:hanging="709"/>
      </w:pPr>
      <w:rPr>
        <w:rFonts w:ascii="Garamond" w:hAnsi="Garamond" w:hint="default"/>
        <w:b w:val="0"/>
        <w:i w:val="0"/>
        <w:sz w:val="24"/>
      </w:rPr>
    </w:lvl>
  </w:abstractNum>
  <w:abstractNum w:abstractNumId="10">
    <w:nsid w:val="3D5A7286"/>
    <w:multiLevelType w:val="multilevel"/>
    <w:tmpl w:val="CC02137E"/>
    <w:lvl w:ilvl="0">
      <w:start w:val="1"/>
      <w:numFmt w:val="decimal"/>
      <w:pStyle w:val="AllensHeading1"/>
      <w:lvlText w:val="%1"/>
      <w:lvlJc w:val="left"/>
      <w:pPr>
        <w:tabs>
          <w:tab w:val="num" w:pos="709"/>
        </w:tabs>
        <w:ind w:left="709" w:hanging="709"/>
      </w:pPr>
      <w:rPr>
        <w:rFonts w:hint="default"/>
      </w:rPr>
    </w:lvl>
    <w:lvl w:ilvl="1">
      <w:start w:val="1"/>
      <w:numFmt w:val="decimal"/>
      <w:pStyle w:val="AllensHeading2"/>
      <w:lvlText w:val="%1.%2"/>
      <w:lvlJc w:val="left"/>
      <w:pPr>
        <w:tabs>
          <w:tab w:val="num" w:pos="709"/>
        </w:tabs>
        <w:ind w:left="709" w:hanging="709"/>
      </w:pPr>
      <w:rPr>
        <w:rFonts w:hint="default"/>
      </w:rPr>
    </w:lvl>
    <w:lvl w:ilvl="2">
      <w:start w:val="1"/>
      <w:numFmt w:val="lowerLetter"/>
      <w:pStyle w:val="AllensHeading3"/>
      <w:lvlText w:val="(%3)"/>
      <w:lvlJc w:val="left"/>
      <w:pPr>
        <w:tabs>
          <w:tab w:val="num" w:pos="1418"/>
        </w:tabs>
        <w:ind w:left="1418" w:hanging="709"/>
      </w:pPr>
      <w:rPr>
        <w:rFonts w:hint="default"/>
      </w:rPr>
    </w:lvl>
    <w:lvl w:ilvl="3">
      <w:start w:val="1"/>
      <w:numFmt w:val="lowerRoman"/>
      <w:pStyle w:val="AllensHeading4"/>
      <w:lvlText w:val="(%4)"/>
      <w:lvlJc w:val="left"/>
      <w:pPr>
        <w:tabs>
          <w:tab w:val="num" w:pos="2126"/>
        </w:tabs>
        <w:ind w:left="2126" w:hanging="708"/>
      </w:pPr>
      <w:rPr>
        <w:rFonts w:hint="default"/>
      </w:rPr>
    </w:lvl>
    <w:lvl w:ilvl="4">
      <w:start w:val="1"/>
      <w:numFmt w:val="upperLetter"/>
      <w:pStyle w:val="AllensHeading5"/>
      <w:lvlText w:val="(%5)"/>
      <w:lvlJc w:val="left"/>
      <w:pPr>
        <w:tabs>
          <w:tab w:val="num" w:pos="2835"/>
        </w:tabs>
        <w:ind w:left="2835" w:hanging="709"/>
      </w:pPr>
      <w:rPr>
        <w:rFonts w:hint="default"/>
      </w:rPr>
    </w:lvl>
    <w:lvl w:ilvl="5">
      <w:start w:val="1"/>
      <w:numFmt w:val="decimal"/>
      <w:pStyle w:val="AllensHeading6"/>
      <w:lvlText w:val="(%6)"/>
      <w:lvlJc w:val="left"/>
      <w:pPr>
        <w:tabs>
          <w:tab w:val="num" w:pos="3544"/>
        </w:tabs>
        <w:ind w:left="3544" w:hanging="709"/>
      </w:pPr>
      <w:rPr>
        <w:rFonts w:hint="default"/>
      </w:rPr>
    </w:lvl>
    <w:lvl w:ilvl="6">
      <w:start w:val="2"/>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nsid w:val="3D7E39C9"/>
    <w:multiLevelType w:val="multilevel"/>
    <w:tmpl w:val="EAAC60A0"/>
    <w:lvl w:ilvl="0">
      <w:start w:val="1"/>
      <w:numFmt w:val="decimal"/>
      <w:pStyle w:val="Schedule"/>
      <w:suff w:val="nothing"/>
      <w:lvlText w:val="Schedule %1"/>
      <w:lvlJc w:val="left"/>
      <w:pPr>
        <w:ind w:left="709" w:hanging="709"/>
      </w:pPr>
      <w:rPr>
        <w:rFonts w:hint="default"/>
      </w:rPr>
    </w:lvl>
    <w:lvl w:ilvl="1">
      <w:start w:val="1"/>
      <w:numFmt w:val="none"/>
      <w:pStyle w:val="ScheduleHeading"/>
      <w:suff w:val="nothing"/>
      <w:lvlText w:val=""/>
      <w:lvlJc w:val="left"/>
      <w:pPr>
        <w:ind w:left="709" w:hanging="709"/>
      </w:pPr>
      <w:rPr>
        <w:rFonts w:hint="default"/>
      </w:rPr>
    </w:lvl>
    <w:lvl w:ilvl="2">
      <w:start w:val="1"/>
      <w:numFmt w:val="decimal"/>
      <w:lvlRestart w:val="1"/>
      <w:pStyle w:val="Schedule1"/>
      <w:lvlText w:val="%3"/>
      <w:lvlJc w:val="left"/>
      <w:pPr>
        <w:tabs>
          <w:tab w:val="num" w:pos="709"/>
        </w:tabs>
        <w:ind w:left="709" w:hanging="709"/>
      </w:pPr>
      <w:rPr>
        <w:rFonts w:hint="default"/>
      </w:rPr>
    </w:lvl>
    <w:lvl w:ilvl="3">
      <w:start w:val="1"/>
      <w:numFmt w:val="decimal"/>
      <w:pStyle w:val="Schedule2"/>
      <w:lvlText w:val="%3.%4"/>
      <w:lvlJc w:val="left"/>
      <w:pPr>
        <w:tabs>
          <w:tab w:val="num" w:pos="709"/>
        </w:tabs>
        <w:ind w:left="709" w:hanging="709"/>
      </w:pPr>
      <w:rPr>
        <w:rFonts w:hint="default"/>
      </w:rPr>
    </w:lvl>
    <w:lvl w:ilvl="4">
      <w:start w:val="1"/>
      <w:numFmt w:val="lowerLetter"/>
      <w:pStyle w:val="Schedule3"/>
      <w:lvlText w:val="(%5)"/>
      <w:lvlJc w:val="left"/>
      <w:pPr>
        <w:tabs>
          <w:tab w:val="num" w:pos="1418"/>
        </w:tabs>
        <w:ind w:left="1418" w:hanging="709"/>
      </w:pPr>
      <w:rPr>
        <w:rFonts w:hint="default"/>
      </w:rPr>
    </w:lvl>
    <w:lvl w:ilvl="5">
      <w:start w:val="1"/>
      <w:numFmt w:val="lowerRoman"/>
      <w:pStyle w:val="Schedule4"/>
      <w:lvlText w:val="(%6)"/>
      <w:lvlJc w:val="left"/>
      <w:pPr>
        <w:tabs>
          <w:tab w:val="num" w:pos="2126"/>
        </w:tabs>
        <w:ind w:left="2126" w:hanging="708"/>
      </w:pPr>
      <w:rPr>
        <w:rFonts w:hint="default"/>
      </w:rPr>
    </w:lvl>
    <w:lvl w:ilvl="6">
      <w:start w:val="1"/>
      <w:numFmt w:val="upperLetter"/>
      <w:pStyle w:val="Schedule5"/>
      <w:lvlText w:val="(%7)"/>
      <w:lvlJc w:val="left"/>
      <w:pPr>
        <w:tabs>
          <w:tab w:val="num" w:pos="2835"/>
        </w:tabs>
        <w:ind w:left="2835" w:hanging="709"/>
      </w:pPr>
      <w:rPr>
        <w:rFonts w:hint="default"/>
      </w:rPr>
    </w:lvl>
    <w:lvl w:ilvl="7">
      <w:start w:val="1"/>
      <w:numFmt w:val="decimal"/>
      <w:pStyle w:val="Schedule6"/>
      <w:lvlText w:val="(%8)"/>
      <w:lvlJc w:val="left"/>
      <w:pPr>
        <w:tabs>
          <w:tab w:val="num" w:pos="3544"/>
        </w:tabs>
        <w:ind w:left="3544" w:hanging="709"/>
      </w:pPr>
      <w:rPr>
        <w:rFonts w:hint="default"/>
      </w:rPr>
    </w:lvl>
    <w:lvl w:ilvl="8">
      <w:start w:val="1"/>
      <w:numFmt w:val="decimal"/>
      <w:lvlText w:val="%1"/>
      <w:lvlJc w:val="left"/>
      <w:pPr>
        <w:tabs>
          <w:tab w:val="num" w:pos="6120"/>
        </w:tabs>
        <w:ind w:left="4320" w:hanging="1440"/>
      </w:pPr>
      <w:rPr>
        <w:rFonts w:hint="default"/>
      </w:rPr>
    </w:lvl>
  </w:abstractNum>
  <w:abstractNum w:abstractNumId="12">
    <w:nsid w:val="3FE9176B"/>
    <w:multiLevelType w:val="multilevel"/>
    <w:tmpl w:val="D7B282F4"/>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a%6)"/>
      <w:lvlJc w:val="left"/>
      <w:pPr>
        <w:tabs>
          <w:tab w:val="num" w:pos="3600"/>
        </w:tabs>
        <w:ind w:left="360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FF6050F"/>
    <w:multiLevelType w:val="multilevel"/>
    <w:tmpl w:val="5EB81EE2"/>
    <w:lvl w:ilvl="0">
      <w:start w:val="1"/>
      <w:numFmt w:val="none"/>
      <w:pStyle w:val="Definitions"/>
      <w:suff w:val="nothing"/>
      <w:lvlText w:val=""/>
      <w:lvlJc w:val="left"/>
      <w:pPr>
        <w:ind w:left="1418" w:hanging="709"/>
      </w:pPr>
      <w:rPr>
        <w:rFonts w:hint="default"/>
      </w:rPr>
    </w:lvl>
    <w:lvl w:ilvl="1">
      <w:start w:val="1"/>
      <w:numFmt w:val="lowerLetter"/>
      <w:pStyle w:val="Definitionsa"/>
      <w:lvlText w:val="(%2)"/>
      <w:lvlJc w:val="left"/>
      <w:pPr>
        <w:tabs>
          <w:tab w:val="num" w:pos="1418"/>
        </w:tabs>
        <w:ind w:left="1418" w:hanging="709"/>
      </w:pPr>
      <w:rPr>
        <w:rFonts w:hint="default"/>
      </w:rPr>
    </w:lvl>
    <w:lvl w:ilvl="2">
      <w:start w:val="1"/>
      <w:numFmt w:val="lowerRoman"/>
      <w:pStyle w:val="Definitionsi"/>
      <w:lvlText w:val="(%3)"/>
      <w:lvlJc w:val="left"/>
      <w:pPr>
        <w:tabs>
          <w:tab w:val="num" w:pos="2126"/>
        </w:tabs>
        <w:ind w:left="2126" w:hanging="708"/>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4">
    <w:nsid w:val="4EB40ABD"/>
    <w:multiLevelType w:val="singleLevel"/>
    <w:tmpl w:val="78BC41CC"/>
    <w:lvl w:ilvl="0">
      <w:start w:val="1"/>
      <w:numFmt w:val="bullet"/>
      <w:pStyle w:val="Bullet3"/>
      <w:lvlText w:val="•"/>
      <w:lvlJc w:val="left"/>
      <w:pPr>
        <w:tabs>
          <w:tab w:val="num" w:pos="2126"/>
        </w:tabs>
        <w:ind w:left="2126" w:hanging="708"/>
      </w:pPr>
      <w:rPr>
        <w:rFonts w:ascii="Garamond" w:hAnsi="Garamond" w:hint="default"/>
        <w:b w:val="0"/>
        <w:i w:val="0"/>
        <w:sz w:val="24"/>
      </w:rPr>
    </w:lvl>
  </w:abstractNum>
  <w:abstractNum w:abstractNumId="15">
    <w:nsid w:val="57257F71"/>
    <w:multiLevelType w:val="hybridMultilevel"/>
    <w:tmpl w:val="CEB21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67B13928"/>
    <w:multiLevelType w:val="multilevel"/>
    <w:tmpl w:val="D13A43C2"/>
    <w:lvl w:ilvl="0">
      <w:start w:val="1"/>
      <w:numFmt w:val="decimal"/>
      <w:pStyle w:val="GNHeading"/>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lowerRoman"/>
      <w:lvlText w:val="(%5)"/>
      <w:lvlJc w:val="left"/>
      <w:pPr>
        <w:tabs>
          <w:tab w:val="num" w:pos="2126"/>
        </w:tabs>
        <w:ind w:left="2126" w:hanging="708"/>
      </w:pPr>
      <w:rPr>
        <w:rFonts w:hint="default"/>
      </w:rPr>
    </w:lvl>
    <w:lvl w:ilvl="5">
      <w:start w:val="1"/>
      <w:numFmt w:val="decimal"/>
      <w:lvlText w:val="(%6)"/>
      <w:lvlJc w:val="left"/>
      <w:pPr>
        <w:tabs>
          <w:tab w:val="num" w:pos="2835"/>
        </w:tabs>
        <w:ind w:left="2835" w:hanging="709"/>
      </w:pPr>
      <w:rPr>
        <w:rFonts w:hint="default"/>
      </w:rPr>
    </w:lvl>
    <w:lvl w:ilvl="6">
      <w:start w:val="1"/>
      <w:numFmt w:val="none"/>
      <w:lvlText w:val=""/>
      <w:lvlJc w:val="left"/>
      <w:pPr>
        <w:tabs>
          <w:tab w:val="num" w:pos="3402"/>
        </w:tabs>
        <w:ind w:left="3402" w:hanging="567"/>
      </w:pPr>
      <w:rPr>
        <w:rFonts w:hint="default"/>
      </w:rPr>
    </w:lvl>
    <w:lvl w:ilvl="7">
      <w:start w:val="1"/>
      <w:numFmt w:val="none"/>
      <w:lvlText w:val=""/>
      <w:lvlJc w:val="left"/>
      <w:pPr>
        <w:tabs>
          <w:tab w:val="num" w:pos="3402"/>
        </w:tabs>
        <w:ind w:left="3402" w:hanging="567"/>
      </w:pPr>
      <w:rPr>
        <w:rFonts w:hint="default"/>
      </w:rPr>
    </w:lvl>
    <w:lvl w:ilvl="8">
      <w:start w:val="1"/>
      <w:numFmt w:val="none"/>
      <w:lvlText w:val=""/>
      <w:lvlJc w:val="left"/>
      <w:pPr>
        <w:tabs>
          <w:tab w:val="num" w:pos="3402"/>
        </w:tabs>
        <w:ind w:left="3402" w:hanging="567"/>
      </w:pPr>
      <w:rPr>
        <w:rFonts w:hint="default"/>
      </w:rPr>
    </w:lvl>
  </w:abstractNum>
  <w:abstractNum w:abstractNumId="17">
    <w:nsid w:val="681A05FF"/>
    <w:multiLevelType w:val="hybridMultilevel"/>
    <w:tmpl w:val="4EC09B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AD24AAA"/>
    <w:multiLevelType w:val="singleLevel"/>
    <w:tmpl w:val="D6DE9F28"/>
    <w:lvl w:ilvl="0">
      <w:start w:val="1"/>
      <w:numFmt w:val="bullet"/>
      <w:pStyle w:val="GNBullet"/>
      <w:lvlText w:val="•"/>
      <w:lvlJc w:val="left"/>
      <w:pPr>
        <w:tabs>
          <w:tab w:val="num" w:pos="709"/>
        </w:tabs>
        <w:ind w:left="709" w:hanging="709"/>
      </w:pPr>
      <w:rPr>
        <w:rFonts w:ascii="Garamond" w:hAnsi="Garamond" w:hint="default"/>
        <w:b w:val="0"/>
        <w:i w:val="0"/>
        <w:vanish/>
        <w:sz w:val="24"/>
      </w:rPr>
    </w:lvl>
  </w:abstractNum>
  <w:abstractNum w:abstractNumId="19">
    <w:nsid w:val="70A8249E"/>
    <w:multiLevelType w:val="singleLevel"/>
    <w:tmpl w:val="1D84A4C8"/>
    <w:lvl w:ilvl="0">
      <w:start w:val="1"/>
      <w:numFmt w:val="bullet"/>
      <w:pStyle w:val="Bullet1"/>
      <w:lvlText w:val="•"/>
      <w:lvlJc w:val="left"/>
      <w:pPr>
        <w:tabs>
          <w:tab w:val="num" w:pos="709"/>
        </w:tabs>
        <w:ind w:left="709" w:hanging="709"/>
      </w:pPr>
      <w:rPr>
        <w:rFonts w:ascii="Garamond" w:hAnsi="Garamond" w:hint="default"/>
        <w:b w:val="0"/>
        <w:i w:val="0"/>
        <w:color w:val="auto"/>
        <w:sz w:val="24"/>
      </w:rPr>
    </w:lvl>
  </w:abstractNum>
  <w:abstractNum w:abstractNumId="20">
    <w:nsid w:val="7A0447ED"/>
    <w:multiLevelType w:val="hybridMultilevel"/>
    <w:tmpl w:val="CB4E214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7CC018B0"/>
    <w:multiLevelType w:val="hybridMultilevel"/>
    <w:tmpl w:val="132A97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7D4105A2"/>
    <w:multiLevelType w:val="hybridMultilevel"/>
    <w:tmpl w:val="7618EA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9"/>
  </w:num>
  <w:num w:numId="3">
    <w:abstractNumId w:val="9"/>
  </w:num>
  <w:num w:numId="4">
    <w:abstractNumId w:val="14"/>
  </w:num>
  <w:num w:numId="5">
    <w:abstractNumId w:val="13"/>
  </w:num>
  <w:num w:numId="6">
    <w:abstractNumId w:val="18"/>
  </w:num>
  <w:num w:numId="7">
    <w:abstractNumId w:val="16"/>
  </w:num>
  <w:num w:numId="8">
    <w:abstractNumId w:val="6"/>
  </w:num>
  <w:num w:numId="9">
    <w:abstractNumId w:val="1"/>
  </w:num>
  <w:num w:numId="10">
    <w:abstractNumId w:val="11"/>
  </w:num>
  <w:num w:numId="11">
    <w:abstractNumId w:val="1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3">
    <w:abstractNumId w:val="7"/>
  </w:num>
  <w:num w:numId="14">
    <w:abstractNumId w:val="3"/>
  </w:num>
  <w:num w:numId="15">
    <w:abstractNumId w:val="10"/>
  </w:num>
  <w:num w:numId="16">
    <w:abstractNumId w:val="10"/>
  </w:num>
  <w:num w:numId="17">
    <w:abstractNumId w:val="10"/>
  </w:num>
  <w:num w:numId="18">
    <w:abstractNumId w:val="19"/>
  </w:num>
  <w:num w:numId="19">
    <w:abstractNumId w:val="17"/>
  </w:num>
  <w:num w:numId="20">
    <w:abstractNumId w:val="22"/>
  </w:num>
  <w:num w:numId="21">
    <w:abstractNumId w:val="4"/>
  </w:num>
  <w:num w:numId="22">
    <w:abstractNumId w:val="0"/>
  </w:num>
  <w:num w:numId="23">
    <w:abstractNumId w:val="8"/>
  </w:num>
  <w:num w:numId="24">
    <w:abstractNumId w:val="5"/>
  </w:num>
  <w:num w:numId="25">
    <w:abstractNumId w:val="20"/>
  </w:num>
  <w:num w:numId="26">
    <w:abstractNumId w:val="15"/>
  </w:num>
  <w:num w:numId="27">
    <w:abstractNumId w:val="21"/>
  </w:num>
  <w:num w:numId="2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88"/>
    <w:rsid w:val="00003117"/>
    <w:rsid w:val="0001215F"/>
    <w:rsid w:val="00014E6A"/>
    <w:rsid w:val="000214C8"/>
    <w:rsid w:val="00021EB7"/>
    <w:rsid w:val="00024A24"/>
    <w:rsid w:val="00031C75"/>
    <w:rsid w:val="00031C9F"/>
    <w:rsid w:val="00036E91"/>
    <w:rsid w:val="0003792F"/>
    <w:rsid w:val="000441CD"/>
    <w:rsid w:val="000508C3"/>
    <w:rsid w:val="00051594"/>
    <w:rsid w:val="00051FA2"/>
    <w:rsid w:val="0005274D"/>
    <w:rsid w:val="000536E4"/>
    <w:rsid w:val="0005514E"/>
    <w:rsid w:val="00061FEE"/>
    <w:rsid w:val="00063269"/>
    <w:rsid w:val="000635AA"/>
    <w:rsid w:val="00070200"/>
    <w:rsid w:val="000716CD"/>
    <w:rsid w:val="000727E4"/>
    <w:rsid w:val="000761B9"/>
    <w:rsid w:val="00076537"/>
    <w:rsid w:val="00080C50"/>
    <w:rsid w:val="000928E6"/>
    <w:rsid w:val="00095D36"/>
    <w:rsid w:val="000A0385"/>
    <w:rsid w:val="000A2BB3"/>
    <w:rsid w:val="000A4D57"/>
    <w:rsid w:val="000A735A"/>
    <w:rsid w:val="000A7F51"/>
    <w:rsid w:val="000B1403"/>
    <w:rsid w:val="000B17B6"/>
    <w:rsid w:val="000B272E"/>
    <w:rsid w:val="000B534B"/>
    <w:rsid w:val="000B55BB"/>
    <w:rsid w:val="000B6283"/>
    <w:rsid w:val="000C05D4"/>
    <w:rsid w:val="000C4AB3"/>
    <w:rsid w:val="000D1AC7"/>
    <w:rsid w:val="000D5108"/>
    <w:rsid w:val="000D7B75"/>
    <w:rsid w:val="000E014F"/>
    <w:rsid w:val="000E1146"/>
    <w:rsid w:val="000E32E4"/>
    <w:rsid w:val="000F3732"/>
    <w:rsid w:val="000F44B3"/>
    <w:rsid w:val="000F48E8"/>
    <w:rsid w:val="00102178"/>
    <w:rsid w:val="00102609"/>
    <w:rsid w:val="00102645"/>
    <w:rsid w:val="00103123"/>
    <w:rsid w:val="00104988"/>
    <w:rsid w:val="00112374"/>
    <w:rsid w:val="00114CC7"/>
    <w:rsid w:val="0011624A"/>
    <w:rsid w:val="00116526"/>
    <w:rsid w:val="001170A7"/>
    <w:rsid w:val="00117664"/>
    <w:rsid w:val="00117C1D"/>
    <w:rsid w:val="001266EE"/>
    <w:rsid w:val="00130618"/>
    <w:rsid w:val="00131D71"/>
    <w:rsid w:val="001435D3"/>
    <w:rsid w:val="001458E5"/>
    <w:rsid w:val="00161C94"/>
    <w:rsid w:val="00166891"/>
    <w:rsid w:val="0018005E"/>
    <w:rsid w:val="001861C5"/>
    <w:rsid w:val="00186F87"/>
    <w:rsid w:val="0019070D"/>
    <w:rsid w:val="00194DE5"/>
    <w:rsid w:val="00195B21"/>
    <w:rsid w:val="001A2997"/>
    <w:rsid w:val="001A5699"/>
    <w:rsid w:val="001A7DE6"/>
    <w:rsid w:val="001B2700"/>
    <w:rsid w:val="001B4F82"/>
    <w:rsid w:val="001B5244"/>
    <w:rsid w:val="001B63BF"/>
    <w:rsid w:val="001C6AAD"/>
    <w:rsid w:val="001C755B"/>
    <w:rsid w:val="001E10CD"/>
    <w:rsid w:val="001E141D"/>
    <w:rsid w:val="001E44FA"/>
    <w:rsid w:val="001E4D93"/>
    <w:rsid w:val="001E5D5D"/>
    <w:rsid w:val="001F2BB7"/>
    <w:rsid w:val="002002E8"/>
    <w:rsid w:val="00200750"/>
    <w:rsid w:val="00212BED"/>
    <w:rsid w:val="002148B0"/>
    <w:rsid w:val="00214A2B"/>
    <w:rsid w:val="00215335"/>
    <w:rsid w:val="00217175"/>
    <w:rsid w:val="002201BA"/>
    <w:rsid w:val="00221A36"/>
    <w:rsid w:val="002226EA"/>
    <w:rsid w:val="00222C1C"/>
    <w:rsid w:val="002266D5"/>
    <w:rsid w:val="00230EC8"/>
    <w:rsid w:val="002359BE"/>
    <w:rsid w:val="002371F6"/>
    <w:rsid w:val="00245103"/>
    <w:rsid w:val="0026352F"/>
    <w:rsid w:val="002641C5"/>
    <w:rsid w:val="00273DDC"/>
    <w:rsid w:val="002745D0"/>
    <w:rsid w:val="0027777D"/>
    <w:rsid w:val="002801F2"/>
    <w:rsid w:val="0028708C"/>
    <w:rsid w:val="00287819"/>
    <w:rsid w:val="002967DC"/>
    <w:rsid w:val="00297E8E"/>
    <w:rsid w:val="002A04BE"/>
    <w:rsid w:val="002A291A"/>
    <w:rsid w:val="002A3CC3"/>
    <w:rsid w:val="002B0748"/>
    <w:rsid w:val="002B427A"/>
    <w:rsid w:val="002B464F"/>
    <w:rsid w:val="002C0813"/>
    <w:rsid w:val="002C7D31"/>
    <w:rsid w:val="002D1AC9"/>
    <w:rsid w:val="002D289A"/>
    <w:rsid w:val="002D70B5"/>
    <w:rsid w:val="002E2C30"/>
    <w:rsid w:val="002E408D"/>
    <w:rsid w:val="002F4E04"/>
    <w:rsid w:val="00310955"/>
    <w:rsid w:val="00314F35"/>
    <w:rsid w:val="00317957"/>
    <w:rsid w:val="00322BFF"/>
    <w:rsid w:val="003231E3"/>
    <w:rsid w:val="00327344"/>
    <w:rsid w:val="00332D93"/>
    <w:rsid w:val="00341A0C"/>
    <w:rsid w:val="00350663"/>
    <w:rsid w:val="00352001"/>
    <w:rsid w:val="003554E7"/>
    <w:rsid w:val="00357000"/>
    <w:rsid w:val="0036199F"/>
    <w:rsid w:val="003672AD"/>
    <w:rsid w:val="00367EB9"/>
    <w:rsid w:val="003752FA"/>
    <w:rsid w:val="003767F4"/>
    <w:rsid w:val="00383119"/>
    <w:rsid w:val="00390461"/>
    <w:rsid w:val="00392358"/>
    <w:rsid w:val="00394954"/>
    <w:rsid w:val="00396F56"/>
    <w:rsid w:val="003A6988"/>
    <w:rsid w:val="003B7A80"/>
    <w:rsid w:val="003C2390"/>
    <w:rsid w:val="003C7A06"/>
    <w:rsid w:val="003D2420"/>
    <w:rsid w:val="003D2EF2"/>
    <w:rsid w:val="003D6F4A"/>
    <w:rsid w:val="003E071C"/>
    <w:rsid w:val="003E4F46"/>
    <w:rsid w:val="003E5DDF"/>
    <w:rsid w:val="003E655D"/>
    <w:rsid w:val="003F599E"/>
    <w:rsid w:val="003F749D"/>
    <w:rsid w:val="0040158B"/>
    <w:rsid w:val="00407538"/>
    <w:rsid w:val="00410647"/>
    <w:rsid w:val="00413FA4"/>
    <w:rsid w:val="004158E2"/>
    <w:rsid w:val="00417F6F"/>
    <w:rsid w:val="004209A3"/>
    <w:rsid w:val="00422CE7"/>
    <w:rsid w:val="00422FE9"/>
    <w:rsid w:val="00437098"/>
    <w:rsid w:val="00437A7E"/>
    <w:rsid w:val="00442B34"/>
    <w:rsid w:val="00442EFB"/>
    <w:rsid w:val="004430E6"/>
    <w:rsid w:val="0044615F"/>
    <w:rsid w:val="00450142"/>
    <w:rsid w:val="004545FC"/>
    <w:rsid w:val="0045727E"/>
    <w:rsid w:val="00460775"/>
    <w:rsid w:val="00461FF3"/>
    <w:rsid w:val="00463B44"/>
    <w:rsid w:val="00467A9F"/>
    <w:rsid w:val="0047119F"/>
    <w:rsid w:val="00472F09"/>
    <w:rsid w:val="00480168"/>
    <w:rsid w:val="004807EE"/>
    <w:rsid w:val="00481F8F"/>
    <w:rsid w:val="00483ED1"/>
    <w:rsid w:val="00485ACC"/>
    <w:rsid w:val="004914D7"/>
    <w:rsid w:val="004959CB"/>
    <w:rsid w:val="00496465"/>
    <w:rsid w:val="00496B94"/>
    <w:rsid w:val="004A6FDF"/>
    <w:rsid w:val="004A7116"/>
    <w:rsid w:val="004A75C9"/>
    <w:rsid w:val="004B3666"/>
    <w:rsid w:val="004C08AE"/>
    <w:rsid w:val="004C573F"/>
    <w:rsid w:val="004C6A16"/>
    <w:rsid w:val="004C742F"/>
    <w:rsid w:val="004C7FBB"/>
    <w:rsid w:val="004D0B46"/>
    <w:rsid w:val="004D1BD9"/>
    <w:rsid w:val="004D3AE8"/>
    <w:rsid w:val="004D4D22"/>
    <w:rsid w:val="004D51BD"/>
    <w:rsid w:val="004E060A"/>
    <w:rsid w:val="004E15EC"/>
    <w:rsid w:val="004E1B09"/>
    <w:rsid w:val="004E44B2"/>
    <w:rsid w:val="004F4641"/>
    <w:rsid w:val="004F6DAE"/>
    <w:rsid w:val="004F73DC"/>
    <w:rsid w:val="005008CF"/>
    <w:rsid w:val="00501103"/>
    <w:rsid w:val="005045CF"/>
    <w:rsid w:val="00515823"/>
    <w:rsid w:val="00517887"/>
    <w:rsid w:val="00524387"/>
    <w:rsid w:val="00524D00"/>
    <w:rsid w:val="0053218D"/>
    <w:rsid w:val="00535D32"/>
    <w:rsid w:val="00541347"/>
    <w:rsid w:val="005460AD"/>
    <w:rsid w:val="0054721D"/>
    <w:rsid w:val="0055009C"/>
    <w:rsid w:val="00550865"/>
    <w:rsid w:val="00551F9D"/>
    <w:rsid w:val="005529F5"/>
    <w:rsid w:val="0055313B"/>
    <w:rsid w:val="00555A34"/>
    <w:rsid w:val="005619A2"/>
    <w:rsid w:val="00561E2A"/>
    <w:rsid w:val="00570738"/>
    <w:rsid w:val="005729DB"/>
    <w:rsid w:val="00577169"/>
    <w:rsid w:val="0058518F"/>
    <w:rsid w:val="00586700"/>
    <w:rsid w:val="00587970"/>
    <w:rsid w:val="0059357C"/>
    <w:rsid w:val="00593C31"/>
    <w:rsid w:val="005B3A03"/>
    <w:rsid w:val="005C13D6"/>
    <w:rsid w:val="005C482E"/>
    <w:rsid w:val="005C72DF"/>
    <w:rsid w:val="005D1A40"/>
    <w:rsid w:val="005D318A"/>
    <w:rsid w:val="005D34E9"/>
    <w:rsid w:val="005D3DD0"/>
    <w:rsid w:val="005D6FC4"/>
    <w:rsid w:val="005D7EE2"/>
    <w:rsid w:val="005E0936"/>
    <w:rsid w:val="005E562C"/>
    <w:rsid w:val="005E7246"/>
    <w:rsid w:val="005E7F0B"/>
    <w:rsid w:val="005F2E8C"/>
    <w:rsid w:val="005F5C21"/>
    <w:rsid w:val="00606270"/>
    <w:rsid w:val="0060704F"/>
    <w:rsid w:val="0060760E"/>
    <w:rsid w:val="00607AC1"/>
    <w:rsid w:val="00615930"/>
    <w:rsid w:val="006166E1"/>
    <w:rsid w:val="00620C38"/>
    <w:rsid w:val="006301DA"/>
    <w:rsid w:val="006309A2"/>
    <w:rsid w:val="006311E6"/>
    <w:rsid w:val="00635EAF"/>
    <w:rsid w:val="0064193C"/>
    <w:rsid w:val="00644EE3"/>
    <w:rsid w:val="00646645"/>
    <w:rsid w:val="0065073B"/>
    <w:rsid w:val="00651349"/>
    <w:rsid w:val="00651412"/>
    <w:rsid w:val="0065167E"/>
    <w:rsid w:val="00651ECD"/>
    <w:rsid w:val="00655043"/>
    <w:rsid w:val="00657F73"/>
    <w:rsid w:val="006611CA"/>
    <w:rsid w:val="00673933"/>
    <w:rsid w:val="00674D20"/>
    <w:rsid w:val="00676ED7"/>
    <w:rsid w:val="00682B11"/>
    <w:rsid w:val="00687727"/>
    <w:rsid w:val="0069206D"/>
    <w:rsid w:val="006938F2"/>
    <w:rsid w:val="00693C2C"/>
    <w:rsid w:val="00694B3B"/>
    <w:rsid w:val="00697769"/>
    <w:rsid w:val="006A359B"/>
    <w:rsid w:val="006B5BEC"/>
    <w:rsid w:val="006B6449"/>
    <w:rsid w:val="006B72B6"/>
    <w:rsid w:val="006B7B3B"/>
    <w:rsid w:val="006D258B"/>
    <w:rsid w:val="006D4E6E"/>
    <w:rsid w:val="006E00AA"/>
    <w:rsid w:val="006E4481"/>
    <w:rsid w:val="006E5A6F"/>
    <w:rsid w:val="006E7850"/>
    <w:rsid w:val="006F459D"/>
    <w:rsid w:val="006F544A"/>
    <w:rsid w:val="0070297E"/>
    <w:rsid w:val="0070431D"/>
    <w:rsid w:val="0070586F"/>
    <w:rsid w:val="00713207"/>
    <w:rsid w:val="00716EA5"/>
    <w:rsid w:val="00720963"/>
    <w:rsid w:val="007262E5"/>
    <w:rsid w:val="007307A3"/>
    <w:rsid w:val="007314CE"/>
    <w:rsid w:val="00742351"/>
    <w:rsid w:val="00742B35"/>
    <w:rsid w:val="0074722F"/>
    <w:rsid w:val="00750D96"/>
    <w:rsid w:val="0076148C"/>
    <w:rsid w:val="00762400"/>
    <w:rsid w:val="0077406A"/>
    <w:rsid w:val="00774A55"/>
    <w:rsid w:val="00775222"/>
    <w:rsid w:val="00775D7B"/>
    <w:rsid w:val="007770C9"/>
    <w:rsid w:val="00782BDD"/>
    <w:rsid w:val="00785BE2"/>
    <w:rsid w:val="00786287"/>
    <w:rsid w:val="00786F36"/>
    <w:rsid w:val="007874A3"/>
    <w:rsid w:val="00791C63"/>
    <w:rsid w:val="00792999"/>
    <w:rsid w:val="007969EC"/>
    <w:rsid w:val="007A212F"/>
    <w:rsid w:val="007B203A"/>
    <w:rsid w:val="007B4EE1"/>
    <w:rsid w:val="007B7332"/>
    <w:rsid w:val="007C108C"/>
    <w:rsid w:val="007C5742"/>
    <w:rsid w:val="007D2ACA"/>
    <w:rsid w:val="007D617C"/>
    <w:rsid w:val="007E0374"/>
    <w:rsid w:val="007E2457"/>
    <w:rsid w:val="007F2487"/>
    <w:rsid w:val="007F45FE"/>
    <w:rsid w:val="0080383A"/>
    <w:rsid w:val="00805A18"/>
    <w:rsid w:val="008105CC"/>
    <w:rsid w:val="00814D45"/>
    <w:rsid w:val="00822F99"/>
    <w:rsid w:val="008253DB"/>
    <w:rsid w:val="00842BA8"/>
    <w:rsid w:val="00846839"/>
    <w:rsid w:val="00850C37"/>
    <w:rsid w:val="00851A9B"/>
    <w:rsid w:val="008529E7"/>
    <w:rsid w:val="00855673"/>
    <w:rsid w:val="008563C1"/>
    <w:rsid w:val="00865144"/>
    <w:rsid w:val="00865159"/>
    <w:rsid w:val="00873C4F"/>
    <w:rsid w:val="00880B2D"/>
    <w:rsid w:val="008A7038"/>
    <w:rsid w:val="008B1020"/>
    <w:rsid w:val="008B28EA"/>
    <w:rsid w:val="008B6A1D"/>
    <w:rsid w:val="008C48E4"/>
    <w:rsid w:val="008D0644"/>
    <w:rsid w:val="008D2DF6"/>
    <w:rsid w:val="008D5B4D"/>
    <w:rsid w:val="008E1D00"/>
    <w:rsid w:val="008E3AE5"/>
    <w:rsid w:val="008E3EB0"/>
    <w:rsid w:val="008E4558"/>
    <w:rsid w:val="008E5D9D"/>
    <w:rsid w:val="008F08DC"/>
    <w:rsid w:val="008F1C5B"/>
    <w:rsid w:val="00906007"/>
    <w:rsid w:val="009142B8"/>
    <w:rsid w:val="00914BAB"/>
    <w:rsid w:val="00914F91"/>
    <w:rsid w:val="00915752"/>
    <w:rsid w:val="0091646E"/>
    <w:rsid w:val="00916504"/>
    <w:rsid w:val="0092252A"/>
    <w:rsid w:val="00924B3D"/>
    <w:rsid w:val="009251A4"/>
    <w:rsid w:val="0093150C"/>
    <w:rsid w:val="00932CC7"/>
    <w:rsid w:val="009352F2"/>
    <w:rsid w:val="00937BD4"/>
    <w:rsid w:val="00945D81"/>
    <w:rsid w:val="00946D94"/>
    <w:rsid w:val="009538FC"/>
    <w:rsid w:val="0095563F"/>
    <w:rsid w:val="00961BC3"/>
    <w:rsid w:val="00962551"/>
    <w:rsid w:val="0096304C"/>
    <w:rsid w:val="00964B16"/>
    <w:rsid w:val="00966643"/>
    <w:rsid w:val="00966877"/>
    <w:rsid w:val="00970612"/>
    <w:rsid w:val="0097206F"/>
    <w:rsid w:val="00974C8F"/>
    <w:rsid w:val="0097543D"/>
    <w:rsid w:val="009772B3"/>
    <w:rsid w:val="00980E92"/>
    <w:rsid w:val="0098365A"/>
    <w:rsid w:val="00984F82"/>
    <w:rsid w:val="009950DF"/>
    <w:rsid w:val="009A3BE9"/>
    <w:rsid w:val="009A7DDD"/>
    <w:rsid w:val="009B126B"/>
    <w:rsid w:val="009B3B10"/>
    <w:rsid w:val="009B631C"/>
    <w:rsid w:val="009C0AEE"/>
    <w:rsid w:val="009C132D"/>
    <w:rsid w:val="009D3F7C"/>
    <w:rsid w:val="009D64BA"/>
    <w:rsid w:val="009D7486"/>
    <w:rsid w:val="009E0C7C"/>
    <w:rsid w:val="009E5730"/>
    <w:rsid w:val="009E6051"/>
    <w:rsid w:val="009F016F"/>
    <w:rsid w:val="009F0B08"/>
    <w:rsid w:val="009F0C86"/>
    <w:rsid w:val="009F70F7"/>
    <w:rsid w:val="00A0519E"/>
    <w:rsid w:val="00A061D0"/>
    <w:rsid w:val="00A11222"/>
    <w:rsid w:val="00A17A34"/>
    <w:rsid w:val="00A24E33"/>
    <w:rsid w:val="00A24EDA"/>
    <w:rsid w:val="00A269C7"/>
    <w:rsid w:val="00A26BFA"/>
    <w:rsid w:val="00A3133B"/>
    <w:rsid w:val="00A31EDB"/>
    <w:rsid w:val="00A32E43"/>
    <w:rsid w:val="00A44666"/>
    <w:rsid w:val="00A502D9"/>
    <w:rsid w:val="00A548EA"/>
    <w:rsid w:val="00A57B13"/>
    <w:rsid w:val="00A60A24"/>
    <w:rsid w:val="00A61E5B"/>
    <w:rsid w:val="00A62D31"/>
    <w:rsid w:val="00A67E26"/>
    <w:rsid w:val="00A71811"/>
    <w:rsid w:val="00A7308D"/>
    <w:rsid w:val="00A775FB"/>
    <w:rsid w:val="00A802B5"/>
    <w:rsid w:val="00A81AC2"/>
    <w:rsid w:val="00A8518A"/>
    <w:rsid w:val="00A855EC"/>
    <w:rsid w:val="00A9344D"/>
    <w:rsid w:val="00A96CB6"/>
    <w:rsid w:val="00A96F8B"/>
    <w:rsid w:val="00AA00A3"/>
    <w:rsid w:val="00AA1733"/>
    <w:rsid w:val="00AA4899"/>
    <w:rsid w:val="00AA5662"/>
    <w:rsid w:val="00AA5BF2"/>
    <w:rsid w:val="00AA6DF2"/>
    <w:rsid w:val="00AB1B6F"/>
    <w:rsid w:val="00AC13E9"/>
    <w:rsid w:val="00AC5488"/>
    <w:rsid w:val="00AC64FD"/>
    <w:rsid w:val="00AD05B1"/>
    <w:rsid w:val="00AD2046"/>
    <w:rsid w:val="00AD5B9B"/>
    <w:rsid w:val="00AD7351"/>
    <w:rsid w:val="00AD7781"/>
    <w:rsid w:val="00AD77F2"/>
    <w:rsid w:val="00AE00CB"/>
    <w:rsid w:val="00AE215D"/>
    <w:rsid w:val="00AE7185"/>
    <w:rsid w:val="00AF047A"/>
    <w:rsid w:val="00AF07AA"/>
    <w:rsid w:val="00AF2300"/>
    <w:rsid w:val="00AF23DC"/>
    <w:rsid w:val="00AF2D4D"/>
    <w:rsid w:val="00AF379A"/>
    <w:rsid w:val="00AF5A78"/>
    <w:rsid w:val="00AF6156"/>
    <w:rsid w:val="00B011B9"/>
    <w:rsid w:val="00B01E01"/>
    <w:rsid w:val="00B074AF"/>
    <w:rsid w:val="00B07912"/>
    <w:rsid w:val="00B158A8"/>
    <w:rsid w:val="00B215EB"/>
    <w:rsid w:val="00B22F20"/>
    <w:rsid w:val="00B24F88"/>
    <w:rsid w:val="00B277EF"/>
    <w:rsid w:val="00B323C9"/>
    <w:rsid w:val="00B33D5D"/>
    <w:rsid w:val="00B42880"/>
    <w:rsid w:val="00B4298E"/>
    <w:rsid w:val="00B46A9A"/>
    <w:rsid w:val="00B50AD2"/>
    <w:rsid w:val="00B641AF"/>
    <w:rsid w:val="00B700AD"/>
    <w:rsid w:val="00B81CDE"/>
    <w:rsid w:val="00B925BC"/>
    <w:rsid w:val="00B9393F"/>
    <w:rsid w:val="00B9491F"/>
    <w:rsid w:val="00B94E33"/>
    <w:rsid w:val="00BA1A43"/>
    <w:rsid w:val="00BA4CEA"/>
    <w:rsid w:val="00BB6A9E"/>
    <w:rsid w:val="00BC2B70"/>
    <w:rsid w:val="00BC6165"/>
    <w:rsid w:val="00BD0EA6"/>
    <w:rsid w:val="00BD132D"/>
    <w:rsid w:val="00BD179D"/>
    <w:rsid w:val="00BD46F6"/>
    <w:rsid w:val="00BE0A06"/>
    <w:rsid w:val="00BE2EDB"/>
    <w:rsid w:val="00BE2F2A"/>
    <w:rsid w:val="00BE751F"/>
    <w:rsid w:val="00BF2D82"/>
    <w:rsid w:val="00BF33ED"/>
    <w:rsid w:val="00C0242C"/>
    <w:rsid w:val="00C102D4"/>
    <w:rsid w:val="00C229E3"/>
    <w:rsid w:val="00C22D31"/>
    <w:rsid w:val="00C23CF0"/>
    <w:rsid w:val="00C27F87"/>
    <w:rsid w:val="00C30B79"/>
    <w:rsid w:val="00C32E25"/>
    <w:rsid w:val="00C338C4"/>
    <w:rsid w:val="00C353B0"/>
    <w:rsid w:val="00C36B12"/>
    <w:rsid w:val="00C4246C"/>
    <w:rsid w:val="00C42C86"/>
    <w:rsid w:val="00C50D22"/>
    <w:rsid w:val="00C53316"/>
    <w:rsid w:val="00C551A0"/>
    <w:rsid w:val="00C6504B"/>
    <w:rsid w:val="00C657B5"/>
    <w:rsid w:val="00C664C5"/>
    <w:rsid w:val="00C66C6F"/>
    <w:rsid w:val="00C725E4"/>
    <w:rsid w:val="00C7492C"/>
    <w:rsid w:val="00C76EA9"/>
    <w:rsid w:val="00C80A4E"/>
    <w:rsid w:val="00C94212"/>
    <w:rsid w:val="00C94510"/>
    <w:rsid w:val="00C96FF9"/>
    <w:rsid w:val="00C97C05"/>
    <w:rsid w:val="00CA5257"/>
    <w:rsid w:val="00CB05A4"/>
    <w:rsid w:val="00CB27FF"/>
    <w:rsid w:val="00CB3FAE"/>
    <w:rsid w:val="00CC5A3E"/>
    <w:rsid w:val="00CC7CBA"/>
    <w:rsid w:val="00CD1B6A"/>
    <w:rsid w:val="00CD2881"/>
    <w:rsid w:val="00CD35A1"/>
    <w:rsid w:val="00CD5FCD"/>
    <w:rsid w:val="00CE0273"/>
    <w:rsid w:val="00CF3D3A"/>
    <w:rsid w:val="00CF7D22"/>
    <w:rsid w:val="00D01D8B"/>
    <w:rsid w:val="00D027A5"/>
    <w:rsid w:val="00D05CA4"/>
    <w:rsid w:val="00D16B38"/>
    <w:rsid w:val="00D25720"/>
    <w:rsid w:val="00D3315D"/>
    <w:rsid w:val="00D37AC1"/>
    <w:rsid w:val="00D40BA4"/>
    <w:rsid w:val="00D4525B"/>
    <w:rsid w:val="00D45F5A"/>
    <w:rsid w:val="00D46AE1"/>
    <w:rsid w:val="00D531DE"/>
    <w:rsid w:val="00D53801"/>
    <w:rsid w:val="00D63BED"/>
    <w:rsid w:val="00D63C13"/>
    <w:rsid w:val="00D71852"/>
    <w:rsid w:val="00D7216D"/>
    <w:rsid w:val="00D73FCF"/>
    <w:rsid w:val="00D74512"/>
    <w:rsid w:val="00D7465D"/>
    <w:rsid w:val="00D7605A"/>
    <w:rsid w:val="00D80C1C"/>
    <w:rsid w:val="00D83555"/>
    <w:rsid w:val="00D9174C"/>
    <w:rsid w:val="00D940A8"/>
    <w:rsid w:val="00D94128"/>
    <w:rsid w:val="00D95A29"/>
    <w:rsid w:val="00D960E8"/>
    <w:rsid w:val="00D966B5"/>
    <w:rsid w:val="00DA0370"/>
    <w:rsid w:val="00DA0BCE"/>
    <w:rsid w:val="00DA1580"/>
    <w:rsid w:val="00DA6B3E"/>
    <w:rsid w:val="00DB07D4"/>
    <w:rsid w:val="00DB5BB4"/>
    <w:rsid w:val="00DB7F0D"/>
    <w:rsid w:val="00DC04A5"/>
    <w:rsid w:val="00DC5D80"/>
    <w:rsid w:val="00DD1E00"/>
    <w:rsid w:val="00DD2381"/>
    <w:rsid w:val="00DD3A5B"/>
    <w:rsid w:val="00DE1065"/>
    <w:rsid w:val="00DE1902"/>
    <w:rsid w:val="00DE4308"/>
    <w:rsid w:val="00DE5BAC"/>
    <w:rsid w:val="00DF2A54"/>
    <w:rsid w:val="00E00BF3"/>
    <w:rsid w:val="00E013E0"/>
    <w:rsid w:val="00E01D8B"/>
    <w:rsid w:val="00E14A5A"/>
    <w:rsid w:val="00E1638C"/>
    <w:rsid w:val="00E20909"/>
    <w:rsid w:val="00E30B17"/>
    <w:rsid w:val="00E414BB"/>
    <w:rsid w:val="00E42BF3"/>
    <w:rsid w:val="00E43139"/>
    <w:rsid w:val="00E46B39"/>
    <w:rsid w:val="00E51837"/>
    <w:rsid w:val="00E526AD"/>
    <w:rsid w:val="00E63331"/>
    <w:rsid w:val="00E64C5E"/>
    <w:rsid w:val="00E666B6"/>
    <w:rsid w:val="00E71D34"/>
    <w:rsid w:val="00E756E3"/>
    <w:rsid w:val="00E848EA"/>
    <w:rsid w:val="00E849ED"/>
    <w:rsid w:val="00E86696"/>
    <w:rsid w:val="00E8739D"/>
    <w:rsid w:val="00E9207A"/>
    <w:rsid w:val="00E938D3"/>
    <w:rsid w:val="00EB20E4"/>
    <w:rsid w:val="00EB2E68"/>
    <w:rsid w:val="00EC00D4"/>
    <w:rsid w:val="00EC5221"/>
    <w:rsid w:val="00EC6613"/>
    <w:rsid w:val="00ED17B5"/>
    <w:rsid w:val="00ED414B"/>
    <w:rsid w:val="00ED5ABB"/>
    <w:rsid w:val="00ED6BE2"/>
    <w:rsid w:val="00EE2921"/>
    <w:rsid w:val="00EE3E44"/>
    <w:rsid w:val="00EE6FCC"/>
    <w:rsid w:val="00EE79A6"/>
    <w:rsid w:val="00F001E1"/>
    <w:rsid w:val="00F05726"/>
    <w:rsid w:val="00F1012F"/>
    <w:rsid w:val="00F130AF"/>
    <w:rsid w:val="00F1740C"/>
    <w:rsid w:val="00F20BB1"/>
    <w:rsid w:val="00F20DB3"/>
    <w:rsid w:val="00F36D98"/>
    <w:rsid w:val="00F37349"/>
    <w:rsid w:val="00F37FF2"/>
    <w:rsid w:val="00F40849"/>
    <w:rsid w:val="00F454AE"/>
    <w:rsid w:val="00F51ABA"/>
    <w:rsid w:val="00F7416C"/>
    <w:rsid w:val="00F77795"/>
    <w:rsid w:val="00F77B67"/>
    <w:rsid w:val="00F77DAC"/>
    <w:rsid w:val="00F805A0"/>
    <w:rsid w:val="00F8485E"/>
    <w:rsid w:val="00F87797"/>
    <w:rsid w:val="00F90906"/>
    <w:rsid w:val="00F93D17"/>
    <w:rsid w:val="00F945A2"/>
    <w:rsid w:val="00FA04C2"/>
    <w:rsid w:val="00FA1E11"/>
    <w:rsid w:val="00FA2BD3"/>
    <w:rsid w:val="00FA45BF"/>
    <w:rsid w:val="00FA6432"/>
    <w:rsid w:val="00FB19CA"/>
    <w:rsid w:val="00FB393E"/>
    <w:rsid w:val="00FB65BF"/>
    <w:rsid w:val="00FB6D8B"/>
    <w:rsid w:val="00FC1C0A"/>
    <w:rsid w:val="00FC2558"/>
    <w:rsid w:val="00FC4FFA"/>
    <w:rsid w:val="00FC6ADE"/>
    <w:rsid w:val="00FD6FEE"/>
    <w:rsid w:val="00FE077F"/>
    <w:rsid w:val="00FE3778"/>
    <w:rsid w:val="00FE49AA"/>
    <w:rsid w:val="00FF1CF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uiPriority="0"/>
    <w:lsdException w:name="header" w:uiPriority="0"/>
    <w:lsdException w:name="footer" w:uiPriority="0" w:qFormat="1"/>
    <w:lsdException w:name="caption" w:uiPriority="35"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uiPriority="11" w:unhideWhenUsed="0" w:qFormat="1"/>
    <w:lsdException w:name="Strong" w:uiPriority="22" w:unhideWhenUsed="0" w:qFormat="1"/>
    <w:lsdException w:name="Emphasis"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63269"/>
    <w:pPr>
      <w:spacing w:before="100" w:after="0" w:line="288" w:lineRule="auto"/>
    </w:pPr>
    <w:rPr>
      <w:rFonts w:ascii="Arial" w:eastAsia="Times New Roman" w:hAnsi="Arial" w:cs="Times New Roman"/>
      <w:sz w:val="20"/>
      <w:szCs w:val="20"/>
      <w:lang w:eastAsia="en-AU"/>
    </w:rPr>
  </w:style>
  <w:style w:type="paragraph" w:styleId="Heading1">
    <w:name w:val="heading 1"/>
    <w:basedOn w:val="Normal"/>
    <w:next w:val="Normal"/>
    <w:link w:val="Heading1Char"/>
    <w:rsid w:val="00620C38"/>
    <w:pPr>
      <w:outlineLvl w:val="0"/>
    </w:pPr>
  </w:style>
  <w:style w:type="paragraph" w:styleId="Heading2">
    <w:name w:val="heading 2"/>
    <w:basedOn w:val="Normal"/>
    <w:next w:val="NormalIndent"/>
    <w:link w:val="Heading2Char"/>
    <w:semiHidden/>
    <w:rsid w:val="00620C38"/>
    <w:pPr>
      <w:outlineLvl w:val="1"/>
    </w:pPr>
  </w:style>
  <w:style w:type="paragraph" w:styleId="Heading3">
    <w:name w:val="heading 3"/>
    <w:basedOn w:val="Normal"/>
    <w:link w:val="Heading3Char"/>
    <w:semiHidden/>
    <w:rsid w:val="00620C38"/>
    <w:pPr>
      <w:outlineLvl w:val="2"/>
    </w:pPr>
  </w:style>
  <w:style w:type="paragraph" w:styleId="Heading4">
    <w:name w:val="heading 4"/>
    <w:basedOn w:val="Normal"/>
    <w:link w:val="Heading4Char"/>
    <w:semiHidden/>
    <w:rsid w:val="00620C38"/>
    <w:pPr>
      <w:outlineLvl w:val="3"/>
    </w:pPr>
  </w:style>
  <w:style w:type="paragraph" w:styleId="Heading5">
    <w:name w:val="heading 5"/>
    <w:basedOn w:val="Normal"/>
    <w:link w:val="Heading5Char"/>
    <w:semiHidden/>
    <w:rsid w:val="00620C38"/>
    <w:pPr>
      <w:outlineLvl w:val="4"/>
    </w:pPr>
  </w:style>
  <w:style w:type="paragraph" w:styleId="Heading6">
    <w:name w:val="heading 6"/>
    <w:basedOn w:val="Normal"/>
    <w:link w:val="Heading6Char"/>
    <w:semiHidden/>
    <w:rsid w:val="00620C38"/>
    <w:pPr>
      <w:outlineLvl w:val="5"/>
    </w:pPr>
  </w:style>
  <w:style w:type="paragraph" w:styleId="Heading7">
    <w:name w:val="heading 7"/>
    <w:basedOn w:val="Normal"/>
    <w:next w:val="Normal"/>
    <w:link w:val="Heading7Char"/>
    <w:semiHidden/>
    <w:rsid w:val="00620C38"/>
    <w:pPr>
      <w:outlineLvl w:val="6"/>
    </w:pPr>
  </w:style>
  <w:style w:type="paragraph" w:styleId="Heading8">
    <w:name w:val="heading 8"/>
    <w:basedOn w:val="Normal"/>
    <w:next w:val="Normal"/>
    <w:link w:val="Heading8Char"/>
    <w:semiHidden/>
    <w:rsid w:val="00620C38"/>
    <w:pPr>
      <w:outlineLvl w:val="7"/>
    </w:pPr>
  </w:style>
  <w:style w:type="paragraph" w:styleId="Heading9">
    <w:name w:val="heading 9"/>
    <w:basedOn w:val="Normal"/>
    <w:next w:val="Normal"/>
    <w:link w:val="Heading9Char"/>
    <w:semiHidden/>
    <w:rsid w:val="00620C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ensHeading1">
    <w:name w:val="Allens Heading 1"/>
    <w:basedOn w:val="Normal"/>
    <w:next w:val="AllensHeading2"/>
    <w:qFormat/>
    <w:rsid w:val="00620C38"/>
    <w:pPr>
      <w:keepNext/>
      <w:numPr>
        <w:numId w:val="1"/>
      </w:numPr>
      <w:spacing w:before="200"/>
      <w:outlineLvl w:val="0"/>
    </w:pPr>
    <w:rPr>
      <w:b/>
      <w:sz w:val="22"/>
    </w:rPr>
  </w:style>
  <w:style w:type="paragraph" w:customStyle="1" w:styleId="AllensHeading2">
    <w:name w:val="Allens Heading 2"/>
    <w:basedOn w:val="Normal"/>
    <w:next w:val="NormalIndent"/>
    <w:qFormat/>
    <w:rsid w:val="00620C38"/>
    <w:pPr>
      <w:keepNext/>
      <w:numPr>
        <w:ilvl w:val="1"/>
        <w:numId w:val="1"/>
      </w:numPr>
      <w:spacing w:before="160"/>
      <w:outlineLvl w:val="1"/>
    </w:pPr>
    <w:rPr>
      <w:b/>
      <w:sz w:val="21"/>
    </w:rPr>
  </w:style>
  <w:style w:type="paragraph" w:styleId="NormalIndent">
    <w:name w:val="Normal Indent"/>
    <w:basedOn w:val="Normal"/>
    <w:qFormat/>
    <w:rsid w:val="00620C38"/>
    <w:pPr>
      <w:ind w:left="709"/>
    </w:pPr>
  </w:style>
  <w:style w:type="paragraph" w:customStyle="1" w:styleId="AllensHeading3">
    <w:name w:val="Allens Heading 3"/>
    <w:basedOn w:val="Normal"/>
    <w:qFormat/>
    <w:rsid w:val="00620C38"/>
    <w:pPr>
      <w:numPr>
        <w:ilvl w:val="2"/>
        <w:numId w:val="1"/>
      </w:numPr>
    </w:pPr>
  </w:style>
  <w:style w:type="paragraph" w:customStyle="1" w:styleId="AllensHeading4">
    <w:name w:val="Allens Heading 4"/>
    <w:basedOn w:val="Normal"/>
    <w:qFormat/>
    <w:rsid w:val="00620C38"/>
    <w:pPr>
      <w:numPr>
        <w:ilvl w:val="3"/>
        <w:numId w:val="1"/>
      </w:numPr>
    </w:pPr>
  </w:style>
  <w:style w:type="paragraph" w:customStyle="1" w:styleId="AllensHeading5">
    <w:name w:val="Allens Heading 5"/>
    <w:basedOn w:val="Normal"/>
    <w:qFormat/>
    <w:rsid w:val="00620C38"/>
    <w:pPr>
      <w:numPr>
        <w:ilvl w:val="4"/>
        <w:numId w:val="1"/>
      </w:numPr>
    </w:pPr>
  </w:style>
  <w:style w:type="paragraph" w:customStyle="1" w:styleId="AllensHeading6">
    <w:name w:val="Allens Heading 6"/>
    <w:basedOn w:val="Normal"/>
    <w:qFormat/>
    <w:rsid w:val="00620C38"/>
    <w:pPr>
      <w:numPr>
        <w:ilvl w:val="5"/>
        <w:numId w:val="1"/>
      </w:numPr>
    </w:pPr>
  </w:style>
  <w:style w:type="character" w:customStyle="1" w:styleId="AuthorNote">
    <w:name w:val="Author Note"/>
    <w:aliases w:val="AN"/>
    <w:uiPriority w:val="1"/>
    <w:qFormat/>
    <w:rsid w:val="00620C38"/>
    <w:rPr>
      <w:rFonts w:ascii="Arial" w:hAnsi="Arial"/>
      <w:b/>
      <w:vanish/>
      <w:color w:val="0074BF"/>
      <w:sz w:val="20"/>
    </w:rPr>
  </w:style>
  <w:style w:type="paragraph" w:styleId="BalloonText">
    <w:name w:val="Balloon Text"/>
    <w:basedOn w:val="Normal"/>
    <w:link w:val="BalloonTextChar"/>
    <w:semiHidden/>
    <w:rsid w:val="00620C3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20C38"/>
    <w:rPr>
      <w:rFonts w:ascii="Tahoma" w:eastAsia="Times New Roman" w:hAnsi="Tahoma" w:cs="Tahoma"/>
      <w:sz w:val="16"/>
      <w:szCs w:val="16"/>
      <w:lang w:eastAsia="en-AU"/>
    </w:rPr>
  </w:style>
  <w:style w:type="paragraph" w:styleId="BodyText">
    <w:name w:val="Body Text"/>
    <w:basedOn w:val="Normal"/>
    <w:link w:val="BodyTextChar"/>
    <w:qFormat/>
    <w:rsid w:val="00620C38"/>
    <w:pPr>
      <w:spacing w:before="0" w:line="240" w:lineRule="auto"/>
    </w:pPr>
  </w:style>
  <w:style w:type="character" w:customStyle="1" w:styleId="BodyTextChar">
    <w:name w:val="Body Text Char"/>
    <w:basedOn w:val="DefaultParagraphFont"/>
    <w:link w:val="BodyText"/>
    <w:rsid w:val="00620C38"/>
    <w:rPr>
      <w:rFonts w:ascii="Arial" w:eastAsia="Times New Roman" w:hAnsi="Arial" w:cs="Times New Roman"/>
      <w:sz w:val="20"/>
      <w:szCs w:val="20"/>
      <w:lang w:eastAsia="en-AU"/>
    </w:rPr>
  </w:style>
  <w:style w:type="paragraph" w:styleId="BodyTextIndent">
    <w:name w:val="Body Text Indent"/>
    <w:basedOn w:val="BodyText"/>
    <w:link w:val="BodyTextIndentChar"/>
    <w:qFormat/>
    <w:rsid w:val="00620C38"/>
    <w:pPr>
      <w:ind w:left="709"/>
    </w:pPr>
  </w:style>
  <w:style w:type="character" w:customStyle="1" w:styleId="BodyTextIndentChar">
    <w:name w:val="Body Text Indent Char"/>
    <w:basedOn w:val="DefaultParagraphFont"/>
    <w:link w:val="BodyTextIndent"/>
    <w:rsid w:val="00620C38"/>
    <w:rPr>
      <w:rFonts w:ascii="Arial" w:eastAsia="Times New Roman" w:hAnsi="Arial" w:cs="Times New Roman"/>
      <w:sz w:val="20"/>
      <w:szCs w:val="20"/>
      <w:lang w:eastAsia="en-AU"/>
    </w:rPr>
  </w:style>
  <w:style w:type="paragraph" w:customStyle="1" w:styleId="Bullet1">
    <w:name w:val="Bullet 1"/>
    <w:basedOn w:val="Normal"/>
    <w:qFormat/>
    <w:rsid w:val="00620C38"/>
    <w:pPr>
      <w:numPr>
        <w:numId w:val="2"/>
      </w:numPr>
    </w:pPr>
  </w:style>
  <w:style w:type="paragraph" w:customStyle="1" w:styleId="Bullet2">
    <w:name w:val="Bullet 2"/>
    <w:basedOn w:val="Normal"/>
    <w:qFormat/>
    <w:rsid w:val="00620C38"/>
    <w:pPr>
      <w:numPr>
        <w:numId w:val="3"/>
      </w:numPr>
    </w:pPr>
  </w:style>
  <w:style w:type="paragraph" w:customStyle="1" w:styleId="Bullet3">
    <w:name w:val="Bullet 3"/>
    <w:basedOn w:val="Normal"/>
    <w:qFormat/>
    <w:rsid w:val="00620C38"/>
    <w:pPr>
      <w:numPr>
        <w:numId w:val="4"/>
      </w:numPr>
    </w:pPr>
  </w:style>
  <w:style w:type="paragraph" w:customStyle="1" w:styleId="ContentsHeading">
    <w:name w:val="Contents Heading"/>
    <w:basedOn w:val="Normal"/>
    <w:next w:val="Normal"/>
    <w:qFormat/>
    <w:rsid w:val="00620C38"/>
    <w:pPr>
      <w:spacing w:before="0"/>
    </w:pPr>
    <w:rPr>
      <w:b/>
      <w:sz w:val="22"/>
    </w:rPr>
  </w:style>
  <w:style w:type="paragraph" w:customStyle="1" w:styleId="Definitions">
    <w:name w:val="Definitions"/>
    <w:basedOn w:val="NormalIndent"/>
    <w:qFormat/>
    <w:rsid w:val="00620C38"/>
    <w:pPr>
      <w:numPr>
        <w:numId w:val="5"/>
      </w:numPr>
    </w:pPr>
  </w:style>
  <w:style w:type="paragraph" w:customStyle="1" w:styleId="Definitionsa">
    <w:name w:val="Definitions (a)"/>
    <w:basedOn w:val="Normal"/>
    <w:qFormat/>
    <w:rsid w:val="00620C38"/>
    <w:pPr>
      <w:numPr>
        <w:ilvl w:val="1"/>
        <w:numId w:val="5"/>
      </w:numPr>
    </w:pPr>
  </w:style>
  <w:style w:type="paragraph" w:customStyle="1" w:styleId="Definitionsi">
    <w:name w:val="Definitions (i)"/>
    <w:basedOn w:val="Normal"/>
    <w:qFormat/>
    <w:rsid w:val="00620C38"/>
    <w:pPr>
      <w:numPr>
        <w:ilvl w:val="2"/>
        <w:numId w:val="5"/>
      </w:numPr>
    </w:pPr>
  </w:style>
  <w:style w:type="paragraph" w:styleId="Footer">
    <w:name w:val="footer"/>
    <w:basedOn w:val="Normal"/>
    <w:link w:val="FooterChar"/>
    <w:qFormat/>
    <w:rsid w:val="00620C38"/>
    <w:pPr>
      <w:spacing w:before="40" w:line="240" w:lineRule="auto"/>
    </w:pPr>
    <w:rPr>
      <w:noProof/>
      <w:sz w:val="16"/>
    </w:rPr>
  </w:style>
  <w:style w:type="character" w:customStyle="1" w:styleId="FooterChar">
    <w:name w:val="Footer Char"/>
    <w:basedOn w:val="DefaultParagraphFont"/>
    <w:link w:val="Footer"/>
    <w:rsid w:val="00620C38"/>
    <w:rPr>
      <w:rFonts w:ascii="Arial" w:eastAsia="Times New Roman" w:hAnsi="Arial" w:cs="Times New Roman"/>
      <w:noProof/>
      <w:sz w:val="16"/>
      <w:szCs w:val="20"/>
      <w:lang w:eastAsia="en-AU"/>
    </w:rPr>
  </w:style>
  <w:style w:type="paragraph" w:styleId="FootnoteText">
    <w:name w:val="footnote text"/>
    <w:basedOn w:val="Normal"/>
    <w:link w:val="FootnoteTextChar"/>
    <w:semiHidden/>
    <w:rsid w:val="00620C38"/>
    <w:rPr>
      <w:sz w:val="16"/>
    </w:rPr>
  </w:style>
  <w:style w:type="character" w:customStyle="1" w:styleId="FootnoteTextChar">
    <w:name w:val="Footnote Text Char"/>
    <w:basedOn w:val="DefaultParagraphFont"/>
    <w:link w:val="FootnoteText"/>
    <w:semiHidden/>
    <w:rsid w:val="00620C38"/>
    <w:rPr>
      <w:rFonts w:ascii="Arial" w:eastAsia="Times New Roman" w:hAnsi="Arial" w:cs="Times New Roman"/>
      <w:sz w:val="16"/>
      <w:szCs w:val="20"/>
      <w:lang w:eastAsia="en-AU"/>
    </w:rPr>
  </w:style>
  <w:style w:type="paragraph" w:customStyle="1" w:styleId="GeneralHeading1">
    <w:name w:val="General Heading 1"/>
    <w:basedOn w:val="Normal"/>
    <w:next w:val="Normal"/>
    <w:qFormat/>
    <w:rsid w:val="00620C38"/>
    <w:pPr>
      <w:keepNext/>
      <w:spacing w:before="200"/>
    </w:pPr>
    <w:rPr>
      <w:b/>
      <w:sz w:val="22"/>
    </w:rPr>
  </w:style>
  <w:style w:type="paragraph" w:customStyle="1" w:styleId="GeneralHeading2">
    <w:name w:val="General Heading 2"/>
    <w:basedOn w:val="Normal"/>
    <w:next w:val="Normal"/>
    <w:qFormat/>
    <w:rsid w:val="00620C38"/>
    <w:pPr>
      <w:keepNext/>
      <w:spacing w:before="160"/>
    </w:pPr>
    <w:rPr>
      <w:b/>
      <w:sz w:val="21"/>
    </w:rPr>
  </w:style>
  <w:style w:type="paragraph" w:customStyle="1" w:styleId="GNBullet">
    <w:name w:val="GN Bullet"/>
    <w:basedOn w:val="Normal"/>
    <w:uiPriority w:val="1"/>
    <w:qFormat/>
    <w:rsid w:val="00620C38"/>
    <w:pPr>
      <w:numPr>
        <w:numId w:val="6"/>
      </w:numPr>
      <w:spacing w:line="240" w:lineRule="auto"/>
    </w:pPr>
    <w:rPr>
      <w:vanish/>
      <w:color w:val="000080"/>
    </w:rPr>
  </w:style>
  <w:style w:type="paragraph" w:customStyle="1" w:styleId="GNHeading">
    <w:name w:val="GN Heading"/>
    <w:basedOn w:val="Normal"/>
    <w:next w:val="GNNormalIndent"/>
    <w:uiPriority w:val="1"/>
    <w:qFormat/>
    <w:rsid w:val="00620C38"/>
    <w:pPr>
      <w:keepNext/>
      <w:numPr>
        <w:numId w:val="7"/>
      </w:numPr>
      <w:spacing w:before="200" w:line="240" w:lineRule="auto"/>
    </w:pPr>
    <w:rPr>
      <w:b/>
      <w:vanish/>
      <w:color w:val="000080"/>
    </w:rPr>
  </w:style>
  <w:style w:type="paragraph" w:customStyle="1" w:styleId="GNLevel1">
    <w:name w:val="GN Level 1"/>
    <w:basedOn w:val="Normal"/>
    <w:uiPriority w:val="1"/>
    <w:qFormat/>
    <w:rsid w:val="00620C38"/>
    <w:pPr>
      <w:numPr>
        <w:numId w:val="8"/>
      </w:numPr>
      <w:spacing w:line="240" w:lineRule="auto"/>
    </w:pPr>
    <w:rPr>
      <w:vanish/>
      <w:color w:val="000080"/>
    </w:rPr>
  </w:style>
  <w:style w:type="paragraph" w:customStyle="1" w:styleId="GNLevel2">
    <w:name w:val="GN Level 2"/>
    <w:basedOn w:val="Normal"/>
    <w:uiPriority w:val="1"/>
    <w:qFormat/>
    <w:rsid w:val="00620C38"/>
    <w:pPr>
      <w:numPr>
        <w:ilvl w:val="1"/>
        <w:numId w:val="8"/>
      </w:numPr>
      <w:spacing w:line="240" w:lineRule="auto"/>
    </w:pPr>
    <w:rPr>
      <w:vanish/>
      <w:color w:val="000080"/>
    </w:rPr>
  </w:style>
  <w:style w:type="paragraph" w:customStyle="1" w:styleId="GNLevel3">
    <w:name w:val="GN Level 3"/>
    <w:basedOn w:val="Normal"/>
    <w:uiPriority w:val="1"/>
    <w:qFormat/>
    <w:rsid w:val="00620C38"/>
    <w:pPr>
      <w:numPr>
        <w:ilvl w:val="2"/>
        <w:numId w:val="8"/>
      </w:numPr>
      <w:spacing w:line="240" w:lineRule="auto"/>
    </w:pPr>
    <w:rPr>
      <w:vanish/>
      <w:color w:val="000080"/>
    </w:rPr>
  </w:style>
  <w:style w:type="paragraph" w:customStyle="1" w:styleId="GNLevel4">
    <w:name w:val="GN Level 4"/>
    <w:basedOn w:val="Normal"/>
    <w:uiPriority w:val="1"/>
    <w:qFormat/>
    <w:rsid w:val="00620C38"/>
    <w:pPr>
      <w:numPr>
        <w:ilvl w:val="3"/>
        <w:numId w:val="8"/>
      </w:numPr>
      <w:spacing w:line="240" w:lineRule="auto"/>
    </w:pPr>
    <w:rPr>
      <w:vanish/>
      <w:color w:val="000080"/>
    </w:rPr>
  </w:style>
  <w:style w:type="paragraph" w:customStyle="1" w:styleId="GNNormal">
    <w:name w:val="GN Normal"/>
    <w:basedOn w:val="Normal"/>
    <w:uiPriority w:val="1"/>
    <w:qFormat/>
    <w:rsid w:val="00620C38"/>
    <w:pPr>
      <w:spacing w:line="240" w:lineRule="auto"/>
    </w:pPr>
    <w:rPr>
      <w:vanish/>
      <w:color w:val="000080"/>
    </w:rPr>
  </w:style>
  <w:style w:type="paragraph" w:customStyle="1" w:styleId="GNNormalIndent">
    <w:name w:val="GN Normal Indent"/>
    <w:basedOn w:val="GNNormal"/>
    <w:uiPriority w:val="1"/>
    <w:qFormat/>
    <w:rsid w:val="00620C38"/>
    <w:pPr>
      <w:ind w:left="709"/>
    </w:pPr>
  </w:style>
  <w:style w:type="paragraph" w:styleId="Header">
    <w:name w:val="header"/>
    <w:basedOn w:val="Normal"/>
    <w:link w:val="HeaderChar"/>
    <w:semiHidden/>
    <w:rsid w:val="00620C38"/>
    <w:pPr>
      <w:spacing w:before="0" w:line="240" w:lineRule="auto"/>
    </w:pPr>
    <w:rPr>
      <w:noProof/>
      <w:sz w:val="16"/>
    </w:rPr>
  </w:style>
  <w:style w:type="character" w:customStyle="1" w:styleId="HeaderChar">
    <w:name w:val="Header Char"/>
    <w:basedOn w:val="DefaultParagraphFont"/>
    <w:link w:val="Header"/>
    <w:semiHidden/>
    <w:rsid w:val="00620C38"/>
    <w:rPr>
      <w:rFonts w:ascii="Arial" w:eastAsia="Times New Roman" w:hAnsi="Arial" w:cs="Times New Roman"/>
      <w:noProof/>
      <w:sz w:val="16"/>
      <w:szCs w:val="20"/>
      <w:lang w:eastAsia="en-AU"/>
    </w:rPr>
  </w:style>
  <w:style w:type="paragraph" w:customStyle="1" w:styleId="HeaderTitle">
    <w:name w:val="Header Title"/>
    <w:basedOn w:val="Normal"/>
    <w:qFormat/>
    <w:rsid w:val="00620C38"/>
    <w:pPr>
      <w:spacing w:line="240" w:lineRule="auto"/>
    </w:pPr>
    <w:rPr>
      <w:noProof/>
    </w:rPr>
  </w:style>
  <w:style w:type="character" w:customStyle="1" w:styleId="Heading1Char">
    <w:name w:val="Heading 1 Char"/>
    <w:basedOn w:val="DefaultParagraphFont"/>
    <w:link w:val="Heading1"/>
    <w:rsid w:val="00620C38"/>
    <w:rPr>
      <w:rFonts w:ascii="Arial" w:eastAsia="Times New Roman" w:hAnsi="Arial" w:cs="Times New Roman"/>
      <w:sz w:val="20"/>
      <w:szCs w:val="20"/>
      <w:lang w:eastAsia="en-AU"/>
    </w:rPr>
  </w:style>
  <w:style w:type="character" w:customStyle="1" w:styleId="Heading2Char">
    <w:name w:val="Heading 2 Char"/>
    <w:basedOn w:val="DefaultParagraphFont"/>
    <w:link w:val="Heading2"/>
    <w:semiHidden/>
    <w:rsid w:val="00620C38"/>
    <w:rPr>
      <w:rFonts w:ascii="Arial" w:eastAsia="Times New Roman" w:hAnsi="Arial" w:cs="Times New Roman"/>
      <w:sz w:val="20"/>
      <w:szCs w:val="20"/>
      <w:lang w:eastAsia="en-AU"/>
    </w:rPr>
  </w:style>
  <w:style w:type="character" w:customStyle="1" w:styleId="Heading3Char">
    <w:name w:val="Heading 3 Char"/>
    <w:basedOn w:val="DefaultParagraphFont"/>
    <w:link w:val="Heading3"/>
    <w:semiHidden/>
    <w:rsid w:val="00620C38"/>
    <w:rPr>
      <w:rFonts w:ascii="Arial" w:eastAsia="Times New Roman" w:hAnsi="Arial" w:cs="Times New Roman"/>
      <w:sz w:val="20"/>
      <w:szCs w:val="20"/>
      <w:lang w:eastAsia="en-AU"/>
    </w:rPr>
  </w:style>
  <w:style w:type="character" w:customStyle="1" w:styleId="Heading4Char">
    <w:name w:val="Heading 4 Char"/>
    <w:basedOn w:val="DefaultParagraphFont"/>
    <w:link w:val="Heading4"/>
    <w:semiHidden/>
    <w:rsid w:val="00620C38"/>
    <w:rPr>
      <w:rFonts w:ascii="Arial" w:eastAsia="Times New Roman" w:hAnsi="Arial" w:cs="Times New Roman"/>
      <w:sz w:val="20"/>
      <w:szCs w:val="20"/>
      <w:lang w:eastAsia="en-AU"/>
    </w:rPr>
  </w:style>
  <w:style w:type="character" w:customStyle="1" w:styleId="Heading5Char">
    <w:name w:val="Heading 5 Char"/>
    <w:basedOn w:val="DefaultParagraphFont"/>
    <w:link w:val="Heading5"/>
    <w:semiHidden/>
    <w:rsid w:val="00620C38"/>
    <w:rPr>
      <w:rFonts w:ascii="Arial" w:eastAsia="Times New Roman" w:hAnsi="Arial" w:cs="Times New Roman"/>
      <w:sz w:val="20"/>
      <w:szCs w:val="20"/>
      <w:lang w:eastAsia="en-AU"/>
    </w:rPr>
  </w:style>
  <w:style w:type="character" w:customStyle="1" w:styleId="Heading6Char">
    <w:name w:val="Heading 6 Char"/>
    <w:basedOn w:val="DefaultParagraphFont"/>
    <w:link w:val="Heading6"/>
    <w:semiHidden/>
    <w:rsid w:val="00620C38"/>
    <w:rPr>
      <w:rFonts w:ascii="Arial" w:eastAsia="Times New Roman" w:hAnsi="Arial" w:cs="Times New Roman"/>
      <w:sz w:val="20"/>
      <w:szCs w:val="20"/>
      <w:lang w:eastAsia="en-AU"/>
    </w:rPr>
  </w:style>
  <w:style w:type="character" w:customStyle="1" w:styleId="Heading7Char">
    <w:name w:val="Heading 7 Char"/>
    <w:basedOn w:val="DefaultParagraphFont"/>
    <w:link w:val="Heading7"/>
    <w:semiHidden/>
    <w:rsid w:val="00620C38"/>
    <w:rPr>
      <w:rFonts w:ascii="Arial" w:eastAsia="Times New Roman" w:hAnsi="Arial" w:cs="Times New Roman"/>
      <w:sz w:val="20"/>
      <w:szCs w:val="20"/>
      <w:lang w:eastAsia="en-AU"/>
    </w:rPr>
  </w:style>
  <w:style w:type="character" w:customStyle="1" w:styleId="Heading8Char">
    <w:name w:val="Heading 8 Char"/>
    <w:basedOn w:val="DefaultParagraphFont"/>
    <w:link w:val="Heading8"/>
    <w:semiHidden/>
    <w:rsid w:val="00620C38"/>
    <w:rPr>
      <w:rFonts w:ascii="Arial" w:eastAsia="Times New Roman" w:hAnsi="Arial" w:cs="Times New Roman"/>
      <w:sz w:val="20"/>
      <w:szCs w:val="20"/>
      <w:lang w:eastAsia="en-AU"/>
    </w:rPr>
  </w:style>
  <w:style w:type="character" w:customStyle="1" w:styleId="Heading9Char">
    <w:name w:val="Heading 9 Char"/>
    <w:basedOn w:val="DefaultParagraphFont"/>
    <w:link w:val="Heading9"/>
    <w:semiHidden/>
    <w:rsid w:val="00620C38"/>
    <w:rPr>
      <w:rFonts w:ascii="Arial" w:eastAsia="Times New Roman" w:hAnsi="Arial" w:cs="Times New Roman"/>
      <w:sz w:val="20"/>
      <w:szCs w:val="20"/>
      <w:lang w:eastAsia="en-AU"/>
    </w:rPr>
  </w:style>
  <w:style w:type="character" w:styleId="Hyperlink">
    <w:name w:val="Hyperlink"/>
    <w:uiPriority w:val="99"/>
    <w:rsid w:val="00F37349"/>
    <w:rPr>
      <w:color w:val="0000FF"/>
      <w:u w:val="single"/>
    </w:rPr>
  </w:style>
  <w:style w:type="paragraph" w:customStyle="1" w:styleId="level1">
    <w:name w:val="level1"/>
    <w:basedOn w:val="Normal"/>
    <w:qFormat/>
    <w:rsid w:val="00620C38"/>
    <w:pPr>
      <w:numPr>
        <w:numId w:val="9"/>
      </w:numPr>
    </w:pPr>
  </w:style>
  <w:style w:type="paragraph" w:customStyle="1" w:styleId="level2">
    <w:name w:val="level2"/>
    <w:basedOn w:val="Normal"/>
    <w:qFormat/>
    <w:rsid w:val="00620C38"/>
    <w:pPr>
      <w:numPr>
        <w:ilvl w:val="1"/>
        <w:numId w:val="9"/>
      </w:numPr>
    </w:pPr>
  </w:style>
  <w:style w:type="paragraph" w:customStyle="1" w:styleId="level3">
    <w:name w:val="level3"/>
    <w:basedOn w:val="Normal"/>
    <w:qFormat/>
    <w:rsid w:val="00620C38"/>
    <w:pPr>
      <w:numPr>
        <w:ilvl w:val="2"/>
        <w:numId w:val="9"/>
      </w:numPr>
    </w:pPr>
  </w:style>
  <w:style w:type="paragraph" w:customStyle="1" w:styleId="level4">
    <w:name w:val="level4"/>
    <w:basedOn w:val="Normal"/>
    <w:qFormat/>
    <w:rsid w:val="00620C38"/>
    <w:pPr>
      <w:numPr>
        <w:ilvl w:val="3"/>
        <w:numId w:val="9"/>
      </w:numPr>
    </w:pPr>
  </w:style>
  <w:style w:type="paragraph" w:customStyle="1" w:styleId="level5">
    <w:name w:val="level5"/>
    <w:basedOn w:val="Normal"/>
    <w:qFormat/>
    <w:rsid w:val="00620C38"/>
    <w:pPr>
      <w:numPr>
        <w:ilvl w:val="4"/>
        <w:numId w:val="9"/>
      </w:numPr>
    </w:pPr>
  </w:style>
  <w:style w:type="paragraph" w:customStyle="1" w:styleId="level6">
    <w:name w:val="level6"/>
    <w:basedOn w:val="Normal"/>
    <w:qFormat/>
    <w:rsid w:val="00620C38"/>
    <w:pPr>
      <w:numPr>
        <w:ilvl w:val="5"/>
        <w:numId w:val="9"/>
      </w:numPr>
    </w:pPr>
  </w:style>
  <w:style w:type="character" w:styleId="PageNumber">
    <w:name w:val="page number"/>
    <w:semiHidden/>
    <w:qFormat/>
    <w:rsid w:val="00620C38"/>
    <w:rPr>
      <w:sz w:val="16"/>
    </w:rPr>
  </w:style>
  <w:style w:type="paragraph" w:customStyle="1" w:styleId="Schedule">
    <w:name w:val="Schedule"/>
    <w:basedOn w:val="Normal"/>
    <w:next w:val="ScheduleHeading"/>
    <w:qFormat/>
    <w:rsid w:val="00620C38"/>
    <w:pPr>
      <w:keepNext/>
      <w:numPr>
        <w:numId w:val="10"/>
      </w:numPr>
      <w:spacing w:before="200"/>
      <w:outlineLvl w:val="0"/>
    </w:pPr>
    <w:rPr>
      <w:b/>
      <w:sz w:val="22"/>
    </w:rPr>
  </w:style>
  <w:style w:type="paragraph" w:customStyle="1" w:styleId="Schedule1">
    <w:name w:val="Schedule 1"/>
    <w:basedOn w:val="Normal"/>
    <w:next w:val="Schedule2"/>
    <w:qFormat/>
    <w:rsid w:val="00620C38"/>
    <w:pPr>
      <w:keepNext/>
      <w:numPr>
        <w:ilvl w:val="2"/>
        <w:numId w:val="10"/>
      </w:numPr>
      <w:spacing w:before="200"/>
    </w:pPr>
    <w:rPr>
      <w:b/>
      <w:sz w:val="22"/>
    </w:rPr>
  </w:style>
  <w:style w:type="paragraph" w:customStyle="1" w:styleId="Schedule2">
    <w:name w:val="Schedule 2"/>
    <w:basedOn w:val="Normal"/>
    <w:next w:val="NormalIndent"/>
    <w:qFormat/>
    <w:rsid w:val="00620C38"/>
    <w:pPr>
      <w:keepNext/>
      <w:numPr>
        <w:ilvl w:val="3"/>
        <w:numId w:val="10"/>
      </w:numPr>
      <w:spacing w:before="160"/>
    </w:pPr>
    <w:rPr>
      <w:b/>
      <w:sz w:val="21"/>
    </w:rPr>
  </w:style>
  <w:style w:type="paragraph" w:customStyle="1" w:styleId="Schedule3">
    <w:name w:val="Schedule 3"/>
    <w:basedOn w:val="Normal"/>
    <w:qFormat/>
    <w:rsid w:val="00620C38"/>
    <w:pPr>
      <w:numPr>
        <w:ilvl w:val="4"/>
        <w:numId w:val="10"/>
      </w:numPr>
    </w:pPr>
  </w:style>
  <w:style w:type="paragraph" w:customStyle="1" w:styleId="Schedule4">
    <w:name w:val="Schedule 4"/>
    <w:basedOn w:val="Normal"/>
    <w:qFormat/>
    <w:rsid w:val="00620C38"/>
    <w:pPr>
      <w:numPr>
        <w:ilvl w:val="5"/>
        <w:numId w:val="10"/>
      </w:numPr>
    </w:pPr>
  </w:style>
  <w:style w:type="paragraph" w:customStyle="1" w:styleId="Schedule5">
    <w:name w:val="Schedule 5"/>
    <w:basedOn w:val="Normal"/>
    <w:qFormat/>
    <w:rsid w:val="00620C38"/>
    <w:pPr>
      <w:numPr>
        <w:ilvl w:val="6"/>
        <w:numId w:val="10"/>
      </w:numPr>
    </w:pPr>
  </w:style>
  <w:style w:type="paragraph" w:customStyle="1" w:styleId="Schedule6">
    <w:name w:val="Schedule 6"/>
    <w:basedOn w:val="Normal"/>
    <w:qFormat/>
    <w:rsid w:val="00620C38"/>
    <w:pPr>
      <w:numPr>
        <w:ilvl w:val="7"/>
        <w:numId w:val="10"/>
      </w:numPr>
    </w:pPr>
  </w:style>
  <w:style w:type="paragraph" w:customStyle="1" w:styleId="ScheduleHeading">
    <w:name w:val="Schedule Heading"/>
    <w:basedOn w:val="Normal"/>
    <w:next w:val="Schedule1"/>
    <w:qFormat/>
    <w:rsid w:val="00620C38"/>
    <w:pPr>
      <w:keepNext/>
      <w:numPr>
        <w:ilvl w:val="1"/>
        <w:numId w:val="10"/>
      </w:numPr>
      <w:spacing w:before="160"/>
      <w:outlineLvl w:val="1"/>
    </w:pPr>
    <w:rPr>
      <w:b/>
      <w:sz w:val="22"/>
    </w:rPr>
  </w:style>
  <w:style w:type="table" w:styleId="TableGrid">
    <w:name w:val="Table Grid"/>
    <w:basedOn w:val="TableNormal"/>
    <w:rsid w:val="00620C38"/>
    <w:pPr>
      <w:spacing w:after="0" w:line="240" w:lineRule="auto"/>
    </w:pPr>
    <w:rPr>
      <w:rFonts w:ascii="Arial" w:eastAsia="Times New Roman" w:hAnsi="Arial"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20C38"/>
    <w:pPr>
      <w:keepNext/>
      <w:spacing w:before="0" w:after="60"/>
    </w:pPr>
    <w:rPr>
      <w:sz w:val="32"/>
    </w:rPr>
  </w:style>
  <w:style w:type="character" w:customStyle="1" w:styleId="TitleChar">
    <w:name w:val="Title Char"/>
    <w:basedOn w:val="DefaultParagraphFont"/>
    <w:link w:val="Title"/>
    <w:rsid w:val="00620C38"/>
    <w:rPr>
      <w:rFonts w:ascii="Arial" w:eastAsia="Times New Roman" w:hAnsi="Arial" w:cs="Times New Roman"/>
      <w:sz w:val="32"/>
      <w:szCs w:val="20"/>
      <w:lang w:eastAsia="en-AU"/>
    </w:rPr>
  </w:style>
  <w:style w:type="paragraph" w:styleId="TOC1">
    <w:name w:val="toc 1"/>
    <w:basedOn w:val="Normal"/>
    <w:next w:val="TOC2"/>
    <w:autoRedefine/>
    <w:uiPriority w:val="39"/>
    <w:qFormat/>
    <w:rsid w:val="00620C38"/>
    <w:pPr>
      <w:tabs>
        <w:tab w:val="right" w:pos="9354"/>
      </w:tabs>
      <w:spacing w:line="240" w:lineRule="auto"/>
      <w:ind w:left="709" w:hanging="709"/>
    </w:pPr>
    <w:rPr>
      <w:rFonts w:ascii="Arial Bold" w:hAnsi="Arial Bold"/>
      <w:b/>
      <w:noProof/>
      <w:lang w:eastAsia="en-US"/>
    </w:rPr>
  </w:style>
  <w:style w:type="paragraph" w:styleId="TOC2">
    <w:name w:val="toc 2"/>
    <w:basedOn w:val="Normal"/>
    <w:autoRedefine/>
    <w:uiPriority w:val="39"/>
    <w:qFormat/>
    <w:rsid w:val="00620C38"/>
    <w:pPr>
      <w:tabs>
        <w:tab w:val="right" w:pos="9354"/>
      </w:tabs>
      <w:spacing w:before="60" w:line="240" w:lineRule="auto"/>
      <w:ind w:left="1418" w:hanging="709"/>
    </w:pPr>
    <w:rPr>
      <w:noProof/>
      <w:lang w:eastAsia="en-US"/>
    </w:rPr>
  </w:style>
  <w:style w:type="paragraph" w:styleId="TOC3">
    <w:name w:val="toc 3"/>
    <w:basedOn w:val="Normal"/>
    <w:autoRedefine/>
    <w:semiHidden/>
    <w:rsid w:val="00620C38"/>
    <w:pPr>
      <w:tabs>
        <w:tab w:val="right" w:pos="9354"/>
      </w:tabs>
      <w:spacing w:before="60" w:line="240" w:lineRule="auto"/>
      <w:ind w:left="709"/>
    </w:pPr>
    <w:rPr>
      <w:noProof/>
      <w:lang w:eastAsia="en-US"/>
    </w:rPr>
  </w:style>
  <w:style w:type="paragraph" w:styleId="TOC4">
    <w:name w:val="toc 4"/>
    <w:basedOn w:val="Normal"/>
    <w:next w:val="Normal"/>
    <w:autoRedefine/>
    <w:semiHidden/>
    <w:rsid w:val="00620C38"/>
    <w:pPr>
      <w:tabs>
        <w:tab w:val="right" w:pos="9354"/>
      </w:tabs>
      <w:spacing w:before="60" w:line="240" w:lineRule="auto"/>
      <w:ind w:left="2835" w:hanging="709"/>
    </w:pPr>
    <w:rPr>
      <w:noProof/>
      <w:lang w:eastAsia="en-US"/>
    </w:rPr>
  </w:style>
  <w:style w:type="paragraph" w:styleId="TOC5">
    <w:name w:val="toc 5"/>
    <w:basedOn w:val="Normal"/>
    <w:next w:val="Normal"/>
    <w:autoRedefine/>
    <w:semiHidden/>
    <w:rsid w:val="00620C38"/>
    <w:pPr>
      <w:tabs>
        <w:tab w:val="right" w:pos="9354"/>
      </w:tabs>
      <w:ind w:left="3544" w:hanging="709"/>
    </w:pPr>
    <w:rPr>
      <w:lang w:eastAsia="en-US"/>
    </w:rPr>
  </w:style>
  <w:style w:type="paragraph" w:styleId="TOC6">
    <w:name w:val="toc 6"/>
    <w:basedOn w:val="Normal"/>
    <w:next w:val="Normal"/>
    <w:autoRedefine/>
    <w:semiHidden/>
    <w:rsid w:val="00620C38"/>
    <w:pPr>
      <w:tabs>
        <w:tab w:val="right" w:pos="9354"/>
      </w:tabs>
      <w:ind w:left="4253" w:hanging="709"/>
    </w:pPr>
    <w:rPr>
      <w:lang w:eastAsia="en-US"/>
    </w:rPr>
  </w:style>
  <w:style w:type="paragraph" w:styleId="TOC7">
    <w:name w:val="toc 7"/>
    <w:basedOn w:val="Normal"/>
    <w:next w:val="Normal"/>
    <w:autoRedefine/>
    <w:semiHidden/>
    <w:rsid w:val="00620C38"/>
    <w:pPr>
      <w:ind w:left="1200"/>
    </w:pPr>
    <w:rPr>
      <w:lang w:eastAsia="en-US"/>
    </w:rPr>
  </w:style>
  <w:style w:type="paragraph" w:styleId="TOC8">
    <w:name w:val="toc 8"/>
    <w:basedOn w:val="Normal"/>
    <w:next w:val="Normal"/>
    <w:autoRedefine/>
    <w:semiHidden/>
    <w:rsid w:val="00620C38"/>
    <w:pPr>
      <w:ind w:left="1400"/>
    </w:pPr>
    <w:rPr>
      <w:lang w:eastAsia="en-US"/>
    </w:rPr>
  </w:style>
  <w:style w:type="paragraph" w:styleId="TOC9">
    <w:name w:val="toc 9"/>
    <w:basedOn w:val="Normal"/>
    <w:next w:val="Normal"/>
    <w:autoRedefine/>
    <w:semiHidden/>
    <w:rsid w:val="00620C38"/>
    <w:pPr>
      <w:ind w:left="1600"/>
    </w:pPr>
    <w:rPr>
      <w:lang w:eastAsia="en-US"/>
    </w:rPr>
  </w:style>
  <w:style w:type="character" w:styleId="FootnoteReference">
    <w:name w:val="footnote reference"/>
    <w:basedOn w:val="DefaultParagraphFont"/>
    <w:uiPriority w:val="99"/>
    <w:semiHidden/>
    <w:unhideWhenUsed/>
    <w:rsid w:val="000635AA"/>
    <w:rPr>
      <w:vertAlign w:val="superscript"/>
    </w:rPr>
  </w:style>
  <w:style w:type="character" w:styleId="FollowedHyperlink">
    <w:name w:val="FollowedHyperlink"/>
    <w:basedOn w:val="DefaultParagraphFont"/>
    <w:uiPriority w:val="99"/>
    <w:semiHidden/>
    <w:unhideWhenUsed/>
    <w:rsid w:val="000D1AC7"/>
    <w:rPr>
      <w:color w:val="800080" w:themeColor="followedHyperlink"/>
      <w:u w:val="single"/>
    </w:rPr>
  </w:style>
  <w:style w:type="table" w:customStyle="1" w:styleId="TableGrid1">
    <w:name w:val="Table Grid1"/>
    <w:basedOn w:val="TableNormal"/>
    <w:next w:val="TableGrid"/>
    <w:rsid w:val="00024A2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024A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C22D31"/>
    <w:rPr>
      <w:sz w:val="16"/>
      <w:szCs w:val="16"/>
    </w:rPr>
  </w:style>
  <w:style w:type="paragraph" w:styleId="CommentText">
    <w:name w:val="annotation text"/>
    <w:basedOn w:val="Normal"/>
    <w:link w:val="CommentTextChar"/>
    <w:uiPriority w:val="99"/>
    <w:semiHidden/>
    <w:unhideWhenUsed/>
    <w:rsid w:val="00C22D31"/>
    <w:pPr>
      <w:spacing w:line="240" w:lineRule="auto"/>
    </w:pPr>
  </w:style>
  <w:style w:type="character" w:customStyle="1" w:styleId="CommentTextChar">
    <w:name w:val="Comment Text Char"/>
    <w:basedOn w:val="DefaultParagraphFont"/>
    <w:link w:val="CommentText"/>
    <w:uiPriority w:val="99"/>
    <w:semiHidden/>
    <w:rsid w:val="00C22D31"/>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22D31"/>
    <w:rPr>
      <w:b/>
      <w:bCs/>
    </w:rPr>
  </w:style>
  <w:style w:type="character" w:customStyle="1" w:styleId="CommentSubjectChar">
    <w:name w:val="Comment Subject Char"/>
    <w:basedOn w:val="CommentTextChar"/>
    <w:link w:val="CommentSubject"/>
    <w:uiPriority w:val="99"/>
    <w:semiHidden/>
    <w:rsid w:val="00C22D31"/>
    <w:rPr>
      <w:rFonts w:ascii="Arial" w:eastAsia="Times New Roman" w:hAnsi="Arial" w:cs="Times New Roman"/>
      <w:b/>
      <w:bCs/>
      <w:sz w:val="20"/>
      <w:szCs w:val="20"/>
      <w:lang w:eastAsia="en-AU"/>
    </w:rPr>
  </w:style>
  <w:style w:type="paragraph" w:styleId="Revision">
    <w:name w:val="Revision"/>
    <w:hidden/>
    <w:uiPriority w:val="99"/>
    <w:semiHidden/>
    <w:rsid w:val="00C22D31"/>
    <w:pPr>
      <w:spacing w:after="0" w:line="240" w:lineRule="auto"/>
    </w:pPr>
    <w:rPr>
      <w:rFonts w:ascii="Arial" w:eastAsia="Times New Roman" w:hAnsi="Arial" w:cs="Times New Roman"/>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uiPriority="0"/>
    <w:lsdException w:name="header" w:uiPriority="0"/>
    <w:lsdException w:name="footer" w:uiPriority="0" w:qFormat="1"/>
    <w:lsdException w:name="caption" w:uiPriority="35"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uiPriority="11" w:unhideWhenUsed="0" w:qFormat="1"/>
    <w:lsdException w:name="Strong" w:uiPriority="22" w:unhideWhenUsed="0" w:qFormat="1"/>
    <w:lsdException w:name="Emphasis"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63269"/>
    <w:pPr>
      <w:spacing w:before="100" w:after="0" w:line="288" w:lineRule="auto"/>
    </w:pPr>
    <w:rPr>
      <w:rFonts w:ascii="Arial" w:eastAsia="Times New Roman" w:hAnsi="Arial" w:cs="Times New Roman"/>
      <w:sz w:val="20"/>
      <w:szCs w:val="20"/>
      <w:lang w:eastAsia="en-AU"/>
    </w:rPr>
  </w:style>
  <w:style w:type="paragraph" w:styleId="Heading1">
    <w:name w:val="heading 1"/>
    <w:basedOn w:val="Normal"/>
    <w:next w:val="Normal"/>
    <w:link w:val="Heading1Char"/>
    <w:rsid w:val="00620C38"/>
    <w:pPr>
      <w:outlineLvl w:val="0"/>
    </w:pPr>
  </w:style>
  <w:style w:type="paragraph" w:styleId="Heading2">
    <w:name w:val="heading 2"/>
    <w:basedOn w:val="Normal"/>
    <w:next w:val="NormalIndent"/>
    <w:link w:val="Heading2Char"/>
    <w:semiHidden/>
    <w:rsid w:val="00620C38"/>
    <w:pPr>
      <w:outlineLvl w:val="1"/>
    </w:pPr>
  </w:style>
  <w:style w:type="paragraph" w:styleId="Heading3">
    <w:name w:val="heading 3"/>
    <w:basedOn w:val="Normal"/>
    <w:link w:val="Heading3Char"/>
    <w:semiHidden/>
    <w:rsid w:val="00620C38"/>
    <w:pPr>
      <w:outlineLvl w:val="2"/>
    </w:pPr>
  </w:style>
  <w:style w:type="paragraph" w:styleId="Heading4">
    <w:name w:val="heading 4"/>
    <w:basedOn w:val="Normal"/>
    <w:link w:val="Heading4Char"/>
    <w:semiHidden/>
    <w:rsid w:val="00620C38"/>
    <w:pPr>
      <w:outlineLvl w:val="3"/>
    </w:pPr>
  </w:style>
  <w:style w:type="paragraph" w:styleId="Heading5">
    <w:name w:val="heading 5"/>
    <w:basedOn w:val="Normal"/>
    <w:link w:val="Heading5Char"/>
    <w:semiHidden/>
    <w:rsid w:val="00620C38"/>
    <w:pPr>
      <w:outlineLvl w:val="4"/>
    </w:pPr>
  </w:style>
  <w:style w:type="paragraph" w:styleId="Heading6">
    <w:name w:val="heading 6"/>
    <w:basedOn w:val="Normal"/>
    <w:link w:val="Heading6Char"/>
    <w:semiHidden/>
    <w:rsid w:val="00620C38"/>
    <w:pPr>
      <w:outlineLvl w:val="5"/>
    </w:pPr>
  </w:style>
  <w:style w:type="paragraph" w:styleId="Heading7">
    <w:name w:val="heading 7"/>
    <w:basedOn w:val="Normal"/>
    <w:next w:val="Normal"/>
    <w:link w:val="Heading7Char"/>
    <w:semiHidden/>
    <w:rsid w:val="00620C38"/>
    <w:pPr>
      <w:outlineLvl w:val="6"/>
    </w:pPr>
  </w:style>
  <w:style w:type="paragraph" w:styleId="Heading8">
    <w:name w:val="heading 8"/>
    <w:basedOn w:val="Normal"/>
    <w:next w:val="Normal"/>
    <w:link w:val="Heading8Char"/>
    <w:semiHidden/>
    <w:rsid w:val="00620C38"/>
    <w:pPr>
      <w:outlineLvl w:val="7"/>
    </w:pPr>
  </w:style>
  <w:style w:type="paragraph" w:styleId="Heading9">
    <w:name w:val="heading 9"/>
    <w:basedOn w:val="Normal"/>
    <w:next w:val="Normal"/>
    <w:link w:val="Heading9Char"/>
    <w:semiHidden/>
    <w:rsid w:val="00620C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ensHeading1">
    <w:name w:val="Allens Heading 1"/>
    <w:basedOn w:val="Normal"/>
    <w:next w:val="AllensHeading2"/>
    <w:qFormat/>
    <w:rsid w:val="00620C38"/>
    <w:pPr>
      <w:keepNext/>
      <w:numPr>
        <w:numId w:val="1"/>
      </w:numPr>
      <w:spacing w:before="200"/>
      <w:outlineLvl w:val="0"/>
    </w:pPr>
    <w:rPr>
      <w:b/>
      <w:sz w:val="22"/>
    </w:rPr>
  </w:style>
  <w:style w:type="paragraph" w:customStyle="1" w:styleId="AllensHeading2">
    <w:name w:val="Allens Heading 2"/>
    <w:basedOn w:val="Normal"/>
    <w:next w:val="NormalIndent"/>
    <w:qFormat/>
    <w:rsid w:val="00620C38"/>
    <w:pPr>
      <w:keepNext/>
      <w:numPr>
        <w:ilvl w:val="1"/>
        <w:numId w:val="1"/>
      </w:numPr>
      <w:spacing w:before="160"/>
      <w:outlineLvl w:val="1"/>
    </w:pPr>
    <w:rPr>
      <w:b/>
      <w:sz w:val="21"/>
    </w:rPr>
  </w:style>
  <w:style w:type="paragraph" w:styleId="NormalIndent">
    <w:name w:val="Normal Indent"/>
    <w:basedOn w:val="Normal"/>
    <w:qFormat/>
    <w:rsid w:val="00620C38"/>
    <w:pPr>
      <w:ind w:left="709"/>
    </w:pPr>
  </w:style>
  <w:style w:type="paragraph" w:customStyle="1" w:styleId="AllensHeading3">
    <w:name w:val="Allens Heading 3"/>
    <w:basedOn w:val="Normal"/>
    <w:qFormat/>
    <w:rsid w:val="00620C38"/>
    <w:pPr>
      <w:numPr>
        <w:ilvl w:val="2"/>
        <w:numId w:val="1"/>
      </w:numPr>
    </w:pPr>
  </w:style>
  <w:style w:type="paragraph" w:customStyle="1" w:styleId="AllensHeading4">
    <w:name w:val="Allens Heading 4"/>
    <w:basedOn w:val="Normal"/>
    <w:qFormat/>
    <w:rsid w:val="00620C38"/>
    <w:pPr>
      <w:numPr>
        <w:ilvl w:val="3"/>
        <w:numId w:val="1"/>
      </w:numPr>
    </w:pPr>
  </w:style>
  <w:style w:type="paragraph" w:customStyle="1" w:styleId="AllensHeading5">
    <w:name w:val="Allens Heading 5"/>
    <w:basedOn w:val="Normal"/>
    <w:qFormat/>
    <w:rsid w:val="00620C38"/>
    <w:pPr>
      <w:numPr>
        <w:ilvl w:val="4"/>
        <w:numId w:val="1"/>
      </w:numPr>
    </w:pPr>
  </w:style>
  <w:style w:type="paragraph" w:customStyle="1" w:styleId="AllensHeading6">
    <w:name w:val="Allens Heading 6"/>
    <w:basedOn w:val="Normal"/>
    <w:qFormat/>
    <w:rsid w:val="00620C38"/>
    <w:pPr>
      <w:numPr>
        <w:ilvl w:val="5"/>
        <w:numId w:val="1"/>
      </w:numPr>
    </w:pPr>
  </w:style>
  <w:style w:type="character" w:customStyle="1" w:styleId="AuthorNote">
    <w:name w:val="Author Note"/>
    <w:aliases w:val="AN"/>
    <w:uiPriority w:val="1"/>
    <w:qFormat/>
    <w:rsid w:val="00620C38"/>
    <w:rPr>
      <w:rFonts w:ascii="Arial" w:hAnsi="Arial"/>
      <w:b/>
      <w:vanish/>
      <w:color w:val="0074BF"/>
      <w:sz w:val="20"/>
    </w:rPr>
  </w:style>
  <w:style w:type="paragraph" w:styleId="BalloonText">
    <w:name w:val="Balloon Text"/>
    <w:basedOn w:val="Normal"/>
    <w:link w:val="BalloonTextChar"/>
    <w:semiHidden/>
    <w:rsid w:val="00620C3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20C38"/>
    <w:rPr>
      <w:rFonts w:ascii="Tahoma" w:eastAsia="Times New Roman" w:hAnsi="Tahoma" w:cs="Tahoma"/>
      <w:sz w:val="16"/>
      <w:szCs w:val="16"/>
      <w:lang w:eastAsia="en-AU"/>
    </w:rPr>
  </w:style>
  <w:style w:type="paragraph" w:styleId="BodyText">
    <w:name w:val="Body Text"/>
    <w:basedOn w:val="Normal"/>
    <w:link w:val="BodyTextChar"/>
    <w:qFormat/>
    <w:rsid w:val="00620C38"/>
    <w:pPr>
      <w:spacing w:before="0" w:line="240" w:lineRule="auto"/>
    </w:pPr>
  </w:style>
  <w:style w:type="character" w:customStyle="1" w:styleId="BodyTextChar">
    <w:name w:val="Body Text Char"/>
    <w:basedOn w:val="DefaultParagraphFont"/>
    <w:link w:val="BodyText"/>
    <w:rsid w:val="00620C38"/>
    <w:rPr>
      <w:rFonts w:ascii="Arial" w:eastAsia="Times New Roman" w:hAnsi="Arial" w:cs="Times New Roman"/>
      <w:sz w:val="20"/>
      <w:szCs w:val="20"/>
      <w:lang w:eastAsia="en-AU"/>
    </w:rPr>
  </w:style>
  <w:style w:type="paragraph" w:styleId="BodyTextIndent">
    <w:name w:val="Body Text Indent"/>
    <w:basedOn w:val="BodyText"/>
    <w:link w:val="BodyTextIndentChar"/>
    <w:qFormat/>
    <w:rsid w:val="00620C38"/>
    <w:pPr>
      <w:ind w:left="709"/>
    </w:pPr>
  </w:style>
  <w:style w:type="character" w:customStyle="1" w:styleId="BodyTextIndentChar">
    <w:name w:val="Body Text Indent Char"/>
    <w:basedOn w:val="DefaultParagraphFont"/>
    <w:link w:val="BodyTextIndent"/>
    <w:rsid w:val="00620C38"/>
    <w:rPr>
      <w:rFonts w:ascii="Arial" w:eastAsia="Times New Roman" w:hAnsi="Arial" w:cs="Times New Roman"/>
      <w:sz w:val="20"/>
      <w:szCs w:val="20"/>
      <w:lang w:eastAsia="en-AU"/>
    </w:rPr>
  </w:style>
  <w:style w:type="paragraph" w:customStyle="1" w:styleId="Bullet1">
    <w:name w:val="Bullet 1"/>
    <w:basedOn w:val="Normal"/>
    <w:qFormat/>
    <w:rsid w:val="00620C38"/>
    <w:pPr>
      <w:numPr>
        <w:numId w:val="2"/>
      </w:numPr>
    </w:pPr>
  </w:style>
  <w:style w:type="paragraph" w:customStyle="1" w:styleId="Bullet2">
    <w:name w:val="Bullet 2"/>
    <w:basedOn w:val="Normal"/>
    <w:qFormat/>
    <w:rsid w:val="00620C38"/>
    <w:pPr>
      <w:numPr>
        <w:numId w:val="3"/>
      </w:numPr>
    </w:pPr>
  </w:style>
  <w:style w:type="paragraph" w:customStyle="1" w:styleId="Bullet3">
    <w:name w:val="Bullet 3"/>
    <w:basedOn w:val="Normal"/>
    <w:qFormat/>
    <w:rsid w:val="00620C38"/>
    <w:pPr>
      <w:numPr>
        <w:numId w:val="4"/>
      </w:numPr>
    </w:pPr>
  </w:style>
  <w:style w:type="paragraph" w:customStyle="1" w:styleId="ContentsHeading">
    <w:name w:val="Contents Heading"/>
    <w:basedOn w:val="Normal"/>
    <w:next w:val="Normal"/>
    <w:qFormat/>
    <w:rsid w:val="00620C38"/>
    <w:pPr>
      <w:spacing w:before="0"/>
    </w:pPr>
    <w:rPr>
      <w:b/>
      <w:sz w:val="22"/>
    </w:rPr>
  </w:style>
  <w:style w:type="paragraph" w:customStyle="1" w:styleId="Definitions">
    <w:name w:val="Definitions"/>
    <w:basedOn w:val="NormalIndent"/>
    <w:qFormat/>
    <w:rsid w:val="00620C38"/>
    <w:pPr>
      <w:numPr>
        <w:numId w:val="5"/>
      </w:numPr>
    </w:pPr>
  </w:style>
  <w:style w:type="paragraph" w:customStyle="1" w:styleId="Definitionsa">
    <w:name w:val="Definitions (a)"/>
    <w:basedOn w:val="Normal"/>
    <w:qFormat/>
    <w:rsid w:val="00620C38"/>
    <w:pPr>
      <w:numPr>
        <w:ilvl w:val="1"/>
        <w:numId w:val="5"/>
      </w:numPr>
    </w:pPr>
  </w:style>
  <w:style w:type="paragraph" w:customStyle="1" w:styleId="Definitionsi">
    <w:name w:val="Definitions (i)"/>
    <w:basedOn w:val="Normal"/>
    <w:qFormat/>
    <w:rsid w:val="00620C38"/>
    <w:pPr>
      <w:numPr>
        <w:ilvl w:val="2"/>
        <w:numId w:val="5"/>
      </w:numPr>
    </w:pPr>
  </w:style>
  <w:style w:type="paragraph" w:styleId="Footer">
    <w:name w:val="footer"/>
    <w:basedOn w:val="Normal"/>
    <w:link w:val="FooterChar"/>
    <w:qFormat/>
    <w:rsid w:val="00620C38"/>
    <w:pPr>
      <w:spacing w:before="40" w:line="240" w:lineRule="auto"/>
    </w:pPr>
    <w:rPr>
      <w:noProof/>
      <w:sz w:val="16"/>
    </w:rPr>
  </w:style>
  <w:style w:type="character" w:customStyle="1" w:styleId="FooterChar">
    <w:name w:val="Footer Char"/>
    <w:basedOn w:val="DefaultParagraphFont"/>
    <w:link w:val="Footer"/>
    <w:rsid w:val="00620C38"/>
    <w:rPr>
      <w:rFonts w:ascii="Arial" w:eastAsia="Times New Roman" w:hAnsi="Arial" w:cs="Times New Roman"/>
      <w:noProof/>
      <w:sz w:val="16"/>
      <w:szCs w:val="20"/>
      <w:lang w:eastAsia="en-AU"/>
    </w:rPr>
  </w:style>
  <w:style w:type="paragraph" w:styleId="FootnoteText">
    <w:name w:val="footnote text"/>
    <w:basedOn w:val="Normal"/>
    <w:link w:val="FootnoteTextChar"/>
    <w:semiHidden/>
    <w:rsid w:val="00620C38"/>
    <w:rPr>
      <w:sz w:val="16"/>
    </w:rPr>
  </w:style>
  <w:style w:type="character" w:customStyle="1" w:styleId="FootnoteTextChar">
    <w:name w:val="Footnote Text Char"/>
    <w:basedOn w:val="DefaultParagraphFont"/>
    <w:link w:val="FootnoteText"/>
    <w:semiHidden/>
    <w:rsid w:val="00620C38"/>
    <w:rPr>
      <w:rFonts w:ascii="Arial" w:eastAsia="Times New Roman" w:hAnsi="Arial" w:cs="Times New Roman"/>
      <w:sz w:val="16"/>
      <w:szCs w:val="20"/>
      <w:lang w:eastAsia="en-AU"/>
    </w:rPr>
  </w:style>
  <w:style w:type="paragraph" w:customStyle="1" w:styleId="GeneralHeading1">
    <w:name w:val="General Heading 1"/>
    <w:basedOn w:val="Normal"/>
    <w:next w:val="Normal"/>
    <w:qFormat/>
    <w:rsid w:val="00620C38"/>
    <w:pPr>
      <w:keepNext/>
      <w:spacing w:before="200"/>
    </w:pPr>
    <w:rPr>
      <w:b/>
      <w:sz w:val="22"/>
    </w:rPr>
  </w:style>
  <w:style w:type="paragraph" w:customStyle="1" w:styleId="GeneralHeading2">
    <w:name w:val="General Heading 2"/>
    <w:basedOn w:val="Normal"/>
    <w:next w:val="Normal"/>
    <w:qFormat/>
    <w:rsid w:val="00620C38"/>
    <w:pPr>
      <w:keepNext/>
      <w:spacing w:before="160"/>
    </w:pPr>
    <w:rPr>
      <w:b/>
      <w:sz w:val="21"/>
    </w:rPr>
  </w:style>
  <w:style w:type="paragraph" w:customStyle="1" w:styleId="GNBullet">
    <w:name w:val="GN Bullet"/>
    <w:basedOn w:val="Normal"/>
    <w:uiPriority w:val="1"/>
    <w:qFormat/>
    <w:rsid w:val="00620C38"/>
    <w:pPr>
      <w:numPr>
        <w:numId w:val="6"/>
      </w:numPr>
      <w:spacing w:line="240" w:lineRule="auto"/>
    </w:pPr>
    <w:rPr>
      <w:vanish/>
      <w:color w:val="000080"/>
    </w:rPr>
  </w:style>
  <w:style w:type="paragraph" w:customStyle="1" w:styleId="GNHeading">
    <w:name w:val="GN Heading"/>
    <w:basedOn w:val="Normal"/>
    <w:next w:val="GNNormalIndent"/>
    <w:uiPriority w:val="1"/>
    <w:qFormat/>
    <w:rsid w:val="00620C38"/>
    <w:pPr>
      <w:keepNext/>
      <w:numPr>
        <w:numId w:val="7"/>
      </w:numPr>
      <w:spacing w:before="200" w:line="240" w:lineRule="auto"/>
    </w:pPr>
    <w:rPr>
      <w:b/>
      <w:vanish/>
      <w:color w:val="000080"/>
    </w:rPr>
  </w:style>
  <w:style w:type="paragraph" w:customStyle="1" w:styleId="GNLevel1">
    <w:name w:val="GN Level 1"/>
    <w:basedOn w:val="Normal"/>
    <w:uiPriority w:val="1"/>
    <w:qFormat/>
    <w:rsid w:val="00620C38"/>
    <w:pPr>
      <w:numPr>
        <w:numId w:val="8"/>
      </w:numPr>
      <w:spacing w:line="240" w:lineRule="auto"/>
    </w:pPr>
    <w:rPr>
      <w:vanish/>
      <w:color w:val="000080"/>
    </w:rPr>
  </w:style>
  <w:style w:type="paragraph" w:customStyle="1" w:styleId="GNLevel2">
    <w:name w:val="GN Level 2"/>
    <w:basedOn w:val="Normal"/>
    <w:uiPriority w:val="1"/>
    <w:qFormat/>
    <w:rsid w:val="00620C38"/>
    <w:pPr>
      <w:numPr>
        <w:ilvl w:val="1"/>
        <w:numId w:val="8"/>
      </w:numPr>
      <w:spacing w:line="240" w:lineRule="auto"/>
    </w:pPr>
    <w:rPr>
      <w:vanish/>
      <w:color w:val="000080"/>
    </w:rPr>
  </w:style>
  <w:style w:type="paragraph" w:customStyle="1" w:styleId="GNLevel3">
    <w:name w:val="GN Level 3"/>
    <w:basedOn w:val="Normal"/>
    <w:uiPriority w:val="1"/>
    <w:qFormat/>
    <w:rsid w:val="00620C38"/>
    <w:pPr>
      <w:numPr>
        <w:ilvl w:val="2"/>
        <w:numId w:val="8"/>
      </w:numPr>
      <w:spacing w:line="240" w:lineRule="auto"/>
    </w:pPr>
    <w:rPr>
      <w:vanish/>
      <w:color w:val="000080"/>
    </w:rPr>
  </w:style>
  <w:style w:type="paragraph" w:customStyle="1" w:styleId="GNLevel4">
    <w:name w:val="GN Level 4"/>
    <w:basedOn w:val="Normal"/>
    <w:uiPriority w:val="1"/>
    <w:qFormat/>
    <w:rsid w:val="00620C38"/>
    <w:pPr>
      <w:numPr>
        <w:ilvl w:val="3"/>
        <w:numId w:val="8"/>
      </w:numPr>
      <w:spacing w:line="240" w:lineRule="auto"/>
    </w:pPr>
    <w:rPr>
      <w:vanish/>
      <w:color w:val="000080"/>
    </w:rPr>
  </w:style>
  <w:style w:type="paragraph" w:customStyle="1" w:styleId="GNNormal">
    <w:name w:val="GN Normal"/>
    <w:basedOn w:val="Normal"/>
    <w:uiPriority w:val="1"/>
    <w:qFormat/>
    <w:rsid w:val="00620C38"/>
    <w:pPr>
      <w:spacing w:line="240" w:lineRule="auto"/>
    </w:pPr>
    <w:rPr>
      <w:vanish/>
      <w:color w:val="000080"/>
    </w:rPr>
  </w:style>
  <w:style w:type="paragraph" w:customStyle="1" w:styleId="GNNormalIndent">
    <w:name w:val="GN Normal Indent"/>
    <w:basedOn w:val="GNNormal"/>
    <w:uiPriority w:val="1"/>
    <w:qFormat/>
    <w:rsid w:val="00620C38"/>
    <w:pPr>
      <w:ind w:left="709"/>
    </w:pPr>
  </w:style>
  <w:style w:type="paragraph" w:styleId="Header">
    <w:name w:val="header"/>
    <w:basedOn w:val="Normal"/>
    <w:link w:val="HeaderChar"/>
    <w:semiHidden/>
    <w:rsid w:val="00620C38"/>
    <w:pPr>
      <w:spacing w:before="0" w:line="240" w:lineRule="auto"/>
    </w:pPr>
    <w:rPr>
      <w:noProof/>
      <w:sz w:val="16"/>
    </w:rPr>
  </w:style>
  <w:style w:type="character" w:customStyle="1" w:styleId="HeaderChar">
    <w:name w:val="Header Char"/>
    <w:basedOn w:val="DefaultParagraphFont"/>
    <w:link w:val="Header"/>
    <w:semiHidden/>
    <w:rsid w:val="00620C38"/>
    <w:rPr>
      <w:rFonts w:ascii="Arial" w:eastAsia="Times New Roman" w:hAnsi="Arial" w:cs="Times New Roman"/>
      <w:noProof/>
      <w:sz w:val="16"/>
      <w:szCs w:val="20"/>
      <w:lang w:eastAsia="en-AU"/>
    </w:rPr>
  </w:style>
  <w:style w:type="paragraph" w:customStyle="1" w:styleId="HeaderTitle">
    <w:name w:val="Header Title"/>
    <w:basedOn w:val="Normal"/>
    <w:qFormat/>
    <w:rsid w:val="00620C38"/>
    <w:pPr>
      <w:spacing w:line="240" w:lineRule="auto"/>
    </w:pPr>
    <w:rPr>
      <w:noProof/>
    </w:rPr>
  </w:style>
  <w:style w:type="character" w:customStyle="1" w:styleId="Heading1Char">
    <w:name w:val="Heading 1 Char"/>
    <w:basedOn w:val="DefaultParagraphFont"/>
    <w:link w:val="Heading1"/>
    <w:rsid w:val="00620C38"/>
    <w:rPr>
      <w:rFonts w:ascii="Arial" w:eastAsia="Times New Roman" w:hAnsi="Arial" w:cs="Times New Roman"/>
      <w:sz w:val="20"/>
      <w:szCs w:val="20"/>
      <w:lang w:eastAsia="en-AU"/>
    </w:rPr>
  </w:style>
  <w:style w:type="character" w:customStyle="1" w:styleId="Heading2Char">
    <w:name w:val="Heading 2 Char"/>
    <w:basedOn w:val="DefaultParagraphFont"/>
    <w:link w:val="Heading2"/>
    <w:semiHidden/>
    <w:rsid w:val="00620C38"/>
    <w:rPr>
      <w:rFonts w:ascii="Arial" w:eastAsia="Times New Roman" w:hAnsi="Arial" w:cs="Times New Roman"/>
      <w:sz w:val="20"/>
      <w:szCs w:val="20"/>
      <w:lang w:eastAsia="en-AU"/>
    </w:rPr>
  </w:style>
  <w:style w:type="character" w:customStyle="1" w:styleId="Heading3Char">
    <w:name w:val="Heading 3 Char"/>
    <w:basedOn w:val="DefaultParagraphFont"/>
    <w:link w:val="Heading3"/>
    <w:semiHidden/>
    <w:rsid w:val="00620C38"/>
    <w:rPr>
      <w:rFonts w:ascii="Arial" w:eastAsia="Times New Roman" w:hAnsi="Arial" w:cs="Times New Roman"/>
      <w:sz w:val="20"/>
      <w:szCs w:val="20"/>
      <w:lang w:eastAsia="en-AU"/>
    </w:rPr>
  </w:style>
  <w:style w:type="character" w:customStyle="1" w:styleId="Heading4Char">
    <w:name w:val="Heading 4 Char"/>
    <w:basedOn w:val="DefaultParagraphFont"/>
    <w:link w:val="Heading4"/>
    <w:semiHidden/>
    <w:rsid w:val="00620C38"/>
    <w:rPr>
      <w:rFonts w:ascii="Arial" w:eastAsia="Times New Roman" w:hAnsi="Arial" w:cs="Times New Roman"/>
      <w:sz w:val="20"/>
      <w:szCs w:val="20"/>
      <w:lang w:eastAsia="en-AU"/>
    </w:rPr>
  </w:style>
  <w:style w:type="character" w:customStyle="1" w:styleId="Heading5Char">
    <w:name w:val="Heading 5 Char"/>
    <w:basedOn w:val="DefaultParagraphFont"/>
    <w:link w:val="Heading5"/>
    <w:semiHidden/>
    <w:rsid w:val="00620C38"/>
    <w:rPr>
      <w:rFonts w:ascii="Arial" w:eastAsia="Times New Roman" w:hAnsi="Arial" w:cs="Times New Roman"/>
      <w:sz w:val="20"/>
      <w:szCs w:val="20"/>
      <w:lang w:eastAsia="en-AU"/>
    </w:rPr>
  </w:style>
  <w:style w:type="character" w:customStyle="1" w:styleId="Heading6Char">
    <w:name w:val="Heading 6 Char"/>
    <w:basedOn w:val="DefaultParagraphFont"/>
    <w:link w:val="Heading6"/>
    <w:semiHidden/>
    <w:rsid w:val="00620C38"/>
    <w:rPr>
      <w:rFonts w:ascii="Arial" w:eastAsia="Times New Roman" w:hAnsi="Arial" w:cs="Times New Roman"/>
      <w:sz w:val="20"/>
      <w:szCs w:val="20"/>
      <w:lang w:eastAsia="en-AU"/>
    </w:rPr>
  </w:style>
  <w:style w:type="character" w:customStyle="1" w:styleId="Heading7Char">
    <w:name w:val="Heading 7 Char"/>
    <w:basedOn w:val="DefaultParagraphFont"/>
    <w:link w:val="Heading7"/>
    <w:semiHidden/>
    <w:rsid w:val="00620C38"/>
    <w:rPr>
      <w:rFonts w:ascii="Arial" w:eastAsia="Times New Roman" w:hAnsi="Arial" w:cs="Times New Roman"/>
      <w:sz w:val="20"/>
      <w:szCs w:val="20"/>
      <w:lang w:eastAsia="en-AU"/>
    </w:rPr>
  </w:style>
  <w:style w:type="character" w:customStyle="1" w:styleId="Heading8Char">
    <w:name w:val="Heading 8 Char"/>
    <w:basedOn w:val="DefaultParagraphFont"/>
    <w:link w:val="Heading8"/>
    <w:semiHidden/>
    <w:rsid w:val="00620C38"/>
    <w:rPr>
      <w:rFonts w:ascii="Arial" w:eastAsia="Times New Roman" w:hAnsi="Arial" w:cs="Times New Roman"/>
      <w:sz w:val="20"/>
      <w:szCs w:val="20"/>
      <w:lang w:eastAsia="en-AU"/>
    </w:rPr>
  </w:style>
  <w:style w:type="character" w:customStyle="1" w:styleId="Heading9Char">
    <w:name w:val="Heading 9 Char"/>
    <w:basedOn w:val="DefaultParagraphFont"/>
    <w:link w:val="Heading9"/>
    <w:semiHidden/>
    <w:rsid w:val="00620C38"/>
    <w:rPr>
      <w:rFonts w:ascii="Arial" w:eastAsia="Times New Roman" w:hAnsi="Arial" w:cs="Times New Roman"/>
      <w:sz w:val="20"/>
      <w:szCs w:val="20"/>
      <w:lang w:eastAsia="en-AU"/>
    </w:rPr>
  </w:style>
  <w:style w:type="character" w:styleId="Hyperlink">
    <w:name w:val="Hyperlink"/>
    <w:uiPriority w:val="99"/>
    <w:rsid w:val="00F37349"/>
    <w:rPr>
      <w:color w:val="0000FF"/>
      <w:u w:val="single"/>
    </w:rPr>
  </w:style>
  <w:style w:type="paragraph" w:customStyle="1" w:styleId="level1">
    <w:name w:val="level1"/>
    <w:basedOn w:val="Normal"/>
    <w:qFormat/>
    <w:rsid w:val="00620C38"/>
    <w:pPr>
      <w:numPr>
        <w:numId w:val="9"/>
      </w:numPr>
    </w:pPr>
  </w:style>
  <w:style w:type="paragraph" w:customStyle="1" w:styleId="level2">
    <w:name w:val="level2"/>
    <w:basedOn w:val="Normal"/>
    <w:qFormat/>
    <w:rsid w:val="00620C38"/>
    <w:pPr>
      <w:numPr>
        <w:ilvl w:val="1"/>
        <w:numId w:val="9"/>
      </w:numPr>
    </w:pPr>
  </w:style>
  <w:style w:type="paragraph" w:customStyle="1" w:styleId="level3">
    <w:name w:val="level3"/>
    <w:basedOn w:val="Normal"/>
    <w:qFormat/>
    <w:rsid w:val="00620C38"/>
    <w:pPr>
      <w:numPr>
        <w:ilvl w:val="2"/>
        <w:numId w:val="9"/>
      </w:numPr>
    </w:pPr>
  </w:style>
  <w:style w:type="paragraph" w:customStyle="1" w:styleId="level4">
    <w:name w:val="level4"/>
    <w:basedOn w:val="Normal"/>
    <w:qFormat/>
    <w:rsid w:val="00620C38"/>
    <w:pPr>
      <w:numPr>
        <w:ilvl w:val="3"/>
        <w:numId w:val="9"/>
      </w:numPr>
    </w:pPr>
  </w:style>
  <w:style w:type="paragraph" w:customStyle="1" w:styleId="level5">
    <w:name w:val="level5"/>
    <w:basedOn w:val="Normal"/>
    <w:qFormat/>
    <w:rsid w:val="00620C38"/>
    <w:pPr>
      <w:numPr>
        <w:ilvl w:val="4"/>
        <w:numId w:val="9"/>
      </w:numPr>
    </w:pPr>
  </w:style>
  <w:style w:type="paragraph" w:customStyle="1" w:styleId="level6">
    <w:name w:val="level6"/>
    <w:basedOn w:val="Normal"/>
    <w:qFormat/>
    <w:rsid w:val="00620C38"/>
    <w:pPr>
      <w:numPr>
        <w:ilvl w:val="5"/>
        <w:numId w:val="9"/>
      </w:numPr>
    </w:pPr>
  </w:style>
  <w:style w:type="character" w:styleId="PageNumber">
    <w:name w:val="page number"/>
    <w:semiHidden/>
    <w:qFormat/>
    <w:rsid w:val="00620C38"/>
    <w:rPr>
      <w:sz w:val="16"/>
    </w:rPr>
  </w:style>
  <w:style w:type="paragraph" w:customStyle="1" w:styleId="Schedule">
    <w:name w:val="Schedule"/>
    <w:basedOn w:val="Normal"/>
    <w:next w:val="ScheduleHeading"/>
    <w:qFormat/>
    <w:rsid w:val="00620C38"/>
    <w:pPr>
      <w:keepNext/>
      <w:numPr>
        <w:numId w:val="10"/>
      </w:numPr>
      <w:spacing w:before="200"/>
      <w:outlineLvl w:val="0"/>
    </w:pPr>
    <w:rPr>
      <w:b/>
      <w:sz w:val="22"/>
    </w:rPr>
  </w:style>
  <w:style w:type="paragraph" w:customStyle="1" w:styleId="Schedule1">
    <w:name w:val="Schedule 1"/>
    <w:basedOn w:val="Normal"/>
    <w:next w:val="Schedule2"/>
    <w:qFormat/>
    <w:rsid w:val="00620C38"/>
    <w:pPr>
      <w:keepNext/>
      <w:numPr>
        <w:ilvl w:val="2"/>
        <w:numId w:val="10"/>
      </w:numPr>
      <w:spacing w:before="200"/>
    </w:pPr>
    <w:rPr>
      <w:b/>
      <w:sz w:val="22"/>
    </w:rPr>
  </w:style>
  <w:style w:type="paragraph" w:customStyle="1" w:styleId="Schedule2">
    <w:name w:val="Schedule 2"/>
    <w:basedOn w:val="Normal"/>
    <w:next w:val="NormalIndent"/>
    <w:qFormat/>
    <w:rsid w:val="00620C38"/>
    <w:pPr>
      <w:keepNext/>
      <w:numPr>
        <w:ilvl w:val="3"/>
        <w:numId w:val="10"/>
      </w:numPr>
      <w:spacing w:before="160"/>
    </w:pPr>
    <w:rPr>
      <w:b/>
      <w:sz w:val="21"/>
    </w:rPr>
  </w:style>
  <w:style w:type="paragraph" w:customStyle="1" w:styleId="Schedule3">
    <w:name w:val="Schedule 3"/>
    <w:basedOn w:val="Normal"/>
    <w:qFormat/>
    <w:rsid w:val="00620C38"/>
    <w:pPr>
      <w:numPr>
        <w:ilvl w:val="4"/>
        <w:numId w:val="10"/>
      </w:numPr>
    </w:pPr>
  </w:style>
  <w:style w:type="paragraph" w:customStyle="1" w:styleId="Schedule4">
    <w:name w:val="Schedule 4"/>
    <w:basedOn w:val="Normal"/>
    <w:qFormat/>
    <w:rsid w:val="00620C38"/>
    <w:pPr>
      <w:numPr>
        <w:ilvl w:val="5"/>
        <w:numId w:val="10"/>
      </w:numPr>
    </w:pPr>
  </w:style>
  <w:style w:type="paragraph" w:customStyle="1" w:styleId="Schedule5">
    <w:name w:val="Schedule 5"/>
    <w:basedOn w:val="Normal"/>
    <w:qFormat/>
    <w:rsid w:val="00620C38"/>
    <w:pPr>
      <w:numPr>
        <w:ilvl w:val="6"/>
        <w:numId w:val="10"/>
      </w:numPr>
    </w:pPr>
  </w:style>
  <w:style w:type="paragraph" w:customStyle="1" w:styleId="Schedule6">
    <w:name w:val="Schedule 6"/>
    <w:basedOn w:val="Normal"/>
    <w:qFormat/>
    <w:rsid w:val="00620C38"/>
    <w:pPr>
      <w:numPr>
        <w:ilvl w:val="7"/>
        <w:numId w:val="10"/>
      </w:numPr>
    </w:pPr>
  </w:style>
  <w:style w:type="paragraph" w:customStyle="1" w:styleId="ScheduleHeading">
    <w:name w:val="Schedule Heading"/>
    <w:basedOn w:val="Normal"/>
    <w:next w:val="Schedule1"/>
    <w:qFormat/>
    <w:rsid w:val="00620C38"/>
    <w:pPr>
      <w:keepNext/>
      <w:numPr>
        <w:ilvl w:val="1"/>
        <w:numId w:val="10"/>
      </w:numPr>
      <w:spacing w:before="160"/>
      <w:outlineLvl w:val="1"/>
    </w:pPr>
    <w:rPr>
      <w:b/>
      <w:sz w:val="22"/>
    </w:rPr>
  </w:style>
  <w:style w:type="table" w:styleId="TableGrid">
    <w:name w:val="Table Grid"/>
    <w:basedOn w:val="TableNormal"/>
    <w:rsid w:val="00620C38"/>
    <w:pPr>
      <w:spacing w:after="0" w:line="240" w:lineRule="auto"/>
    </w:pPr>
    <w:rPr>
      <w:rFonts w:ascii="Arial" w:eastAsia="Times New Roman" w:hAnsi="Arial"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20C38"/>
    <w:pPr>
      <w:keepNext/>
      <w:spacing w:before="0" w:after="60"/>
    </w:pPr>
    <w:rPr>
      <w:sz w:val="32"/>
    </w:rPr>
  </w:style>
  <w:style w:type="character" w:customStyle="1" w:styleId="TitleChar">
    <w:name w:val="Title Char"/>
    <w:basedOn w:val="DefaultParagraphFont"/>
    <w:link w:val="Title"/>
    <w:rsid w:val="00620C38"/>
    <w:rPr>
      <w:rFonts w:ascii="Arial" w:eastAsia="Times New Roman" w:hAnsi="Arial" w:cs="Times New Roman"/>
      <w:sz w:val="32"/>
      <w:szCs w:val="20"/>
      <w:lang w:eastAsia="en-AU"/>
    </w:rPr>
  </w:style>
  <w:style w:type="paragraph" w:styleId="TOC1">
    <w:name w:val="toc 1"/>
    <w:basedOn w:val="Normal"/>
    <w:next w:val="TOC2"/>
    <w:autoRedefine/>
    <w:uiPriority w:val="39"/>
    <w:qFormat/>
    <w:rsid w:val="00620C38"/>
    <w:pPr>
      <w:tabs>
        <w:tab w:val="right" w:pos="9354"/>
      </w:tabs>
      <w:spacing w:line="240" w:lineRule="auto"/>
      <w:ind w:left="709" w:hanging="709"/>
    </w:pPr>
    <w:rPr>
      <w:rFonts w:ascii="Arial Bold" w:hAnsi="Arial Bold"/>
      <w:b/>
      <w:noProof/>
      <w:lang w:eastAsia="en-US"/>
    </w:rPr>
  </w:style>
  <w:style w:type="paragraph" w:styleId="TOC2">
    <w:name w:val="toc 2"/>
    <w:basedOn w:val="Normal"/>
    <w:autoRedefine/>
    <w:uiPriority w:val="39"/>
    <w:qFormat/>
    <w:rsid w:val="00620C38"/>
    <w:pPr>
      <w:tabs>
        <w:tab w:val="right" w:pos="9354"/>
      </w:tabs>
      <w:spacing w:before="60" w:line="240" w:lineRule="auto"/>
      <w:ind w:left="1418" w:hanging="709"/>
    </w:pPr>
    <w:rPr>
      <w:noProof/>
      <w:lang w:eastAsia="en-US"/>
    </w:rPr>
  </w:style>
  <w:style w:type="paragraph" w:styleId="TOC3">
    <w:name w:val="toc 3"/>
    <w:basedOn w:val="Normal"/>
    <w:autoRedefine/>
    <w:semiHidden/>
    <w:rsid w:val="00620C38"/>
    <w:pPr>
      <w:tabs>
        <w:tab w:val="right" w:pos="9354"/>
      </w:tabs>
      <w:spacing w:before="60" w:line="240" w:lineRule="auto"/>
      <w:ind w:left="709"/>
    </w:pPr>
    <w:rPr>
      <w:noProof/>
      <w:lang w:eastAsia="en-US"/>
    </w:rPr>
  </w:style>
  <w:style w:type="paragraph" w:styleId="TOC4">
    <w:name w:val="toc 4"/>
    <w:basedOn w:val="Normal"/>
    <w:next w:val="Normal"/>
    <w:autoRedefine/>
    <w:semiHidden/>
    <w:rsid w:val="00620C38"/>
    <w:pPr>
      <w:tabs>
        <w:tab w:val="right" w:pos="9354"/>
      </w:tabs>
      <w:spacing w:before="60" w:line="240" w:lineRule="auto"/>
      <w:ind w:left="2835" w:hanging="709"/>
    </w:pPr>
    <w:rPr>
      <w:noProof/>
      <w:lang w:eastAsia="en-US"/>
    </w:rPr>
  </w:style>
  <w:style w:type="paragraph" w:styleId="TOC5">
    <w:name w:val="toc 5"/>
    <w:basedOn w:val="Normal"/>
    <w:next w:val="Normal"/>
    <w:autoRedefine/>
    <w:semiHidden/>
    <w:rsid w:val="00620C38"/>
    <w:pPr>
      <w:tabs>
        <w:tab w:val="right" w:pos="9354"/>
      </w:tabs>
      <w:ind w:left="3544" w:hanging="709"/>
    </w:pPr>
    <w:rPr>
      <w:lang w:eastAsia="en-US"/>
    </w:rPr>
  </w:style>
  <w:style w:type="paragraph" w:styleId="TOC6">
    <w:name w:val="toc 6"/>
    <w:basedOn w:val="Normal"/>
    <w:next w:val="Normal"/>
    <w:autoRedefine/>
    <w:semiHidden/>
    <w:rsid w:val="00620C38"/>
    <w:pPr>
      <w:tabs>
        <w:tab w:val="right" w:pos="9354"/>
      </w:tabs>
      <w:ind w:left="4253" w:hanging="709"/>
    </w:pPr>
    <w:rPr>
      <w:lang w:eastAsia="en-US"/>
    </w:rPr>
  </w:style>
  <w:style w:type="paragraph" w:styleId="TOC7">
    <w:name w:val="toc 7"/>
    <w:basedOn w:val="Normal"/>
    <w:next w:val="Normal"/>
    <w:autoRedefine/>
    <w:semiHidden/>
    <w:rsid w:val="00620C38"/>
    <w:pPr>
      <w:ind w:left="1200"/>
    </w:pPr>
    <w:rPr>
      <w:lang w:eastAsia="en-US"/>
    </w:rPr>
  </w:style>
  <w:style w:type="paragraph" w:styleId="TOC8">
    <w:name w:val="toc 8"/>
    <w:basedOn w:val="Normal"/>
    <w:next w:val="Normal"/>
    <w:autoRedefine/>
    <w:semiHidden/>
    <w:rsid w:val="00620C38"/>
    <w:pPr>
      <w:ind w:left="1400"/>
    </w:pPr>
    <w:rPr>
      <w:lang w:eastAsia="en-US"/>
    </w:rPr>
  </w:style>
  <w:style w:type="paragraph" w:styleId="TOC9">
    <w:name w:val="toc 9"/>
    <w:basedOn w:val="Normal"/>
    <w:next w:val="Normal"/>
    <w:autoRedefine/>
    <w:semiHidden/>
    <w:rsid w:val="00620C38"/>
    <w:pPr>
      <w:ind w:left="1600"/>
    </w:pPr>
    <w:rPr>
      <w:lang w:eastAsia="en-US"/>
    </w:rPr>
  </w:style>
  <w:style w:type="character" w:styleId="FootnoteReference">
    <w:name w:val="footnote reference"/>
    <w:basedOn w:val="DefaultParagraphFont"/>
    <w:uiPriority w:val="99"/>
    <w:semiHidden/>
    <w:unhideWhenUsed/>
    <w:rsid w:val="000635AA"/>
    <w:rPr>
      <w:vertAlign w:val="superscript"/>
    </w:rPr>
  </w:style>
  <w:style w:type="character" w:styleId="FollowedHyperlink">
    <w:name w:val="FollowedHyperlink"/>
    <w:basedOn w:val="DefaultParagraphFont"/>
    <w:uiPriority w:val="99"/>
    <w:semiHidden/>
    <w:unhideWhenUsed/>
    <w:rsid w:val="000D1AC7"/>
    <w:rPr>
      <w:color w:val="800080" w:themeColor="followedHyperlink"/>
      <w:u w:val="single"/>
    </w:rPr>
  </w:style>
  <w:style w:type="table" w:customStyle="1" w:styleId="TableGrid1">
    <w:name w:val="Table Grid1"/>
    <w:basedOn w:val="TableNormal"/>
    <w:next w:val="TableGrid"/>
    <w:rsid w:val="00024A2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024A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C22D31"/>
    <w:rPr>
      <w:sz w:val="16"/>
      <w:szCs w:val="16"/>
    </w:rPr>
  </w:style>
  <w:style w:type="paragraph" w:styleId="CommentText">
    <w:name w:val="annotation text"/>
    <w:basedOn w:val="Normal"/>
    <w:link w:val="CommentTextChar"/>
    <w:uiPriority w:val="99"/>
    <w:semiHidden/>
    <w:unhideWhenUsed/>
    <w:rsid w:val="00C22D31"/>
    <w:pPr>
      <w:spacing w:line="240" w:lineRule="auto"/>
    </w:pPr>
  </w:style>
  <w:style w:type="character" w:customStyle="1" w:styleId="CommentTextChar">
    <w:name w:val="Comment Text Char"/>
    <w:basedOn w:val="DefaultParagraphFont"/>
    <w:link w:val="CommentText"/>
    <w:uiPriority w:val="99"/>
    <w:semiHidden/>
    <w:rsid w:val="00C22D31"/>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22D31"/>
    <w:rPr>
      <w:b/>
      <w:bCs/>
    </w:rPr>
  </w:style>
  <w:style w:type="character" w:customStyle="1" w:styleId="CommentSubjectChar">
    <w:name w:val="Comment Subject Char"/>
    <w:basedOn w:val="CommentTextChar"/>
    <w:link w:val="CommentSubject"/>
    <w:uiPriority w:val="99"/>
    <w:semiHidden/>
    <w:rsid w:val="00C22D31"/>
    <w:rPr>
      <w:rFonts w:ascii="Arial" w:eastAsia="Times New Roman" w:hAnsi="Arial" w:cs="Times New Roman"/>
      <w:b/>
      <w:bCs/>
      <w:sz w:val="20"/>
      <w:szCs w:val="20"/>
      <w:lang w:eastAsia="en-AU"/>
    </w:rPr>
  </w:style>
  <w:style w:type="paragraph" w:styleId="Revision">
    <w:name w:val="Revision"/>
    <w:hidden/>
    <w:uiPriority w:val="99"/>
    <w:semiHidden/>
    <w:rsid w:val="00C22D31"/>
    <w:pPr>
      <w:spacing w:after="0" w:line="240" w:lineRule="auto"/>
    </w:pPr>
    <w:rPr>
      <w:rFonts w:ascii="Arial" w:eastAsia="Times New Roman"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890594">
      <w:bodyDiv w:val="1"/>
      <w:marLeft w:val="0"/>
      <w:marRight w:val="0"/>
      <w:marTop w:val="0"/>
      <w:marBottom w:val="0"/>
      <w:divBdr>
        <w:top w:val="none" w:sz="0" w:space="0" w:color="auto"/>
        <w:left w:val="none" w:sz="0" w:space="0" w:color="auto"/>
        <w:bottom w:val="none" w:sz="0" w:space="0" w:color="auto"/>
        <w:right w:val="none" w:sz="0" w:space="0" w:color="auto"/>
      </w:divBdr>
      <w:divsChild>
        <w:div w:id="653871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862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1531193">
      <w:bodyDiv w:val="1"/>
      <w:marLeft w:val="0"/>
      <w:marRight w:val="0"/>
      <w:marTop w:val="0"/>
      <w:marBottom w:val="0"/>
      <w:divBdr>
        <w:top w:val="none" w:sz="0" w:space="0" w:color="auto"/>
        <w:left w:val="none" w:sz="0" w:space="0" w:color="auto"/>
        <w:bottom w:val="none" w:sz="0" w:space="0" w:color="auto"/>
        <w:right w:val="none" w:sz="0" w:space="0" w:color="auto"/>
      </w:divBdr>
    </w:div>
    <w:div w:id="816384426">
      <w:bodyDiv w:val="1"/>
      <w:marLeft w:val="0"/>
      <w:marRight w:val="0"/>
      <w:marTop w:val="0"/>
      <w:marBottom w:val="0"/>
      <w:divBdr>
        <w:top w:val="none" w:sz="0" w:space="0" w:color="auto"/>
        <w:left w:val="none" w:sz="0" w:space="0" w:color="auto"/>
        <w:bottom w:val="none" w:sz="0" w:space="0" w:color="auto"/>
        <w:right w:val="none" w:sz="0" w:space="0" w:color="auto"/>
      </w:divBdr>
    </w:div>
    <w:div w:id="838078239">
      <w:bodyDiv w:val="1"/>
      <w:marLeft w:val="0"/>
      <w:marRight w:val="0"/>
      <w:marTop w:val="0"/>
      <w:marBottom w:val="0"/>
      <w:divBdr>
        <w:top w:val="none" w:sz="0" w:space="0" w:color="auto"/>
        <w:left w:val="none" w:sz="0" w:space="0" w:color="auto"/>
        <w:bottom w:val="none" w:sz="0" w:space="0" w:color="auto"/>
        <w:right w:val="none" w:sz="0" w:space="0" w:color="auto"/>
      </w:divBdr>
    </w:div>
    <w:div w:id="1732918457">
      <w:bodyDiv w:val="1"/>
      <w:marLeft w:val="0"/>
      <w:marRight w:val="0"/>
      <w:marTop w:val="0"/>
      <w:marBottom w:val="0"/>
      <w:divBdr>
        <w:top w:val="none" w:sz="0" w:space="0" w:color="auto"/>
        <w:left w:val="none" w:sz="0" w:space="0" w:color="auto"/>
        <w:bottom w:val="none" w:sz="0" w:space="0" w:color="auto"/>
        <w:right w:val="none" w:sz="0" w:space="0" w:color="auto"/>
      </w:divBdr>
    </w:div>
    <w:div w:id="178411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image" Target="media/image5.pn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bdlaws.minlaw.gov.bd/pdf_part.php?id=665" TargetMode="External"/><Relationship Id="rId17" Type="http://schemas.openxmlformats.org/officeDocument/2006/relationships/diagramData" Target="diagrams/data1.xml"/><Relationship Id="rId25" Type="http://schemas.openxmlformats.org/officeDocument/2006/relationships/image" Target="media/image4.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diagramColors" Target="diagrams/colors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dlaws.minlaw.gov.bd/print_sections_all.php?id=90" TargetMode="External"/><Relationship Id="rId24" Type="http://schemas.openxmlformats.org/officeDocument/2006/relationships/hyperlink" Target="http://bdlaws.minlaw.gov.bd/pdf_part.php?id=665"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bdlaws.minlaw.gov.bd/print_sections_all.php?id=90"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bdlaws.minlaw.gov.bd/pdf_part.php?id=48" TargetMode="External"/><Relationship Id="rId19" Type="http://schemas.openxmlformats.org/officeDocument/2006/relationships/diagramQuickStyle" Target="diagrams/quickStyle1.xm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lemarshall@redcross.org.au" TargetMode="External"/><Relationship Id="rId14" Type="http://schemas.openxmlformats.org/officeDocument/2006/relationships/header" Target="header2.xml"/><Relationship Id="rId22" Type="http://schemas.openxmlformats.org/officeDocument/2006/relationships/hyperlink" Target="http://bdlaws.minlaw.gov.bd/pdf_part.php?id=48"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5B92DD-1E45-47C0-A5E9-78BE16159C9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B97A9FBA-FA7D-4A93-A878-E21DA8AE4DEC}">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Central Government</a:t>
          </a:r>
        </a:p>
      </dgm:t>
    </dgm:pt>
    <dgm:pt modelId="{F59DDDC7-2875-4FE6-A38F-12A5569515C8}" type="parTrans" cxnId="{FA9E1674-8EF5-411C-972A-47223B800EA8}">
      <dgm:prSet/>
      <dgm:spPr/>
      <dgm:t>
        <a:bodyPr/>
        <a:lstStyle/>
        <a:p>
          <a:pPr algn="ctr"/>
          <a:endParaRPr lang="en-AU"/>
        </a:p>
      </dgm:t>
    </dgm:pt>
    <dgm:pt modelId="{FB4F67B9-FADA-43F8-B83C-7135EBFD9908}" type="sibTrans" cxnId="{FA9E1674-8EF5-411C-972A-47223B800EA8}">
      <dgm:prSet/>
      <dgm:spPr/>
      <dgm:t>
        <a:bodyPr/>
        <a:lstStyle/>
        <a:p>
          <a:pPr algn="ctr"/>
          <a:endParaRPr lang="en-AU"/>
        </a:p>
      </dgm:t>
    </dgm:pt>
    <dgm:pt modelId="{C422C568-4AD8-402B-9651-2EE2B5255795}">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8 Divisions (</a:t>
          </a:r>
          <a:r>
            <a:rPr lang="en-AU" sz="1000" b="0" i="1">
              <a:solidFill>
                <a:schemeClr val="bg1"/>
              </a:solidFill>
              <a:latin typeface="Arial" panose="020B0604020202020204" pitchFamily="34" charset="0"/>
              <a:cs typeface="Arial" panose="020B0604020202020204" pitchFamily="34" charset="0"/>
            </a:rPr>
            <a:t>bibhag</a:t>
          </a:r>
          <a:r>
            <a:rPr lang="en-AU" sz="1000" b="0">
              <a:solidFill>
                <a:schemeClr val="bg1"/>
              </a:solidFill>
              <a:latin typeface="Arial" panose="020B0604020202020204" pitchFamily="34" charset="0"/>
              <a:cs typeface="Arial" panose="020B0604020202020204" pitchFamily="34" charset="0"/>
            </a:rPr>
            <a:t>)</a:t>
          </a:r>
        </a:p>
      </dgm:t>
    </dgm:pt>
    <dgm:pt modelId="{7AA4F725-B134-4090-892C-95328E0AF395}" type="parTrans" cxnId="{B7CACA0D-036F-4EA8-ACEE-3A798DC794F1}">
      <dgm:prSet/>
      <dgm:spPr>
        <a:ln>
          <a:solidFill>
            <a:schemeClr val="tx1">
              <a:lumMod val="50000"/>
              <a:lumOff val="50000"/>
            </a:schemeClr>
          </a:solidFill>
        </a:ln>
      </dgm:spPr>
      <dgm:t>
        <a:bodyPr/>
        <a:lstStyle/>
        <a:p>
          <a:pPr algn="ctr"/>
          <a:endParaRPr lang="en-AU"/>
        </a:p>
      </dgm:t>
    </dgm:pt>
    <dgm:pt modelId="{3D0F5EB9-3CAC-43AF-A9AA-96573076B88D}" type="sibTrans" cxnId="{B7CACA0D-036F-4EA8-ACEE-3A798DC794F1}">
      <dgm:prSet/>
      <dgm:spPr/>
      <dgm:t>
        <a:bodyPr/>
        <a:lstStyle/>
        <a:p>
          <a:pPr algn="ctr"/>
          <a:endParaRPr lang="en-AU"/>
        </a:p>
      </dgm:t>
    </dgm:pt>
    <dgm:pt modelId="{FEB7618C-1D8D-4156-B479-2FA028193E95}">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64 Districts (</a:t>
          </a:r>
          <a:r>
            <a:rPr lang="en-AU" sz="1000" b="0" i="1">
              <a:solidFill>
                <a:schemeClr val="bg1"/>
              </a:solidFill>
              <a:latin typeface="Arial" panose="020B0604020202020204" pitchFamily="34" charset="0"/>
              <a:cs typeface="Arial" panose="020B0604020202020204" pitchFamily="34" charset="0"/>
            </a:rPr>
            <a:t>zila</a:t>
          </a:r>
          <a:r>
            <a:rPr lang="en-AU" sz="1000" b="0">
              <a:solidFill>
                <a:schemeClr val="bg1"/>
              </a:solidFill>
              <a:latin typeface="Arial" panose="020B0604020202020204" pitchFamily="34" charset="0"/>
              <a:cs typeface="Arial" panose="020B0604020202020204" pitchFamily="34" charset="0"/>
            </a:rPr>
            <a:t>)</a:t>
          </a:r>
        </a:p>
      </dgm:t>
    </dgm:pt>
    <dgm:pt modelId="{65A2F44B-E18F-4A4B-B197-2EFFA74C5203}" type="parTrans" cxnId="{0C3EF382-87F8-4A64-A8DD-3AE646743192}">
      <dgm:prSet/>
      <dgm:spPr/>
      <dgm:t>
        <a:bodyPr/>
        <a:lstStyle/>
        <a:p>
          <a:endParaRPr lang="en-AU"/>
        </a:p>
      </dgm:t>
    </dgm:pt>
    <dgm:pt modelId="{651CE727-E13A-4B76-BBE1-2441174406A0}" type="sibTrans" cxnId="{0C3EF382-87F8-4A64-A8DD-3AE646743192}">
      <dgm:prSet/>
      <dgm:spPr/>
      <dgm:t>
        <a:bodyPr/>
        <a:lstStyle/>
        <a:p>
          <a:endParaRPr lang="en-AU"/>
        </a:p>
      </dgm:t>
    </dgm:pt>
    <dgm:pt modelId="{5638EB3A-E10D-4DC2-9CEB-E783E6E57B46}">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490 Subdistricts (</a:t>
          </a:r>
          <a:r>
            <a:rPr lang="en-AU" sz="1000" b="0" i="1">
              <a:solidFill>
                <a:schemeClr val="bg1"/>
              </a:solidFill>
              <a:latin typeface="Arial" panose="020B0604020202020204" pitchFamily="34" charset="0"/>
              <a:cs typeface="Arial" panose="020B0604020202020204" pitchFamily="34" charset="0"/>
            </a:rPr>
            <a:t>upazila</a:t>
          </a:r>
          <a:r>
            <a:rPr lang="en-AU" sz="1000" b="0">
              <a:solidFill>
                <a:schemeClr val="bg1"/>
              </a:solidFill>
              <a:latin typeface="Arial" panose="020B0604020202020204" pitchFamily="34" charset="0"/>
              <a:cs typeface="Arial" panose="020B0604020202020204" pitchFamily="34" charset="0"/>
            </a:rPr>
            <a:t>)</a:t>
          </a:r>
        </a:p>
      </dgm:t>
    </dgm:pt>
    <dgm:pt modelId="{B946E730-7F26-43FE-BBB9-9064A50E7B33}" type="parTrans" cxnId="{0C8C9F46-05A8-4638-8F8A-B60FD12CF9A6}">
      <dgm:prSet/>
      <dgm:spPr/>
      <dgm:t>
        <a:bodyPr/>
        <a:lstStyle/>
        <a:p>
          <a:endParaRPr lang="en-AU"/>
        </a:p>
      </dgm:t>
    </dgm:pt>
    <dgm:pt modelId="{C5247B70-195E-47F0-8495-432CCCEBD563}" type="sibTrans" cxnId="{0C8C9F46-05A8-4638-8F8A-B60FD12CF9A6}">
      <dgm:prSet/>
      <dgm:spPr/>
      <dgm:t>
        <a:bodyPr/>
        <a:lstStyle/>
        <a:p>
          <a:endParaRPr lang="en-AU"/>
        </a:p>
      </dgm:t>
    </dgm:pt>
    <dgm:pt modelId="{0020E595-FD9D-4C87-A610-4B7B1C1AD4ED}">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4553 Union Councils (</a:t>
          </a:r>
          <a:r>
            <a:rPr lang="en-AU" sz="1000" b="0" i="1">
              <a:solidFill>
                <a:schemeClr val="bg1"/>
              </a:solidFill>
              <a:latin typeface="Arial" panose="020B0604020202020204" pitchFamily="34" charset="0"/>
              <a:cs typeface="Arial" panose="020B0604020202020204" pitchFamily="34" charset="0"/>
            </a:rPr>
            <a:t>Union Parishad</a:t>
          </a:r>
          <a:r>
            <a:rPr lang="en-AU" sz="1000" b="0">
              <a:solidFill>
                <a:schemeClr val="bg1"/>
              </a:solidFill>
              <a:latin typeface="Arial" panose="020B0604020202020204" pitchFamily="34" charset="0"/>
              <a:cs typeface="Arial" panose="020B0604020202020204" pitchFamily="34" charset="0"/>
            </a:rPr>
            <a:t>) - responsible </a:t>
          </a:r>
          <a:br>
            <a:rPr lang="en-AU" sz="1000" b="0">
              <a:solidFill>
                <a:schemeClr val="bg1"/>
              </a:solidFill>
              <a:latin typeface="Arial" panose="020B0604020202020204" pitchFamily="34" charset="0"/>
              <a:cs typeface="Arial" panose="020B0604020202020204" pitchFamily="34" charset="0"/>
            </a:rPr>
          </a:br>
          <a:r>
            <a:rPr lang="en-AU" sz="1000" b="0">
              <a:solidFill>
                <a:schemeClr val="bg1"/>
              </a:solidFill>
              <a:latin typeface="Arial" panose="020B0604020202020204" pitchFamily="34" charset="0"/>
              <a:cs typeface="Arial" panose="020B0604020202020204" pitchFamily="34" charset="0"/>
            </a:rPr>
            <a:t>for rural areas</a:t>
          </a:r>
        </a:p>
      </dgm:t>
    </dgm:pt>
    <dgm:pt modelId="{DB4F192E-7014-4774-8F3F-0A00FF5F2EB6}" type="parTrans" cxnId="{5E9F094F-3986-4B3D-AF27-AE2B79E374C8}">
      <dgm:prSet/>
      <dgm:spPr/>
      <dgm:t>
        <a:bodyPr/>
        <a:lstStyle/>
        <a:p>
          <a:endParaRPr lang="en-AU"/>
        </a:p>
      </dgm:t>
    </dgm:pt>
    <dgm:pt modelId="{18BED354-90F3-4546-B61E-9B3ED57E6ACF}" type="sibTrans" cxnId="{5E9F094F-3986-4B3D-AF27-AE2B79E374C8}">
      <dgm:prSet/>
      <dgm:spPr/>
      <dgm:t>
        <a:bodyPr/>
        <a:lstStyle/>
        <a:p>
          <a:endParaRPr lang="en-AU"/>
        </a:p>
      </dgm:t>
    </dgm:pt>
    <dgm:pt modelId="{E381C5A9-9942-48DA-8BBD-4576DACC8331}">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323 Municipal Corporations (</a:t>
          </a:r>
          <a:r>
            <a:rPr lang="en-AU" sz="1000" b="0" i="1">
              <a:solidFill>
                <a:schemeClr val="bg1"/>
              </a:solidFill>
              <a:latin typeface="Arial" panose="020B0604020202020204" pitchFamily="34" charset="0"/>
              <a:cs typeface="Arial" panose="020B0604020202020204" pitchFamily="34" charset="0"/>
            </a:rPr>
            <a:t>pourashava</a:t>
          </a:r>
          <a:r>
            <a:rPr lang="en-AU" sz="1000" b="0">
              <a:solidFill>
                <a:schemeClr val="bg1"/>
              </a:solidFill>
              <a:latin typeface="Arial" panose="020B0604020202020204" pitchFamily="34" charset="0"/>
              <a:cs typeface="Arial" panose="020B0604020202020204" pitchFamily="34" charset="0"/>
            </a:rPr>
            <a:t>) - responsible </a:t>
          </a:r>
          <a:br>
            <a:rPr lang="en-AU" sz="1000" b="0">
              <a:solidFill>
                <a:schemeClr val="bg1"/>
              </a:solidFill>
              <a:latin typeface="Arial" panose="020B0604020202020204" pitchFamily="34" charset="0"/>
              <a:cs typeface="Arial" panose="020B0604020202020204" pitchFamily="34" charset="0"/>
            </a:rPr>
          </a:br>
          <a:r>
            <a:rPr lang="en-AU" sz="1000" b="0">
              <a:solidFill>
                <a:schemeClr val="bg1"/>
              </a:solidFill>
              <a:latin typeface="Arial" panose="020B0604020202020204" pitchFamily="34" charset="0"/>
              <a:cs typeface="Arial" panose="020B0604020202020204" pitchFamily="34" charset="0"/>
            </a:rPr>
            <a:t>for towns</a:t>
          </a:r>
        </a:p>
      </dgm:t>
    </dgm:pt>
    <dgm:pt modelId="{3170ADDE-EFBD-4238-9A32-C622723B6FEB}" type="parTrans" cxnId="{64906D01-AC3A-4A1B-B7AE-B40E4697613A}">
      <dgm:prSet/>
      <dgm:spPr/>
      <dgm:t>
        <a:bodyPr/>
        <a:lstStyle/>
        <a:p>
          <a:endParaRPr lang="en-AU"/>
        </a:p>
      </dgm:t>
    </dgm:pt>
    <dgm:pt modelId="{3E1A0445-35F5-414E-AF38-67E514CB410A}" type="sibTrans" cxnId="{64906D01-AC3A-4A1B-B7AE-B40E4697613A}">
      <dgm:prSet/>
      <dgm:spPr/>
      <dgm:t>
        <a:bodyPr/>
        <a:lstStyle/>
        <a:p>
          <a:endParaRPr lang="en-AU"/>
        </a:p>
      </dgm:t>
    </dgm:pt>
    <dgm:pt modelId="{B55F0D20-22B4-4167-B244-0462A55BFB28}">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11 City Corporations - responsible for cities</a:t>
          </a:r>
        </a:p>
      </dgm:t>
    </dgm:pt>
    <dgm:pt modelId="{58958DED-753A-4380-9870-192235C0DEA7}" type="parTrans" cxnId="{5D79EB3C-25D6-4388-99AD-95E8826B4FC1}">
      <dgm:prSet/>
      <dgm:spPr/>
      <dgm:t>
        <a:bodyPr/>
        <a:lstStyle/>
        <a:p>
          <a:endParaRPr lang="en-AU"/>
        </a:p>
      </dgm:t>
    </dgm:pt>
    <dgm:pt modelId="{E2A67158-E2E3-4B71-8958-59FC1CD3CEF0}" type="sibTrans" cxnId="{5D79EB3C-25D6-4388-99AD-95E8826B4FC1}">
      <dgm:prSet/>
      <dgm:spPr/>
      <dgm:t>
        <a:bodyPr/>
        <a:lstStyle/>
        <a:p>
          <a:endParaRPr lang="en-AU"/>
        </a:p>
      </dgm:t>
    </dgm:pt>
    <dgm:pt modelId="{72F3AC33-3A04-4BA9-9CBD-283B80F7B94B}">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Villages</a:t>
          </a:r>
        </a:p>
      </dgm:t>
    </dgm:pt>
    <dgm:pt modelId="{2140BFFA-6E2F-40E2-83B6-3B34CE97D07B}" type="parTrans" cxnId="{954B1539-E7D8-4757-9E65-3698723E6AD1}">
      <dgm:prSet/>
      <dgm:spPr/>
      <dgm:t>
        <a:bodyPr/>
        <a:lstStyle/>
        <a:p>
          <a:endParaRPr lang="en-AU"/>
        </a:p>
      </dgm:t>
    </dgm:pt>
    <dgm:pt modelId="{A2E40957-FE2C-438C-9128-088A98971859}" type="sibTrans" cxnId="{954B1539-E7D8-4757-9E65-3698723E6AD1}">
      <dgm:prSet/>
      <dgm:spPr/>
      <dgm:t>
        <a:bodyPr/>
        <a:lstStyle/>
        <a:p>
          <a:endParaRPr lang="en-AU"/>
        </a:p>
      </dgm:t>
    </dgm:pt>
    <dgm:pt modelId="{5DD3B044-0F7B-49E5-B4E5-FF7B8A025298}">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Wards</a:t>
          </a:r>
        </a:p>
      </dgm:t>
    </dgm:pt>
    <dgm:pt modelId="{ACD37B8A-9042-4408-BF02-B997DF4CCA61}" type="parTrans" cxnId="{F4FA502F-A4D8-468E-A9FA-C2D0AF6581A9}">
      <dgm:prSet/>
      <dgm:spPr/>
      <dgm:t>
        <a:bodyPr/>
        <a:lstStyle/>
        <a:p>
          <a:endParaRPr lang="en-AU"/>
        </a:p>
      </dgm:t>
    </dgm:pt>
    <dgm:pt modelId="{B9FB55AF-3DE2-4513-B5DE-6D409915FC61}" type="sibTrans" cxnId="{F4FA502F-A4D8-468E-A9FA-C2D0AF6581A9}">
      <dgm:prSet/>
      <dgm:spPr/>
      <dgm:t>
        <a:bodyPr/>
        <a:lstStyle/>
        <a:p>
          <a:endParaRPr lang="en-AU"/>
        </a:p>
      </dgm:t>
    </dgm:pt>
    <dgm:pt modelId="{957FE5F7-1B5B-4311-8E6C-6F0E064C9C9B}">
      <dgm:prSet phldrT="[Text]" custT="1"/>
      <dgm:spPr>
        <a:solidFill>
          <a:srgbClr val="0070C0"/>
        </a:solidFill>
      </dgm:spPr>
      <dgm:t>
        <a:bodyPr/>
        <a:lstStyle/>
        <a:p>
          <a:pPr algn="ctr"/>
          <a:r>
            <a:rPr lang="en-AU" sz="1000" b="0">
              <a:solidFill>
                <a:schemeClr val="bg1"/>
              </a:solidFill>
              <a:latin typeface="Arial" panose="020B0604020202020204" pitchFamily="34" charset="0"/>
              <a:cs typeface="Arial" panose="020B0604020202020204" pitchFamily="34" charset="0"/>
            </a:rPr>
            <a:t>Wards</a:t>
          </a:r>
        </a:p>
      </dgm:t>
    </dgm:pt>
    <dgm:pt modelId="{2C7F12A8-7123-43A7-802F-3AFC65FC5B48}" type="parTrans" cxnId="{49794DA3-08F5-4F35-9A32-4D970E74901B}">
      <dgm:prSet/>
      <dgm:spPr/>
      <dgm:t>
        <a:bodyPr/>
        <a:lstStyle/>
        <a:p>
          <a:endParaRPr lang="en-AU"/>
        </a:p>
      </dgm:t>
    </dgm:pt>
    <dgm:pt modelId="{B560A225-AC0C-413D-B60C-A036A1A10115}" type="sibTrans" cxnId="{49794DA3-08F5-4F35-9A32-4D970E74901B}">
      <dgm:prSet/>
      <dgm:spPr/>
      <dgm:t>
        <a:bodyPr/>
        <a:lstStyle/>
        <a:p>
          <a:endParaRPr lang="en-AU"/>
        </a:p>
      </dgm:t>
    </dgm:pt>
    <dgm:pt modelId="{1595C4FD-501F-4822-BE17-F4A90D3B7806}" type="pres">
      <dgm:prSet presAssocID="{B05B92DD-1E45-47C0-A5E9-78BE16159C94}" presName="hierChild1" presStyleCnt="0">
        <dgm:presLayoutVars>
          <dgm:orgChart val="1"/>
          <dgm:chPref val="1"/>
          <dgm:dir/>
          <dgm:animOne val="branch"/>
          <dgm:animLvl val="lvl"/>
          <dgm:resizeHandles/>
        </dgm:presLayoutVars>
      </dgm:prSet>
      <dgm:spPr/>
      <dgm:t>
        <a:bodyPr/>
        <a:lstStyle/>
        <a:p>
          <a:endParaRPr lang="en-AU"/>
        </a:p>
      </dgm:t>
    </dgm:pt>
    <dgm:pt modelId="{83B38F98-2218-4ABC-9B0A-E80A1AA93176}" type="pres">
      <dgm:prSet presAssocID="{B97A9FBA-FA7D-4A93-A878-E21DA8AE4DEC}" presName="hierRoot1" presStyleCnt="0">
        <dgm:presLayoutVars>
          <dgm:hierBranch val="init"/>
        </dgm:presLayoutVars>
      </dgm:prSet>
      <dgm:spPr/>
    </dgm:pt>
    <dgm:pt modelId="{5F64933D-36F8-4A34-AEFA-52B206860EBE}" type="pres">
      <dgm:prSet presAssocID="{B97A9FBA-FA7D-4A93-A878-E21DA8AE4DEC}" presName="rootComposite1" presStyleCnt="0"/>
      <dgm:spPr/>
    </dgm:pt>
    <dgm:pt modelId="{5AA91804-2FFE-4912-BE8E-BDD1DF06F32B}" type="pres">
      <dgm:prSet presAssocID="{B97A9FBA-FA7D-4A93-A878-E21DA8AE4DEC}" presName="rootText1" presStyleLbl="node0" presStyleIdx="0" presStyleCnt="1" custScaleX="226975">
        <dgm:presLayoutVars>
          <dgm:chPref val="3"/>
        </dgm:presLayoutVars>
      </dgm:prSet>
      <dgm:spPr/>
      <dgm:t>
        <a:bodyPr/>
        <a:lstStyle/>
        <a:p>
          <a:endParaRPr lang="en-AU"/>
        </a:p>
      </dgm:t>
    </dgm:pt>
    <dgm:pt modelId="{D3DFB0F3-B859-4B11-94D5-609766828DE1}" type="pres">
      <dgm:prSet presAssocID="{B97A9FBA-FA7D-4A93-A878-E21DA8AE4DEC}" presName="rootConnector1" presStyleLbl="node1" presStyleIdx="0" presStyleCnt="0"/>
      <dgm:spPr/>
      <dgm:t>
        <a:bodyPr/>
        <a:lstStyle/>
        <a:p>
          <a:endParaRPr lang="en-AU"/>
        </a:p>
      </dgm:t>
    </dgm:pt>
    <dgm:pt modelId="{FD1B96CE-97DA-48EA-A5B0-CB6B6C7CB517}" type="pres">
      <dgm:prSet presAssocID="{B97A9FBA-FA7D-4A93-A878-E21DA8AE4DEC}" presName="hierChild2" presStyleCnt="0"/>
      <dgm:spPr/>
    </dgm:pt>
    <dgm:pt modelId="{EB9C75E8-1A8B-4EED-868F-86818237E37C}" type="pres">
      <dgm:prSet presAssocID="{7AA4F725-B134-4090-892C-95328E0AF395}" presName="Name37" presStyleLbl="parChTrans1D2" presStyleIdx="0" presStyleCnt="1"/>
      <dgm:spPr/>
      <dgm:t>
        <a:bodyPr/>
        <a:lstStyle/>
        <a:p>
          <a:endParaRPr lang="en-AU"/>
        </a:p>
      </dgm:t>
    </dgm:pt>
    <dgm:pt modelId="{DC7A6715-B2D3-4F71-8838-58A4A03EB611}" type="pres">
      <dgm:prSet presAssocID="{C422C568-4AD8-402B-9651-2EE2B5255795}" presName="hierRoot2" presStyleCnt="0">
        <dgm:presLayoutVars>
          <dgm:hierBranch val="init"/>
        </dgm:presLayoutVars>
      </dgm:prSet>
      <dgm:spPr/>
    </dgm:pt>
    <dgm:pt modelId="{2E3FA715-6517-4023-9B7F-E4279CE85E60}" type="pres">
      <dgm:prSet presAssocID="{C422C568-4AD8-402B-9651-2EE2B5255795}" presName="rootComposite" presStyleCnt="0"/>
      <dgm:spPr/>
    </dgm:pt>
    <dgm:pt modelId="{8AB7012C-DFE4-4F6B-8636-D2BBA1D6690C}" type="pres">
      <dgm:prSet presAssocID="{C422C568-4AD8-402B-9651-2EE2B5255795}" presName="rootText" presStyleLbl="node2" presStyleIdx="0" presStyleCnt="1" custScaleX="226975">
        <dgm:presLayoutVars>
          <dgm:chPref val="3"/>
        </dgm:presLayoutVars>
      </dgm:prSet>
      <dgm:spPr/>
      <dgm:t>
        <a:bodyPr/>
        <a:lstStyle/>
        <a:p>
          <a:endParaRPr lang="en-AU"/>
        </a:p>
      </dgm:t>
    </dgm:pt>
    <dgm:pt modelId="{65B2EF36-956D-4EA1-9B57-3717A6CA5C3F}" type="pres">
      <dgm:prSet presAssocID="{C422C568-4AD8-402B-9651-2EE2B5255795}" presName="rootConnector" presStyleLbl="node2" presStyleIdx="0" presStyleCnt="1"/>
      <dgm:spPr/>
      <dgm:t>
        <a:bodyPr/>
        <a:lstStyle/>
        <a:p>
          <a:endParaRPr lang="en-AU"/>
        </a:p>
      </dgm:t>
    </dgm:pt>
    <dgm:pt modelId="{45D0DC8E-DE50-4CC7-843B-CB7F189BEDEC}" type="pres">
      <dgm:prSet presAssocID="{C422C568-4AD8-402B-9651-2EE2B5255795}" presName="hierChild4" presStyleCnt="0"/>
      <dgm:spPr/>
    </dgm:pt>
    <dgm:pt modelId="{97F43F28-4D55-44CD-9DAF-763A31FB4C13}" type="pres">
      <dgm:prSet presAssocID="{65A2F44B-E18F-4A4B-B197-2EFFA74C5203}" presName="Name37" presStyleLbl="parChTrans1D3" presStyleIdx="0" presStyleCnt="1"/>
      <dgm:spPr/>
      <dgm:t>
        <a:bodyPr/>
        <a:lstStyle/>
        <a:p>
          <a:endParaRPr lang="en-AU"/>
        </a:p>
      </dgm:t>
    </dgm:pt>
    <dgm:pt modelId="{B32C346F-9326-47A5-8E71-BC3BA38DF1C8}" type="pres">
      <dgm:prSet presAssocID="{FEB7618C-1D8D-4156-B479-2FA028193E95}" presName="hierRoot2" presStyleCnt="0">
        <dgm:presLayoutVars>
          <dgm:hierBranch val="init"/>
        </dgm:presLayoutVars>
      </dgm:prSet>
      <dgm:spPr/>
    </dgm:pt>
    <dgm:pt modelId="{0536227D-55A1-4838-B5F0-6F0A405B90D8}" type="pres">
      <dgm:prSet presAssocID="{FEB7618C-1D8D-4156-B479-2FA028193E95}" presName="rootComposite" presStyleCnt="0"/>
      <dgm:spPr/>
    </dgm:pt>
    <dgm:pt modelId="{E3D104B2-15F2-40A4-B971-25BD7D85B68B}" type="pres">
      <dgm:prSet presAssocID="{FEB7618C-1D8D-4156-B479-2FA028193E95}" presName="rootText" presStyleLbl="node3" presStyleIdx="0" presStyleCnt="1" custScaleX="226336">
        <dgm:presLayoutVars>
          <dgm:chPref val="3"/>
        </dgm:presLayoutVars>
      </dgm:prSet>
      <dgm:spPr/>
      <dgm:t>
        <a:bodyPr/>
        <a:lstStyle/>
        <a:p>
          <a:endParaRPr lang="en-AU"/>
        </a:p>
      </dgm:t>
    </dgm:pt>
    <dgm:pt modelId="{2926DDD4-7982-4630-B80D-0D4538E153C5}" type="pres">
      <dgm:prSet presAssocID="{FEB7618C-1D8D-4156-B479-2FA028193E95}" presName="rootConnector" presStyleLbl="node3" presStyleIdx="0" presStyleCnt="1"/>
      <dgm:spPr/>
      <dgm:t>
        <a:bodyPr/>
        <a:lstStyle/>
        <a:p>
          <a:endParaRPr lang="en-AU"/>
        </a:p>
      </dgm:t>
    </dgm:pt>
    <dgm:pt modelId="{AD4E0EE7-37A1-41F2-8DF8-542BC692DEA6}" type="pres">
      <dgm:prSet presAssocID="{FEB7618C-1D8D-4156-B479-2FA028193E95}" presName="hierChild4" presStyleCnt="0"/>
      <dgm:spPr/>
    </dgm:pt>
    <dgm:pt modelId="{575A82E2-2368-464C-90FC-50729A22DBA4}" type="pres">
      <dgm:prSet presAssocID="{B946E730-7F26-43FE-BBB9-9064A50E7B33}" presName="Name37" presStyleLbl="parChTrans1D4" presStyleIdx="0" presStyleCnt="7"/>
      <dgm:spPr/>
      <dgm:t>
        <a:bodyPr/>
        <a:lstStyle/>
        <a:p>
          <a:endParaRPr lang="en-AU"/>
        </a:p>
      </dgm:t>
    </dgm:pt>
    <dgm:pt modelId="{8BEEE777-1164-4B22-AD1F-6DAD3C6E0BAA}" type="pres">
      <dgm:prSet presAssocID="{5638EB3A-E10D-4DC2-9CEB-E783E6E57B46}" presName="hierRoot2" presStyleCnt="0">
        <dgm:presLayoutVars>
          <dgm:hierBranch val="init"/>
        </dgm:presLayoutVars>
      </dgm:prSet>
      <dgm:spPr/>
    </dgm:pt>
    <dgm:pt modelId="{2553D069-DBDD-4669-93DA-3A674609480B}" type="pres">
      <dgm:prSet presAssocID="{5638EB3A-E10D-4DC2-9CEB-E783E6E57B46}" presName="rootComposite" presStyleCnt="0"/>
      <dgm:spPr/>
    </dgm:pt>
    <dgm:pt modelId="{A95E4006-29B4-4081-A3BA-61D3A5C921FA}" type="pres">
      <dgm:prSet presAssocID="{5638EB3A-E10D-4DC2-9CEB-E783E6E57B46}" presName="rootText" presStyleLbl="node4" presStyleIdx="0" presStyleCnt="7" custScaleX="227901">
        <dgm:presLayoutVars>
          <dgm:chPref val="3"/>
        </dgm:presLayoutVars>
      </dgm:prSet>
      <dgm:spPr/>
      <dgm:t>
        <a:bodyPr/>
        <a:lstStyle/>
        <a:p>
          <a:endParaRPr lang="en-AU"/>
        </a:p>
      </dgm:t>
    </dgm:pt>
    <dgm:pt modelId="{20D1F8D4-A6F2-4132-B518-D1017F8EC555}" type="pres">
      <dgm:prSet presAssocID="{5638EB3A-E10D-4DC2-9CEB-E783E6E57B46}" presName="rootConnector" presStyleLbl="node4" presStyleIdx="0" presStyleCnt="7"/>
      <dgm:spPr/>
      <dgm:t>
        <a:bodyPr/>
        <a:lstStyle/>
        <a:p>
          <a:endParaRPr lang="en-AU"/>
        </a:p>
      </dgm:t>
    </dgm:pt>
    <dgm:pt modelId="{9FD564D9-110A-4E45-B96B-52C79F2B0591}" type="pres">
      <dgm:prSet presAssocID="{5638EB3A-E10D-4DC2-9CEB-E783E6E57B46}" presName="hierChild4" presStyleCnt="0"/>
      <dgm:spPr/>
    </dgm:pt>
    <dgm:pt modelId="{A22963E8-2860-4E95-BD4C-EB92774EC22A}" type="pres">
      <dgm:prSet presAssocID="{DB4F192E-7014-4774-8F3F-0A00FF5F2EB6}" presName="Name37" presStyleLbl="parChTrans1D4" presStyleIdx="1" presStyleCnt="7"/>
      <dgm:spPr/>
      <dgm:t>
        <a:bodyPr/>
        <a:lstStyle/>
        <a:p>
          <a:endParaRPr lang="en-AU"/>
        </a:p>
      </dgm:t>
    </dgm:pt>
    <dgm:pt modelId="{FBF30385-0B84-427C-BF8F-29361D221E13}" type="pres">
      <dgm:prSet presAssocID="{0020E595-FD9D-4C87-A610-4B7B1C1AD4ED}" presName="hierRoot2" presStyleCnt="0">
        <dgm:presLayoutVars>
          <dgm:hierBranch val="init"/>
        </dgm:presLayoutVars>
      </dgm:prSet>
      <dgm:spPr/>
    </dgm:pt>
    <dgm:pt modelId="{EAA57146-9B28-4E22-801E-7B4DF79382F6}" type="pres">
      <dgm:prSet presAssocID="{0020E595-FD9D-4C87-A610-4B7B1C1AD4ED}" presName="rootComposite" presStyleCnt="0"/>
      <dgm:spPr/>
    </dgm:pt>
    <dgm:pt modelId="{843D169E-9771-49E5-A98C-FEDA4CB5D173}" type="pres">
      <dgm:prSet presAssocID="{0020E595-FD9D-4C87-A610-4B7B1C1AD4ED}" presName="rootText" presStyleLbl="node4" presStyleIdx="1" presStyleCnt="7" custScaleX="266348" custScaleY="162747">
        <dgm:presLayoutVars>
          <dgm:chPref val="3"/>
        </dgm:presLayoutVars>
      </dgm:prSet>
      <dgm:spPr/>
      <dgm:t>
        <a:bodyPr/>
        <a:lstStyle/>
        <a:p>
          <a:endParaRPr lang="en-AU"/>
        </a:p>
      </dgm:t>
    </dgm:pt>
    <dgm:pt modelId="{30B15329-9DB6-42B5-8C45-0319306888A7}" type="pres">
      <dgm:prSet presAssocID="{0020E595-FD9D-4C87-A610-4B7B1C1AD4ED}" presName="rootConnector" presStyleLbl="node4" presStyleIdx="1" presStyleCnt="7"/>
      <dgm:spPr/>
      <dgm:t>
        <a:bodyPr/>
        <a:lstStyle/>
        <a:p>
          <a:endParaRPr lang="en-AU"/>
        </a:p>
      </dgm:t>
    </dgm:pt>
    <dgm:pt modelId="{1830A6B8-A925-4415-9E6C-311562DF3856}" type="pres">
      <dgm:prSet presAssocID="{0020E595-FD9D-4C87-A610-4B7B1C1AD4ED}" presName="hierChild4" presStyleCnt="0"/>
      <dgm:spPr/>
    </dgm:pt>
    <dgm:pt modelId="{64B7BA55-41D1-4494-BFB3-D9B17F3141A1}" type="pres">
      <dgm:prSet presAssocID="{2140BFFA-6E2F-40E2-83B6-3B34CE97D07B}" presName="Name37" presStyleLbl="parChTrans1D4" presStyleIdx="2" presStyleCnt="7"/>
      <dgm:spPr/>
      <dgm:t>
        <a:bodyPr/>
        <a:lstStyle/>
        <a:p>
          <a:endParaRPr lang="en-AU"/>
        </a:p>
      </dgm:t>
    </dgm:pt>
    <dgm:pt modelId="{29F32B03-4AE6-4089-B0A0-C40456FCAD4D}" type="pres">
      <dgm:prSet presAssocID="{72F3AC33-3A04-4BA9-9CBD-283B80F7B94B}" presName="hierRoot2" presStyleCnt="0">
        <dgm:presLayoutVars>
          <dgm:hierBranch val="init"/>
        </dgm:presLayoutVars>
      </dgm:prSet>
      <dgm:spPr/>
    </dgm:pt>
    <dgm:pt modelId="{C1F1439F-40E8-4E92-8D49-AD35978649F8}" type="pres">
      <dgm:prSet presAssocID="{72F3AC33-3A04-4BA9-9CBD-283B80F7B94B}" presName="rootComposite" presStyleCnt="0"/>
      <dgm:spPr/>
    </dgm:pt>
    <dgm:pt modelId="{BAA0CE9F-99C7-4DBE-9953-E755B68F7A34}" type="pres">
      <dgm:prSet presAssocID="{72F3AC33-3A04-4BA9-9CBD-283B80F7B94B}" presName="rootText" presStyleLbl="node4" presStyleIdx="2" presStyleCnt="7">
        <dgm:presLayoutVars>
          <dgm:chPref val="3"/>
        </dgm:presLayoutVars>
      </dgm:prSet>
      <dgm:spPr/>
      <dgm:t>
        <a:bodyPr/>
        <a:lstStyle/>
        <a:p>
          <a:endParaRPr lang="en-AU"/>
        </a:p>
      </dgm:t>
    </dgm:pt>
    <dgm:pt modelId="{0A5229DC-CE53-4E10-A3B5-A8642C6E113A}" type="pres">
      <dgm:prSet presAssocID="{72F3AC33-3A04-4BA9-9CBD-283B80F7B94B}" presName="rootConnector" presStyleLbl="node4" presStyleIdx="2" presStyleCnt="7"/>
      <dgm:spPr/>
      <dgm:t>
        <a:bodyPr/>
        <a:lstStyle/>
        <a:p>
          <a:endParaRPr lang="en-AU"/>
        </a:p>
      </dgm:t>
    </dgm:pt>
    <dgm:pt modelId="{81848F1B-65E1-4912-8214-474D6E4C15A5}" type="pres">
      <dgm:prSet presAssocID="{72F3AC33-3A04-4BA9-9CBD-283B80F7B94B}" presName="hierChild4" presStyleCnt="0"/>
      <dgm:spPr/>
    </dgm:pt>
    <dgm:pt modelId="{3AD34110-3C00-4990-B8BD-0FA8513810BF}" type="pres">
      <dgm:prSet presAssocID="{72F3AC33-3A04-4BA9-9CBD-283B80F7B94B}" presName="hierChild5" presStyleCnt="0"/>
      <dgm:spPr/>
    </dgm:pt>
    <dgm:pt modelId="{2D4B610E-FB2B-4AA7-9A15-24DB900F2025}" type="pres">
      <dgm:prSet presAssocID="{0020E595-FD9D-4C87-A610-4B7B1C1AD4ED}" presName="hierChild5" presStyleCnt="0"/>
      <dgm:spPr/>
    </dgm:pt>
    <dgm:pt modelId="{98681D89-FB4B-427C-B735-07CD855061CF}" type="pres">
      <dgm:prSet presAssocID="{3170ADDE-EFBD-4238-9A32-C622723B6FEB}" presName="Name37" presStyleLbl="parChTrans1D4" presStyleIdx="3" presStyleCnt="7"/>
      <dgm:spPr/>
      <dgm:t>
        <a:bodyPr/>
        <a:lstStyle/>
        <a:p>
          <a:endParaRPr lang="en-AU"/>
        </a:p>
      </dgm:t>
    </dgm:pt>
    <dgm:pt modelId="{B9570C90-AEE7-4670-952F-F549DAEEACAB}" type="pres">
      <dgm:prSet presAssocID="{E381C5A9-9942-48DA-8BBD-4576DACC8331}" presName="hierRoot2" presStyleCnt="0">
        <dgm:presLayoutVars>
          <dgm:hierBranch val="init"/>
        </dgm:presLayoutVars>
      </dgm:prSet>
      <dgm:spPr/>
    </dgm:pt>
    <dgm:pt modelId="{BA63E459-4E23-4B5D-A3D1-E41B08753DA0}" type="pres">
      <dgm:prSet presAssocID="{E381C5A9-9942-48DA-8BBD-4576DACC8331}" presName="rootComposite" presStyleCnt="0"/>
      <dgm:spPr/>
    </dgm:pt>
    <dgm:pt modelId="{36200B48-C62D-47B8-8687-4687343388EA}" type="pres">
      <dgm:prSet presAssocID="{E381C5A9-9942-48DA-8BBD-4576DACC8331}" presName="rootText" presStyleLbl="node4" presStyleIdx="3" presStyleCnt="7" custScaleX="256093" custScaleY="161296" custLinFactNeighborX="-8975" custLinFactNeighborY="3264">
        <dgm:presLayoutVars>
          <dgm:chPref val="3"/>
        </dgm:presLayoutVars>
      </dgm:prSet>
      <dgm:spPr/>
      <dgm:t>
        <a:bodyPr/>
        <a:lstStyle/>
        <a:p>
          <a:endParaRPr lang="en-AU"/>
        </a:p>
      </dgm:t>
    </dgm:pt>
    <dgm:pt modelId="{35918633-7427-479C-B960-F54C3A06CB38}" type="pres">
      <dgm:prSet presAssocID="{E381C5A9-9942-48DA-8BBD-4576DACC8331}" presName="rootConnector" presStyleLbl="node4" presStyleIdx="3" presStyleCnt="7"/>
      <dgm:spPr/>
      <dgm:t>
        <a:bodyPr/>
        <a:lstStyle/>
        <a:p>
          <a:endParaRPr lang="en-AU"/>
        </a:p>
      </dgm:t>
    </dgm:pt>
    <dgm:pt modelId="{2C6B988E-12D9-4FE1-A963-9155B414702E}" type="pres">
      <dgm:prSet presAssocID="{E381C5A9-9942-48DA-8BBD-4576DACC8331}" presName="hierChild4" presStyleCnt="0"/>
      <dgm:spPr/>
    </dgm:pt>
    <dgm:pt modelId="{104F9525-2775-4715-BDFC-9FDDFD40F05D}" type="pres">
      <dgm:prSet presAssocID="{2C7F12A8-7123-43A7-802F-3AFC65FC5B48}" presName="Name37" presStyleLbl="parChTrans1D4" presStyleIdx="4" presStyleCnt="7"/>
      <dgm:spPr/>
      <dgm:t>
        <a:bodyPr/>
        <a:lstStyle/>
        <a:p>
          <a:endParaRPr lang="en-AU"/>
        </a:p>
      </dgm:t>
    </dgm:pt>
    <dgm:pt modelId="{59DB6B68-4301-4D41-BEEB-A9EFD50115DF}" type="pres">
      <dgm:prSet presAssocID="{957FE5F7-1B5B-4311-8E6C-6F0E064C9C9B}" presName="hierRoot2" presStyleCnt="0">
        <dgm:presLayoutVars>
          <dgm:hierBranch val="init"/>
        </dgm:presLayoutVars>
      </dgm:prSet>
      <dgm:spPr/>
    </dgm:pt>
    <dgm:pt modelId="{D11E3B6D-294A-4B04-9BC8-F67A4DACC603}" type="pres">
      <dgm:prSet presAssocID="{957FE5F7-1B5B-4311-8E6C-6F0E064C9C9B}" presName="rootComposite" presStyleCnt="0"/>
      <dgm:spPr/>
    </dgm:pt>
    <dgm:pt modelId="{C60EAC02-208B-4145-A2ED-F1FAEAB911E9}" type="pres">
      <dgm:prSet presAssocID="{957FE5F7-1B5B-4311-8E6C-6F0E064C9C9B}" presName="rootText" presStyleLbl="node4" presStyleIdx="4" presStyleCnt="7">
        <dgm:presLayoutVars>
          <dgm:chPref val="3"/>
        </dgm:presLayoutVars>
      </dgm:prSet>
      <dgm:spPr/>
      <dgm:t>
        <a:bodyPr/>
        <a:lstStyle/>
        <a:p>
          <a:endParaRPr lang="en-AU"/>
        </a:p>
      </dgm:t>
    </dgm:pt>
    <dgm:pt modelId="{896292B3-19C3-45A6-A523-9508D9C34B23}" type="pres">
      <dgm:prSet presAssocID="{957FE5F7-1B5B-4311-8E6C-6F0E064C9C9B}" presName="rootConnector" presStyleLbl="node4" presStyleIdx="4" presStyleCnt="7"/>
      <dgm:spPr/>
      <dgm:t>
        <a:bodyPr/>
        <a:lstStyle/>
        <a:p>
          <a:endParaRPr lang="en-AU"/>
        </a:p>
      </dgm:t>
    </dgm:pt>
    <dgm:pt modelId="{C7C7C795-1322-4CCA-B7BB-EC31CACBAD27}" type="pres">
      <dgm:prSet presAssocID="{957FE5F7-1B5B-4311-8E6C-6F0E064C9C9B}" presName="hierChild4" presStyleCnt="0"/>
      <dgm:spPr/>
    </dgm:pt>
    <dgm:pt modelId="{16D03A69-FC32-4EDE-9BE4-6B2ED4F9AF02}" type="pres">
      <dgm:prSet presAssocID="{957FE5F7-1B5B-4311-8E6C-6F0E064C9C9B}" presName="hierChild5" presStyleCnt="0"/>
      <dgm:spPr/>
    </dgm:pt>
    <dgm:pt modelId="{E95F3DBD-CFC4-4173-89D5-FC05141EBA6D}" type="pres">
      <dgm:prSet presAssocID="{E381C5A9-9942-48DA-8BBD-4576DACC8331}" presName="hierChild5" presStyleCnt="0"/>
      <dgm:spPr/>
    </dgm:pt>
    <dgm:pt modelId="{7955D21D-C3FD-4ECE-A7E1-0A860B5DA496}" type="pres">
      <dgm:prSet presAssocID="{58958DED-753A-4380-9870-192235C0DEA7}" presName="Name37" presStyleLbl="parChTrans1D4" presStyleIdx="5" presStyleCnt="7"/>
      <dgm:spPr/>
      <dgm:t>
        <a:bodyPr/>
        <a:lstStyle/>
        <a:p>
          <a:endParaRPr lang="en-AU"/>
        </a:p>
      </dgm:t>
    </dgm:pt>
    <dgm:pt modelId="{39B0C99B-5B12-44BF-8BFA-820FE7B8731D}" type="pres">
      <dgm:prSet presAssocID="{B55F0D20-22B4-4167-B244-0462A55BFB28}" presName="hierRoot2" presStyleCnt="0">
        <dgm:presLayoutVars>
          <dgm:hierBranch val="init"/>
        </dgm:presLayoutVars>
      </dgm:prSet>
      <dgm:spPr/>
    </dgm:pt>
    <dgm:pt modelId="{2AE19F8B-B28C-4ECE-991A-251368C38242}" type="pres">
      <dgm:prSet presAssocID="{B55F0D20-22B4-4167-B244-0462A55BFB28}" presName="rootComposite" presStyleCnt="0"/>
      <dgm:spPr/>
    </dgm:pt>
    <dgm:pt modelId="{A87FE013-CCA7-42E6-BE97-31727F746167}" type="pres">
      <dgm:prSet presAssocID="{B55F0D20-22B4-4167-B244-0462A55BFB28}" presName="rootText" presStyleLbl="node4" presStyleIdx="5" presStyleCnt="7" custScaleX="257433" custScaleY="156624">
        <dgm:presLayoutVars>
          <dgm:chPref val="3"/>
        </dgm:presLayoutVars>
      </dgm:prSet>
      <dgm:spPr/>
      <dgm:t>
        <a:bodyPr/>
        <a:lstStyle/>
        <a:p>
          <a:endParaRPr lang="en-AU"/>
        </a:p>
      </dgm:t>
    </dgm:pt>
    <dgm:pt modelId="{63BFA261-8714-4DC9-9460-3C6A55BB9580}" type="pres">
      <dgm:prSet presAssocID="{B55F0D20-22B4-4167-B244-0462A55BFB28}" presName="rootConnector" presStyleLbl="node4" presStyleIdx="5" presStyleCnt="7"/>
      <dgm:spPr/>
      <dgm:t>
        <a:bodyPr/>
        <a:lstStyle/>
        <a:p>
          <a:endParaRPr lang="en-AU"/>
        </a:p>
      </dgm:t>
    </dgm:pt>
    <dgm:pt modelId="{C3BB5150-442A-426C-9497-0ADF23FB9865}" type="pres">
      <dgm:prSet presAssocID="{B55F0D20-22B4-4167-B244-0462A55BFB28}" presName="hierChild4" presStyleCnt="0"/>
      <dgm:spPr/>
    </dgm:pt>
    <dgm:pt modelId="{568C7A22-CDAE-49CC-B4B2-B6B3C9EC3973}" type="pres">
      <dgm:prSet presAssocID="{ACD37B8A-9042-4408-BF02-B997DF4CCA61}" presName="Name37" presStyleLbl="parChTrans1D4" presStyleIdx="6" presStyleCnt="7"/>
      <dgm:spPr/>
      <dgm:t>
        <a:bodyPr/>
        <a:lstStyle/>
        <a:p>
          <a:endParaRPr lang="en-AU"/>
        </a:p>
      </dgm:t>
    </dgm:pt>
    <dgm:pt modelId="{9A44DB87-A8B7-4701-9D25-FA062B9AD4D9}" type="pres">
      <dgm:prSet presAssocID="{5DD3B044-0F7B-49E5-B4E5-FF7B8A025298}" presName="hierRoot2" presStyleCnt="0">
        <dgm:presLayoutVars>
          <dgm:hierBranch val="init"/>
        </dgm:presLayoutVars>
      </dgm:prSet>
      <dgm:spPr/>
    </dgm:pt>
    <dgm:pt modelId="{D733B15C-FFA5-4761-8AC4-64FBB97CC844}" type="pres">
      <dgm:prSet presAssocID="{5DD3B044-0F7B-49E5-B4E5-FF7B8A025298}" presName="rootComposite" presStyleCnt="0"/>
      <dgm:spPr/>
    </dgm:pt>
    <dgm:pt modelId="{ABA2C189-5A58-4D01-A279-6334CD5C9739}" type="pres">
      <dgm:prSet presAssocID="{5DD3B044-0F7B-49E5-B4E5-FF7B8A025298}" presName="rootText" presStyleLbl="node4" presStyleIdx="6" presStyleCnt="7">
        <dgm:presLayoutVars>
          <dgm:chPref val="3"/>
        </dgm:presLayoutVars>
      </dgm:prSet>
      <dgm:spPr/>
      <dgm:t>
        <a:bodyPr/>
        <a:lstStyle/>
        <a:p>
          <a:endParaRPr lang="en-AU"/>
        </a:p>
      </dgm:t>
    </dgm:pt>
    <dgm:pt modelId="{E7F611FC-ACEF-4838-AE65-20A0C2D1B78A}" type="pres">
      <dgm:prSet presAssocID="{5DD3B044-0F7B-49E5-B4E5-FF7B8A025298}" presName="rootConnector" presStyleLbl="node4" presStyleIdx="6" presStyleCnt="7"/>
      <dgm:spPr/>
      <dgm:t>
        <a:bodyPr/>
        <a:lstStyle/>
        <a:p>
          <a:endParaRPr lang="en-AU"/>
        </a:p>
      </dgm:t>
    </dgm:pt>
    <dgm:pt modelId="{4F493DC0-4F0A-455E-838E-B8A31441470F}" type="pres">
      <dgm:prSet presAssocID="{5DD3B044-0F7B-49E5-B4E5-FF7B8A025298}" presName="hierChild4" presStyleCnt="0"/>
      <dgm:spPr/>
    </dgm:pt>
    <dgm:pt modelId="{0A5A0A35-F91B-433A-A90B-935DD2A46544}" type="pres">
      <dgm:prSet presAssocID="{5DD3B044-0F7B-49E5-B4E5-FF7B8A025298}" presName="hierChild5" presStyleCnt="0"/>
      <dgm:spPr/>
    </dgm:pt>
    <dgm:pt modelId="{E1910D9F-0BB2-4E22-954E-70E821A8B32E}" type="pres">
      <dgm:prSet presAssocID="{B55F0D20-22B4-4167-B244-0462A55BFB28}" presName="hierChild5" presStyleCnt="0"/>
      <dgm:spPr/>
    </dgm:pt>
    <dgm:pt modelId="{00EF5A09-C70B-4356-A421-6254F6F4E682}" type="pres">
      <dgm:prSet presAssocID="{5638EB3A-E10D-4DC2-9CEB-E783E6E57B46}" presName="hierChild5" presStyleCnt="0"/>
      <dgm:spPr/>
    </dgm:pt>
    <dgm:pt modelId="{E3F2A7BB-CDC3-4827-B881-BEABD9742634}" type="pres">
      <dgm:prSet presAssocID="{FEB7618C-1D8D-4156-B479-2FA028193E95}" presName="hierChild5" presStyleCnt="0"/>
      <dgm:spPr/>
    </dgm:pt>
    <dgm:pt modelId="{B10057B8-579C-4670-8C34-A6CE1ADB335D}" type="pres">
      <dgm:prSet presAssocID="{C422C568-4AD8-402B-9651-2EE2B5255795}" presName="hierChild5" presStyleCnt="0"/>
      <dgm:spPr/>
    </dgm:pt>
    <dgm:pt modelId="{5BB23220-B574-4248-BC71-ED6D9FA6C9A0}" type="pres">
      <dgm:prSet presAssocID="{B97A9FBA-FA7D-4A93-A878-E21DA8AE4DEC}" presName="hierChild3" presStyleCnt="0"/>
      <dgm:spPr/>
    </dgm:pt>
  </dgm:ptLst>
  <dgm:cxnLst>
    <dgm:cxn modelId="{88A6F955-A963-4A58-88D5-10AFA66889F4}" type="presOf" srcId="{0020E595-FD9D-4C87-A610-4B7B1C1AD4ED}" destId="{30B15329-9DB6-42B5-8C45-0319306888A7}" srcOrd="1" destOrd="0" presId="urn:microsoft.com/office/officeart/2005/8/layout/orgChart1"/>
    <dgm:cxn modelId="{24670C2C-E5EC-4D32-BF66-8D427CD7F273}" type="presOf" srcId="{58958DED-753A-4380-9870-192235C0DEA7}" destId="{7955D21D-C3FD-4ECE-A7E1-0A860B5DA496}" srcOrd="0" destOrd="0" presId="urn:microsoft.com/office/officeart/2005/8/layout/orgChart1"/>
    <dgm:cxn modelId="{BA84A03F-D82A-4CB4-ACBE-8B9A80438609}" type="presOf" srcId="{957FE5F7-1B5B-4311-8E6C-6F0E064C9C9B}" destId="{C60EAC02-208B-4145-A2ED-F1FAEAB911E9}" srcOrd="0" destOrd="0" presId="urn:microsoft.com/office/officeart/2005/8/layout/orgChart1"/>
    <dgm:cxn modelId="{123CA2F5-0A2A-42B7-A58A-270DF749E01A}" type="presOf" srcId="{FEB7618C-1D8D-4156-B479-2FA028193E95}" destId="{2926DDD4-7982-4630-B80D-0D4538E153C5}" srcOrd="1" destOrd="0" presId="urn:microsoft.com/office/officeart/2005/8/layout/orgChart1"/>
    <dgm:cxn modelId="{F98D1EA6-478A-4567-B87E-102DDB7D6A35}" type="presOf" srcId="{957FE5F7-1B5B-4311-8E6C-6F0E064C9C9B}" destId="{896292B3-19C3-45A6-A523-9508D9C34B23}" srcOrd="1" destOrd="0" presId="urn:microsoft.com/office/officeart/2005/8/layout/orgChart1"/>
    <dgm:cxn modelId="{EB3BD413-6A94-4F65-9EC3-3CEFB0CC72F1}" type="presOf" srcId="{2C7F12A8-7123-43A7-802F-3AFC65FC5B48}" destId="{104F9525-2775-4715-BDFC-9FDDFD40F05D}" srcOrd="0" destOrd="0" presId="urn:microsoft.com/office/officeart/2005/8/layout/orgChart1"/>
    <dgm:cxn modelId="{21143AFE-12A7-4932-987B-D2007AFC5E08}" type="presOf" srcId="{E381C5A9-9942-48DA-8BBD-4576DACC8331}" destId="{36200B48-C62D-47B8-8687-4687343388EA}" srcOrd="0" destOrd="0" presId="urn:microsoft.com/office/officeart/2005/8/layout/orgChart1"/>
    <dgm:cxn modelId="{954B1539-E7D8-4757-9E65-3698723E6AD1}" srcId="{0020E595-FD9D-4C87-A610-4B7B1C1AD4ED}" destId="{72F3AC33-3A04-4BA9-9CBD-283B80F7B94B}" srcOrd="0" destOrd="0" parTransId="{2140BFFA-6E2F-40E2-83B6-3B34CE97D07B}" sibTransId="{A2E40957-FE2C-438C-9128-088A98971859}"/>
    <dgm:cxn modelId="{B510CB1B-30BF-432F-93B1-91EA7B9C4CD6}" type="presOf" srcId="{FEB7618C-1D8D-4156-B479-2FA028193E95}" destId="{E3D104B2-15F2-40A4-B971-25BD7D85B68B}" srcOrd="0" destOrd="0" presId="urn:microsoft.com/office/officeart/2005/8/layout/orgChart1"/>
    <dgm:cxn modelId="{711ED1D3-223D-4407-B26A-C52973FBDB3E}" type="presOf" srcId="{5DD3B044-0F7B-49E5-B4E5-FF7B8A025298}" destId="{E7F611FC-ACEF-4838-AE65-20A0C2D1B78A}" srcOrd="1" destOrd="0" presId="urn:microsoft.com/office/officeart/2005/8/layout/orgChart1"/>
    <dgm:cxn modelId="{928AA7C3-4728-41EB-93E1-E7B338BE46F4}" type="presOf" srcId="{72F3AC33-3A04-4BA9-9CBD-283B80F7B94B}" destId="{BAA0CE9F-99C7-4DBE-9953-E755B68F7A34}" srcOrd="0" destOrd="0" presId="urn:microsoft.com/office/officeart/2005/8/layout/orgChart1"/>
    <dgm:cxn modelId="{30FF5C21-ED5D-4E3D-9163-47BB753009B5}" type="presOf" srcId="{3170ADDE-EFBD-4238-9A32-C622723B6FEB}" destId="{98681D89-FB4B-427C-B735-07CD855061CF}" srcOrd="0" destOrd="0" presId="urn:microsoft.com/office/officeart/2005/8/layout/orgChart1"/>
    <dgm:cxn modelId="{D86502B6-0704-44B5-A4E2-C23E868E5831}" type="presOf" srcId="{B97A9FBA-FA7D-4A93-A878-E21DA8AE4DEC}" destId="{5AA91804-2FFE-4912-BE8E-BDD1DF06F32B}" srcOrd="0" destOrd="0" presId="urn:microsoft.com/office/officeart/2005/8/layout/orgChart1"/>
    <dgm:cxn modelId="{D2C71342-C058-46A0-9312-52FC69A9CEE0}" type="presOf" srcId="{DB4F192E-7014-4774-8F3F-0A00FF5F2EB6}" destId="{A22963E8-2860-4E95-BD4C-EB92774EC22A}" srcOrd="0" destOrd="0" presId="urn:microsoft.com/office/officeart/2005/8/layout/orgChart1"/>
    <dgm:cxn modelId="{4FDEC425-8770-4255-8278-142DA6516D33}" type="presOf" srcId="{E381C5A9-9942-48DA-8BBD-4576DACC8331}" destId="{35918633-7427-479C-B960-F54C3A06CB38}" srcOrd="1" destOrd="0" presId="urn:microsoft.com/office/officeart/2005/8/layout/orgChart1"/>
    <dgm:cxn modelId="{0C3EF382-87F8-4A64-A8DD-3AE646743192}" srcId="{C422C568-4AD8-402B-9651-2EE2B5255795}" destId="{FEB7618C-1D8D-4156-B479-2FA028193E95}" srcOrd="0" destOrd="0" parTransId="{65A2F44B-E18F-4A4B-B197-2EFFA74C5203}" sibTransId="{651CE727-E13A-4B76-BBE1-2441174406A0}"/>
    <dgm:cxn modelId="{4411E07D-83A9-4381-91B6-14701EC0E69E}" type="presOf" srcId="{2140BFFA-6E2F-40E2-83B6-3B34CE97D07B}" destId="{64B7BA55-41D1-4494-BFB3-D9B17F3141A1}" srcOrd="0" destOrd="0" presId="urn:microsoft.com/office/officeart/2005/8/layout/orgChart1"/>
    <dgm:cxn modelId="{691D2653-21F1-4CB4-966D-2178D9DBD955}" type="presOf" srcId="{5DD3B044-0F7B-49E5-B4E5-FF7B8A025298}" destId="{ABA2C189-5A58-4D01-A279-6334CD5C9739}" srcOrd="0" destOrd="0" presId="urn:microsoft.com/office/officeart/2005/8/layout/orgChart1"/>
    <dgm:cxn modelId="{8BA98117-FB76-40F4-8D99-736F597390BE}" type="presOf" srcId="{0020E595-FD9D-4C87-A610-4B7B1C1AD4ED}" destId="{843D169E-9771-49E5-A98C-FEDA4CB5D173}" srcOrd="0" destOrd="0" presId="urn:microsoft.com/office/officeart/2005/8/layout/orgChart1"/>
    <dgm:cxn modelId="{C4988BB8-C317-4337-AE69-2F3A8496A877}" type="presOf" srcId="{7AA4F725-B134-4090-892C-95328E0AF395}" destId="{EB9C75E8-1A8B-4EED-868F-86818237E37C}" srcOrd="0" destOrd="0" presId="urn:microsoft.com/office/officeart/2005/8/layout/orgChart1"/>
    <dgm:cxn modelId="{0F587057-E416-406A-AC13-AB426A4CBF40}" type="presOf" srcId="{C422C568-4AD8-402B-9651-2EE2B5255795}" destId="{8AB7012C-DFE4-4F6B-8636-D2BBA1D6690C}" srcOrd="0" destOrd="0" presId="urn:microsoft.com/office/officeart/2005/8/layout/orgChart1"/>
    <dgm:cxn modelId="{DDDD45C3-94BA-40C5-9AC3-20019521F5CB}" type="presOf" srcId="{65A2F44B-E18F-4A4B-B197-2EFFA74C5203}" destId="{97F43F28-4D55-44CD-9DAF-763A31FB4C13}" srcOrd="0" destOrd="0" presId="urn:microsoft.com/office/officeart/2005/8/layout/orgChart1"/>
    <dgm:cxn modelId="{13BED12B-643B-4240-8D13-C9B185E4A372}" type="presOf" srcId="{5638EB3A-E10D-4DC2-9CEB-E783E6E57B46}" destId="{A95E4006-29B4-4081-A3BA-61D3A5C921FA}" srcOrd="0" destOrd="0" presId="urn:microsoft.com/office/officeart/2005/8/layout/orgChart1"/>
    <dgm:cxn modelId="{0C8C9F46-05A8-4638-8F8A-B60FD12CF9A6}" srcId="{FEB7618C-1D8D-4156-B479-2FA028193E95}" destId="{5638EB3A-E10D-4DC2-9CEB-E783E6E57B46}" srcOrd="0" destOrd="0" parTransId="{B946E730-7F26-43FE-BBB9-9064A50E7B33}" sibTransId="{C5247B70-195E-47F0-8495-432CCCEBD563}"/>
    <dgm:cxn modelId="{F4FA502F-A4D8-468E-A9FA-C2D0AF6581A9}" srcId="{B55F0D20-22B4-4167-B244-0462A55BFB28}" destId="{5DD3B044-0F7B-49E5-B4E5-FF7B8A025298}" srcOrd="0" destOrd="0" parTransId="{ACD37B8A-9042-4408-BF02-B997DF4CCA61}" sibTransId="{B9FB55AF-3DE2-4513-B5DE-6D409915FC61}"/>
    <dgm:cxn modelId="{0FCE0CFB-9B11-4167-823D-639647D4096C}" type="presOf" srcId="{B05B92DD-1E45-47C0-A5E9-78BE16159C94}" destId="{1595C4FD-501F-4822-BE17-F4A90D3B7806}" srcOrd="0" destOrd="0" presId="urn:microsoft.com/office/officeart/2005/8/layout/orgChart1"/>
    <dgm:cxn modelId="{E649358B-C05E-4864-AD96-C2B66CC39A35}" type="presOf" srcId="{B946E730-7F26-43FE-BBB9-9064A50E7B33}" destId="{575A82E2-2368-464C-90FC-50729A22DBA4}" srcOrd="0" destOrd="0" presId="urn:microsoft.com/office/officeart/2005/8/layout/orgChart1"/>
    <dgm:cxn modelId="{5E9F094F-3986-4B3D-AF27-AE2B79E374C8}" srcId="{5638EB3A-E10D-4DC2-9CEB-E783E6E57B46}" destId="{0020E595-FD9D-4C87-A610-4B7B1C1AD4ED}" srcOrd="0" destOrd="0" parTransId="{DB4F192E-7014-4774-8F3F-0A00FF5F2EB6}" sibTransId="{18BED354-90F3-4546-B61E-9B3ED57E6ACF}"/>
    <dgm:cxn modelId="{B7CACA0D-036F-4EA8-ACEE-3A798DC794F1}" srcId="{B97A9FBA-FA7D-4A93-A878-E21DA8AE4DEC}" destId="{C422C568-4AD8-402B-9651-2EE2B5255795}" srcOrd="0" destOrd="0" parTransId="{7AA4F725-B134-4090-892C-95328E0AF395}" sibTransId="{3D0F5EB9-3CAC-43AF-A9AA-96573076B88D}"/>
    <dgm:cxn modelId="{49794DA3-08F5-4F35-9A32-4D970E74901B}" srcId="{E381C5A9-9942-48DA-8BBD-4576DACC8331}" destId="{957FE5F7-1B5B-4311-8E6C-6F0E064C9C9B}" srcOrd="0" destOrd="0" parTransId="{2C7F12A8-7123-43A7-802F-3AFC65FC5B48}" sibTransId="{B560A225-AC0C-413D-B60C-A036A1A10115}"/>
    <dgm:cxn modelId="{5D79EB3C-25D6-4388-99AD-95E8826B4FC1}" srcId="{5638EB3A-E10D-4DC2-9CEB-E783E6E57B46}" destId="{B55F0D20-22B4-4167-B244-0462A55BFB28}" srcOrd="2" destOrd="0" parTransId="{58958DED-753A-4380-9870-192235C0DEA7}" sibTransId="{E2A67158-E2E3-4B71-8958-59FC1CD3CEF0}"/>
    <dgm:cxn modelId="{977B92F2-20E7-44FF-A9F7-C6074CAD6951}" type="presOf" srcId="{B97A9FBA-FA7D-4A93-A878-E21DA8AE4DEC}" destId="{D3DFB0F3-B859-4B11-94D5-609766828DE1}" srcOrd="1" destOrd="0" presId="urn:microsoft.com/office/officeart/2005/8/layout/orgChart1"/>
    <dgm:cxn modelId="{4FACFFC6-BD6F-4D83-B027-3CFED0CB14A6}" type="presOf" srcId="{B55F0D20-22B4-4167-B244-0462A55BFB28}" destId="{A87FE013-CCA7-42E6-BE97-31727F746167}" srcOrd="0" destOrd="0" presId="urn:microsoft.com/office/officeart/2005/8/layout/orgChart1"/>
    <dgm:cxn modelId="{64906D01-AC3A-4A1B-B7AE-B40E4697613A}" srcId="{5638EB3A-E10D-4DC2-9CEB-E783E6E57B46}" destId="{E381C5A9-9942-48DA-8BBD-4576DACC8331}" srcOrd="1" destOrd="0" parTransId="{3170ADDE-EFBD-4238-9A32-C622723B6FEB}" sibTransId="{3E1A0445-35F5-414E-AF38-67E514CB410A}"/>
    <dgm:cxn modelId="{3C1FE697-457E-436A-AAAC-79AEA796C93F}" type="presOf" srcId="{B55F0D20-22B4-4167-B244-0462A55BFB28}" destId="{63BFA261-8714-4DC9-9460-3C6A55BB9580}" srcOrd="1" destOrd="0" presId="urn:microsoft.com/office/officeart/2005/8/layout/orgChart1"/>
    <dgm:cxn modelId="{7383CFB7-352C-4A22-B1DD-5A732DEF6B7F}" type="presOf" srcId="{72F3AC33-3A04-4BA9-9CBD-283B80F7B94B}" destId="{0A5229DC-CE53-4E10-A3B5-A8642C6E113A}" srcOrd="1" destOrd="0" presId="urn:microsoft.com/office/officeart/2005/8/layout/orgChart1"/>
    <dgm:cxn modelId="{FA9E1674-8EF5-411C-972A-47223B800EA8}" srcId="{B05B92DD-1E45-47C0-A5E9-78BE16159C94}" destId="{B97A9FBA-FA7D-4A93-A878-E21DA8AE4DEC}" srcOrd="0" destOrd="0" parTransId="{F59DDDC7-2875-4FE6-A38F-12A5569515C8}" sibTransId="{FB4F67B9-FADA-43F8-B83C-7135EBFD9908}"/>
    <dgm:cxn modelId="{8A5A2CAB-B65D-4324-808F-F05F12C7083E}" type="presOf" srcId="{5638EB3A-E10D-4DC2-9CEB-E783E6E57B46}" destId="{20D1F8D4-A6F2-4132-B518-D1017F8EC555}" srcOrd="1" destOrd="0" presId="urn:microsoft.com/office/officeart/2005/8/layout/orgChart1"/>
    <dgm:cxn modelId="{9DE6B84D-71A3-4AC8-8988-69D42812D315}" type="presOf" srcId="{ACD37B8A-9042-4408-BF02-B997DF4CCA61}" destId="{568C7A22-CDAE-49CC-B4B2-B6B3C9EC3973}" srcOrd="0" destOrd="0" presId="urn:microsoft.com/office/officeart/2005/8/layout/orgChart1"/>
    <dgm:cxn modelId="{B7525B04-2A9B-497D-96AC-C98D972031E0}" type="presOf" srcId="{C422C568-4AD8-402B-9651-2EE2B5255795}" destId="{65B2EF36-956D-4EA1-9B57-3717A6CA5C3F}" srcOrd="1" destOrd="0" presId="urn:microsoft.com/office/officeart/2005/8/layout/orgChart1"/>
    <dgm:cxn modelId="{B755D247-2F04-49CB-BEEA-AC4165F26833}" type="presParOf" srcId="{1595C4FD-501F-4822-BE17-F4A90D3B7806}" destId="{83B38F98-2218-4ABC-9B0A-E80A1AA93176}" srcOrd="0" destOrd="0" presId="urn:microsoft.com/office/officeart/2005/8/layout/orgChart1"/>
    <dgm:cxn modelId="{2024CB63-19EF-456B-A394-4443F3889F87}" type="presParOf" srcId="{83B38F98-2218-4ABC-9B0A-E80A1AA93176}" destId="{5F64933D-36F8-4A34-AEFA-52B206860EBE}" srcOrd="0" destOrd="0" presId="urn:microsoft.com/office/officeart/2005/8/layout/orgChart1"/>
    <dgm:cxn modelId="{3D1439AC-BC7D-4F6F-B180-8299A253D5F1}" type="presParOf" srcId="{5F64933D-36F8-4A34-AEFA-52B206860EBE}" destId="{5AA91804-2FFE-4912-BE8E-BDD1DF06F32B}" srcOrd="0" destOrd="0" presId="urn:microsoft.com/office/officeart/2005/8/layout/orgChart1"/>
    <dgm:cxn modelId="{F6C3E699-243D-48BD-B4E7-C592985F3E3E}" type="presParOf" srcId="{5F64933D-36F8-4A34-AEFA-52B206860EBE}" destId="{D3DFB0F3-B859-4B11-94D5-609766828DE1}" srcOrd="1" destOrd="0" presId="urn:microsoft.com/office/officeart/2005/8/layout/orgChart1"/>
    <dgm:cxn modelId="{BF24DB64-8997-4E04-A3E2-6138B5E61F65}" type="presParOf" srcId="{83B38F98-2218-4ABC-9B0A-E80A1AA93176}" destId="{FD1B96CE-97DA-48EA-A5B0-CB6B6C7CB517}" srcOrd="1" destOrd="0" presId="urn:microsoft.com/office/officeart/2005/8/layout/orgChart1"/>
    <dgm:cxn modelId="{063A538A-64C5-4B2E-A205-40B225B17BB4}" type="presParOf" srcId="{FD1B96CE-97DA-48EA-A5B0-CB6B6C7CB517}" destId="{EB9C75E8-1A8B-4EED-868F-86818237E37C}" srcOrd="0" destOrd="0" presId="urn:microsoft.com/office/officeart/2005/8/layout/orgChart1"/>
    <dgm:cxn modelId="{8FB2585F-5D49-45E6-A1E9-1B1CDEE8F320}" type="presParOf" srcId="{FD1B96CE-97DA-48EA-A5B0-CB6B6C7CB517}" destId="{DC7A6715-B2D3-4F71-8838-58A4A03EB611}" srcOrd="1" destOrd="0" presId="urn:microsoft.com/office/officeart/2005/8/layout/orgChart1"/>
    <dgm:cxn modelId="{4AD7D6FE-29D2-4744-9EF8-CBC4D6AE649F}" type="presParOf" srcId="{DC7A6715-B2D3-4F71-8838-58A4A03EB611}" destId="{2E3FA715-6517-4023-9B7F-E4279CE85E60}" srcOrd="0" destOrd="0" presId="urn:microsoft.com/office/officeart/2005/8/layout/orgChart1"/>
    <dgm:cxn modelId="{8DEFB0A5-EF4E-4AA0-895B-130866090BEC}" type="presParOf" srcId="{2E3FA715-6517-4023-9B7F-E4279CE85E60}" destId="{8AB7012C-DFE4-4F6B-8636-D2BBA1D6690C}" srcOrd="0" destOrd="0" presId="urn:microsoft.com/office/officeart/2005/8/layout/orgChart1"/>
    <dgm:cxn modelId="{87AE5709-9B31-41B9-BE4B-799909754961}" type="presParOf" srcId="{2E3FA715-6517-4023-9B7F-E4279CE85E60}" destId="{65B2EF36-956D-4EA1-9B57-3717A6CA5C3F}" srcOrd="1" destOrd="0" presId="urn:microsoft.com/office/officeart/2005/8/layout/orgChart1"/>
    <dgm:cxn modelId="{BFFD66D5-B122-4B2B-8806-3D2253CD0015}" type="presParOf" srcId="{DC7A6715-B2D3-4F71-8838-58A4A03EB611}" destId="{45D0DC8E-DE50-4CC7-843B-CB7F189BEDEC}" srcOrd="1" destOrd="0" presId="urn:microsoft.com/office/officeart/2005/8/layout/orgChart1"/>
    <dgm:cxn modelId="{DCACEA0D-2432-4945-ADE5-19834F9FF4D5}" type="presParOf" srcId="{45D0DC8E-DE50-4CC7-843B-CB7F189BEDEC}" destId="{97F43F28-4D55-44CD-9DAF-763A31FB4C13}" srcOrd="0" destOrd="0" presId="urn:microsoft.com/office/officeart/2005/8/layout/orgChart1"/>
    <dgm:cxn modelId="{334E035C-9E91-4B2F-96B6-A88C506C9F1A}" type="presParOf" srcId="{45D0DC8E-DE50-4CC7-843B-CB7F189BEDEC}" destId="{B32C346F-9326-47A5-8E71-BC3BA38DF1C8}" srcOrd="1" destOrd="0" presId="urn:microsoft.com/office/officeart/2005/8/layout/orgChart1"/>
    <dgm:cxn modelId="{8536A7BE-6A72-45BD-A5C6-F96153F0055B}" type="presParOf" srcId="{B32C346F-9326-47A5-8E71-BC3BA38DF1C8}" destId="{0536227D-55A1-4838-B5F0-6F0A405B90D8}" srcOrd="0" destOrd="0" presId="urn:microsoft.com/office/officeart/2005/8/layout/orgChart1"/>
    <dgm:cxn modelId="{3FD9CD8A-D27B-4C67-A0E7-9470FC1475EC}" type="presParOf" srcId="{0536227D-55A1-4838-B5F0-6F0A405B90D8}" destId="{E3D104B2-15F2-40A4-B971-25BD7D85B68B}" srcOrd="0" destOrd="0" presId="urn:microsoft.com/office/officeart/2005/8/layout/orgChart1"/>
    <dgm:cxn modelId="{92D8AAF2-4E96-4E1E-A386-C7F9FD221FF3}" type="presParOf" srcId="{0536227D-55A1-4838-B5F0-6F0A405B90D8}" destId="{2926DDD4-7982-4630-B80D-0D4538E153C5}" srcOrd="1" destOrd="0" presId="urn:microsoft.com/office/officeart/2005/8/layout/orgChart1"/>
    <dgm:cxn modelId="{2DEBED36-E3BB-49A0-9D29-33AD52ACEC8C}" type="presParOf" srcId="{B32C346F-9326-47A5-8E71-BC3BA38DF1C8}" destId="{AD4E0EE7-37A1-41F2-8DF8-542BC692DEA6}" srcOrd="1" destOrd="0" presId="urn:microsoft.com/office/officeart/2005/8/layout/orgChart1"/>
    <dgm:cxn modelId="{0EE6C091-37EC-40B4-9ACF-85E4E9B93E4D}" type="presParOf" srcId="{AD4E0EE7-37A1-41F2-8DF8-542BC692DEA6}" destId="{575A82E2-2368-464C-90FC-50729A22DBA4}" srcOrd="0" destOrd="0" presId="urn:microsoft.com/office/officeart/2005/8/layout/orgChart1"/>
    <dgm:cxn modelId="{F03F70D3-90F0-4ABA-BFBA-6721A94885F1}" type="presParOf" srcId="{AD4E0EE7-37A1-41F2-8DF8-542BC692DEA6}" destId="{8BEEE777-1164-4B22-AD1F-6DAD3C6E0BAA}" srcOrd="1" destOrd="0" presId="urn:microsoft.com/office/officeart/2005/8/layout/orgChart1"/>
    <dgm:cxn modelId="{49A6F0B6-8066-4B89-9D6D-DA43D7B2004E}" type="presParOf" srcId="{8BEEE777-1164-4B22-AD1F-6DAD3C6E0BAA}" destId="{2553D069-DBDD-4669-93DA-3A674609480B}" srcOrd="0" destOrd="0" presId="urn:microsoft.com/office/officeart/2005/8/layout/orgChart1"/>
    <dgm:cxn modelId="{168D9BC9-035F-4A8C-A3E1-FAE9FE5535A3}" type="presParOf" srcId="{2553D069-DBDD-4669-93DA-3A674609480B}" destId="{A95E4006-29B4-4081-A3BA-61D3A5C921FA}" srcOrd="0" destOrd="0" presId="urn:microsoft.com/office/officeart/2005/8/layout/orgChart1"/>
    <dgm:cxn modelId="{1A4C269E-5324-442A-BE3F-5D53959FFD9C}" type="presParOf" srcId="{2553D069-DBDD-4669-93DA-3A674609480B}" destId="{20D1F8D4-A6F2-4132-B518-D1017F8EC555}" srcOrd="1" destOrd="0" presId="urn:microsoft.com/office/officeart/2005/8/layout/orgChart1"/>
    <dgm:cxn modelId="{D19044A4-FA5C-4CAC-8F7E-0F7C336B1A10}" type="presParOf" srcId="{8BEEE777-1164-4B22-AD1F-6DAD3C6E0BAA}" destId="{9FD564D9-110A-4E45-B96B-52C79F2B0591}" srcOrd="1" destOrd="0" presId="urn:microsoft.com/office/officeart/2005/8/layout/orgChart1"/>
    <dgm:cxn modelId="{537963EF-3914-412B-A61B-60F07592F6F5}" type="presParOf" srcId="{9FD564D9-110A-4E45-B96B-52C79F2B0591}" destId="{A22963E8-2860-4E95-BD4C-EB92774EC22A}" srcOrd="0" destOrd="0" presId="urn:microsoft.com/office/officeart/2005/8/layout/orgChart1"/>
    <dgm:cxn modelId="{0A4FFB8C-B00F-4935-BBFA-F067991C176F}" type="presParOf" srcId="{9FD564D9-110A-4E45-B96B-52C79F2B0591}" destId="{FBF30385-0B84-427C-BF8F-29361D221E13}" srcOrd="1" destOrd="0" presId="urn:microsoft.com/office/officeart/2005/8/layout/orgChart1"/>
    <dgm:cxn modelId="{B0737011-2B27-4CD2-BA6F-E58501498985}" type="presParOf" srcId="{FBF30385-0B84-427C-BF8F-29361D221E13}" destId="{EAA57146-9B28-4E22-801E-7B4DF79382F6}" srcOrd="0" destOrd="0" presId="urn:microsoft.com/office/officeart/2005/8/layout/orgChart1"/>
    <dgm:cxn modelId="{65B66C11-5286-4257-AF8A-4803922DE9B4}" type="presParOf" srcId="{EAA57146-9B28-4E22-801E-7B4DF79382F6}" destId="{843D169E-9771-49E5-A98C-FEDA4CB5D173}" srcOrd="0" destOrd="0" presId="urn:microsoft.com/office/officeart/2005/8/layout/orgChart1"/>
    <dgm:cxn modelId="{BCF1360F-C462-47A4-B445-6A7EA02B1AAA}" type="presParOf" srcId="{EAA57146-9B28-4E22-801E-7B4DF79382F6}" destId="{30B15329-9DB6-42B5-8C45-0319306888A7}" srcOrd="1" destOrd="0" presId="urn:microsoft.com/office/officeart/2005/8/layout/orgChart1"/>
    <dgm:cxn modelId="{86CA54A5-A8E8-43AD-BE7E-E9ABCD053EE1}" type="presParOf" srcId="{FBF30385-0B84-427C-BF8F-29361D221E13}" destId="{1830A6B8-A925-4415-9E6C-311562DF3856}" srcOrd="1" destOrd="0" presId="urn:microsoft.com/office/officeart/2005/8/layout/orgChart1"/>
    <dgm:cxn modelId="{64B794DF-B50C-4B2A-B539-048588DE35E9}" type="presParOf" srcId="{1830A6B8-A925-4415-9E6C-311562DF3856}" destId="{64B7BA55-41D1-4494-BFB3-D9B17F3141A1}" srcOrd="0" destOrd="0" presId="urn:microsoft.com/office/officeart/2005/8/layout/orgChart1"/>
    <dgm:cxn modelId="{339CB09E-A50F-4E38-9401-5FBD43E9540F}" type="presParOf" srcId="{1830A6B8-A925-4415-9E6C-311562DF3856}" destId="{29F32B03-4AE6-4089-B0A0-C40456FCAD4D}" srcOrd="1" destOrd="0" presId="urn:microsoft.com/office/officeart/2005/8/layout/orgChart1"/>
    <dgm:cxn modelId="{2D36C031-D871-45DD-9965-87ABF0F9D605}" type="presParOf" srcId="{29F32B03-4AE6-4089-B0A0-C40456FCAD4D}" destId="{C1F1439F-40E8-4E92-8D49-AD35978649F8}" srcOrd="0" destOrd="0" presId="urn:microsoft.com/office/officeart/2005/8/layout/orgChart1"/>
    <dgm:cxn modelId="{984B6683-5F67-441F-BB46-C879E4949DF8}" type="presParOf" srcId="{C1F1439F-40E8-4E92-8D49-AD35978649F8}" destId="{BAA0CE9F-99C7-4DBE-9953-E755B68F7A34}" srcOrd="0" destOrd="0" presId="urn:microsoft.com/office/officeart/2005/8/layout/orgChart1"/>
    <dgm:cxn modelId="{2077BEA5-FEBF-410F-A20B-3D494E495CD5}" type="presParOf" srcId="{C1F1439F-40E8-4E92-8D49-AD35978649F8}" destId="{0A5229DC-CE53-4E10-A3B5-A8642C6E113A}" srcOrd="1" destOrd="0" presId="urn:microsoft.com/office/officeart/2005/8/layout/orgChart1"/>
    <dgm:cxn modelId="{B946AB60-05F4-42EC-A048-0B4086AD37E2}" type="presParOf" srcId="{29F32B03-4AE6-4089-B0A0-C40456FCAD4D}" destId="{81848F1B-65E1-4912-8214-474D6E4C15A5}" srcOrd="1" destOrd="0" presId="urn:microsoft.com/office/officeart/2005/8/layout/orgChart1"/>
    <dgm:cxn modelId="{94AA0A58-FADB-46A8-9304-B7425593542F}" type="presParOf" srcId="{29F32B03-4AE6-4089-B0A0-C40456FCAD4D}" destId="{3AD34110-3C00-4990-B8BD-0FA8513810BF}" srcOrd="2" destOrd="0" presId="urn:microsoft.com/office/officeart/2005/8/layout/orgChart1"/>
    <dgm:cxn modelId="{C989DADD-8EB2-41F6-AE0E-405E6982781C}" type="presParOf" srcId="{FBF30385-0B84-427C-BF8F-29361D221E13}" destId="{2D4B610E-FB2B-4AA7-9A15-24DB900F2025}" srcOrd="2" destOrd="0" presId="urn:microsoft.com/office/officeart/2005/8/layout/orgChart1"/>
    <dgm:cxn modelId="{97328512-2AE8-4816-9DDB-A1DB35E91BAB}" type="presParOf" srcId="{9FD564D9-110A-4E45-B96B-52C79F2B0591}" destId="{98681D89-FB4B-427C-B735-07CD855061CF}" srcOrd="2" destOrd="0" presId="urn:microsoft.com/office/officeart/2005/8/layout/orgChart1"/>
    <dgm:cxn modelId="{60BC8689-3EE8-49ED-880D-968464D6BB71}" type="presParOf" srcId="{9FD564D9-110A-4E45-B96B-52C79F2B0591}" destId="{B9570C90-AEE7-4670-952F-F549DAEEACAB}" srcOrd="3" destOrd="0" presId="urn:microsoft.com/office/officeart/2005/8/layout/orgChart1"/>
    <dgm:cxn modelId="{0344FFC0-0981-44CF-819C-C82C20A9B442}" type="presParOf" srcId="{B9570C90-AEE7-4670-952F-F549DAEEACAB}" destId="{BA63E459-4E23-4B5D-A3D1-E41B08753DA0}" srcOrd="0" destOrd="0" presId="urn:microsoft.com/office/officeart/2005/8/layout/orgChart1"/>
    <dgm:cxn modelId="{FC3ED60A-74E9-4F7F-B36F-BB933D45FE8B}" type="presParOf" srcId="{BA63E459-4E23-4B5D-A3D1-E41B08753DA0}" destId="{36200B48-C62D-47B8-8687-4687343388EA}" srcOrd="0" destOrd="0" presId="urn:microsoft.com/office/officeart/2005/8/layout/orgChart1"/>
    <dgm:cxn modelId="{6DB0FB7C-B6F8-41C5-9F45-AD80DFCD74F4}" type="presParOf" srcId="{BA63E459-4E23-4B5D-A3D1-E41B08753DA0}" destId="{35918633-7427-479C-B960-F54C3A06CB38}" srcOrd="1" destOrd="0" presId="urn:microsoft.com/office/officeart/2005/8/layout/orgChart1"/>
    <dgm:cxn modelId="{C129931E-5A5C-40F3-AA1D-64AE144B4BA3}" type="presParOf" srcId="{B9570C90-AEE7-4670-952F-F549DAEEACAB}" destId="{2C6B988E-12D9-4FE1-A963-9155B414702E}" srcOrd="1" destOrd="0" presId="urn:microsoft.com/office/officeart/2005/8/layout/orgChart1"/>
    <dgm:cxn modelId="{2BD20B10-A228-49F6-BA83-AF9D9BBCB8E9}" type="presParOf" srcId="{2C6B988E-12D9-4FE1-A963-9155B414702E}" destId="{104F9525-2775-4715-BDFC-9FDDFD40F05D}" srcOrd="0" destOrd="0" presId="urn:microsoft.com/office/officeart/2005/8/layout/orgChart1"/>
    <dgm:cxn modelId="{2354A86A-13D2-48AC-9CCD-6EE8765E70F4}" type="presParOf" srcId="{2C6B988E-12D9-4FE1-A963-9155B414702E}" destId="{59DB6B68-4301-4D41-BEEB-A9EFD50115DF}" srcOrd="1" destOrd="0" presId="urn:microsoft.com/office/officeart/2005/8/layout/orgChart1"/>
    <dgm:cxn modelId="{8B19FCC1-688D-4BD9-AA04-3502C83319E0}" type="presParOf" srcId="{59DB6B68-4301-4D41-BEEB-A9EFD50115DF}" destId="{D11E3B6D-294A-4B04-9BC8-F67A4DACC603}" srcOrd="0" destOrd="0" presId="urn:microsoft.com/office/officeart/2005/8/layout/orgChart1"/>
    <dgm:cxn modelId="{3B2B255C-D7D9-4F9C-9900-5A0CCFC0BC28}" type="presParOf" srcId="{D11E3B6D-294A-4B04-9BC8-F67A4DACC603}" destId="{C60EAC02-208B-4145-A2ED-F1FAEAB911E9}" srcOrd="0" destOrd="0" presId="urn:microsoft.com/office/officeart/2005/8/layout/orgChart1"/>
    <dgm:cxn modelId="{AF78A81D-0F11-4CA8-B85C-586D1E08B282}" type="presParOf" srcId="{D11E3B6D-294A-4B04-9BC8-F67A4DACC603}" destId="{896292B3-19C3-45A6-A523-9508D9C34B23}" srcOrd="1" destOrd="0" presId="urn:microsoft.com/office/officeart/2005/8/layout/orgChart1"/>
    <dgm:cxn modelId="{C95F27B4-FDC5-4C70-AC3E-535949F8BD3F}" type="presParOf" srcId="{59DB6B68-4301-4D41-BEEB-A9EFD50115DF}" destId="{C7C7C795-1322-4CCA-B7BB-EC31CACBAD27}" srcOrd="1" destOrd="0" presId="urn:microsoft.com/office/officeart/2005/8/layout/orgChart1"/>
    <dgm:cxn modelId="{D68F0316-BBBB-4894-ACA8-CB09586E255D}" type="presParOf" srcId="{59DB6B68-4301-4D41-BEEB-A9EFD50115DF}" destId="{16D03A69-FC32-4EDE-9BE4-6B2ED4F9AF02}" srcOrd="2" destOrd="0" presId="urn:microsoft.com/office/officeart/2005/8/layout/orgChart1"/>
    <dgm:cxn modelId="{A271BFF8-B8D4-46E5-AE0E-5FA5FC76C73D}" type="presParOf" srcId="{B9570C90-AEE7-4670-952F-F549DAEEACAB}" destId="{E95F3DBD-CFC4-4173-89D5-FC05141EBA6D}" srcOrd="2" destOrd="0" presId="urn:microsoft.com/office/officeart/2005/8/layout/orgChart1"/>
    <dgm:cxn modelId="{FFA5C1EA-162A-497E-8E7E-82FA9D6190BE}" type="presParOf" srcId="{9FD564D9-110A-4E45-B96B-52C79F2B0591}" destId="{7955D21D-C3FD-4ECE-A7E1-0A860B5DA496}" srcOrd="4" destOrd="0" presId="urn:microsoft.com/office/officeart/2005/8/layout/orgChart1"/>
    <dgm:cxn modelId="{724994E4-C6D1-48CF-97E9-B89B1AC333FD}" type="presParOf" srcId="{9FD564D9-110A-4E45-B96B-52C79F2B0591}" destId="{39B0C99B-5B12-44BF-8BFA-820FE7B8731D}" srcOrd="5" destOrd="0" presId="urn:microsoft.com/office/officeart/2005/8/layout/orgChart1"/>
    <dgm:cxn modelId="{E33D7469-2666-4447-B272-E9B2657F0D4E}" type="presParOf" srcId="{39B0C99B-5B12-44BF-8BFA-820FE7B8731D}" destId="{2AE19F8B-B28C-4ECE-991A-251368C38242}" srcOrd="0" destOrd="0" presId="urn:microsoft.com/office/officeart/2005/8/layout/orgChart1"/>
    <dgm:cxn modelId="{A127AF21-F16F-4A33-8D31-BB94E6CA10D1}" type="presParOf" srcId="{2AE19F8B-B28C-4ECE-991A-251368C38242}" destId="{A87FE013-CCA7-42E6-BE97-31727F746167}" srcOrd="0" destOrd="0" presId="urn:microsoft.com/office/officeart/2005/8/layout/orgChart1"/>
    <dgm:cxn modelId="{08DDE200-309C-4254-8048-7421BB76D9D2}" type="presParOf" srcId="{2AE19F8B-B28C-4ECE-991A-251368C38242}" destId="{63BFA261-8714-4DC9-9460-3C6A55BB9580}" srcOrd="1" destOrd="0" presId="urn:microsoft.com/office/officeart/2005/8/layout/orgChart1"/>
    <dgm:cxn modelId="{3D3C1D76-5CD7-482D-AEC3-AF1F12C3FCA0}" type="presParOf" srcId="{39B0C99B-5B12-44BF-8BFA-820FE7B8731D}" destId="{C3BB5150-442A-426C-9497-0ADF23FB9865}" srcOrd="1" destOrd="0" presId="urn:microsoft.com/office/officeart/2005/8/layout/orgChart1"/>
    <dgm:cxn modelId="{3A964940-4249-47D0-B140-54E35FD33E8B}" type="presParOf" srcId="{C3BB5150-442A-426C-9497-0ADF23FB9865}" destId="{568C7A22-CDAE-49CC-B4B2-B6B3C9EC3973}" srcOrd="0" destOrd="0" presId="urn:microsoft.com/office/officeart/2005/8/layout/orgChart1"/>
    <dgm:cxn modelId="{2F77EED7-5CD4-45CB-9AF9-AE4386D6E7F1}" type="presParOf" srcId="{C3BB5150-442A-426C-9497-0ADF23FB9865}" destId="{9A44DB87-A8B7-4701-9D25-FA062B9AD4D9}" srcOrd="1" destOrd="0" presId="urn:microsoft.com/office/officeart/2005/8/layout/orgChart1"/>
    <dgm:cxn modelId="{C5F88B08-AFB5-4A3D-8CC6-609CB911FD47}" type="presParOf" srcId="{9A44DB87-A8B7-4701-9D25-FA062B9AD4D9}" destId="{D733B15C-FFA5-4761-8AC4-64FBB97CC844}" srcOrd="0" destOrd="0" presId="urn:microsoft.com/office/officeart/2005/8/layout/orgChart1"/>
    <dgm:cxn modelId="{4BAC426D-F367-4A3E-901C-4D1D814DB495}" type="presParOf" srcId="{D733B15C-FFA5-4761-8AC4-64FBB97CC844}" destId="{ABA2C189-5A58-4D01-A279-6334CD5C9739}" srcOrd="0" destOrd="0" presId="urn:microsoft.com/office/officeart/2005/8/layout/orgChart1"/>
    <dgm:cxn modelId="{287F7E23-2282-4937-834A-BBA3C3A35B96}" type="presParOf" srcId="{D733B15C-FFA5-4761-8AC4-64FBB97CC844}" destId="{E7F611FC-ACEF-4838-AE65-20A0C2D1B78A}" srcOrd="1" destOrd="0" presId="urn:microsoft.com/office/officeart/2005/8/layout/orgChart1"/>
    <dgm:cxn modelId="{D1D58008-B000-4990-9DD7-9C347918A3EC}" type="presParOf" srcId="{9A44DB87-A8B7-4701-9D25-FA062B9AD4D9}" destId="{4F493DC0-4F0A-455E-838E-B8A31441470F}" srcOrd="1" destOrd="0" presId="urn:microsoft.com/office/officeart/2005/8/layout/orgChart1"/>
    <dgm:cxn modelId="{9C446525-2B43-4F58-8A4C-ED052E61001F}" type="presParOf" srcId="{9A44DB87-A8B7-4701-9D25-FA062B9AD4D9}" destId="{0A5A0A35-F91B-433A-A90B-935DD2A46544}" srcOrd="2" destOrd="0" presId="urn:microsoft.com/office/officeart/2005/8/layout/orgChart1"/>
    <dgm:cxn modelId="{0C44150D-FB18-4EBB-82D2-DB1552DFDF2A}" type="presParOf" srcId="{39B0C99B-5B12-44BF-8BFA-820FE7B8731D}" destId="{E1910D9F-0BB2-4E22-954E-70E821A8B32E}" srcOrd="2" destOrd="0" presId="urn:microsoft.com/office/officeart/2005/8/layout/orgChart1"/>
    <dgm:cxn modelId="{0769CD9E-7BBD-4A18-8C3A-2567F0F3976C}" type="presParOf" srcId="{8BEEE777-1164-4B22-AD1F-6DAD3C6E0BAA}" destId="{00EF5A09-C70B-4356-A421-6254F6F4E682}" srcOrd="2" destOrd="0" presId="urn:microsoft.com/office/officeart/2005/8/layout/orgChart1"/>
    <dgm:cxn modelId="{1DC2C6E9-1601-4948-9770-02E396BC0A72}" type="presParOf" srcId="{B32C346F-9326-47A5-8E71-BC3BA38DF1C8}" destId="{E3F2A7BB-CDC3-4827-B881-BEABD9742634}" srcOrd="2" destOrd="0" presId="urn:microsoft.com/office/officeart/2005/8/layout/orgChart1"/>
    <dgm:cxn modelId="{4AB8B1D0-585E-4927-9A89-CE0E763710AB}" type="presParOf" srcId="{DC7A6715-B2D3-4F71-8838-58A4A03EB611}" destId="{B10057B8-579C-4670-8C34-A6CE1ADB335D}" srcOrd="2" destOrd="0" presId="urn:microsoft.com/office/officeart/2005/8/layout/orgChart1"/>
    <dgm:cxn modelId="{EC7CCDBD-5F20-4817-9569-7A7C8D09162F}" type="presParOf" srcId="{83B38F98-2218-4ABC-9B0A-E80A1AA93176}" destId="{5BB23220-B574-4248-BC71-ED6D9FA6C9A0}" srcOrd="2" destOrd="0" presId="urn:microsoft.com/office/officeart/2005/8/layout/orgChart1"/>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C7A22-CDAE-49CC-B4B2-B6B3C9EC3973}">
      <dsp:nvSpPr>
        <dsp:cNvPr id="0" name=""/>
        <dsp:cNvSpPr/>
      </dsp:nvSpPr>
      <dsp:spPr>
        <a:xfrm>
          <a:off x="4188971" y="2554015"/>
          <a:ext cx="272062" cy="324094"/>
        </a:xfrm>
        <a:custGeom>
          <a:avLst/>
          <a:gdLst/>
          <a:ahLst/>
          <a:cxnLst/>
          <a:rect l="0" t="0" r="0" b="0"/>
          <a:pathLst>
            <a:path>
              <a:moveTo>
                <a:pt x="0" y="0"/>
              </a:moveTo>
              <a:lnTo>
                <a:pt x="0" y="324094"/>
              </a:lnTo>
              <a:lnTo>
                <a:pt x="272062" y="324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55D21D-C3FD-4ECE-A7E1-0A860B5DA496}">
      <dsp:nvSpPr>
        <dsp:cNvPr id="0" name=""/>
        <dsp:cNvSpPr/>
      </dsp:nvSpPr>
      <dsp:spPr>
        <a:xfrm>
          <a:off x="2926080" y="1854310"/>
          <a:ext cx="1988391" cy="147955"/>
        </a:xfrm>
        <a:custGeom>
          <a:avLst/>
          <a:gdLst/>
          <a:ahLst/>
          <a:cxnLst/>
          <a:rect l="0" t="0" r="0" b="0"/>
          <a:pathLst>
            <a:path>
              <a:moveTo>
                <a:pt x="0" y="0"/>
              </a:moveTo>
              <a:lnTo>
                <a:pt x="0" y="73977"/>
              </a:lnTo>
              <a:lnTo>
                <a:pt x="1988391" y="73977"/>
              </a:lnTo>
              <a:lnTo>
                <a:pt x="1988391" y="147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4F9525-2775-4715-BDFC-9FDDFD40F05D}">
      <dsp:nvSpPr>
        <dsp:cNvPr id="0" name=""/>
        <dsp:cNvSpPr/>
      </dsp:nvSpPr>
      <dsp:spPr>
        <a:xfrm>
          <a:off x="2172528" y="2581971"/>
          <a:ext cx="333879" cy="312595"/>
        </a:xfrm>
        <a:custGeom>
          <a:avLst/>
          <a:gdLst/>
          <a:ahLst/>
          <a:cxnLst/>
          <a:rect l="0" t="0" r="0" b="0"/>
          <a:pathLst>
            <a:path>
              <a:moveTo>
                <a:pt x="0" y="0"/>
              </a:moveTo>
              <a:lnTo>
                <a:pt x="0" y="312595"/>
              </a:lnTo>
              <a:lnTo>
                <a:pt x="333879" y="3125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81D89-FB4B-427C-B735-07CD855061CF}">
      <dsp:nvSpPr>
        <dsp:cNvPr id="0" name=""/>
        <dsp:cNvSpPr/>
      </dsp:nvSpPr>
      <dsp:spPr>
        <a:xfrm>
          <a:off x="2848531" y="1854310"/>
          <a:ext cx="91440" cy="159454"/>
        </a:xfrm>
        <a:custGeom>
          <a:avLst/>
          <a:gdLst/>
          <a:ahLst/>
          <a:cxnLst/>
          <a:rect l="0" t="0" r="0" b="0"/>
          <a:pathLst>
            <a:path>
              <a:moveTo>
                <a:pt x="77548" y="0"/>
              </a:moveTo>
              <a:lnTo>
                <a:pt x="77548" y="85476"/>
              </a:lnTo>
              <a:lnTo>
                <a:pt x="45720" y="85476"/>
              </a:lnTo>
              <a:lnTo>
                <a:pt x="45720" y="1594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B7BA55-41D1-4494-BFB3-D9B17F3141A1}">
      <dsp:nvSpPr>
        <dsp:cNvPr id="0" name=""/>
        <dsp:cNvSpPr/>
      </dsp:nvSpPr>
      <dsp:spPr>
        <a:xfrm>
          <a:off x="218469" y="2575585"/>
          <a:ext cx="281484" cy="324094"/>
        </a:xfrm>
        <a:custGeom>
          <a:avLst/>
          <a:gdLst/>
          <a:ahLst/>
          <a:cxnLst/>
          <a:rect l="0" t="0" r="0" b="0"/>
          <a:pathLst>
            <a:path>
              <a:moveTo>
                <a:pt x="0" y="0"/>
              </a:moveTo>
              <a:lnTo>
                <a:pt x="0" y="324094"/>
              </a:lnTo>
              <a:lnTo>
                <a:pt x="281484" y="324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2963E8-2860-4E95-BD4C-EB92774EC22A}">
      <dsp:nvSpPr>
        <dsp:cNvPr id="0" name=""/>
        <dsp:cNvSpPr/>
      </dsp:nvSpPr>
      <dsp:spPr>
        <a:xfrm>
          <a:off x="969094" y="1854310"/>
          <a:ext cx="1956985" cy="147955"/>
        </a:xfrm>
        <a:custGeom>
          <a:avLst/>
          <a:gdLst/>
          <a:ahLst/>
          <a:cxnLst/>
          <a:rect l="0" t="0" r="0" b="0"/>
          <a:pathLst>
            <a:path>
              <a:moveTo>
                <a:pt x="1956985" y="0"/>
              </a:moveTo>
              <a:lnTo>
                <a:pt x="1956985" y="73977"/>
              </a:lnTo>
              <a:lnTo>
                <a:pt x="0" y="73977"/>
              </a:lnTo>
              <a:lnTo>
                <a:pt x="0" y="147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5A82E2-2368-464C-90FC-50729A22DBA4}">
      <dsp:nvSpPr>
        <dsp:cNvPr id="0" name=""/>
        <dsp:cNvSpPr/>
      </dsp:nvSpPr>
      <dsp:spPr>
        <a:xfrm>
          <a:off x="2880360" y="1354078"/>
          <a:ext cx="91440" cy="147955"/>
        </a:xfrm>
        <a:custGeom>
          <a:avLst/>
          <a:gdLst/>
          <a:ahLst/>
          <a:cxnLst/>
          <a:rect l="0" t="0" r="0" b="0"/>
          <a:pathLst>
            <a:path>
              <a:moveTo>
                <a:pt x="45720" y="0"/>
              </a:moveTo>
              <a:lnTo>
                <a:pt x="45720" y="147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F43F28-4D55-44CD-9DAF-763A31FB4C13}">
      <dsp:nvSpPr>
        <dsp:cNvPr id="0" name=""/>
        <dsp:cNvSpPr/>
      </dsp:nvSpPr>
      <dsp:spPr>
        <a:xfrm>
          <a:off x="2880360" y="853845"/>
          <a:ext cx="91440" cy="147955"/>
        </a:xfrm>
        <a:custGeom>
          <a:avLst/>
          <a:gdLst/>
          <a:ahLst/>
          <a:cxnLst/>
          <a:rect l="0" t="0" r="0" b="0"/>
          <a:pathLst>
            <a:path>
              <a:moveTo>
                <a:pt x="45720" y="0"/>
              </a:moveTo>
              <a:lnTo>
                <a:pt x="45720" y="147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9C75E8-1A8B-4EED-868F-86818237E37C}">
      <dsp:nvSpPr>
        <dsp:cNvPr id="0" name=""/>
        <dsp:cNvSpPr/>
      </dsp:nvSpPr>
      <dsp:spPr>
        <a:xfrm>
          <a:off x="2880360" y="353613"/>
          <a:ext cx="91440" cy="147955"/>
        </a:xfrm>
        <a:custGeom>
          <a:avLst/>
          <a:gdLst/>
          <a:ahLst/>
          <a:cxnLst/>
          <a:rect l="0" t="0" r="0" b="0"/>
          <a:pathLst>
            <a:path>
              <a:moveTo>
                <a:pt x="45720" y="0"/>
              </a:moveTo>
              <a:lnTo>
                <a:pt x="45720" y="147955"/>
              </a:lnTo>
            </a:path>
          </a:pathLst>
        </a:custGeom>
        <a:noFill/>
        <a:ln w="25400" cap="flat" cmpd="sng" algn="ctr">
          <a:solidFill>
            <a:schemeClr val="tx1">
              <a:lumMod val="50000"/>
              <a:lumOff val="50000"/>
            </a:schemeClr>
          </a:solidFill>
          <a:prstDash val="solid"/>
        </a:ln>
        <a:effectLst/>
      </dsp:spPr>
      <dsp:style>
        <a:lnRef idx="2">
          <a:scrgbClr r="0" g="0" b="0"/>
        </a:lnRef>
        <a:fillRef idx="0">
          <a:scrgbClr r="0" g="0" b="0"/>
        </a:fillRef>
        <a:effectRef idx="0">
          <a:scrgbClr r="0" g="0" b="0"/>
        </a:effectRef>
        <a:fontRef idx="minor"/>
      </dsp:style>
    </dsp:sp>
    <dsp:sp modelId="{5AA91804-2FFE-4912-BE8E-BDD1DF06F32B}">
      <dsp:nvSpPr>
        <dsp:cNvPr id="0" name=""/>
        <dsp:cNvSpPr/>
      </dsp:nvSpPr>
      <dsp:spPr>
        <a:xfrm>
          <a:off x="2126501" y="1337"/>
          <a:ext cx="1599157" cy="35227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Central Government</a:t>
          </a:r>
        </a:p>
      </dsp:txBody>
      <dsp:txXfrm>
        <a:off x="2126501" y="1337"/>
        <a:ext cx="1599157" cy="352276"/>
      </dsp:txXfrm>
    </dsp:sp>
    <dsp:sp modelId="{8AB7012C-DFE4-4F6B-8636-D2BBA1D6690C}">
      <dsp:nvSpPr>
        <dsp:cNvPr id="0" name=""/>
        <dsp:cNvSpPr/>
      </dsp:nvSpPr>
      <dsp:spPr>
        <a:xfrm>
          <a:off x="2126501" y="501569"/>
          <a:ext cx="1599157" cy="35227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8 Divisions (</a:t>
          </a:r>
          <a:r>
            <a:rPr lang="en-AU" sz="1000" b="0" i="1" kern="1200">
              <a:solidFill>
                <a:schemeClr val="bg1"/>
              </a:solidFill>
              <a:latin typeface="Arial" panose="020B0604020202020204" pitchFamily="34" charset="0"/>
              <a:cs typeface="Arial" panose="020B0604020202020204" pitchFamily="34" charset="0"/>
            </a:rPr>
            <a:t>bibhag</a:t>
          </a:r>
          <a:r>
            <a:rPr lang="en-AU" sz="1000" b="0" kern="1200">
              <a:solidFill>
                <a:schemeClr val="bg1"/>
              </a:solidFill>
              <a:latin typeface="Arial" panose="020B0604020202020204" pitchFamily="34" charset="0"/>
              <a:cs typeface="Arial" panose="020B0604020202020204" pitchFamily="34" charset="0"/>
            </a:rPr>
            <a:t>)</a:t>
          </a:r>
        </a:p>
      </dsp:txBody>
      <dsp:txXfrm>
        <a:off x="2126501" y="501569"/>
        <a:ext cx="1599157" cy="352276"/>
      </dsp:txXfrm>
    </dsp:sp>
    <dsp:sp modelId="{E3D104B2-15F2-40A4-B971-25BD7D85B68B}">
      <dsp:nvSpPr>
        <dsp:cNvPr id="0" name=""/>
        <dsp:cNvSpPr/>
      </dsp:nvSpPr>
      <dsp:spPr>
        <a:xfrm>
          <a:off x="2128752" y="1001801"/>
          <a:ext cx="1594655" cy="35227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64 Districts (</a:t>
          </a:r>
          <a:r>
            <a:rPr lang="en-AU" sz="1000" b="0" i="1" kern="1200">
              <a:solidFill>
                <a:schemeClr val="bg1"/>
              </a:solidFill>
              <a:latin typeface="Arial" panose="020B0604020202020204" pitchFamily="34" charset="0"/>
              <a:cs typeface="Arial" panose="020B0604020202020204" pitchFamily="34" charset="0"/>
            </a:rPr>
            <a:t>zila</a:t>
          </a:r>
          <a:r>
            <a:rPr lang="en-AU" sz="1000" b="0" kern="1200">
              <a:solidFill>
                <a:schemeClr val="bg1"/>
              </a:solidFill>
              <a:latin typeface="Arial" panose="020B0604020202020204" pitchFamily="34" charset="0"/>
              <a:cs typeface="Arial" panose="020B0604020202020204" pitchFamily="34" charset="0"/>
            </a:rPr>
            <a:t>)</a:t>
          </a:r>
        </a:p>
      </dsp:txBody>
      <dsp:txXfrm>
        <a:off x="2128752" y="1001801"/>
        <a:ext cx="1594655" cy="352276"/>
      </dsp:txXfrm>
    </dsp:sp>
    <dsp:sp modelId="{A95E4006-29B4-4081-A3BA-61D3A5C921FA}">
      <dsp:nvSpPr>
        <dsp:cNvPr id="0" name=""/>
        <dsp:cNvSpPr/>
      </dsp:nvSpPr>
      <dsp:spPr>
        <a:xfrm>
          <a:off x="2123239" y="1502034"/>
          <a:ext cx="1605681" cy="35227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490 Subdistricts (</a:t>
          </a:r>
          <a:r>
            <a:rPr lang="en-AU" sz="1000" b="0" i="1" kern="1200">
              <a:solidFill>
                <a:schemeClr val="bg1"/>
              </a:solidFill>
              <a:latin typeface="Arial" panose="020B0604020202020204" pitchFamily="34" charset="0"/>
              <a:cs typeface="Arial" panose="020B0604020202020204" pitchFamily="34" charset="0"/>
            </a:rPr>
            <a:t>upazila</a:t>
          </a:r>
          <a:r>
            <a:rPr lang="en-AU" sz="1000" b="0" kern="1200">
              <a:solidFill>
                <a:schemeClr val="bg1"/>
              </a:solidFill>
              <a:latin typeface="Arial" panose="020B0604020202020204" pitchFamily="34" charset="0"/>
              <a:cs typeface="Arial" panose="020B0604020202020204" pitchFamily="34" charset="0"/>
            </a:rPr>
            <a:t>)</a:t>
          </a:r>
        </a:p>
      </dsp:txBody>
      <dsp:txXfrm>
        <a:off x="2123239" y="1502034"/>
        <a:ext cx="1605681" cy="352276"/>
      </dsp:txXfrm>
    </dsp:sp>
    <dsp:sp modelId="{843D169E-9771-49E5-A98C-FEDA4CB5D173}">
      <dsp:nvSpPr>
        <dsp:cNvPr id="0" name=""/>
        <dsp:cNvSpPr/>
      </dsp:nvSpPr>
      <dsp:spPr>
        <a:xfrm>
          <a:off x="30813" y="2002266"/>
          <a:ext cx="1876561" cy="573318"/>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4553 Union Councils (</a:t>
          </a:r>
          <a:r>
            <a:rPr lang="en-AU" sz="1000" b="0" i="1" kern="1200">
              <a:solidFill>
                <a:schemeClr val="bg1"/>
              </a:solidFill>
              <a:latin typeface="Arial" panose="020B0604020202020204" pitchFamily="34" charset="0"/>
              <a:cs typeface="Arial" panose="020B0604020202020204" pitchFamily="34" charset="0"/>
            </a:rPr>
            <a:t>Union Parishad</a:t>
          </a:r>
          <a:r>
            <a:rPr lang="en-AU" sz="1000" b="0" kern="1200">
              <a:solidFill>
                <a:schemeClr val="bg1"/>
              </a:solidFill>
              <a:latin typeface="Arial" panose="020B0604020202020204" pitchFamily="34" charset="0"/>
              <a:cs typeface="Arial" panose="020B0604020202020204" pitchFamily="34" charset="0"/>
            </a:rPr>
            <a:t>) - responsible </a:t>
          </a:r>
          <a:br>
            <a:rPr lang="en-AU" sz="1000" b="0" kern="1200">
              <a:solidFill>
                <a:schemeClr val="bg1"/>
              </a:solidFill>
              <a:latin typeface="Arial" panose="020B0604020202020204" pitchFamily="34" charset="0"/>
              <a:cs typeface="Arial" panose="020B0604020202020204" pitchFamily="34" charset="0"/>
            </a:rPr>
          </a:br>
          <a:r>
            <a:rPr lang="en-AU" sz="1000" b="0" kern="1200">
              <a:solidFill>
                <a:schemeClr val="bg1"/>
              </a:solidFill>
              <a:latin typeface="Arial" panose="020B0604020202020204" pitchFamily="34" charset="0"/>
              <a:cs typeface="Arial" panose="020B0604020202020204" pitchFamily="34" charset="0"/>
            </a:rPr>
            <a:t>for rural areas</a:t>
          </a:r>
        </a:p>
      </dsp:txBody>
      <dsp:txXfrm>
        <a:off x="30813" y="2002266"/>
        <a:ext cx="1876561" cy="573318"/>
      </dsp:txXfrm>
    </dsp:sp>
    <dsp:sp modelId="{BAA0CE9F-99C7-4DBE-9953-E755B68F7A34}">
      <dsp:nvSpPr>
        <dsp:cNvPr id="0" name=""/>
        <dsp:cNvSpPr/>
      </dsp:nvSpPr>
      <dsp:spPr>
        <a:xfrm>
          <a:off x="499954" y="2723541"/>
          <a:ext cx="704552" cy="35227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Villages</a:t>
          </a:r>
        </a:p>
      </dsp:txBody>
      <dsp:txXfrm>
        <a:off x="499954" y="2723541"/>
        <a:ext cx="704552" cy="352276"/>
      </dsp:txXfrm>
    </dsp:sp>
    <dsp:sp modelId="{36200B48-C62D-47B8-8687-4687343388EA}">
      <dsp:nvSpPr>
        <dsp:cNvPr id="0" name=""/>
        <dsp:cNvSpPr/>
      </dsp:nvSpPr>
      <dsp:spPr>
        <a:xfrm>
          <a:off x="1992097" y="2013764"/>
          <a:ext cx="1804309" cy="568207"/>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323 Municipal Corporations (</a:t>
          </a:r>
          <a:r>
            <a:rPr lang="en-AU" sz="1000" b="0" i="1" kern="1200">
              <a:solidFill>
                <a:schemeClr val="bg1"/>
              </a:solidFill>
              <a:latin typeface="Arial" panose="020B0604020202020204" pitchFamily="34" charset="0"/>
              <a:cs typeface="Arial" panose="020B0604020202020204" pitchFamily="34" charset="0"/>
            </a:rPr>
            <a:t>pourashava</a:t>
          </a:r>
          <a:r>
            <a:rPr lang="en-AU" sz="1000" b="0" kern="1200">
              <a:solidFill>
                <a:schemeClr val="bg1"/>
              </a:solidFill>
              <a:latin typeface="Arial" panose="020B0604020202020204" pitchFamily="34" charset="0"/>
              <a:cs typeface="Arial" panose="020B0604020202020204" pitchFamily="34" charset="0"/>
            </a:rPr>
            <a:t>) - responsible </a:t>
          </a:r>
          <a:br>
            <a:rPr lang="en-AU" sz="1000" b="0" kern="1200">
              <a:solidFill>
                <a:schemeClr val="bg1"/>
              </a:solidFill>
              <a:latin typeface="Arial" panose="020B0604020202020204" pitchFamily="34" charset="0"/>
              <a:cs typeface="Arial" panose="020B0604020202020204" pitchFamily="34" charset="0"/>
            </a:rPr>
          </a:br>
          <a:r>
            <a:rPr lang="en-AU" sz="1000" b="0" kern="1200">
              <a:solidFill>
                <a:schemeClr val="bg1"/>
              </a:solidFill>
              <a:latin typeface="Arial" panose="020B0604020202020204" pitchFamily="34" charset="0"/>
              <a:cs typeface="Arial" panose="020B0604020202020204" pitchFamily="34" charset="0"/>
            </a:rPr>
            <a:t>for towns</a:t>
          </a:r>
        </a:p>
      </dsp:txBody>
      <dsp:txXfrm>
        <a:off x="1992097" y="2013764"/>
        <a:ext cx="1804309" cy="568207"/>
      </dsp:txXfrm>
    </dsp:sp>
    <dsp:sp modelId="{C60EAC02-208B-4145-A2ED-F1FAEAB911E9}">
      <dsp:nvSpPr>
        <dsp:cNvPr id="0" name=""/>
        <dsp:cNvSpPr/>
      </dsp:nvSpPr>
      <dsp:spPr>
        <a:xfrm>
          <a:off x="2506408" y="2718429"/>
          <a:ext cx="704552" cy="35227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Wards</a:t>
          </a:r>
        </a:p>
      </dsp:txBody>
      <dsp:txXfrm>
        <a:off x="2506408" y="2718429"/>
        <a:ext cx="704552" cy="352276"/>
      </dsp:txXfrm>
    </dsp:sp>
    <dsp:sp modelId="{A87FE013-CCA7-42E6-BE97-31727F746167}">
      <dsp:nvSpPr>
        <dsp:cNvPr id="0" name=""/>
        <dsp:cNvSpPr/>
      </dsp:nvSpPr>
      <dsp:spPr>
        <a:xfrm>
          <a:off x="4007596" y="2002266"/>
          <a:ext cx="1813750" cy="551749"/>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11 City Corporations - responsible for cities</a:t>
          </a:r>
        </a:p>
      </dsp:txBody>
      <dsp:txXfrm>
        <a:off x="4007596" y="2002266"/>
        <a:ext cx="1813750" cy="551749"/>
      </dsp:txXfrm>
    </dsp:sp>
    <dsp:sp modelId="{ABA2C189-5A58-4D01-A279-6334CD5C9739}">
      <dsp:nvSpPr>
        <dsp:cNvPr id="0" name=""/>
        <dsp:cNvSpPr/>
      </dsp:nvSpPr>
      <dsp:spPr>
        <a:xfrm>
          <a:off x="4461033" y="2701971"/>
          <a:ext cx="704552" cy="35227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solidFill>
                <a:schemeClr val="bg1"/>
              </a:solidFill>
              <a:latin typeface="Arial" panose="020B0604020202020204" pitchFamily="34" charset="0"/>
              <a:cs typeface="Arial" panose="020B0604020202020204" pitchFamily="34" charset="0"/>
            </a:rPr>
            <a:t>Wards</a:t>
          </a:r>
        </a:p>
      </dsp:txBody>
      <dsp:txXfrm>
        <a:off x="4461033" y="2701971"/>
        <a:ext cx="704552" cy="3522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FCC94-A752-4467-B660-3BBF7613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6039</Words>
  <Characters>33215</Characters>
  <Application>Microsoft Office Word</Application>
  <DocSecurity>0</DocSecurity>
  <Lines>276</Lines>
  <Paragraphs>78</Paragraphs>
  <ScaleCrop>false</ScaleCrop>
  <HeadingPairs>
    <vt:vector size="2" baseType="variant">
      <vt:variant>
        <vt:lpstr>Title</vt:lpstr>
      </vt:variant>
      <vt:variant>
        <vt:i4>1</vt:i4>
      </vt:variant>
    </vt:vector>
  </HeadingPairs>
  <TitlesOfParts>
    <vt:vector size="1" baseType="lpstr">
      <vt:lpstr/>
    </vt:vector>
  </TitlesOfParts>
  <Company>Australian Red Cross</Company>
  <LinksUpToDate>false</LinksUpToDate>
  <CharactersWithSpaces>39176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Red Cross</dc:creator>
  <cp:lastModifiedBy>Australian Red Cross</cp:lastModifiedBy>
  <cp:revision>8</cp:revision>
  <dcterms:created xsi:type="dcterms:W3CDTF">2018-05-24T07:53:00Z</dcterms:created>
  <dcterms:modified xsi:type="dcterms:W3CDTF">2018-05-24T08:11:00Z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Footer">
    <vt:lpwstr>lxdp A0138585882v8 120641715 </vt:lpwstr>
  </property>
  <property fmtid="{D5CDD505-2E9C-101B-9397-08002B2CF9AE}" pid="3" name="DOCSDocNumber">
    <vt:lpwstr>38585882</vt:lpwstr>
  </property>
  <property fmtid="{D5CDD505-2E9C-101B-9397-08002B2CF9AE}" pid="4" name="DOCSDocumentID">
    <vt:lpwstr>A0138585882</vt:lpwstr>
  </property>
</Properties>
</file>