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64" w:lineRule="auto"/>
        <w:jc w:val="center"/>
        <w:rPr>
          <w:b w:val="1"/>
          <w:color w:val="365f91"/>
          <w:sz w:val="24"/>
          <w:szCs w:val="24"/>
        </w:rPr>
      </w:pPr>
      <w:r w:rsidDel="00000000" w:rsidR="00000000" w:rsidRPr="00000000">
        <w:rPr>
          <w:b w:val="1"/>
          <w:color w:val="365f91"/>
          <w:sz w:val="24"/>
          <w:szCs w:val="24"/>
          <w:rtl w:val="0"/>
        </w:rPr>
        <w:t xml:space="preserve">Advancing the Strategy - Working Group discussions - 9th October</w:t>
      </w:r>
    </w:p>
    <w:p w:rsidR="00000000" w:rsidDel="00000000" w:rsidP="00000000" w:rsidRDefault="00000000" w:rsidRPr="00000000" w14:paraId="00000002">
      <w:pPr>
        <w:spacing w:after="120" w:before="120" w:line="264" w:lineRule="auto"/>
        <w:jc w:val="center"/>
        <w:rPr>
          <w:b w:val="1"/>
          <w:color w:val="365f91"/>
          <w:sz w:val="16"/>
          <w:szCs w:val="16"/>
        </w:rPr>
      </w:pPr>
      <w:r w:rsidDel="00000000" w:rsidR="00000000" w:rsidRPr="00000000">
        <w:rPr>
          <w:b w:val="1"/>
          <w:color w:val="365f91"/>
          <w:sz w:val="24"/>
          <w:szCs w:val="24"/>
          <w:rtl w:val="0"/>
        </w:rPr>
        <w:t xml:space="preserve">CASH and Markets Working Group</w:t>
      </w:r>
      <w:r w:rsidDel="00000000" w:rsidR="00000000" w:rsidRPr="00000000">
        <w:rPr>
          <w:rtl w:val="0"/>
        </w:rPr>
        <w:t xml:space="preserve"> </w:t>
      </w:r>
      <w:r w:rsidDel="00000000" w:rsidR="00000000" w:rsidRPr="00000000">
        <w:rPr>
          <w:rtl w:val="0"/>
        </w:rPr>
      </w:r>
    </w:p>
    <w:tbl>
      <w:tblPr>
        <w:tblStyle w:val="Table1"/>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730"/>
        <w:gridCol w:w="7305"/>
        <w:tblGridChange w:id="0">
          <w:tblGrid>
            <w:gridCol w:w="2730"/>
            <w:gridCol w:w="7305"/>
          </w:tblGrid>
        </w:tblGridChange>
      </w:tblGrid>
      <w:tr>
        <w:tc>
          <w:tcPr>
            <w:tcBorders>
              <w:right w:color="a6a6a6" w:space="0" w:sz="4" w:val="single"/>
            </w:tcBorders>
          </w:tcPr>
          <w:p w:rsidR="00000000" w:rsidDel="00000000" w:rsidP="00000000" w:rsidRDefault="00000000" w:rsidRPr="00000000" w14:paraId="00000003">
            <w:pPr>
              <w:spacing w:after="120" w:before="120" w:line="264" w:lineRule="auto"/>
              <w:rPr>
                <w:b w:val="1"/>
                <w:color w:val="980000"/>
              </w:rPr>
            </w:pPr>
            <w:r w:rsidDel="00000000" w:rsidR="00000000" w:rsidRPr="00000000">
              <w:rPr>
                <w:b w:val="1"/>
                <w:color w:val="980000"/>
                <w:rtl w:val="0"/>
              </w:rPr>
              <w:t xml:space="preserve">Topic/Title:</w:t>
            </w:r>
          </w:p>
        </w:tc>
        <w:tc>
          <w:tcPr>
            <w:tcBorders>
              <w:left w:color="a6a6a6" w:space="0" w:sz="4" w:val="single"/>
            </w:tcBorders>
          </w:tcPr>
          <w:p w:rsidR="00000000" w:rsidDel="00000000" w:rsidP="00000000" w:rsidRDefault="00000000" w:rsidRPr="00000000" w14:paraId="00000004">
            <w:pPr>
              <w:jc w:val="center"/>
              <w:rPr>
                <w:b w:val="1"/>
              </w:rPr>
            </w:pPr>
            <w:r w:rsidDel="00000000" w:rsidR="00000000" w:rsidRPr="00000000">
              <w:rPr>
                <w:b w:val="1"/>
                <w:rtl w:val="0"/>
              </w:rPr>
              <w:t xml:space="preserve">Increasing Capacity Around Rental Market Interventions</w:t>
            </w:r>
          </w:p>
        </w:tc>
      </w:tr>
      <w:tr>
        <w:tc>
          <w:tcPr>
            <w:tcBorders>
              <w:right w:color="a6a6a6" w:space="0" w:sz="4" w:val="single"/>
            </w:tcBorders>
          </w:tcPr>
          <w:p w:rsidR="00000000" w:rsidDel="00000000" w:rsidP="00000000" w:rsidRDefault="00000000" w:rsidRPr="00000000" w14:paraId="00000005">
            <w:pPr>
              <w:spacing w:after="120" w:before="120" w:lineRule="auto"/>
              <w:rPr/>
            </w:pPr>
            <w:r w:rsidDel="00000000" w:rsidR="00000000" w:rsidRPr="00000000">
              <w:rPr>
                <w:b w:val="1"/>
                <w:color w:val="980000"/>
                <w:rtl w:val="0"/>
              </w:rPr>
              <w:t xml:space="preserve">Background:</w:t>
            </w:r>
            <w:r w:rsidDel="00000000" w:rsidR="00000000" w:rsidRPr="00000000">
              <w:rPr>
                <w:rtl w:val="0"/>
              </w:rPr>
              <w:t xml:space="preserve"> (include relevance of topic to GSC stakeholders’ needs, interests, expectations)</w:t>
            </w:r>
          </w:p>
        </w:tc>
        <w:tc>
          <w:tcPr>
            <w:tcBorders>
              <w:left w:color="a6a6a6" w:space="0" w:sz="4" w:val="single"/>
            </w:tcBorders>
          </w:tcPr>
          <w:p w:rsidR="00000000" w:rsidDel="00000000" w:rsidP="00000000" w:rsidRDefault="00000000" w:rsidRPr="00000000" w14:paraId="00000006">
            <w:pPr>
              <w:rPr/>
            </w:pPr>
            <w:r w:rsidDel="00000000" w:rsidR="00000000" w:rsidRPr="00000000">
              <w:rPr>
                <w:rtl w:val="0"/>
              </w:rPr>
              <w:t xml:space="preserve">Rental market programming (inc. cash-for-rent, and other market-based interventions such as support to landlords to upgrade rental housing stock, improving tenant tenure security) is increasingly common in humanitarian contexts.  Because of increased interest, a CashCap expert is currently deployed to the GSC to provide further support to country-level and the Global Cluster to improve rental market programming.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This session an opportunity to further discussions and debate around key issues related to rental market programmes, and will build on the work that has already been started by the CashCap expert. </w:t>
            </w:r>
          </w:p>
        </w:tc>
      </w:tr>
      <w:tr>
        <w:tc>
          <w:tcPr>
            <w:tcBorders>
              <w:right w:color="a6a6a6" w:space="0" w:sz="4" w:val="single"/>
            </w:tcBorders>
          </w:tcPr>
          <w:p w:rsidR="00000000" w:rsidDel="00000000" w:rsidP="00000000" w:rsidRDefault="00000000" w:rsidRPr="00000000" w14:paraId="00000009">
            <w:pPr>
              <w:spacing w:after="120" w:before="120" w:lineRule="auto"/>
              <w:rPr/>
            </w:pPr>
            <w:r w:rsidDel="00000000" w:rsidR="00000000" w:rsidRPr="00000000">
              <w:rPr>
                <w:b w:val="1"/>
                <w:color w:val="980000"/>
                <w:rtl w:val="0"/>
              </w:rPr>
              <w:t xml:space="preserve">Link to 2019 theme:</w:t>
            </w:r>
            <w:r w:rsidDel="00000000" w:rsidR="00000000" w:rsidRPr="00000000">
              <w:rPr>
                <w:rtl w:val="0"/>
              </w:rPr>
              <w:t xml:space="preserve">  How are you linking to the Pillar 4 theme (Capacity, including localisation)</w:t>
            </w:r>
          </w:p>
        </w:tc>
        <w:tc>
          <w:tcPr>
            <w:tcBorders>
              <w:left w:color="a6a6a6" w:space="0" w:sz="4" w:val="single"/>
            </w:tcBorders>
          </w:tcPr>
          <w:p w:rsidR="00000000" w:rsidDel="00000000" w:rsidP="00000000" w:rsidRDefault="00000000" w:rsidRPr="00000000" w14:paraId="0000000A">
            <w:pPr>
              <w:rPr/>
            </w:pPr>
            <w:r w:rsidDel="00000000" w:rsidR="00000000" w:rsidRPr="00000000">
              <w:rPr>
                <w:rtl w:val="0"/>
              </w:rPr>
              <w:t xml:space="preserve">Links to Pillar 4.3: 4.3 </w:t>
            </w:r>
            <w:r w:rsidDel="00000000" w:rsidR="00000000" w:rsidRPr="00000000">
              <w:rPr>
                <w:b w:val="1"/>
                <w:i w:val="1"/>
                <w:rtl w:val="0"/>
              </w:rPr>
              <w:t xml:space="preserve">Utilising Cash and Markets - </w:t>
            </w:r>
            <w:r w:rsidDel="00000000" w:rsidR="00000000" w:rsidRPr="00000000">
              <w:rPr>
                <w:rtl w:val="0"/>
              </w:rPr>
              <w:t xml:space="preserve"> </w:t>
            </w:r>
            <w:r w:rsidDel="00000000" w:rsidR="00000000" w:rsidRPr="00000000">
              <w:rPr>
                <w:b w:val="1"/>
                <w:i w:val="1"/>
                <w:rtl w:val="0"/>
              </w:rPr>
              <w:t xml:space="preserve">Shelter responders apply cash and markets modalities</w:t>
            </w: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Cluster partners have increased knowledge of the challenges and complexities of rental housing markets and how to best address them.  </w:t>
            </w:r>
          </w:p>
        </w:tc>
      </w:tr>
      <w:tr>
        <w:tc>
          <w:tcPr>
            <w:tcBorders>
              <w:right w:color="a6a6a6" w:space="0" w:sz="4" w:val="single"/>
            </w:tcBorders>
          </w:tcPr>
          <w:p w:rsidR="00000000" w:rsidDel="00000000" w:rsidP="00000000" w:rsidRDefault="00000000" w:rsidRPr="00000000" w14:paraId="0000000D">
            <w:pPr>
              <w:spacing w:after="120" w:before="120" w:lineRule="auto"/>
              <w:rPr>
                <w:b w:val="1"/>
                <w:color w:val="980000"/>
              </w:rPr>
            </w:pPr>
            <w:r w:rsidDel="00000000" w:rsidR="00000000" w:rsidRPr="00000000">
              <w:rPr>
                <w:b w:val="1"/>
                <w:color w:val="980000"/>
                <w:rtl w:val="0"/>
              </w:rPr>
              <w:t xml:space="preserve">Your objectives (what you want to achieve)</w:t>
            </w:r>
          </w:p>
        </w:tc>
        <w:tc>
          <w:tcPr>
            <w:tcBorders>
              <w:left w:color="a6a6a6" w:space="0" w:sz="4" w:val="single"/>
            </w:tcBorders>
          </w:tcPr>
          <w:p w:rsidR="00000000" w:rsidDel="00000000" w:rsidP="00000000" w:rsidRDefault="00000000" w:rsidRPr="00000000" w14:paraId="0000000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Sharing Knowledge and experience between country level Clusters, </w:t>
            </w:r>
          </w:p>
          <w:p w:rsidR="00000000" w:rsidDel="00000000" w:rsidP="00000000" w:rsidRDefault="00000000" w:rsidRPr="00000000" w14:paraId="0000000F">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Collecting lessons learnt and best practices </w:t>
            </w:r>
          </w:p>
          <w:p w:rsidR="00000000" w:rsidDel="00000000" w:rsidP="00000000" w:rsidRDefault="00000000" w:rsidRPr="00000000" w14:paraId="0000001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Contribute to ongoing development of Rental guidance </w:t>
            </w:r>
          </w:p>
        </w:tc>
      </w:tr>
      <w:tr>
        <w:tc>
          <w:tcPr>
            <w:tcBorders>
              <w:right w:color="a6a6a6" w:space="0" w:sz="4" w:val="single"/>
            </w:tcBorders>
          </w:tcPr>
          <w:p w:rsidR="00000000" w:rsidDel="00000000" w:rsidP="00000000" w:rsidRDefault="00000000" w:rsidRPr="00000000" w14:paraId="00000011">
            <w:pPr>
              <w:spacing w:after="120" w:before="120" w:lineRule="auto"/>
              <w:rPr/>
            </w:pPr>
            <w:r w:rsidDel="00000000" w:rsidR="00000000" w:rsidRPr="00000000">
              <w:rPr>
                <w:b w:val="1"/>
                <w:color w:val="980000"/>
                <w:rtl w:val="0"/>
              </w:rPr>
              <w:t xml:space="preserve">Anticipated Outcomes  for participants </w:t>
            </w:r>
            <w:r w:rsidDel="00000000" w:rsidR="00000000" w:rsidRPr="00000000">
              <w:rPr>
                <w:rtl w:val="0"/>
              </w:rPr>
            </w:r>
          </w:p>
        </w:tc>
        <w:tc>
          <w:tcPr>
            <w:tcBorders>
              <w:left w:color="a6a6a6" w:space="0" w:sz="4" w:val="single"/>
            </w:tcBorders>
          </w:tcPr>
          <w:p w:rsidR="00000000" w:rsidDel="00000000" w:rsidP="00000000" w:rsidRDefault="00000000" w:rsidRPr="00000000" w14:paraId="00000012">
            <w:pPr>
              <w:rPr/>
            </w:pPr>
            <w:r w:rsidDel="00000000" w:rsidR="00000000" w:rsidRPr="00000000">
              <w:rPr>
                <w:rtl w:val="0"/>
              </w:rPr>
              <w:t xml:space="preserve">As above</w:t>
            </w:r>
          </w:p>
        </w:tc>
      </w:tr>
      <w:tr>
        <w:tc>
          <w:tcPr>
            <w:tcBorders>
              <w:right w:color="a6a6a6" w:space="0" w:sz="4" w:val="single"/>
            </w:tcBorders>
          </w:tcPr>
          <w:p w:rsidR="00000000" w:rsidDel="00000000" w:rsidP="00000000" w:rsidRDefault="00000000" w:rsidRPr="00000000" w14:paraId="00000013">
            <w:pPr>
              <w:spacing w:after="120" w:before="120" w:lineRule="auto"/>
              <w:rPr>
                <w:b w:val="1"/>
                <w:color w:val="980000"/>
              </w:rPr>
            </w:pPr>
            <w:r w:rsidDel="00000000" w:rsidR="00000000" w:rsidRPr="00000000">
              <w:rPr>
                <w:b w:val="1"/>
                <w:color w:val="980000"/>
                <w:rtl w:val="0"/>
              </w:rPr>
              <w:t xml:space="preserve">Outputs (if any)</w:t>
            </w:r>
          </w:p>
        </w:tc>
        <w:tc>
          <w:tcPr>
            <w:tcBorders>
              <w:left w:color="a6a6a6" w:space="0" w:sz="4" w:val="single"/>
            </w:tcBorders>
          </w:tcPr>
          <w:p w:rsidR="00000000" w:rsidDel="00000000" w:rsidP="00000000" w:rsidRDefault="00000000" w:rsidRPr="00000000" w14:paraId="00000014">
            <w:pPr>
              <w:rPr/>
            </w:pPr>
            <w:r w:rsidDel="00000000" w:rsidR="00000000" w:rsidRPr="00000000">
              <w:rPr>
                <w:rtl w:val="0"/>
              </w:rPr>
            </w:r>
          </w:p>
        </w:tc>
      </w:tr>
      <w:tr>
        <w:tc>
          <w:tcPr>
            <w:tcBorders>
              <w:right w:color="a6a6a6" w:space="0" w:sz="4" w:val="single"/>
            </w:tcBorders>
          </w:tcPr>
          <w:p w:rsidR="00000000" w:rsidDel="00000000" w:rsidP="00000000" w:rsidRDefault="00000000" w:rsidRPr="00000000" w14:paraId="00000015">
            <w:pPr>
              <w:spacing w:after="120" w:before="120" w:lineRule="auto"/>
              <w:rPr>
                <w:b w:val="1"/>
                <w:color w:val="980000"/>
              </w:rPr>
            </w:pPr>
            <w:r w:rsidDel="00000000" w:rsidR="00000000" w:rsidRPr="00000000">
              <w:rPr>
                <w:b w:val="1"/>
                <w:color w:val="980000"/>
                <w:rtl w:val="0"/>
              </w:rPr>
              <w:t xml:space="preserve">Time required:</w:t>
            </w:r>
          </w:p>
        </w:tc>
        <w:tc>
          <w:tcPr>
            <w:tcBorders>
              <w:left w:color="a6a6a6" w:space="0" w:sz="4" w:val="single"/>
            </w:tcBorders>
          </w:tcPr>
          <w:p w:rsidR="00000000" w:rsidDel="00000000" w:rsidP="00000000" w:rsidRDefault="00000000" w:rsidRPr="00000000" w14:paraId="00000016">
            <w:pPr>
              <w:rPr/>
            </w:pPr>
            <w:r w:rsidDel="00000000" w:rsidR="00000000" w:rsidRPr="00000000">
              <w:rPr>
                <w:rtl w:val="0"/>
              </w:rPr>
              <w:t xml:space="preserve">1h30</w:t>
            </w:r>
          </w:p>
        </w:tc>
      </w:tr>
    </w:tbl>
    <w:p w:rsidR="00000000" w:rsidDel="00000000" w:rsidP="00000000" w:rsidRDefault="00000000" w:rsidRPr="00000000" w14:paraId="00000017">
      <w:pPr>
        <w:spacing w:after="120" w:before="120" w:line="264" w:lineRule="auto"/>
        <w:rPr>
          <w:sz w:val="20"/>
          <w:szCs w:val="20"/>
        </w:rPr>
      </w:pPr>
      <w:r w:rsidDel="00000000" w:rsidR="00000000" w:rsidRPr="00000000">
        <w:rPr>
          <w:rtl w:val="0"/>
        </w:rPr>
      </w:r>
    </w:p>
    <w:tbl>
      <w:tblPr>
        <w:tblStyle w:val="Table2"/>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685"/>
        <w:gridCol w:w="7350"/>
        <w:tblGridChange w:id="0">
          <w:tblGrid>
            <w:gridCol w:w="2685"/>
            <w:gridCol w:w="7350"/>
          </w:tblGrid>
        </w:tblGridChange>
      </w:tblGrid>
      <w:tr>
        <w:trPr>
          <w:trHeight w:val="1960" w:hRule="atLeast"/>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8">
            <w:pPr>
              <w:rPr/>
            </w:pPr>
            <w:r w:rsidDel="00000000" w:rsidR="00000000" w:rsidRPr="00000000">
              <w:rPr>
                <w:rtl w:val="0"/>
              </w:rPr>
              <w:t xml:space="preserve"> </w:t>
            </w:r>
            <w:r w:rsidDel="00000000" w:rsidR="00000000" w:rsidRPr="00000000">
              <w:rPr/>
              <w:drawing>
                <wp:inline distB="0" distT="0" distL="0" distR="0">
                  <wp:extent cx="635797" cy="62134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5797" cy="621348"/>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 session plan </w:t>
            </w:r>
          </w:p>
          <w:p w:rsidR="00000000" w:rsidDel="00000000" w:rsidP="00000000" w:rsidRDefault="00000000" w:rsidRPr="00000000" w14:paraId="0000001A">
            <w:pPr>
              <w:rPr/>
            </w:pPr>
            <w:r w:rsidDel="00000000" w:rsidR="00000000" w:rsidRPr="00000000">
              <w:rPr>
                <w:rtl w:val="0"/>
              </w:rPr>
              <w:t xml:space="preserve">With approx. timings, activities and roles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B">
            <w:pPr>
              <w:rPr/>
            </w:pPr>
            <w:r w:rsidDel="00000000" w:rsidR="00000000" w:rsidRPr="00000000">
              <w:rPr>
                <w:rtl w:val="0"/>
              </w:rPr>
              <w:t xml:space="preserve">14:30 – Welcome,  objectives and introduction</w:t>
            </w:r>
          </w:p>
          <w:p w:rsidR="00000000" w:rsidDel="00000000" w:rsidP="00000000" w:rsidRDefault="00000000" w:rsidRPr="00000000" w14:paraId="0000001C">
            <w:pPr>
              <w:rPr/>
            </w:pPr>
            <w:r w:rsidDel="00000000" w:rsidR="00000000" w:rsidRPr="00000000">
              <w:rPr>
                <w:rtl w:val="0"/>
              </w:rPr>
              <w:t xml:space="preserve">14:45 – Challenges and issues – ranking exercise – identify top 3 priority issues to discuss in relation to rental market interventions</w:t>
            </w:r>
          </w:p>
          <w:p w:rsidR="00000000" w:rsidDel="00000000" w:rsidP="00000000" w:rsidRDefault="00000000" w:rsidRPr="00000000" w14:paraId="0000001D">
            <w:pPr>
              <w:rPr/>
            </w:pPr>
            <w:r w:rsidDel="00000000" w:rsidR="00000000" w:rsidRPr="00000000">
              <w:rPr>
                <w:rtl w:val="0"/>
              </w:rPr>
              <w:t xml:space="preserve">15:00 – Group discussion – rotation 1 – </w:t>
            </w:r>
            <w:r w:rsidDel="00000000" w:rsidR="00000000" w:rsidRPr="00000000">
              <w:rPr>
                <w:i w:val="1"/>
                <w:rtl w:val="0"/>
              </w:rPr>
              <w:t xml:space="preserve">identify the key challenges faced by group members in relation to 1 key issue</w:t>
            </w:r>
            <w:r w:rsidDel="00000000" w:rsidR="00000000" w:rsidRPr="00000000">
              <w:rPr>
                <w:rtl w:val="0"/>
              </w:rPr>
            </w:r>
          </w:p>
          <w:p w:rsidR="00000000" w:rsidDel="00000000" w:rsidP="00000000" w:rsidRDefault="00000000" w:rsidRPr="00000000" w14:paraId="0000001E">
            <w:pPr>
              <w:rPr>
                <w:i w:val="1"/>
              </w:rPr>
            </w:pPr>
            <w:r w:rsidDel="00000000" w:rsidR="00000000" w:rsidRPr="00000000">
              <w:rPr>
                <w:rtl w:val="0"/>
              </w:rPr>
              <w:t xml:space="preserve">15:15 – Group discussion – rotation 2 – </w:t>
            </w:r>
            <w:r w:rsidDel="00000000" w:rsidR="00000000" w:rsidRPr="00000000">
              <w:rPr>
                <w:i w:val="1"/>
                <w:rtl w:val="0"/>
              </w:rPr>
              <w:t xml:space="preserve">identify possible solutions to the challenges identified by previous group.</w:t>
            </w:r>
          </w:p>
          <w:p w:rsidR="00000000" w:rsidDel="00000000" w:rsidP="00000000" w:rsidRDefault="00000000" w:rsidRPr="00000000" w14:paraId="0000001F">
            <w:pPr>
              <w:rPr>
                <w:i w:val="1"/>
              </w:rPr>
            </w:pPr>
            <w:r w:rsidDel="00000000" w:rsidR="00000000" w:rsidRPr="00000000">
              <w:rPr>
                <w:rtl w:val="0"/>
              </w:rPr>
              <w:t xml:space="preserve">15:30 -  Group discussion – rotation 3 – </w:t>
            </w:r>
            <w:r w:rsidDel="00000000" w:rsidR="00000000" w:rsidRPr="00000000">
              <w:rPr>
                <w:i w:val="1"/>
                <w:rtl w:val="0"/>
              </w:rPr>
              <w:t xml:space="preserve">critically analyse challenges and solutions presented by other groups – what are the barriers/opportunities etc? </w:t>
            </w:r>
          </w:p>
          <w:p w:rsidR="00000000" w:rsidDel="00000000" w:rsidP="00000000" w:rsidRDefault="00000000" w:rsidRPr="00000000" w14:paraId="00000020">
            <w:pPr>
              <w:rPr/>
            </w:pPr>
            <w:r w:rsidDel="00000000" w:rsidR="00000000" w:rsidRPr="00000000">
              <w:rPr>
                <w:rtl w:val="0"/>
              </w:rPr>
              <w:t xml:space="preserve">15:45 – Feedback, final thoughts and next steps.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1">
            <w:pPr>
              <w:rPr/>
            </w:pPr>
            <w:r w:rsidDel="00000000" w:rsidR="00000000" w:rsidRPr="00000000">
              <w:rPr>
                <w:rtl w:val="0"/>
              </w:rPr>
              <w:t xml:space="preserve">Materials and equipment needed*</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2">
            <w:pPr>
              <w:rPr/>
            </w:pPr>
            <w:r w:rsidDel="00000000" w:rsidR="00000000" w:rsidRPr="00000000">
              <w:rPr>
                <w:rtl w:val="0"/>
              </w:rPr>
              <w:t xml:space="preserve">Flipcharts and stand, markers, post-it notes, tables, chairs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3">
            <w:pPr>
              <w:rPr/>
            </w:pPr>
            <w:r w:rsidDel="00000000" w:rsidR="00000000" w:rsidRPr="00000000">
              <w:rPr>
                <w:rtl w:val="0"/>
              </w:rPr>
              <w:t xml:space="preserve">What resources will you provide (papers etc)?</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4">
            <w:pPr>
              <w:rPr/>
            </w:pPr>
            <w:r w:rsidDel="00000000" w:rsidR="00000000" w:rsidRPr="00000000">
              <w:rPr>
                <w:rtl w:val="0"/>
              </w:rPr>
              <w:t xml:space="preserve">To be confirmed</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5">
            <w:pPr>
              <w:rPr/>
            </w:pPr>
            <w:r w:rsidDel="00000000" w:rsidR="00000000" w:rsidRPr="00000000">
              <w:rPr>
                <w:rtl w:val="0"/>
              </w:rPr>
              <w:t xml:space="preserve">How will you capture information/actions)?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6">
            <w:pPr>
              <w:spacing w:after="120" w:before="120" w:line="264" w:lineRule="auto"/>
              <w:rPr/>
            </w:pPr>
            <w:r w:rsidDel="00000000" w:rsidR="00000000" w:rsidRPr="00000000">
              <w:rPr>
                <w:rtl w:val="0"/>
              </w:rPr>
              <w:t xml:space="preserve">On flipcharts/post-it notes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7">
            <w:pPr>
              <w:rPr/>
            </w:pPr>
            <w:r w:rsidDel="00000000" w:rsidR="00000000" w:rsidRPr="00000000">
              <w:rPr>
                <w:rtl w:val="0"/>
              </w:rPr>
              <w:t xml:space="preserve">Would you like to discuss your session with Lesley or with GSC representatives?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8">
            <w:pPr>
              <w:spacing w:after="120" w:before="120" w:line="264" w:lineRule="auto"/>
              <w:rPr>
                <w:sz w:val="20"/>
                <w:szCs w:val="20"/>
              </w:rPr>
            </w:pPr>
            <w:r w:rsidDel="00000000" w:rsidR="00000000" w:rsidRPr="00000000">
              <w:rPr>
                <w:sz w:val="20"/>
                <w:szCs w:val="20"/>
                <w:rtl w:val="0"/>
              </w:rPr>
              <w:t xml:space="preserve">No thanks</w:t>
            </w:r>
          </w:p>
        </w:tc>
      </w:tr>
    </w:tbl>
    <w:p w:rsidR="00000000" w:rsidDel="00000000" w:rsidP="00000000" w:rsidRDefault="00000000" w:rsidRPr="00000000" w14:paraId="00000029">
      <w:pPr>
        <w:spacing w:after="120" w:before="120" w:line="264" w:lineRule="auto"/>
        <w:ind w:hanging="720"/>
        <w:rPr>
          <w:color w:val="000000"/>
        </w:rPr>
      </w:pPr>
      <w:r w:rsidDel="00000000" w:rsidR="00000000" w:rsidRPr="00000000">
        <w:rPr>
          <w:rtl w:val="0"/>
        </w:rPr>
      </w:r>
    </w:p>
    <w:sectPr>
      <w:headerReference r:id="rId8" w:type="default"/>
      <w:footerReference r:id="rId9"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pos="4320"/>
        <w:tab w:val="right" w:pos="8640"/>
      </w:tabs>
      <w:spacing w:after="200" w:line="276" w:lineRule="auto"/>
      <w:jc w:val="center"/>
      <w:rPr>
        <w:b w:val="1"/>
        <w:color w:val="943634"/>
      </w:rPr>
    </w:pPr>
    <w:r w:rsidDel="00000000" w:rsidR="00000000" w:rsidRPr="00000000">
      <w:rPr>
        <w:b w:val="1"/>
        <w:color w:val="943634"/>
        <w:rtl w:val="0"/>
      </w:rPr>
      <w:t xml:space="preserve">GSC Meeting 9-10 October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lineRule="auto"/>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lineRule="auto"/>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lineRule="auto"/>
    </w:pPr>
    <w:rPr>
      <w:rFonts w:ascii="Arial" w:cs="Arial" w:eastAsia="Arial" w:hAnsi="Arial"/>
      <w:color w:val="232323"/>
      <w:sz w:val="32"/>
      <w:szCs w:val="32"/>
    </w:rPr>
  </w:style>
  <w:style w:type="paragraph" w:styleId="Heading5">
    <w:name w:val="heading 5"/>
    <w:basedOn w:val="Normal"/>
    <w:next w:val="Normal"/>
    <w:pPr>
      <w:keepNext w:val="1"/>
      <w:keepLines w:val="1"/>
      <w:spacing w:before="200" w:lineRule="auto"/>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lineRule="auto"/>
    </w:pPr>
    <w:rPr>
      <w:rFonts w:ascii="Arial" w:cs="Arial" w:eastAsia="Arial" w:hAnsi="Arial"/>
      <w:i w:val="1"/>
      <w:color w:val="232323"/>
      <w:sz w:val="28"/>
      <w:szCs w:val="28"/>
    </w:rPr>
  </w:style>
  <w:style w:type="paragraph" w:styleId="Title">
    <w:name w:val="Title"/>
    <w:basedOn w:val="Normal"/>
    <w:next w:val="Normal"/>
    <w:pPr>
      <w:pBdr>
        <w:bottom w:color="000000" w:space="0" w:sz="24" w:val="single"/>
      </w:pBdr>
      <w:spacing w:after="80" w:before="300" w:lineRule="auto"/>
    </w:pPr>
    <w:rPr>
      <w:b w:val="1"/>
      <w:color w:val="000000"/>
      <w:sz w:val="72"/>
      <w:szCs w:val="72"/>
    </w:rPr>
  </w:style>
  <w:style w:type="paragraph" w:styleId="Normal" w:default="1">
    <w:name w:val="Normal"/>
  </w:style>
  <w:style w:type="paragraph" w:styleId="Heading1">
    <w:name w:val="heading 1"/>
    <w:basedOn w:val="Normal"/>
    <w:next w:val="Normal"/>
    <w:pPr>
      <w:keepNext w:val="1"/>
      <w:keepLines w:val="1"/>
      <w:spacing w:before="480"/>
      <w:outlineLvl w:val="0"/>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outlineLvl w:val="1"/>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outlineLvl w:val="2"/>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outlineLvl w:val="3"/>
    </w:pPr>
    <w:rPr>
      <w:rFonts w:ascii="Arial" w:cs="Arial" w:eastAsia="Arial" w:hAnsi="Arial"/>
      <w:color w:val="232323"/>
      <w:sz w:val="32"/>
      <w:szCs w:val="32"/>
    </w:rPr>
  </w:style>
  <w:style w:type="paragraph" w:styleId="Heading5">
    <w:name w:val="heading 5"/>
    <w:basedOn w:val="Normal"/>
    <w:next w:val="Normal"/>
    <w:pPr>
      <w:keepNext w:val="1"/>
      <w:keepLines w:val="1"/>
      <w:spacing w:before="200"/>
      <w:outlineLvl w:val="4"/>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outlineLvl w:val="5"/>
    </w:pPr>
    <w:rPr>
      <w:rFonts w:ascii="Arial" w:cs="Arial" w:eastAsia="Arial" w:hAnsi="Arial"/>
      <w:i w:val="1"/>
      <w:color w:val="232323"/>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pBdr>
        <w:bottom w:color="000000" w:space="0" w:sz="24" w:val="single"/>
      </w:pBdr>
      <w:spacing w:after="80" w:before="300"/>
    </w:pPr>
    <w:rPr>
      <w:b w:val="1"/>
      <w:color w:val="000000"/>
      <w:sz w:val="72"/>
      <w:szCs w:val="72"/>
    </w:rPr>
  </w:style>
  <w:style w:type="paragraph" w:styleId="Subtitle">
    <w:name w:val="Subtitle"/>
    <w:basedOn w:val="Normal"/>
    <w:next w:val="Normal"/>
    <w:rPr>
      <w:i w:val="1"/>
      <w:color w:val="444444"/>
      <w:sz w:val="52"/>
      <w:szCs w:val="5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665BF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65BF3"/>
    <w:rPr>
      <w:rFonts w:ascii="Segoe UI" w:cs="Segoe UI" w:hAnsi="Segoe UI"/>
      <w:sz w:val="18"/>
      <w:szCs w:val="18"/>
    </w:rPr>
  </w:style>
  <w:style w:type="paragraph" w:styleId="ListParagraph">
    <w:name w:val="List Paragraph"/>
    <w:basedOn w:val="Normal"/>
    <w:uiPriority w:val="34"/>
    <w:qFormat w:val="1"/>
    <w:rsid w:val="00B94F32"/>
    <w:pPr>
      <w:ind w:left="720"/>
      <w:contextualSpacing w:val="1"/>
    </w:pPr>
  </w:style>
  <w:style w:type="paragraph" w:styleId="Subtitle">
    <w:name w:val="Subtitle"/>
    <w:basedOn w:val="Normal"/>
    <w:next w:val="Normal"/>
    <w:pPr/>
    <w:rPr>
      <w:i w:val="1"/>
      <w:color w:val="444444"/>
      <w:sz w:val="52"/>
      <w:szCs w:val="5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i07TXhgEB9AjcdpswA0rx9G+lQ==">AMUW2mVpvNru2idVwXyOMR76EKgJ5mGbBuiytZJZ7SZeZAQ7c1hvN1JonP1LhnpPmlZsfpDS7ZgFe0a+xtyuvM8VnjPyoXPd6fzhMzXg6Moc12ppHhI27qz7pvbd7SwFHJapUynMA9Qs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2019-09-25T13:46:00Z</dcterms:created>
  <dc:creator>Julia Lewis</dc:creator>
</cp:coreProperties>
</file>