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6035F" w14:textId="77777777" w:rsidR="00FB7F6E" w:rsidRPr="00D514AB" w:rsidRDefault="00FB7F6E" w:rsidP="00B50D0A">
      <w:pPr>
        <w:rPr>
          <w:sz w:val="10"/>
          <w:szCs w:val="10"/>
          <w:lang w:val="en-GB"/>
        </w:rPr>
      </w:pPr>
      <w:bookmarkStart w:id="0" w:name="_GoBack"/>
      <w:bookmarkEnd w:id="0"/>
    </w:p>
    <w:tbl>
      <w:tblPr>
        <w:tblpPr w:leftFromText="180" w:rightFromText="180" w:vertAnchor="text" w:horzAnchor="page" w:tblpX="1126" w:tblpY="99"/>
        <w:tblOverlap w:val="never"/>
        <w:tblW w:w="552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825"/>
        <w:gridCol w:w="6233"/>
        <w:gridCol w:w="963"/>
        <w:gridCol w:w="4821"/>
      </w:tblGrid>
      <w:tr w:rsidR="000233E5" w:rsidRPr="00D514AB" w14:paraId="38F8AFC6" w14:textId="77777777" w:rsidTr="00A17EAF">
        <w:trPr>
          <w:trHeight w:val="381"/>
          <w:tblHeader/>
        </w:trPr>
        <w:tc>
          <w:tcPr>
            <w:tcW w:w="5000" w:type="pct"/>
            <w:gridSpan w:val="4"/>
            <w:shd w:val="clear" w:color="auto" w:fill="7F1416"/>
            <w:vAlign w:val="center"/>
          </w:tcPr>
          <w:p w14:paraId="69ECB56B" w14:textId="60FF26BA" w:rsidR="000233E5" w:rsidRPr="00D514AB" w:rsidRDefault="000233E5" w:rsidP="00A17EAF">
            <w:pPr>
              <w:keepNext/>
              <w:spacing w:before="60" w:after="60"/>
              <w:jc w:val="both"/>
              <w:outlineLvl w:val="3"/>
              <w:rPr>
                <w:b/>
                <w:color w:val="FFFFFF"/>
                <w:sz w:val="22"/>
                <w:szCs w:val="22"/>
                <w:lang w:val="en-GB"/>
              </w:rPr>
            </w:pPr>
            <w:r w:rsidRPr="00D514AB">
              <w:rPr>
                <w:b/>
                <w:color w:val="FFFFFF"/>
                <w:sz w:val="22"/>
                <w:szCs w:val="22"/>
                <w:lang w:val="en-GB"/>
              </w:rPr>
              <w:t>Cluster Coordination Performance Monitoring</w:t>
            </w:r>
            <w:r w:rsidR="00A17EAF">
              <w:rPr>
                <w:b/>
                <w:color w:val="FFFFFF"/>
                <w:sz w:val="22"/>
                <w:szCs w:val="22"/>
                <w:lang w:val="en-GB"/>
              </w:rPr>
              <w:t xml:space="preserve"> 2020</w:t>
            </w:r>
          </w:p>
        </w:tc>
      </w:tr>
      <w:tr w:rsidR="00784369" w:rsidRPr="00D514AB" w14:paraId="37C9406F" w14:textId="77777777" w:rsidTr="00A17EAF">
        <w:trPr>
          <w:trHeight w:val="403"/>
          <w:tblHeader/>
        </w:trPr>
        <w:tc>
          <w:tcPr>
            <w:tcW w:w="952" w:type="pct"/>
            <w:shd w:val="clear" w:color="auto" w:fill="E5D0D0"/>
            <w:vAlign w:val="center"/>
          </w:tcPr>
          <w:p w14:paraId="377C19F8" w14:textId="66613762" w:rsidR="000233E5" w:rsidRPr="00D514AB" w:rsidRDefault="000233E5" w:rsidP="00A17EAF">
            <w:pPr>
              <w:keepNext/>
              <w:spacing w:before="60" w:after="60"/>
              <w:jc w:val="both"/>
              <w:outlineLvl w:val="3"/>
              <w:rPr>
                <w:color w:val="000000"/>
                <w:sz w:val="20"/>
                <w:szCs w:val="20"/>
                <w:lang w:val="en-GB"/>
              </w:rPr>
            </w:pPr>
            <w:r w:rsidRPr="00D514AB">
              <w:rPr>
                <w:color w:val="000000"/>
                <w:sz w:val="20"/>
                <w:szCs w:val="20"/>
                <w:lang w:val="en-GB"/>
              </w:rPr>
              <w:t>Date</w:t>
            </w:r>
            <w:r w:rsidR="00761FD3" w:rsidRPr="00D514AB">
              <w:rPr>
                <w:color w:val="000000"/>
                <w:sz w:val="20"/>
                <w:szCs w:val="20"/>
                <w:lang w:val="en-GB"/>
              </w:rPr>
              <w:t xml:space="preserve"> of the </w:t>
            </w:r>
            <w:r w:rsidR="006D0D11" w:rsidRPr="00D514AB">
              <w:rPr>
                <w:color w:val="000000"/>
                <w:sz w:val="20"/>
                <w:szCs w:val="20"/>
                <w:lang w:val="en-GB"/>
              </w:rPr>
              <w:t>first meeting</w:t>
            </w:r>
            <w:r w:rsidRPr="00D514AB">
              <w:rPr>
                <w:color w:val="000000"/>
                <w:sz w:val="20"/>
                <w:szCs w:val="20"/>
                <w:lang w:val="en-GB"/>
              </w:rPr>
              <w:t xml:space="preserve">:  </w:t>
            </w:r>
          </w:p>
        </w:tc>
        <w:tc>
          <w:tcPr>
            <w:tcW w:w="2100" w:type="pct"/>
            <w:vAlign w:val="center"/>
          </w:tcPr>
          <w:p w14:paraId="2EFD0D2C" w14:textId="3898F0DE" w:rsidR="000233E5" w:rsidRPr="00D514AB" w:rsidRDefault="000233E5" w:rsidP="00A17EAF">
            <w:pPr>
              <w:keepNext/>
              <w:spacing w:before="60" w:after="60"/>
              <w:jc w:val="both"/>
              <w:outlineLvl w:val="3"/>
              <w:rPr>
                <w:sz w:val="20"/>
                <w:szCs w:val="20"/>
                <w:lang w:val="en-GB"/>
              </w:rPr>
            </w:pPr>
          </w:p>
        </w:tc>
        <w:tc>
          <w:tcPr>
            <w:tcW w:w="324" w:type="pct"/>
            <w:shd w:val="clear" w:color="auto" w:fill="E5D0D0"/>
            <w:vAlign w:val="center"/>
          </w:tcPr>
          <w:p w14:paraId="3CEF0ECD" w14:textId="77777777" w:rsidR="000233E5" w:rsidRPr="00D514AB" w:rsidRDefault="000233E5" w:rsidP="00A17EAF">
            <w:pPr>
              <w:keepNext/>
              <w:spacing w:before="60" w:after="60"/>
              <w:jc w:val="both"/>
              <w:outlineLvl w:val="3"/>
              <w:rPr>
                <w:sz w:val="20"/>
                <w:szCs w:val="20"/>
                <w:lang w:val="en-GB"/>
              </w:rPr>
            </w:pPr>
            <w:r w:rsidRPr="00D514AB">
              <w:rPr>
                <w:sz w:val="20"/>
                <w:szCs w:val="20"/>
                <w:lang w:val="en-GB"/>
              </w:rPr>
              <w:t>Time:</w:t>
            </w:r>
          </w:p>
        </w:tc>
        <w:tc>
          <w:tcPr>
            <w:tcW w:w="1624" w:type="pct"/>
            <w:vAlign w:val="center"/>
          </w:tcPr>
          <w:p w14:paraId="3A17A2B1" w14:textId="77777777" w:rsidR="000233E5" w:rsidRPr="00D514AB" w:rsidRDefault="000233E5" w:rsidP="00A17EAF">
            <w:pPr>
              <w:keepNext/>
              <w:spacing w:before="60" w:after="60"/>
              <w:jc w:val="both"/>
              <w:outlineLvl w:val="3"/>
              <w:rPr>
                <w:sz w:val="20"/>
                <w:szCs w:val="20"/>
                <w:lang w:val="en-GB"/>
              </w:rPr>
            </w:pPr>
            <w:r w:rsidRPr="00D514AB">
              <w:rPr>
                <w:sz w:val="20"/>
                <w:szCs w:val="20"/>
                <w:lang w:val="en-GB"/>
              </w:rPr>
              <w:t xml:space="preserve">14:00 </w:t>
            </w:r>
          </w:p>
        </w:tc>
      </w:tr>
      <w:tr w:rsidR="00784369" w:rsidRPr="00D514AB" w14:paraId="335F2C7A" w14:textId="77777777" w:rsidTr="00A17EAF">
        <w:trPr>
          <w:trHeight w:val="417"/>
          <w:tblHeader/>
        </w:trPr>
        <w:tc>
          <w:tcPr>
            <w:tcW w:w="952" w:type="pct"/>
            <w:tcBorders>
              <w:bottom w:val="single" w:sz="4" w:space="0" w:color="auto"/>
            </w:tcBorders>
            <w:shd w:val="clear" w:color="auto" w:fill="E5D0D0"/>
            <w:vAlign w:val="center"/>
          </w:tcPr>
          <w:p w14:paraId="3EB9BDE3" w14:textId="7C518CD7" w:rsidR="000233E5" w:rsidRPr="00D514AB" w:rsidRDefault="00761FD3" w:rsidP="00A17EAF">
            <w:pPr>
              <w:keepNext/>
              <w:spacing w:before="60" w:after="60"/>
              <w:jc w:val="both"/>
              <w:outlineLvl w:val="3"/>
              <w:rPr>
                <w:color w:val="000000"/>
                <w:sz w:val="20"/>
                <w:szCs w:val="20"/>
                <w:lang w:val="en-GB"/>
              </w:rPr>
            </w:pPr>
            <w:r w:rsidRPr="00D514AB">
              <w:rPr>
                <w:color w:val="000000"/>
                <w:sz w:val="20"/>
                <w:szCs w:val="20"/>
                <w:lang w:val="en-GB"/>
              </w:rPr>
              <w:t>Participants</w:t>
            </w:r>
            <w:r w:rsidR="000233E5" w:rsidRPr="00D514AB">
              <w:rPr>
                <w:color w:val="000000"/>
                <w:sz w:val="20"/>
                <w:szCs w:val="20"/>
                <w:lang w:val="en-GB"/>
              </w:rPr>
              <w:t>:</w:t>
            </w:r>
          </w:p>
        </w:tc>
        <w:tc>
          <w:tcPr>
            <w:tcW w:w="2100" w:type="pct"/>
            <w:tcBorders>
              <w:bottom w:val="single" w:sz="4" w:space="0" w:color="auto"/>
            </w:tcBorders>
            <w:vAlign w:val="center"/>
          </w:tcPr>
          <w:p w14:paraId="76B685F4" w14:textId="6CCC4C8F" w:rsidR="000233E5" w:rsidRPr="00A17EAF" w:rsidRDefault="000233E5" w:rsidP="00A17EAF">
            <w:pPr>
              <w:keepNext/>
              <w:spacing w:before="60" w:after="60"/>
              <w:jc w:val="both"/>
              <w:outlineLvl w:val="3"/>
              <w:rPr>
                <w:sz w:val="22"/>
                <w:szCs w:val="22"/>
                <w:lang w:val="en-GB"/>
              </w:rPr>
            </w:pPr>
          </w:p>
        </w:tc>
        <w:tc>
          <w:tcPr>
            <w:tcW w:w="324" w:type="pct"/>
            <w:tcBorders>
              <w:bottom w:val="single" w:sz="4" w:space="0" w:color="auto"/>
            </w:tcBorders>
            <w:shd w:val="clear" w:color="auto" w:fill="E5D0D0"/>
            <w:vAlign w:val="center"/>
          </w:tcPr>
          <w:p w14:paraId="533DCF56" w14:textId="77777777" w:rsidR="000233E5" w:rsidRPr="00D514AB" w:rsidRDefault="000233E5" w:rsidP="00A17EAF">
            <w:pPr>
              <w:keepNext/>
              <w:spacing w:before="60" w:after="60"/>
              <w:jc w:val="both"/>
              <w:outlineLvl w:val="3"/>
              <w:rPr>
                <w:sz w:val="20"/>
                <w:szCs w:val="20"/>
                <w:lang w:val="en-GB"/>
              </w:rPr>
            </w:pPr>
            <w:r w:rsidRPr="00D514AB">
              <w:rPr>
                <w:sz w:val="20"/>
                <w:szCs w:val="20"/>
                <w:lang w:val="en-GB"/>
              </w:rPr>
              <w:t>Location:</w:t>
            </w:r>
          </w:p>
        </w:tc>
        <w:tc>
          <w:tcPr>
            <w:tcW w:w="1624" w:type="pct"/>
            <w:tcBorders>
              <w:bottom w:val="single" w:sz="4" w:space="0" w:color="auto"/>
            </w:tcBorders>
            <w:vAlign w:val="center"/>
          </w:tcPr>
          <w:p w14:paraId="0547ED17" w14:textId="77777777" w:rsidR="000233E5" w:rsidRPr="00D514AB" w:rsidRDefault="000233E5" w:rsidP="00A17EAF">
            <w:pPr>
              <w:keepNext/>
              <w:spacing w:before="60" w:after="60"/>
              <w:jc w:val="both"/>
              <w:outlineLvl w:val="3"/>
              <w:rPr>
                <w:sz w:val="20"/>
                <w:szCs w:val="20"/>
                <w:lang w:val="en-GB"/>
              </w:rPr>
            </w:pPr>
            <w:r w:rsidRPr="00D514AB">
              <w:rPr>
                <w:sz w:val="20"/>
                <w:szCs w:val="20"/>
                <w:lang w:val="en-GB"/>
              </w:rPr>
              <w:t xml:space="preserve">UNHCR Office in </w:t>
            </w:r>
            <w:proofErr w:type="spellStart"/>
            <w:r w:rsidRPr="00D514AB">
              <w:rPr>
                <w:sz w:val="20"/>
                <w:szCs w:val="20"/>
                <w:lang w:val="en-GB"/>
              </w:rPr>
              <w:t>Buea</w:t>
            </w:r>
            <w:proofErr w:type="spellEnd"/>
            <w:r w:rsidRPr="00D514AB">
              <w:rPr>
                <w:sz w:val="20"/>
                <w:szCs w:val="20"/>
                <w:lang w:val="en-GB"/>
              </w:rPr>
              <w:t>, SW</w:t>
            </w:r>
          </w:p>
        </w:tc>
      </w:tr>
      <w:tr w:rsidR="00784369" w:rsidRPr="00D514AB" w14:paraId="48903043" w14:textId="77777777" w:rsidTr="00A17EAF">
        <w:tblPrEx>
          <w:tblBorders>
            <w:insideH w:val="none" w:sz="0" w:space="0" w:color="auto"/>
            <w:insideV w:val="none" w:sz="0" w:space="0" w:color="auto"/>
          </w:tblBorders>
          <w:shd w:val="clear" w:color="auto" w:fill="800080"/>
        </w:tblPrEx>
        <w:trPr>
          <w:trHeight w:val="394"/>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A61C15" w14:textId="0F048F53" w:rsidR="000233E5" w:rsidRPr="00D514AB" w:rsidRDefault="000A5800" w:rsidP="00A17EAF">
            <w:pPr>
              <w:keepNext/>
              <w:spacing w:before="60" w:after="60"/>
              <w:jc w:val="both"/>
              <w:outlineLvl w:val="2"/>
              <w:rPr>
                <w:color w:val="000000" w:themeColor="text1"/>
                <w:sz w:val="20"/>
                <w:szCs w:val="20"/>
                <w:lang w:val="en-GB"/>
              </w:rPr>
            </w:pPr>
            <w:r w:rsidRPr="00D514AB">
              <w:rPr>
                <w:color w:val="000000" w:themeColor="text1"/>
                <w:sz w:val="20"/>
                <w:szCs w:val="20"/>
                <w:lang w:val="en-GB"/>
              </w:rPr>
              <w:t>Description of the monitoring exercise</w:t>
            </w:r>
          </w:p>
        </w:tc>
      </w:tr>
      <w:tr w:rsidR="00A17EAF" w:rsidRPr="00D514AB" w14:paraId="799DAE14" w14:textId="77777777" w:rsidTr="00A17EAF">
        <w:tblPrEx>
          <w:tblBorders>
            <w:insideH w:val="none" w:sz="0" w:space="0" w:color="auto"/>
            <w:insideV w:val="none" w:sz="0" w:space="0" w:color="auto"/>
          </w:tblBorders>
          <w:shd w:val="clear" w:color="auto" w:fill="800080"/>
        </w:tblPrEx>
        <w:trPr>
          <w:trHeight w:val="5438"/>
        </w:trPr>
        <w:tc>
          <w:tcPr>
            <w:tcW w:w="5000" w:type="pct"/>
            <w:gridSpan w:val="4"/>
            <w:tcBorders>
              <w:top w:val="single" w:sz="4" w:space="0" w:color="auto"/>
            </w:tcBorders>
            <w:shd w:val="clear" w:color="auto" w:fill="FFFFFF"/>
          </w:tcPr>
          <w:p w14:paraId="4F528360" w14:textId="74DF67A4" w:rsidR="00A17EAF" w:rsidRPr="00D514AB" w:rsidRDefault="00A17EAF" w:rsidP="00A17EAF">
            <w:pPr>
              <w:spacing w:before="60" w:after="60"/>
              <w:ind w:left="360"/>
              <w:jc w:val="both"/>
              <w:rPr>
                <w:sz w:val="20"/>
                <w:szCs w:val="20"/>
                <w:lang w:val="en-GB"/>
              </w:rPr>
            </w:pPr>
            <w:r w:rsidRPr="00D514AB">
              <w:rPr>
                <w:sz w:val="20"/>
                <w:szCs w:val="20"/>
                <w:lang w:val="en-GB"/>
              </w:rPr>
              <w:t>To this first meeting, only a total of 15 members were invited in order to create the conditions for the discussion among all the participants about each one of the topics, allowing them to provide feedback in the most participatory possible way.</w:t>
            </w:r>
          </w:p>
          <w:p w14:paraId="4C30A491" w14:textId="6F988B00" w:rsidR="00A17EAF" w:rsidRDefault="00A17EAF" w:rsidP="00A17EAF">
            <w:pPr>
              <w:spacing w:before="60" w:after="60"/>
              <w:ind w:left="360"/>
              <w:jc w:val="both"/>
              <w:rPr>
                <w:sz w:val="20"/>
                <w:szCs w:val="20"/>
                <w:lang w:val="en-GB"/>
              </w:rPr>
            </w:pPr>
            <w:r w:rsidRPr="00D514AB">
              <w:rPr>
                <w:sz w:val="20"/>
                <w:szCs w:val="20"/>
                <w:lang w:val="en-GB"/>
              </w:rPr>
              <w:t xml:space="preserve">They were all the SAG members (7), 6 organizations selected due to their constant participation since the activation of the cluster, 2 organizations chosen by the plenary during the previous Shelter Cluster Coordination meeting, when the CCPM was announced and </w:t>
            </w:r>
            <w:r>
              <w:rPr>
                <w:sz w:val="20"/>
                <w:szCs w:val="20"/>
                <w:lang w:val="en-GB"/>
              </w:rPr>
              <w:t>explained.</w:t>
            </w:r>
          </w:p>
          <w:p w14:paraId="1C0C8DEA" w14:textId="59E2A3C7" w:rsidR="00A17EAF" w:rsidRDefault="00A17EAF" w:rsidP="00A17EAF">
            <w:pPr>
              <w:spacing w:before="60" w:after="60"/>
              <w:ind w:left="360"/>
              <w:jc w:val="both"/>
              <w:rPr>
                <w:sz w:val="20"/>
                <w:szCs w:val="20"/>
                <w:lang w:val="en-GB"/>
              </w:rPr>
            </w:pPr>
            <w:r>
              <w:rPr>
                <w:sz w:val="20"/>
                <w:szCs w:val="20"/>
                <w:lang w:val="en-GB"/>
              </w:rPr>
              <w:t>Since this performance monitoring exercise was done 3 months after the activation of the cluster and some of the organizations were working in a humanitarian response for the first time (local NGOs in these regions have been mainly working in development), the participants were briefed on the CCPM process, the cluster core functions, the services corresponding to each one of them and examples of the deliverables.</w:t>
            </w:r>
          </w:p>
          <w:p w14:paraId="0D71DCE5" w14:textId="5F0D599B" w:rsidR="00A17EAF" w:rsidRDefault="00A17EAF" w:rsidP="00A17EAF">
            <w:pPr>
              <w:spacing w:before="60" w:after="60"/>
              <w:ind w:left="360"/>
              <w:jc w:val="both"/>
              <w:rPr>
                <w:sz w:val="20"/>
                <w:szCs w:val="20"/>
                <w:lang w:val="en-GB"/>
              </w:rPr>
            </w:pPr>
            <w:r>
              <w:rPr>
                <w:sz w:val="20"/>
                <w:szCs w:val="20"/>
                <w:lang w:val="en-GB"/>
              </w:rPr>
              <w:t>After that, the matrix with the core functions, services and deliverables was projected on the room and the plenary evaluated as a group each of the parts and expressed their comments and recommendations. Since the evaluation of the core function in abstract was a little bit hard for them given the moment on the emergency response, the evaluation was done backwards, starting the discussion by the deliverables (discussing the status of them: done, not done, planned, not planned, ongoing, not ongoing, not applicable at this moment), then evaluating the services and finally the general evaluation for the core function (all this information in the excel file, in this report it has been only taken the core function evaluation, comments and recommendations).</w:t>
            </w:r>
          </w:p>
          <w:p w14:paraId="0B9EF93D" w14:textId="77777777" w:rsidR="00A17EAF" w:rsidRDefault="00A17EAF" w:rsidP="00A17EAF">
            <w:pPr>
              <w:spacing w:before="60" w:after="60"/>
              <w:ind w:left="360"/>
              <w:jc w:val="both"/>
              <w:rPr>
                <w:sz w:val="20"/>
                <w:szCs w:val="20"/>
                <w:lang w:val="en-GB"/>
              </w:rPr>
            </w:pPr>
            <w:r>
              <w:rPr>
                <w:sz w:val="20"/>
                <w:szCs w:val="20"/>
                <w:lang w:val="en-GB"/>
              </w:rPr>
              <w:t>Given the absence of some of the SAG members in the meeting, the result of that meeting was circulated by mail among all of them for feedback. We got some feedback and new comments and recommendations that were included in the matrix.</w:t>
            </w:r>
            <w:r w:rsidRPr="008865E3">
              <w:rPr>
                <w:sz w:val="20"/>
                <w:szCs w:val="20"/>
                <w:lang w:val="en-GB"/>
              </w:rPr>
              <w:t xml:space="preserve"> </w:t>
            </w:r>
          </w:p>
          <w:p w14:paraId="1FE21CE9" w14:textId="0D68E17C" w:rsidR="00A17EAF" w:rsidRDefault="00A17EAF" w:rsidP="00A17EAF">
            <w:pPr>
              <w:spacing w:before="60" w:after="60"/>
              <w:ind w:left="360"/>
              <w:jc w:val="both"/>
              <w:rPr>
                <w:sz w:val="20"/>
                <w:szCs w:val="20"/>
                <w:lang w:val="en-GB"/>
              </w:rPr>
            </w:pPr>
            <w:r w:rsidRPr="008865E3">
              <w:rPr>
                <w:sz w:val="20"/>
                <w:szCs w:val="20"/>
                <w:lang w:val="en-GB"/>
              </w:rPr>
              <w:t xml:space="preserve">The </w:t>
            </w:r>
            <w:r>
              <w:rPr>
                <w:sz w:val="20"/>
                <w:szCs w:val="20"/>
                <w:lang w:val="en-GB"/>
              </w:rPr>
              <w:t xml:space="preserve">results of the CCPM were presented to all the shelter cluster partners in the following meeting and again there were some comments and feedback about it. </w:t>
            </w:r>
          </w:p>
          <w:p w14:paraId="407BE4DF" w14:textId="77777777" w:rsidR="00A17EAF" w:rsidRDefault="00A17EAF" w:rsidP="00A17EAF">
            <w:pPr>
              <w:spacing w:before="60" w:after="60"/>
              <w:ind w:left="360"/>
              <w:jc w:val="both"/>
              <w:rPr>
                <w:sz w:val="20"/>
                <w:szCs w:val="20"/>
                <w:lang w:val="en-GB"/>
              </w:rPr>
            </w:pPr>
            <w:r>
              <w:rPr>
                <w:sz w:val="20"/>
                <w:szCs w:val="20"/>
                <w:lang w:val="en-GB"/>
              </w:rPr>
              <w:t xml:space="preserve">The consolidation of a permanent shelter cluster hub in Bamenda to coordinate better the NW response and the need of improving the accountability towards population were highlighted as key general concerns. Monitoring of the response and its challenges were also discussed by the cluster partners. </w:t>
            </w:r>
          </w:p>
          <w:p w14:paraId="6C080AC3" w14:textId="77777777" w:rsidR="00A17EAF" w:rsidRDefault="00A17EAF" w:rsidP="00A17EAF">
            <w:pPr>
              <w:spacing w:before="60" w:after="60"/>
              <w:ind w:left="360"/>
              <w:jc w:val="both"/>
              <w:rPr>
                <w:sz w:val="20"/>
                <w:szCs w:val="20"/>
                <w:lang w:val="en-GB"/>
              </w:rPr>
            </w:pPr>
            <w:r>
              <w:rPr>
                <w:sz w:val="20"/>
                <w:szCs w:val="20"/>
                <w:lang w:val="en-GB"/>
              </w:rPr>
              <w:t xml:space="preserve">The improvement of the advocacy to the government with regards to the </w:t>
            </w:r>
            <w:proofErr w:type="gramStart"/>
            <w:r>
              <w:rPr>
                <w:sz w:val="20"/>
                <w:szCs w:val="20"/>
                <w:lang w:val="en-GB"/>
              </w:rPr>
              <w:t>cash based</w:t>
            </w:r>
            <w:proofErr w:type="gramEnd"/>
            <w:r>
              <w:rPr>
                <w:sz w:val="20"/>
                <w:szCs w:val="20"/>
                <w:lang w:val="en-GB"/>
              </w:rPr>
              <w:t xml:space="preserve"> intervention authorization was also pointed out as important also.</w:t>
            </w:r>
          </w:p>
          <w:p w14:paraId="47148777" w14:textId="0B91CD2F" w:rsidR="00A17EAF" w:rsidRPr="00D514AB" w:rsidRDefault="00A17EAF" w:rsidP="00A17EAF">
            <w:pPr>
              <w:spacing w:before="60" w:after="60"/>
              <w:ind w:left="360"/>
              <w:jc w:val="both"/>
              <w:rPr>
                <w:sz w:val="20"/>
                <w:szCs w:val="20"/>
                <w:lang w:val="en-GB"/>
              </w:rPr>
            </w:pPr>
            <w:r>
              <w:rPr>
                <w:sz w:val="20"/>
                <w:szCs w:val="20"/>
                <w:lang w:val="en-GB"/>
              </w:rPr>
              <w:t>All the information from these two exercises are summarised in the following pages and all the details from the first meeting in the excel file attached.</w:t>
            </w:r>
          </w:p>
        </w:tc>
      </w:tr>
    </w:tbl>
    <w:p w14:paraId="4E732E1A" w14:textId="77777777" w:rsidR="00D476CC" w:rsidRPr="00D514AB" w:rsidRDefault="00D476CC" w:rsidP="00B50D0A">
      <w:pPr>
        <w:rPr>
          <w:sz w:val="10"/>
          <w:szCs w:val="10"/>
          <w:lang w:val="en-GB"/>
        </w:rPr>
      </w:pPr>
    </w:p>
    <w:p w14:paraId="33BC7715" w14:textId="547E303F" w:rsidR="000233E5" w:rsidRPr="00D514AB" w:rsidRDefault="000233E5">
      <w:pPr>
        <w:rPr>
          <w:sz w:val="10"/>
          <w:szCs w:val="10"/>
          <w:lang w:val="en-GB"/>
        </w:rPr>
      </w:pPr>
      <w:r w:rsidRPr="00D514AB">
        <w:rPr>
          <w:sz w:val="10"/>
          <w:szCs w:val="10"/>
          <w:lang w:val="en-GB"/>
        </w:rPr>
        <w:br w:type="page"/>
      </w:r>
    </w:p>
    <w:p w14:paraId="080DCFC9" w14:textId="77777777" w:rsidR="00D476CC" w:rsidRPr="00D514AB" w:rsidRDefault="00D476CC" w:rsidP="00B50D0A">
      <w:pPr>
        <w:rPr>
          <w:sz w:val="10"/>
          <w:szCs w:val="10"/>
          <w:lang w:val="en-GB"/>
        </w:rPr>
      </w:pPr>
    </w:p>
    <w:tbl>
      <w:tblPr>
        <w:tblW w:w="15168" w:type="dxa"/>
        <w:tblInd w:w="-709" w:type="dxa"/>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2270"/>
        <w:gridCol w:w="1133"/>
        <w:gridCol w:w="5811"/>
        <w:gridCol w:w="5954"/>
      </w:tblGrid>
      <w:tr w:rsidR="00D476CC" w:rsidRPr="00D514AB" w14:paraId="6821629C" w14:textId="77777777" w:rsidTr="00784369">
        <w:trPr>
          <w:trHeight w:val="419"/>
        </w:trPr>
        <w:tc>
          <w:tcPr>
            <w:tcW w:w="2270" w:type="dxa"/>
            <w:shd w:val="clear" w:color="000000" w:fill="6A1016"/>
            <w:noWrap/>
            <w:vAlign w:val="bottom"/>
            <w:hideMark/>
          </w:tcPr>
          <w:p w14:paraId="594694BC" w14:textId="77777777" w:rsidR="00D476CC" w:rsidRPr="00D514AB" w:rsidRDefault="00D476CC" w:rsidP="002F64E4">
            <w:pPr>
              <w:keepNext/>
              <w:spacing w:before="60" w:after="60"/>
              <w:jc w:val="both"/>
              <w:outlineLvl w:val="2"/>
              <w:rPr>
                <w:b/>
                <w:color w:val="FFFFFF"/>
                <w:sz w:val="22"/>
                <w:szCs w:val="22"/>
                <w:lang w:val="en-GB"/>
              </w:rPr>
            </w:pPr>
            <w:r w:rsidRPr="00D514AB">
              <w:rPr>
                <w:b/>
                <w:color w:val="FFFFFF"/>
                <w:sz w:val="22"/>
                <w:szCs w:val="22"/>
                <w:lang w:val="en-GB"/>
              </w:rPr>
              <w:t>Core Function</w:t>
            </w:r>
          </w:p>
        </w:tc>
        <w:tc>
          <w:tcPr>
            <w:tcW w:w="1133" w:type="dxa"/>
            <w:shd w:val="clear" w:color="000000" w:fill="6A1016"/>
            <w:vAlign w:val="bottom"/>
            <w:hideMark/>
          </w:tcPr>
          <w:p w14:paraId="03C4E779" w14:textId="57D030EC" w:rsidR="00D476CC" w:rsidRPr="00D514AB" w:rsidRDefault="007218BB" w:rsidP="002F64E4">
            <w:pPr>
              <w:keepNext/>
              <w:spacing w:before="60" w:after="60"/>
              <w:jc w:val="both"/>
              <w:outlineLvl w:val="2"/>
              <w:rPr>
                <w:b/>
                <w:color w:val="FFFFFF"/>
                <w:sz w:val="22"/>
                <w:szCs w:val="22"/>
                <w:lang w:val="en-GB"/>
              </w:rPr>
            </w:pPr>
            <w:r w:rsidRPr="00D514AB">
              <w:rPr>
                <w:b/>
                <w:color w:val="FFFFFF"/>
                <w:sz w:val="22"/>
                <w:szCs w:val="22"/>
                <w:lang w:val="en-GB"/>
              </w:rPr>
              <w:t>Evaluation</w:t>
            </w:r>
          </w:p>
        </w:tc>
        <w:tc>
          <w:tcPr>
            <w:tcW w:w="5811" w:type="dxa"/>
            <w:shd w:val="clear" w:color="000000" w:fill="6A1016"/>
            <w:noWrap/>
            <w:vAlign w:val="bottom"/>
            <w:hideMark/>
          </w:tcPr>
          <w:p w14:paraId="33F0CFCB" w14:textId="77777777" w:rsidR="00D476CC" w:rsidRPr="00D514AB" w:rsidRDefault="00D476CC" w:rsidP="002F64E4">
            <w:pPr>
              <w:keepNext/>
              <w:spacing w:before="60" w:after="60"/>
              <w:jc w:val="both"/>
              <w:outlineLvl w:val="2"/>
              <w:rPr>
                <w:b/>
                <w:color w:val="FFFFFF"/>
                <w:sz w:val="22"/>
                <w:szCs w:val="22"/>
                <w:lang w:val="en-GB"/>
              </w:rPr>
            </w:pPr>
            <w:r w:rsidRPr="00D514AB">
              <w:rPr>
                <w:b/>
                <w:color w:val="FFFFFF"/>
                <w:sz w:val="22"/>
                <w:szCs w:val="22"/>
                <w:lang w:val="en-GB"/>
              </w:rPr>
              <w:t>Comments</w:t>
            </w:r>
          </w:p>
        </w:tc>
        <w:tc>
          <w:tcPr>
            <w:tcW w:w="5954" w:type="dxa"/>
            <w:shd w:val="clear" w:color="000000" w:fill="6A1016"/>
            <w:vAlign w:val="bottom"/>
            <w:hideMark/>
          </w:tcPr>
          <w:p w14:paraId="3860797C" w14:textId="77777777" w:rsidR="00D476CC" w:rsidRPr="00D514AB" w:rsidRDefault="00D476CC" w:rsidP="002F64E4">
            <w:pPr>
              <w:keepNext/>
              <w:spacing w:before="60" w:after="60"/>
              <w:jc w:val="both"/>
              <w:outlineLvl w:val="2"/>
              <w:rPr>
                <w:b/>
                <w:color w:val="FFFFFF"/>
                <w:sz w:val="22"/>
                <w:szCs w:val="22"/>
                <w:lang w:val="en-GB"/>
              </w:rPr>
            </w:pPr>
            <w:r w:rsidRPr="00D514AB">
              <w:rPr>
                <w:b/>
                <w:color w:val="FFFFFF"/>
                <w:sz w:val="22"/>
                <w:szCs w:val="22"/>
                <w:lang w:val="en-GB"/>
              </w:rPr>
              <w:t>Recommendations</w:t>
            </w:r>
          </w:p>
        </w:tc>
      </w:tr>
      <w:tr w:rsidR="00D476CC" w:rsidRPr="00D514AB" w14:paraId="3011F2A1" w14:textId="77777777" w:rsidTr="000233E5">
        <w:trPr>
          <w:trHeight w:val="360"/>
        </w:trPr>
        <w:tc>
          <w:tcPr>
            <w:tcW w:w="2270" w:type="dxa"/>
            <w:vMerge w:val="restart"/>
            <w:shd w:val="clear" w:color="000000" w:fill="D0CECE"/>
            <w:vAlign w:val="center"/>
            <w:hideMark/>
          </w:tcPr>
          <w:p w14:paraId="63D0EF55"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1. Supporting service delivery</w:t>
            </w:r>
          </w:p>
        </w:tc>
        <w:tc>
          <w:tcPr>
            <w:tcW w:w="1133" w:type="dxa"/>
            <w:vMerge w:val="restart"/>
            <w:shd w:val="clear" w:color="000000" w:fill="FFEB9C"/>
            <w:noWrap/>
            <w:vAlign w:val="center"/>
            <w:hideMark/>
          </w:tcPr>
          <w:p w14:paraId="617A88F6" w14:textId="77777777" w:rsidR="00D476CC" w:rsidRPr="00D514AB" w:rsidRDefault="00D476CC" w:rsidP="00546908">
            <w:pPr>
              <w:jc w:val="center"/>
              <w:rPr>
                <w:rFonts w:ascii="Calibri" w:eastAsia="Times New Roman" w:hAnsi="Calibri" w:cs="Times New Roman"/>
                <w:color w:val="9C6500"/>
                <w:sz w:val="20"/>
                <w:szCs w:val="20"/>
                <w:lang w:val="en-GB" w:eastAsia="es-ES_tradnl"/>
              </w:rPr>
            </w:pPr>
            <w:r w:rsidRPr="00D514AB">
              <w:rPr>
                <w:rFonts w:ascii="Calibri" w:eastAsia="Times New Roman" w:hAnsi="Calibri" w:cs="Times New Roman"/>
                <w:color w:val="9C6500"/>
                <w:sz w:val="20"/>
                <w:szCs w:val="20"/>
                <w:lang w:val="en-GB" w:eastAsia="es-ES_tradnl"/>
              </w:rPr>
              <w:t>satisfactory</w:t>
            </w:r>
          </w:p>
        </w:tc>
        <w:tc>
          <w:tcPr>
            <w:tcW w:w="5811" w:type="dxa"/>
            <w:vMerge w:val="restart"/>
            <w:shd w:val="clear" w:color="000000" w:fill="D0CECE"/>
            <w:hideMark/>
          </w:tcPr>
          <w:p w14:paraId="34E53396"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It is appreciated the cluster coordinator is based in SWNW regions and is a position fully dedicated to coordination, which is perceived as a positive point in favour to the independence.</w:t>
            </w:r>
          </w:p>
          <w:p w14:paraId="57F8E2BF" w14:textId="77777777" w:rsidR="00D476CC" w:rsidRPr="00D514AB" w:rsidRDefault="00D476CC" w:rsidP="00546908">
            <w:pPr>
              <w:rPr>
                <w:rFonts w:ascii="Calibri (Cuerpo)" w:eastAsia="Times New Roman" w:hAnsi="Calibri (Cuerpo)" w:cs="Times New Roman"/>
                <w:color w:val="0070C0"/>
                <w:sz w:val="20"/>
                <w:szCs w:val="20"/>
                <w:lang w:val="en-GB" w:eastAsia="es-ES_tradnl"/>
              </w:rPr>
            </w:pPr>
            <w:r w:rsidRPr="00D514AB">
              <w:rPr>
                <w:rFonts w:ascii="Calibri" w:eastAsia="Times New Roman" w:hAnsi="Calibri" w:cs="Times New Roman"/>
                <w:color w:val="000000"/>
                <w:sz w:val="20"/>
                <w:szCs w:val="20"/>
                <w:lang w:val="en-GB" w:eastAsia="es-ES_tradnl"/>
              </w:rPr>
              <w:t xml:space="preserve">Minutes, </w:t>
            </w:r>
            <w:proofErr w:type="spellStart"/>
            <w:r w:rsidRPr="00D514AB">
              <w:rPr>
                <w:rFonts w:ascii="Calibri" w:eastAsia="Times New Roman" w:hAnsi="Calibri" w:cs="Times New Roman"/>
                <w:color w:val="000000"/>
                <w:sz w:val="20"/>
                <w:szCs w:val="20"/>
                <w:lang w:val="en-GB" w:eastAsia="es-ES_tradnl"/>
              </w:rPr>
              <w:t>ToRs</w:t>
            </w:r>
            <w:proofErr w:type="spellEnd"/>
            <w:r w:rsidRPr="00D514AB">
              <w:rPr>
                <w:rFonts w:ascii="Calibri" w:eastAsia="Times New Roman" w:hAnsi="Calibri" w:cs="Times New Roman"/>
                <w:color w:val="000000"/>
                <w:sz w:val="20"/>
                <w:szCs w:val="20"/>
                <w:lang w:val="en-GB" w:eastAsia="es-ES_tradnl"/>
              </w:rPr>
              <w:t xml:space="preserve"> and key documents can be found at </w:t>
            </w:r>
            <w:hyperlink r:id="rId11" w:history="1">
              <w:r w:rsidRPr="00D514AB">
                <w:rPr>
                  <w:rStyle w:val="Hyperlink"/>
                  <w:rFonts w:ascii="Calibri (Cuerpo)" w:eastAsia="Times New Roman" w:hAnsi="Calibri (Cuerpo)" w:cs="Times New Roman"/>
                  <w:sz w:val="20"/>
                  <w:szCs w:val="20"/>
                  <w:lang w:val="en-GB" w:eastAsia="es-ES_tradnl"/>
                </w:rPr>
                <w:t>https://www.sheltercluster.org/response/cameroon</w:t>
              </w:r>
            </w:hyperlink>
          </w:p>
          <w:p w14:paraId="021FB0C0"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restart"/>
            <w:shd w:val="clear" w:color="000000" w:fill="D0CECE"/>
            <w:hideMark/>
          </w:tcPr>
          <w:p w14:paraId="14CC76CA"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The consolidation of a cluster hub in Bamenda to provide the same level of coordination in the NW, so far very unbalanced compared to the SW. </w:t>
            </w:r>
          </w:p>
          <w:p w14:paraId="02F5F057"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Continue explaining the cluster approach to the new local organizations joining the cluster, specifically in NW, where there have been a much lower presence of the clusters and international humanitarian organizations in general.</w:t>
            </w:r>
          </w:p>
        </w:tc>
      </w:tr>
      <w:tr w:rsidR="00D476CC" w:rsidRPr="00D514AB" w14:paraId="636C42A4" w14:textId="77777777" w:rsidTr="000233E5">
        <w:trPr>
          <w:trHeight w:val="1243"/>
        </w:trPr>
        <w:tc>
          <w:tcPr>
            <w:tcW w:w="2270" w:type="dxa"/>
            <w:vMerge/>
            <w:vAlign w:val="center"/>
            <w:hideMark/>
          </w:tcPr>
          <w:p w14:paraId="3B95C6BC"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7BF5E645" w14:textId="77777777" w:rsidR="00D476CC" w:rsidRPr="00D514AB" w:rsidRDefault="00D476CC" w:rsidP="00546908">
            <w:pPr>
              <w:rPr>
                <w:rFonts w:ascii="Calibri" w:eastAsia="Times New Roman" w:hAnsi="Calibri" w:cs="Times New Roman"/>
                <w:color w:val="9C6500"/>
                <w:sz w:val="20"/>
                <w:szCs w:val="20"/>
                <w:lang w:val="en-GB" w:eastAsia="es-ES_tradnl"/>
              </w:rPr>
            </w:pPr>
          </w:p>
        </w:tc>
        <w:tc>
          <w:tcPr>
            <w:tcW w:w="5811" w:type="dxa"/>
            <w:vMerge/>
            <w:vAlign w:val="center"/>
            <w:hideMark/>
          </w:tcPr>
          <w:p w14:paraId="238FEC50"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63698DA8"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694B39DA" w14:textId="77777777" w:rsidTr="000233E5">
        <w:trPr>
          <w:trHeight w:val="293"/>
        </w:trPr>
        <w:tc>
          <w:tcPr>
            <w:tcW w:w="2270" w:type="dxa"/>
            <w:vMerge/>
            <w:vAlign w:val="center"/>
            <w:hideMark/>
          </w:tcPr>
          <w:p w14:paraId="4B457AE6"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4388A3EB" w14:textId="77777777" w:rsidR="00D476CC" w:rsidRPr="00D514AB" w:rsidRDefault="00D476CC" w:rsidP="00546908">
            <w:pPr>
              <w:rPr>
                <w:rFonts w:ascii="Calibri" w:eastAsia="Times New Roman" w:hAnsi="Calibri" w:cs="Times New Roman"/>
                <w:color w:val="9C6500"/>
                <w:sz w:val="20"/>
                <w:szCs w:val="20"/>
                <w:lang w:val="en-GB" w:eastAsia="es-ES_tradnl"/>
              </w:rPr>
            </w:pPr>
          </w:p>
        </w:tc>
        <w:tc>
          <w:tcPr>
            <w:tcW w:w="5811" w:type="dxa"/>
            <w:vMerge w:val="restart"/>
            <w:shd w:val="clear" w:color="000000" w:fill="D0CECE"/>
            <w:hideMark/>
          </w:tcPr>
          <w:p w14:paraId="6C054A75" w14:textId="77777777" w:rsidR="00D476CC" w:rsidRPr="00D514AB" w:rsidRDefault="00D476CC" w:rsidP="00546908">
            <w:pPr>
              <w:rPr>
                <w:rFonts w:ascii="Calibri (Cuerpo)" w:eastAsia="Times New Roman" w:hAnsi="Calibri (Cuerpo)" w:cs="Times New Roman"/>
                <w:color w:val="0070C0"/>
                <w:sz w:val="20"/>
                <w:szCs w:val="20"/>
                <w:lang w:val="en-GB" w:eastAsia="es-ES_tradnl"/>
              </w:rPr>
            </w:pPr>
            <w:r w:rsidRPr="00D514AB">
              <w:rPr>
                <w:rFonts w:ascii="Calibri" w:eastAsia="Times New Roman" w:hAnsi="Calibri" w:cs="Times New Roman"/>
                <w:color w:val="000000"/>
                <w:sz w:val="20"/>
                <w:szCs w:val="20"/>
                <w:lang w:val="en-GB" w:eastAsia="es-ES_tradnl"/>
              </w:rPr>
              <w:t xml:space="preserve">4W matrices are frequently updated with information of a higher number of cluster partners each time.                                                         Factsheets are produced in a monthly basis, December 2018 one can be found in: </w:t>
            </w:r>
            <w:hyperlink r:id="rId12" w:history="1">
              <w:r w:rsidRPr="00D514AB">
                <w:rPr>
                  <w:rStyle w:val="Hyperlink"/>
                  <w:rFonts w:ascii="Calibri (Cuerpo)" w:eastAsia="Times New Roman" w:hAnsi="Calibri (Cuerpo)" w:cs="Times New Roman"/>
                  <w:sz w:val="20"/>
                  <w:szCs w:val="20"/>
                  <w:lang w:val="en-GB" w:eastAsia="es-ES_tradnl"/>
                </w:rPr>
                <w:t>https://www.sheltercluster.org/cameroon/documents/factsheetcameroon1812122</w:t>
              </w:r>
            </w:hyperlink>
          </w:p>
          <w:p w14:paraId="22064D69" w14:textId="77777777" w:rsidR="00D476CC" w:rsidRPr="00D514AB" w:rsidRDefault="00D476CC" w:rsidP="00546908">
            <w:pPr>
              <w:rPr>
                <w:rFonts w:ascii="Calibri (Cuerpo)" w:eastAsia="Times New Roman" w:hAnsi="Calibri (Cuerpo)" w:cs="Times New Roman"/>
                <w:color w:val="0070C0"/>
                <w:sz w:val="20"/>
                <w:szCs w:val="20"/>
                <w:lang w:val="en-GB" w:eastAsia="es-ES_tradnl"/>
              </w:rPr>
            </w:pPr>
            <w:r w:rsidRPr="00D514AB">
              <w:rPr>
                <w:rFonts w:ascii="Calibri" w:eastAsia="Times New Roman" w:hAnsi="Calibri" w:cs="Times New Roman"/>
                <w:color w:val="000000"/>
                <w:sz w:val="20"/>
                <w:szCs w:val="20"/>
                <w:lang w:val="en-GB" w:eastAsia="es-ES_tradnl"/>
              </w:rPr>
              <w:t xml:space="preserve">Analysis products are ongoing (Presence map available at: </w:t>
            </w:r>
            <w:hyperlink r:id="rId13" w:history="1">
              <w:r w:rsidRPr="00D514AB">
                <w:rPr>
                  <w:rStyle w:val="Hyperlink"/>
                  <w:rFonts w:ascii="Calibri (Cuerpo)" w:eastAsia="Times New Roman" w:hAnsi="Calibri (Cuerpo)" w:cs="Times New Roman"/>
                  <w:sz w:val="20"/>
                  <w:szCs w:val="20"/>
                  <w:lang w:val="en-GB" w:eastAsia="es-ES_tradnl"/>
                </w:rPr>
                <w:t>https://www.sheltercluster.org/sites/default/files/docs/nw_sw_presence_map_complete_copy.pdf</w:t>
              </w:r>
            </w:hyperlink>
          </w:p>
          <w:p w14:paraId="66D485FD"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restart"/>
            <w:shd w:val="clear" w:color="000000" w:fill="D0CECE"/>
            <w:hideMark/>
          </w:tcPr>
          <w:p w14:paraId="02253ABE"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Keep the subdivision level as the maximum level of detail for analysis products shared widely, for security reasons, as it has been done so far. More analysis products would be appreciated to understand better the progress on the activities and the gaps in the response, in order to support the strategic planning of the shelter cluster partners.                                                                      A fully dedicated IMO for the shelter cluster would be able to continue with the work the previous shelter cluster IMO was doing, specially to produce these analysis products. </w:t>
            </w:r>
          </w:p>
        </w:tc>
      </w:tr>
      <w:tr w:rsidR="00D476CC" w:rsidRPr="00D514AB" w14:paraId="00ADAB6E" w14:textId="77777777" w:rsidTr="000233E5">
        <w:trPr>
          <w:trHeight w:val="293"/>
        </w:trPr>
        <w:tc>
          <w:tcPr>
            <w:tcW w:w="2270" w:type="dxa"/>
            <w:vMerge/>
            <w:vAlign w:val="center"/>
            <w:hideMark/>
          </w:tcPr>
          <w:p w14:paraId="05F74E32"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7B7F9127" w14:textId="77777777" w:rsidR="00D476CC" w:rsidRPr="00D514AB" w:rsidRDefault="00D476CC" w:rsidP="00546908">
            <w:pPr>
              <w:rPr>
                <w:rFonts w:ascii="Calibri" w:eastAsia="Times New Roman" w:hAnsi="Calibri" w:cs="Times New Roman"/>
                <w:color w:val="9C6500"/>
                <w:sz w:val="20"/>
                <w:szCs w:val="20"/>
                <w:lang w:val="en-GB" w:eastAsia="es-ES_tradnl"/>
              </w:rPr>
            </w:pPr>
          </w:p>
        </w:tc>
        <w:tc>
          <w:tcPr>
            <w:tcW w:w="5811" w:type="dxa"/>
            <w:vMerge/>
            <w:vAlign w:val="center"/>
            <w:hideMark/>
          </w:tcPr>
          <w:p w14:paraId="67F07FD3"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1064A8D5"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6818B142" w14:textId="77777777" w:rsidTr="000233E5">
        <w:trPr>
          <w:trHeight w:val="1773"/>
        </w:trPr>
        <w:tc>
          <w:tcPr>
            <w:tcW w:w="2270" w:type="dxa"/>
            <w:vMerge/>
            <w:vAlign w:val="center"/>
            <w:hideMark/>
          </w:tcPr>
          <w:p w14:paraId="21964958"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1D887928" w14:textId="77777777" w:rsidR="00D476CC" w:rsidRPr="00D514AB" w:rsidRDefault="00D476CC" w:rsidP="00546908">
            <w:pPr>
              <w:rPr>
                <w:rFonts w:ascii="Calibri" w:eastAsia="Times New Roman" w:hAnsi="Calibri" w:cs="Times New Roman"/>
                <w:color w:val="9C6500"/>
                <w:sz w:val="20"/>
                <w:szCs w:val="20"/>
                <w:lang w:val="en-GB" w:eastAsia="es-ES_tradnl"/>
              </w:rPr>
            </w:pPr>
          </w:p>
        </w:tc>
        <w:tc>
          <w:tcPr>
            <w:tcW w:w="5811" w:type="dxa"/>
            <w:vMerge/>
            <w:vAlign w:val="center"/>
            <w:hideMark/>
          </w:tcPr>
          <w:p w14:paraId="179CBDC0"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73283225"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3B5A43C9" w14:textId="77777777" w:rsidTr="000233E5">
        <w:trPr>
          <w:trHeight w:val="293"/>
        </w:trPr>
        <w:tc>
          <w:tcPr>
            <w:tcW w:w="2270" w:type="dxa"/>
            <w:vMerge/>
            <w:vAlign w:val="center"/>
            <w:hideMark/>
          </w:tcPr>
          <w:p w14:paraId="1655244B"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5B5E19A0" w14:textId="77777777" w:rsidR="00D476CC" w:rsidRPr="00D514AB" w:rsidRDefault="00D476CC" w:rsidP="00546908">
            <w:pPr>
              <w:rPr>
                <w:rFonts w:ascii="Calibri" w:eastAsia="Times New Roman" w:hAnsi="Calibri" w:cs="Times New Roman"/>
                <w:color w:val="9C6500"/>
                <w:sz w:val="20"/>
                <w:szCs w:val="20"/>
                <w:lang w:val="en-GB" w:eastAsia="es-ES_tradnl"/>
              </w:rPr>
            </w:pPr>
          </w:p>
        </w:tc>
        <w:tc>
          <w:tcPr>
            <w:tcW w:w="5811" w:type="dxa"/>
            <w:vMerge w:val="restart"/>
            <w:shd w:val="clear" w:color="000000" w:fill="D0CECE"/>
            <w:hideMark/>
          </w:tcPr>
          <w:p w14:paraId="4409FACC"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The coordination with the national actors given the nature of the response has been </w:t>
            </w:r>
            <w:r w:rsidRPr="00D514AB">
              <w:rPr>
                <w:rFonts w:ascii="Calibri (Cuerpo)" w:eastAsia="Times New Roman" w:hAnsi="Calibri (Cuerpo)" w:cs="Times New Roman"/>
                <w:color w:val="000000"/>
                <w:sz w:val="20"/>
                <w:szCs w:val="20"/>
                <w:lang w:val="en-GB" w:eastAsia="es-ES_tradnl"/>
              </w:rPr>
              <w:t>very constrained.</w:t>
            </w:r>
          </w:p>
        </w:tc>
        <w:tc>
          <w:tcPr>
            <w:tcW w:w="5954" w:type="dxa"/>
            <w:vMerge w:val="restart"/>
            <w:shd w:val="clear" w:color="000000" w:fill="D0CECE"/>
            <w:hideMark/>
          </w:tcPr>
          <w:p w14:paraId="4DE73E9F"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Strengthen the coordination with the national actors, currently led by OCHA, but independently to the current coordination meetings.</w:t>
            </w:r>
          </w:p>
        </w:tc>
      </w:tr>
      <w:tr w:rsidR="00D476CC" w:rsidRPr="00D514AB" w14:paraId="50B74671" w14:textId="77777777" w:rsidTr="000233E5">
        <w:trPr>
          <w:trHeight w:val="293"/>
        </w:trPr>
        <w:tc>
          <w:tcPr>
            <w:tcW w:w="2270" w:type="dxa"/>
            <w:vMerge/>
            <w:vAlign w:val="center"/>
            <w:hideMark/>
          </w:tcPr>
          <w:p w14:paraId="10E750B0"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150F1B2D" w14:textId="77777777" w:rsidR="00D476CC" w:rsidRPr="00D514AB" w:rsidRDefault="00D476CC" w:rsidP="00546908">
            <w:pPr>
              <w:rPr>
                <w:rFonts w:ascii="Calibri" w:eastAsia="Times New Roman" w:hAnsi="Calibri" w:cs="Times New Roman"/>
                <w:color w:val="9C6500"/>
                <w:sz w:val="20"/>
                <w:szCs w:val="20"/>
                <w:lang w:val="en-GB" w:eastAsia="es-ES_tradnl"/>
              </w:rPr>
            </w:pPr>
          </w:p>
        </w:tc>
        <w:tc>
          <w:tcPr>
            <w:tcW w:w="5811" w:type="dxa"/>
            <w:vMerge/>
            <w:vAlign w:val="center"/>
            <w:hideMark/>
          </w:tcPr>
          <w:p w14:paraId="7F923967"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27B11D21"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68C6FF3B" w14:textId="77777777" w:rsidTr="000233E5">
        <w:trPr>
          <w:trHeight w:val="293"/>
        </w:trPr>
        <w:tc>
          <w:tcPr>
            <w:tcW w:w="2270" w:type="dxa"/>
            <w:vMerge w:val="restart"/>
            <w:shd w:val="clear" w:color="auto" w:fill="auto"/>
            <w:vAlign w:val="center"/>
            <w:hideMark/>
          </w:tcPr>
          <w:p w14:paraId="22163385"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2. Informing HC/HCT strategic decision-making</w:t>
            </w:r>
          </w:p>
        </w:tc>
        <w:tc>
          <w:tcPr>
            <w:tcW w:w="1133" w:type="dxa"/>
            <w:vMerge w:val="restart"/>
            <w:shd w:val="clear" w:color="000000" w:fill="FFEB9C"/>
            <w:noWrap/>
            <w:vAlign w:val="center"/>
            <w:hideMark/>
          </w:tcPr>
          <w:p w14:paraId="48C34052" w14:textId="77777777" w:rsidR="00D476CC" w:rsidRPr="00D514AB" w:rsidRDefault="00D476CC" w:rsidP="00546908">
            <w:pPr>
              <w:jc w:val="center"/>
              <w:rPr>
                <w:rFonts w:ascii="Calibri" w:eastAsia="Times New Roman" w:hAnsi="Calibri" w:cs="Times New Roman"/>
                <w:color w:val="9C6500"/>
                <w:sz w:val="20"/>
                <w:szCs w:val="20"/>
                <w:lang w:val="en-GB" w:eastAsia="es-ES_tradnl"/>
              </w:rPr>
            </w:pPr>
            <w:r w:rsidRPr="00D514AB">
              <w:rPr>
                <w:rFonts w:ascii="Calibri" w:eastAsia="Times New Roman" w:hAnsi="Calibri" w:cs="Times New Roman"/>
                <w:color w:val="9C6500"/>
                <w:sz w:val="20"/>
                <w:szCs w:val="20"/>
                <w:lang w:val="en-GB" w:eastAsia="es-ES_tradnl"/>
              </w:rPr>
              <w:t>satisfactory</w:t>
            </w:r>
          </w:p>
        </w:tc>
        <w:tc>
          <w:tcPr>
            <w:tcW w:w="5811" w:type="dxa"/>
            <w:vMerge w:val="restart"/>
            <w:shd w:val="clear" w:color="auto" w:fill="auto"/>
            <w:hideMark/>
          </w:tcPr>
          <w:p w14:paraId="05875CD0"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Shelter/NFI and WASH Joint Needs Assessment performed in December 2018. Inter-cluster capacity mapping of the local partners ongoing.</w:t>
            </w:r>
          </w:p>
        </w:tc>
        <w:tc>
          <w:tcPr>
            <w:tcW w:w="5954" w:type="dxa"/>
            <w:vMerge w:val="restart"/>
            <w:shd w:val="clear" w:color="auto" w:fill="auto"/>
            <w:hideMark/>
          </w:tcPr>
          <w:p w14:paraId="350054EE"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For future needs assessments, an approach that could provide a deeper level of detail than the key informant approach would be recommended. Household level assessment are desired wherever are feasible to conduct them. Better assuring the surveyed population is </w:t>
            </w:r>
            <w:r w:rsidRPr="00D514AB">
              <w:rPr>
                <w:rFonts w:ascii="Calibri (Cuerpo)" w:eastAsia="Times New Roman" w:hAnsi="Calibri (Cuerpo)" w:cs="Times New Roman"/>
                <w:color w:val="000000"/>
                <w:sz w:val="20"/>
                <w:szCs w:val="20"/>
                <w:lang w:val="en-GB" w:eastAsia="es-ES_tradnl"/>
              </w:rPr>
              <w:t>gender balanced is also recommended.</w:t>
            </w:r>
          </w:p>
        </w:tc>
      </w:tr>
      <w:tr w:rsidR="00D476CC" w:rsidRPr="00D514AB" w14:paraId="00B7909D" w14:textId="77777777" w:rsidTr="000233E5">
        <w:trPr>
          <w:trHeight w:val="293"/>
        </w:trPr>
        <w:tc>
          <w:tcPr>
            <w:tcW w:w="2270" w:type="dxa"/>
            <w:vMerge/>
            <w:vAlign w:val="center"/>
            <w:hideMark/>
          </w:tcPr>
          <w:p w14:paraId="353A734B"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1E65DD90" w14:textId="77777777" w:rsidR="00D476CC" w:rsidRPr="00D514AB" w:rsidRDefault="00D476CC" w:rsidP="00546908">
            <w:pPr>
              <w:rPr>
                <w:rFonts w:ascii="Calibri" w:eastAsia="Times New Roman" w:hAnsi="Calibri" w:cs="Times New Roman"/>
                <w:color w:val="9C6500"/>
                <w:sz w:val="20"/>
                <w:szCs w:val="20"/>
                <w:lang w:val="en-GB" w:eastAsia="es-ES_tradnl"/>
              </w:rPr>
            </w:pPr>
          </w:p>
        </w:tc>
        <w:tc>
          <w:tcPr>
            <w:tcW w:w="5811" w:type="dxa"/>
            <w:vMerge/>
            <w:vAlign w:val="center"/>
            <w:hideMark/>
          </w:tcPr>
          <w:p w14:paraId="44F1A492"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054344EB"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53D0C5F5" w14:textId="77777777" w:rsidTr="000233E5">
        <w:trPr>
          <w:trHeight w:val="851"/>
        </w:trPr>
        <w:tc>
          <w:tcPr>
            <w:tcW w:w="2270" w:type="dxa"/>
            <w:vMerge/>
            <w:vAlign w:val="center"/>
            <w:hideMark/>
          </w:tcPr>
          <w:p w14:paraId="1D339514"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5EEAE307" w14:textId="77777777" w:rsidR="00D476CC" w:rsidRPr="00D514AB" w:rsidRDefault="00D476CC" w:rsidP="00546908">
            <w:pPr>
              <w:rPr>
                <w:rFonts w:ascii="Calibri" w:eastAsia="Times New Roman" w:hAnsi="Calibri" w:cs="Times New Roman"/>
                <w:color w:val="9C6500"/>
                <w:sz w:val="20"/>
                <w:szCs w:val="20"/>
                <w:lang w:val="en-GB" w:eastAsia="es-ES_tradnl"/>
              </w:rPr>
            </w:pPr>
          </w:p>
        </w:tc>
        <w:tc>
          <w:tcPr>
            <w:tcW w:w="5811" w:type="dxa"/>
            <w:vMerge/>
            <w:vAlign w:val="center"/>
            <w:hideMark/>
          </w:tcPr>
          <w:p w14:paraId="741462D0"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4D1FB0DC"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2DC91319" w14:textId="77777777" w:rsidTr="000233E5">
        <w:trPr>
          <w:trHeight w:val="293"/>
        </w:trPr>
        <w:tc>
          <w:tcPr>
            <w:tcW w:w="2270" w:type="dxa"/>
            <w:vMerge w:val="restart"/>
            <w:shd w:val="clear" w:color="000000" w:fill="D0CECE"/>
            <w:vAlign w:val="center"/>
            <w:hideMark/>
          </w:tcPr>
          <w:p w14:paraId="0B472046"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3. Planning and strategy development</w:t>
            </w:r>
          </w:p>
        </w:tc>
        <w:tc>
          <w:tcPr>
            <w:tcW w:w="1133" w:type="dxa"/>
            <w:vMerge w:val="restart"/>
            <w:shd w:val="clear" w:color="000000" w:fill="C6EFCE"/>
            <w:noWrap/>
            <w:vAlign w:val="center"/>
            <w:hideMark/>
          </w:tcPr>
          <w:p w14:paraId="42ADCFDB" w14:textId="77777777" w:rsidR="00D476CC" w:rsidRPr="00D514AB" w:rsidRDefault="00D476CC" w:rsidP="00546908">
            <w:pPr>
              <w:jc w:val="center"/>
              <w:rPr>
                <w:rFonts w:ascii="Calibri" w:eastAsia="Times New Roman" w:hAnsi="Calibri" w:cs="Times New Roman"/>
                <w:color w:val="006100"/>
                <w:sz w:val="20"/>
                <w:szCs w:val="20"/>
                <w:lang w:val="en-GB" w:eastAsia="es-ES_tradnl"/>
              </w:rPr>
            </w:pPr>
            <w:r w:rsidRPr="00D514AB">
              <w:rPr>
                <w:rFonts w:ascii="Calibri" w:eastAsia="Times New Roman" w:hAnsi="Calibri" w:cs="Times New Roman"/>
                <w:color w:val="006100"/>
                <w:sz w:val="20"/>
                <w:szCs w:val="20"/>
                <w:lang w:val="en-GB" w:eastAsia="es-ES_tradnl"/>
              </w:rPr>
              <w:t>good</w:t>
            </w:r>
          </w:p>
        </w:tc>
        <w:tc>
          <w:tcPr>
            <w:tcW w:w="5811" w:type="dxa"/>
            <w:vMerge w:val="restart"/>
            <w:shd w:val="clear" w:color="000000" w:fill="D0CECE"/>
            <w:hideMark/>
          </w:tcPr>
          <w:p w14:paraId="210BE7C4" w14:textId="77777777" w:rsidR="00D476CC" w:rsidRPr="00D514AB" w:rsidRDefault="00D476CC" w:rsidP="00546908">
            <w:pPr>
              <w:rPr>
                <w:rFonts w:ascii="Calibri (Cuerpo)" w:eastAsia="Times New Roman" w:hAnsi="Calibri (Cuerpo)" w:cs="Times New Roman"/>
                <w:color w:val="0070C0"/>
                <w:sz w:val="20"/>
                <w:szCs w:val="20"/>
                <w:lang w:val="en-GB" w:eastAsia="es-ES_tradnl"/>
              </w:rPr>
            </w:pPr>
            <w:r w:rsidRPr="00D514AB">
              <w:rPr>
                <w:rFonts w:ascii="Calibri" w:eastAsia="Times New Roman" w:hAnsi="Calibri" w:cs="Times New Roman"/>
                <w:color w:val="000000"/>
                <w:sz w:val="20"/>
                <w:szCs w:val="20"/>
                <w:lang w:val="en-GB" w:eastAsia="es-ES_tradnl"/>
              </w:rPr>
              <w:t xml:space="preserve">The Shelter Cluster Strategy was developed during a workshop and endorsed the 23-11-2018. Available here: </w:t>
            </w:r>
            <w:hyperlink r:id="rId14" w:history="1">
              <w:r w:rsidRPr="00D514AB">
                <w:rPr>
                  <w:rStyle w:val="Hyperlink"/>
                  <w:rFonts w:ascii="Calibri (Cuerpo)" w:eastAsia="Times New Roman" w:hAnsi="Calibri (Cuerpo)" w:cs="Times New Roman"/>
                  <w:sz w:val="20"/>
                  <w:szCs w:val="20"/>
                  <w:lang w:val="en-GB" w:eastAsia="es-ES_tradnl"/>
                </w:rPr>
                <w:t>https://www.sheltercluster.org/sites/default/files/docs/sc_swnw_cam_sc_strategy.pdf</w:t>
              </w:r>
            </w:hyperlink>
            <w:r w:rsidRPr="00D514AB">
              <w:rPr>
                <w:rFonts w:ascii="Calibri (Cuerpo)" w:eastAsia="Times New Roman" w:hAnsi="Calibri (Cuerpo)" w:cs="Times New Roman"/>
                <w:color w:val="0070C0"/>
                <w:sz w:val="20"/>
                <w:szCs w:val="20"/>
                <w:lang w:val="en-GB" w:eastAsia="es-ES_tradnl"/>
              </w:rPr>
              <w:t>.</w:t>
            </w:r>
          </w:p>
          <w:p w14:paraId="60C7108F" w14:textId="77777777" w:rsidR="00D476CC" w:rsidRPr="00D514AB" w:rsidRDefault="00D476CC" w:rsidP="00546908">
            <w:pPr>
              <w:rPr>
                <w:rFonts w:ascii="Calibri (Cuerpo)" w:eastAsia="Times New Roman" w:hAnsi="Calibri (Cuerpo)" w:cs="Times New Roman"/>
                <w:color w:val="0070C0"/>
                <w:sz w:val="20"/>
                <w:szCs w:val="20"/>
                <w:lang w:val="en-GB" w:eastAsia="es-ES_tradnl"/>
              </w:rPr>
            </w:pPr>
            <w:r w:rsidRPr="00D514AB">
              <w:rPr>
                <w:rFonts w:ascii="Calibri (Cuerpo)" w:eastAsia="Times New Roman" w:hAnsi="Calibri (Cuerpo)" w:cs="Times New Roman"/>
                <w:color w:val="000000"/>
                <w:sz w:val="20"/>
                <w:szCs w:val="20"/>
                <w:lang w:val="en-GB" w:eastAsia="es-ES_tradnl"/>
              </w:rPr>
              <w:t>The SAG contributed to the adaptation of the national HRP shelter and NFI framework to the particularities of the NWSW crisis. HRP-2019 will be launched the 14th of February 2019.</w:t>
            </w:r>
          </w:p>
        </w:tc>
        <w:tc>
          <w:tcPr>
            <w:tcW w:w="5954" w:type="dxa"/>
            <w:vMerge w:val="restart"/>
            <w:shd w:val="clear" w:color="000000" w:fill="D0CECE"/>
            <w:hideMark/>
          </w:tcPr>
          <w:p w14:paraId="4FD32D4B"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Revision of the Shelter Cluster Strategy once published the results of the first round of the DTM and the final report of the Shelter/NFI and WASH Joint Needs Assessment. </w:t>
            </w:r>
          </w:p>
          <w:p w14:paraId="737D6CEF"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In this revision, it would be recommendable to stress harder the strong shelter and NFI needs the self-settled IDPs are facing, especially on hard-to-reach areas and in the worse communicated geographical areas.</w:t>
            </w:r>
          </w:p>
        </w:tc>
      </w:tr>
      <w:tr w:rsidR="00D476CC" w:rsidRPr="00D514AB" w14:paraId="702E33C6" w14:textId="77777777" w:rsidTr="000233E5">
        <w:trPr>
          <w:trHeight w:val="293"/>
        </w:trPr>
        <w:tc>
          <w:tcPr>
            <w:tcW w:w="2270" w:type="dxa"/>
            <w:vMerge/>
            <w:vAlign w:val="center"/>
            <w:hideMark/>
          </w:tcPr>
          <w:p w14:paraId="15EE6CBE"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76CE7383" w14:textId="77777777" w:rsidR="00D476CC" w:rsidRPr="00D514AB" w:rsidRDefault="00D476CC" w:rsidP="00546908">
            <w:pPr>
              <w:rPr>
                <w:rFonts w:ascii="Calibri" w:eastAsia="Times New Roman" w:hAnsi="Calibri" w:cs="Times New Roman"/>
                <w:color w:val="006100"/>
                <w:sz w:val="16"/>
                <w:szCs w:val="16"/>
                <w:lang w:val="en-GB" w:eastAsia="es-ES_tradnl"/>
              </w:rPr>
            </w:pPr>
          </w:p>
        </w:tc>
        <w:tc>
          <w:tcPr>
            <w:tcW w:w="5811" w:type="dxa"/>
            <w:vMerge/>
            <w:vAlign w:val="center"/>
            <w:hideMark/>
          </w:tcPr>
          <w:p w14:paraId="69325529"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4AF9E760"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1E3F81A4" w14:textId="77777777" w:rsidTr="000233E5">
        <w:trPr>
          <w:trHeight w:val="1284"/>
        </w:trPr>
        <w:tc>
          <w:tcPr>
            <w:tcW w:w="2270" w:type="dxa"/>
            <w:vMerge/>
            <w:vAlign w:val="center"/>
            <w:hideMark/>
          </w:tcPr>
          <w:p w14:paraId="37853455"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0C356F08" w14:textId="77777777" w:rsidR="00D476CC" w:rsidRPr="00D514AB" w:rsidRDefault="00D476CC" w:rsidP="00546908">
            <w:pPr>
              <w:rPr>
                <w:rFonts w:ascii="Calibri" w:eastAsia="Times New Roman" w:hAnsi="Calibri" w:cs="Times New Roman"/>
                <w:color w:val="006100"/>
                <w:sz w:val="16"/>
                <w:szCs w:val="16"/>
                <w:lang w:val="en-GB" w:eastAsia="es-ES_tradnl"/>
              </w:rPr>
            </w:pPr>
          </w:p>
        </w:tc>
        <w:tc>
          <w:tcPr>
            <w:tcW w:w="5811" w:type="dxa"/>
            <w:vMerge/>
            <w:vAlign w:val="center"/>
            <w:hideMark/>
          </w:tcPr>
          <w:p w14:paraId="78F14AB0"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5BCB3866"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08EE1041" w14:textId="77777777" w:rsidTr="000233E5">
        <w:trPr>
          <w:trHeight w:val="2422"/>
        </w:trPr>
        <w:tc>
          <w:tcPr>
            <w:tcW w:w="2270" w:type="dxa"/>
            <w:vMerge/>
            <w:vAlign w:val="center"/>
            <w:hideMark/>
          </w:tcPr>
          <w:p w14:paraId="055D293A"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620355D5" w14:textId="77777777" w:rsidR="00D476CC" w:rsidRPr="00D514AB" w:rsidRDefault="00D476CC" w:rsidP="00546908">
            <w:pPr>
              <w:rPr>
                <w:rFonts w:ascii="Calibri" w:eastAsia="Times New Roman" w:hAnsi="Calibri" w:cs="Times New Roman"/>
                <w:color w:val="006100"/>
                <w:sz w:val="16"/>
                <w:szCs w:val="16"/>
                <w:lang w:val="en-GB" w:eastAsia="es-ES_tradnl"/>
              </w:rPr>
            </w:pPr>
          </w:p>
        </w:tc>
        <w:tc>
          <w:tcPr>
            <w:tcW w:w="5811" w:type="dxa"/>
            <w:shd w:val="clear" w:color="000000" w:fill="D0CECE"/>
            <w:hideMark/>
          </w:tcPr>
          <w:p w14:paraId="3500BC53" w14:textId="77777777" w:rsidR="00D476CC" w:rsidRPr="00D514AB" w:rsidRDefault="00D476CC" w:rsidP="00546908">
            <w:pPr>
              <w:rPr>
                <w:rFonts w:ascii="Calibri (Cuerpo)" w:eastAsia="Times New Roman" w:hAnsi="Calibri (Cuerpo)" w:cs="Times New Roman"/>
                <w:color w:val="0070C0"/>
                <w:sz w:val="20"/>
                <w:szCs w:val="20"/>
                <w:lang w:val="en-GB" w:eastAsia="es-ES_tradnl"/>
              </w:rPr>
            </w:pPr>
            <w:r w:rsidRPr="00D514AB">
              <w:rPr>
                <w:rFonts w:ascii="Calibri" w:eastAsia="Times New Roman" w:hAnsi="Calibri" w:cs="Times New Roman"/>
                <w:color w:val="000000"/>
                <w:sz w:val="20"/>
                <w:szCs w:val="20"/>
                <w:lang w:val="en-GB" w:eastAsia="es-ES_tradnl"/>
              </w:rPr>
              <w:t xml:space="preserve">NFI and shelter kits compositions harmonized within a </w:t>
            </w:r>
            <w:proofErr w:type="spellStart"/>
            <w:r w:rsidRPr="00D514AB">
              <w:rPr>
                <w:rFonts w:ascii="Calibri" w:eastAsia="Times New Roman" w:hAnsi="Calibri" w:cs="Times New Roman"/>
                <w:color w:val="000000"/>
                <w:sz w:val="20"/>
                <w:szCs w:val="20"/>
                <w:lang w:val="en-GB" w:eastAsia="es-ES_tradnl"/>
              </w:rPr>
              <w:t>TWiG</w:t>
            </w:r>
            <w:proofErr w:type="spellEnd"/>
            <w:r w:rsidRPr="00D514AB">
              <w:rPr>
                <w:rFonts w:ascii="Calibri" w:eastAsia="Times New Roman" w:hAnsi="Calibri" w:cs="Times New Roman"/>
                <w:color w:val="000000"/>
                <w:sz w:val="20"/>
                <w:szCs w:val="20"/>
                <w:lang w:val="en-GB" w:eastAsia="es-ES_tradnl"/>
              </w:rPr>
              <w:t xml:space="preserve"> </w:t>
            </w:r>
            <w:hyperlink r:id="rId15" w:history="1">
              <w:r w:rsidRPr="00D514AB">
                <w:rPr>
                  <w:rStyle w:val="Hyperlink"/>
                  <w:rFonts w:ascii="Calibri (Cuerpo)" w:eastAsia="Times New Roman" w:hAnsi="Calibri (Cuerpo)" w:cs="Times New Roman"/>
                  <w:sz w:val="20"/>
                  <w:szCs w:val="20"/>
                  <w:lang w:val="en-GB" w:eastAsia="es-ES_tradnl"/>
                </w:rPr>
                <w:t>https://www.sheltercluster.org/cameroon/documents/swnw-cameroon-minimum-nfi-kit</w:t>
              </w:r>
            </w:hyperlink>
          </w:p>
          <w:p w14:paraId="78457DDD" w14:textId="77777777" w:rsidR="00D476CC" w:rsidRPr="00D514AB" w:rsidRDefault="005F317E" w:rsidP="00546908">
            <w:pPr>
              <w:rPr>
                <w:rFonts w:ascii="Calibri (Cuerpo)" w:eastAsia="Times New Roman" w:hAnsi="Calibri (Cuerpo)" w:cs="Times New Roman"/>
                <w:color w:val="0070C0"/>
                <w:sz w:val="20"/>
                <w:szCs w:val="20"/>
                <w:lang w:val="en-GB" w:eastAsia="es-ES_tradnl"/>
              </w:rPr>
            </w:pPr>
            <w:hyperlink r:id="rId16" w:history="1">
              <w:r w:rsidR="00D476CC" w:rsidRPr="00D514AB">
                <w:rPr>
                  <w:rStyle w:val="Hyperlink"/>
                  <w:rFonts w:ascii="Calibri (Cuerpo)" w:eastAsia="Times New Roman" w:hAnsi="Calibri (Cuerpo)" w:cs="Times New Roman"/>
                  <w:sz w:val="20"/>
                  <w:szCs w:val="20"/>
                  <w:lang w:val="en-GB" w:eastAsia="es-ES_tradnl"/>
                </w:rPr>
                <w:t>https://www.sheltercluster.org/cameroon/documents/sw-nw-cameroon-minimum-shelter-kit</w:t>
              </w:r>
            </w:hyperlink>
          </w:p>
          <w:p w14:paraId="1CFA6C97" w14:textId="77777777" w:rsidR="00D476CC" w:rsidRPr="00D514AB" w:rsidRDefault="00D476CC" w:rsidP="00546908">
            <w:pPr>
              <w:rPr>
                <w:rFonts w:ascii="Calibri (Cuerpo)" w:eastAsia="Times New Roman" w:hAnsi="Calibri (Cuerpo)" w:cs="Times New Roman"/>
                <w:color w:val="000000"/>
                <w:sz w:val="20"/>
                <w:szCs w:val="20"/>
                <w:lang w:val="en-GB" w:eastAsia="es-ES_tradnl"/>
              </w:rPr>
            </w:pPr>
            <w:r w:rsidRPr="00D514AB">
              <w:rPr>
                <w:rFonts w:ascii="Calibri (Cuerpo)" w:eastAsia="Times New Roman" w:hAnsi="Calibri (Cuerpo)" w:cs="Times New Roman"/>
                <w:color w:val="000000"/>
                <w:sz w:val="20"/>
                <w:szCs w:val="20"/>
                <w:lang w:val="en-GB" w:eastAsia="es-ES_tradnl"/>
              </w:rPr>
              <w:t xml:space="preserve">The NFI kit composition was closely coordinated with the wash cluster to avoid duplications of items. </w:t>
            </w:r>
          </w:p>
          <w:p w14:paraId="4E24A682"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Cuerpo)" w:eastAsia="Times New Roman" w:hAnsi="Calibri (Cuerpo)" w:cs="Times New Roman"/>
                <w:color w:val="000000"/>
                <w:sz w:val="20"/>
                <w:szCs w:val="20"/>
                <w:lang w:val="en-GB" w:eastAsia="es-ES_tradnl"/>
              </w:rPr>
              <w:t xml:space="preserve">Technical guidelines suitable for the context have been shared with the partners. There is a </w:t>
            </w:r>
            <w:proofErr w:type="spellStart"/>
            <w:r w:rsidRPr="00D514AB">
              <w:rPr>
                <w:rFonts w:ascii="Calibri (Cuerpo)" w:eastAsia="Times New Roman" w:hAnsi="Calibri (Cuerpo)" w:cs="Times New Roman"/>
                <w:color w:val="000000"/>
                <w:sz w:val="20"/>
                <w:szCs w:val="20"/>
                <w:lang w:val="en-GB" w:eastAsia="es-ES_tradnl"/>
              </w:rPr>
              <w:t>dropbox</w:t>
            </w:r>
            <w:proofErr w:type="spellEnd"/>
            <w:r w:rsidRPr="00D514AB">
              <w:rPr>
                <w:rFonts w:ascii="Calibri (Cuerpo)" w:eastAsia="Times New Roman" w:hAnsi="Calibri (Cuerpo)" w:cs="Times New Roman"/>
                <w:color w:val="000000"/>
                <w:sz w:val="20"/>
                <w:szCs w:val="20"/>
                <w:lang w:val="en-GB" w:eastAsia="es-ES_tradnl"/>
              </w:rPr>
              <w:t xml:space="preserve"> folder for them where the interesting materials are loaded to share with the partners.</w:t>
            </w:r>
          </w:p>
        </w:tc>
        <w:tc>
          <w:tcPr>
            <w:tcW w:w="5954" w:type="dxa"/>
            <w:shd w:val="clear" w:color="000000" w:fill="D0CECE"/>
            <w:hideMark/>
          </w:tcPr>
          <w:p w14:paraId="6F14B845"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By the moment, the shelter and NFI response does not seem to require differences in the design for the NW and SW, but for a future phase, when the population could come back to their places of origin or set for a longer period of time, the design of the required more durable solutions should take into account the differences between the two regions. At that moment, technical support will be needed by some partners to implement the response. Capacity building activities will be also required and important monitoring.</w:t>
            </w:r>
          </w:p>
        </w:tc>
      </w:tr>
      <w:tr w:rsidR="00D476CC" w:rsidRPr="00D514AB" w14:paraId="23BDE7DC" w14:textId="77777777" w:rsidTr="000233E5">
        <w:trPr>
          <w:trHeight w:val="293"/>
        </w:trPr>
        <w:tc>
          <w:tcPr>
            <w:tcW w:w="2270" w:type="dxa"/>
            <w:vMerge/>
            <w:vAlign w:val="center"/>
            <w:hideMark/>
          </w:tcPr>
          <w:p w14:paraId="2FF2315B"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795C3C2F" w14:textId="77777777" w:rsidR="00D476CC" w:rsidRPr="00D514AB" w:rsidRDefault="00D476CC" w:rsidP="00546908">
            <w:pPr>
              <w:rPr>
                <w:rFonts w:ascii="Calibri" w:eastAsia="Times New Roman" w:hAnsi="Calibri" w:cs="Times New Roman"/>
                <w:color w:val="006100"/>
                <w:sz w:val="16"/>
                <w:szCs w:val="16"/>
                <w:lang w:val="en-GB" w:eastAsia="es-ES_tradnl"/>
              </w:rPr>
            </w:pPr>
          </w:p>
        </w:tc>
        <w:tc>
          <w:tcPr>
            <w:tcW w:w="5811" w:type="dxa"/>
            <w:vMerge w:val="restart"/>
            <w:shd w:val="clear" w:color="000000" w:fill="D0CECE"/>
            <w:hideMark/>
          </w:tcPr>
          <w:p w14:paraId="627DC5E4"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In order to have a better understanding of the local NGOs capacities and offer the possibility to them to access to partnerships with INGOs and UN agencies, it is being conducted a Capacity Mapping of the local partners which would summarize the human and technical resources these organizations have.</w:t>
            </w:r>
          </w:p>
        </w:tc>
        <w:tc>
          <w:tcPr>
            <w:tcW w:w="5954" w:type="dxa"/>
            <w:vMerge w:val="restart"/>
            <w:shd w:val="clear" w:color="000000" w:fill="D0CECE"/>
            <w:hideMark/>
          </w:tcPr>
          <w:p w14:paraId="0E1DAE8C"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Continue explaining the funding mechanisms available and the requirements to access to then.                                                                 Capacity building programme should be design for the local partners. With better capacities, they would have better access to additional funding or to potential partnerships.</w:t>
            </w:r>
          </w:p>
        </w:tc>
      </w:tr>
      <w:tr w:rsidR="00D476CC" w:rsidRPr="00D514AB" w14:paraId="3B11C93A" w14:textId="77777777" w:rsidTr="000233E5">
        <w:trPr>
          <w:trHeight w:val="293"/>
        </w:trPr>
        <w:tc>
          <w:tcPr>
            <w:tcW w:w="2270" w:type="dxa"/>
            <w:vMerge/>
            <w:vAlign w:val="center"/>
            <w:hideMark/>
          </w:tcPr>
          <w:p w14:paraId="4774A2D6"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6097C342" w14:textId="77777777" w:rsidR="00D476CC" w:rsidRPr="00D514AB" w:rsidRDefault="00D476CC" w:rsidP="00546908">
            <w:pPr>
              <w:rPr>
                <w:rFonts w:ascii="Calibri" w:eastAsia="Times New Roman" w:hAnsi="Calibri" w:cs="Times New Roman"/>
                <w:color w:val="006100"/>
                <w:sz w:val="16"/>
                <w:szCs w:val="16"/>
                <w:lang w:val="en-GB" w:eastAsia="es-ES_tradnl"/>
              </w:rPr>
            </w:pPr>
          </w:p>
        </w:tc>
        <w:tc>
          <w:tcPr>
            <w:tcW w:w="5811" w:type="dxa"/>
            <w:vMerge/>
            <w:vAlign w:val="center"/>
            <w:hideMark/>
          </w:tcPr>
          <w:p w14:paraId="392A9AD0"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3281DD41"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04C0EB67" w14:textId="77777777" w:rsidTr="000233E5">
        <w:trPr>
          <w:trHeight w:val="781"/>
        </w:trPr>
        <w:tc>
          <w:tcPr>
            <w:tcW w:w="2270" w:type="dxa"/>
            <w:vMerge/>
            <w:vAlign w:val="center"/>
            <w:hideMark/>
          </w:tcPr>
          <w:p w14:paraId="34617BE8"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1ADB31D9" w14:textId="77777777" w:rsidR="00D476CC" w:rsidRPr="00D514AB" w:rsidRDefault="00D476CC" w:rsidP="00546908">
            <w:pPr>
              <w:rPr>
                <w:rFonts w:ascii="Calibri" w:eastAsia="Times New Roman" w:hAnsi="Calibri" w:cs="Times New Roman"/>
                <w:color w:val="006100"/>
                <w:sz w:val="16"/>
                <w:szCs w:val="16"/>
                <w:lang w:val="en-GB" w:eastAsia="es-ES_tradnl"/>
              </w:rPr>
            </w:pPr>
          </w:p>
        </w:tc>
        <w:tc>
          <w:tcPr>
            <w:tcW w:w="5811" w:type="dxa"/>
            <w:vMerge/>
            <w:vAlign w:val="center"/>
            <w:hideMark/>
          </w:tcPr>
          <w:p w14:paraId="66141F02"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2CF66D04"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2445824B" w14:textId="77777777" w:rsidTr="000233E5">
        <w:trPr>
          <w:trHeight w:val="293"/>
        </w:trPr>
        <w:tc>
          <w:tcPr>
            <w:tcW w:w="2270" w:type="dxa"/>
            <w:vMerge w:val="restart"/>
            <w:shd w:val="clear" w:color="auto" w:fill="auto"/>
            <w:vAlign w:val="center"/>
            <w:hideMark/>
          </w:tcPr>
          <w:p w14:paraId="781383B0"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4. Advocacy</w:t>
            </w:r>
          </w:p>
        </w:tc>
        <w:tc>
          <w:tcPr>
            <w:tcW w:w="1133" w:type="dxa"/>
            <w:vMerge w:val="restart"/>
            <w:shd w:val="clear" w:color="000000" w:fill="F4B084"/>
            <w:noWrap/>
            <w:vAlign w:val="center"/>
            <w:hideMark/>
          </w:tcPr>
          <w:p w14:paraId="1FAFFCC3" w14:textId="77777777" w:rsidR="00D476CC" w:rsidRPr="00D514AB" w:rsidRDefault="00D476CC" w:rsidP="00546908">
            <w:pPr>
              <w:jc w:val="center"/>
              <w:rPr>
                <w:rFonts w:ascii="Calibri" w:eastAsia="Times New Roman" w:hAnsi="Calibri" w:cs="Times New Roman"/>
                <w:color w:val="833C0C"/>
                <w:sz w:val="16"/>
                <w:szCs w:val="16"/>
                <w:lang w:val="en-GB" w:eastAsia="es-ES_tradnl"/>
              </w:rPr>
            </w:pPr>
            <w:r w:rsidRPr="00D514AB">
              <w:rPr>
                <w:rFonts w:ascii="Calibri" w:eastAsia="Times New Roman" w:hAnsi="Calibri" w:cs="Times New Roman"/>
                <w:color w:val="833C0C"/>
                <w:sz w:val="16"/>
                <w:szCs w:val="16"/>
                <w:lang w:val="en-GB" w:eastAsia="es-ES_tradnl"/>
              </w:rPr>
              <w:t>unsatisfactory</w:t>
            </w:r>
          </w:p>
        </w:tc>
        <w:tc>
          <w:tcPr>
            <w:tcW w:w="5811" w:type="dxa"/>
            <w:vMerge w:val="restart"/>
            <w:shd w:val="clear" w:color="auto" w:fill="auto"/>
            <w:hideMark/>
          </w:tcPr>
          <w:p w14:paraId="3D808833"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It has been developed a presence map with the information of all the partners active in shelter and NFI in the SW and NW. It has been conceived as a living document that has to continue being updated with the future changes. Available here: </w:t>
            </w:r>
            <w:r w:rsidRPr="00D514AB">
              <w:rPr>
                <w:rFonts w:ascii="Calibri (Cuerpo)" w:eastAsia="Times New Roman" w:hAnsi="Calibri (Cuerpo)" w:cs="Times New Roman"/>
                <w:color w:val="0070C0"/>
                <w:sz w:val="20"/>
                <w:szCs w:val="20"/>
                <w:lang w:val="en-GB" w:eastAsia="es-ES_tradnl"/>
              </w:rPr>
              <w:t>https://www.sheltercluster.org/sites/default/files/docs/nw_sw_presence_map_complete_copy.pdf</w:t>
            </w:r>
          </w:p>
        </w:tc>
        <w:tc>
          <w:tcPr>
            <w:tcW w:w="5954" w:type="dxa"/>
            <w:vMerge w:val="restart"/>
            <w:shd w:val="clear" w:color="auto" w:fill="auto"/>
            <w:hideMark/>
          </w:tcPr>
          <w:p w14:paraId="06F5F1AF"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Continue with the advocacy for </w:t>
            </w:r>
            <w:proofErr w:type="gramStart"/>
            <w:r w:rsidRPr="00D514AB">
              <w:rPr>
                <w:rFonts w:ascii="Calibri" w:eastAsia="Times New Roman" w:hAnsi="Calibri" w:cs="Times New Roman"/>
                <w:color w:val="000000"/>
                <w:sz w:val="20"/>
                <w:szCs w:val="20"/>
                <w:lang w:val="en-GB" w:eastAsia="es-ES_tradnl"/>
              </w:rPr>
              <w:t>cash based</w:t>
            </w:r>
            <w:proofErr w:type="gramEnd"/>
            <w:r w:rsidRPr="00D514AB">
              <w:rPr>
                <w:rFonts w:ascii="Calibri" w:eastAsia="Times New Roman" w:hAnsi="Calibri" w:cs="Times New Roman"/>
                <w:color w:val="000000"/>
                <w:sz w:val="20"/>
                <w:szCs w:val="20"/>
                <w:lang w:val="en-GB" w:eastAsia="es-ES_tradnl"/>
              </w:rPr>
              <w:t xml:space="preserve"> interventions and design a better strategy commonly with other clusters to improve the efficiency in this aspect.                                                                                       Communication in general should be improved and sector key messages could be developed and shared through different channels (social media, radio…). Some activities are starting in this moment, but mainly coordinated generally by OCHA, not at the clusters level yet.</w:t>
            </w:r>
          </w:p>
        </w:tc>
      </w:tr>
      <w:tr w:rsidR="00D476CC" w:rsidRPr="00D514AB" w14:paraId="55163ED2" w14:textId="77777777" w:rsidTr="000233E5">
        <w:trPr>
          <w:trHeight w:val="293"/>
        </w:trPr>
        <w:tc>
          <w:tcPr>
            <w:tcW w:w="2270" w:type="dxa"/>
            <w:vMerge/>
            <w:vAlign w:val="center"/>
            <w:hideMark/>
          </w:tcPr>
          <w:p w14:paraId="19A4482C"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4E717A0E" w14:textId="77777777" w:rsidR="00D476CC" w:rsidRPr="00D514AB" w:rsidRDefault="00D476CC" w:rsidP="00546908">
            <w:pPr>
              <w:rPr>
                <w:rFonts w:ascii="Calibri" w:eastAsia="Times New Roman" w:hAnsi="Calibri" w:cs="Times New Roman"/>
                <w:color w:val="833C0C"/>
                <w:sz w:val="16"/>
                <w:szCs w:val="16"/>
                <w:lang w:val="en-GB" w:eastAsia="es-ES_tradnl"/>
              </w:rPr>
            </w:pPr>
          </w:p>
        </w:tc>
        <w:tc>
          <w:tcPr>
            <w:tcW w:w="5811" w:type="dxa"/>
            <w:vMerge/>
            <w:vAlign w:val="center"/>
            <w:hideMark/>
          </w:tcPr>
          <w:p w14:paraId="72643C28"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0A64B8E7"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132B32C1" w14:textId="77777777" w:rsidTr="000233E5">
        <w:trPr>
          <w:trHeight w:val="1284"/>
        </w:trPr>
        <w:tc>
          <w:tcPr>
            <w:tcW w:w="2270" w:type="dxa"/>
            <w:vMerge/>
            <w:vAlign w:val="center"/>
            <w:hideMark/>
          </w:tcPr>
          <w:p w14:paraId="5174F460"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0ECFEAE8" w14:textId="77777777" w:rsidR="00D476CC" w:rsidRPr="00D514AB" w:rsidRDefault="00D476CC" w:rsidP="00546908">
            <w:pPr>
              <w:rPr>
                <w:rFonts w:ascii="Calibri" w:eastAsia="Times New Roman" w:hAnsi="Calibri" w:cs="Times New Roman"/>
                <w:color w:val="833C0C"/>
                <w:sz w:val="16"/>
                <w:szCs w:val="16"/>
                <w:lang w:val="en-GB" w:eastAsia="es-ES_tradnl"/>
              </w:rPr>
            </w:pPr>
          </w:p>
        </w:tc>
        <w:tc>
          <w:tcPr>
            <w:tcW w:w="5811" w:type="dxa"/>
            <w:vMerge/>
            <w:vAlign w:val="center"/>
            <w:hideMark/>
          </w:tcPr>
          <w:p w14:paraId="59738C90"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40E458B0"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3AE767F3" w14:textId="77777777" w:rsidTr="000233E5">
        <w:trPr>
          <w:trHeight w:val="293"/>
        </w:trPr>
        <w:tc>
          <w:tcPr>
            <w:tcW w:w="2270" w:type="dxa"/>
            <w:vMerge/>
            <w:vAlign w:val="center"/>
            <w:hideMark/>
          </w:tcPr>
          <w:p w14:paraId="7B46CF48"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668AEDB2" w14:textId="77777777" w:rsidR="00D476CC" w:rsidRPr="00D514AB" w:rsidRDefault="00D476CC" w:rsidP="00546908">
            <w:pPr>
              <w:rPr>
                <w:rFonts w:ascii="Calibri" w:eastAsia="Times New Roman" w:hAnsi="Calibri" w:cs="Times New Roman"/>
                <w:color w:val="833C0C"/>
                <w:sz w:val="16"/>
                <w:szCs w:val="16"/>
                <w:lang w:val="en-GB" w:eastAsia="es-ES_tradnl"/>
              </w:rPr>
            </w:pPr>
          </w:p>
        </w:tc>
        <w:tc>
          <w:tcPr>
            <w:tcW w:w="5811" w:type="dxa"/>
            <w:vMerge w:val="restart"/>
            <w:shd w:val="clear" w:color="auto" w:fill="auto"/>
            <w:hideMark/>
          </w:tcPr>
          <w:p w14:paraId="7ACDBF45" w14:textId="77777777" w:rsidR="00D476CC" w:rsidRPr="00D514AB" w:rsidRDefault="00D476CC" w:rsidP="00546908">
            <w:pPr>
              <w:rPr>
                <w:rFonts w:ascii="Calibri (Cuerpo)" w:eastAsia="Times New Roman" w:hAnsi="Calibri (Cuerpo)" w:cs="Times New Roman"/>
                <w:color w:val="000000"/>
                <w:sz w:val="20"/>
                <w:szCs w:val="20"/>
                <w:lang w:val="en-GB" w:eastAsia="es-ES_tradnl"/>
              </w:rPr>
            </w:pPr>
            <w:r w:rsidRPr="00D514AB">
              <w:rPr>
                <w:rFonts w:ascii="Calibri (Cuerpo)" w:eastAsia="Times New Roman" w:hAnsi="Calibri (Cuerpo)" w:cs="Times New Roman"/>
                <w:color w:val="000000"/>
                <w:sz w:val="20"/>
                <w:szCs w:val="20"/>
                <w:lang w:val="en-GB" w:eastAsia="es-ES_tradnl"/>
              </w:rPr>
              <w:t>Legal and regulatory issues have not been tackled more than the identification of 2 local organizations that are working within Housing, Land and Property issues and their introduction to the Shelter Cluster.</w:t>
            </w:r>
          </w:p>
        </w:tc>
        <w:tc>
          <w:tcPr>
            <w:tcW w:w="5954" w:type="dxa"/>
            <w:vMerge w:val="restart"/>
            <w:shd w:val="clear" w:color="auto" w:fill="auto"/>
            <w:hideMark/>
          </w:tcPr>
          <w:p w14:paraId="422FB2B3" w14:textId="77777777" w:rsidR="00D476CC" w:rsidRPr="00D514AB" w:rsidRDefault="00D476CC" w:rsidP="00546908">
            <w:pPr>
              <w:rPr>
                <w:rFonts w:ascii="Calibri (Cuerpo)" w:eastAsia="Times New Roman" w:hAnsi="Calibri (Cuerpo)" w:cs="Times New Roman"/>
                <w:color w:val="000000"/>
                <w:sz w:val="20"/>
                <w:szCs w:val="20"/>
                <w:lang w:val="en-GB" w:eastAsia="es-ES_tradnl"/>
              </w:rPr>
            </w:pPr>
            <w:r w:rsidRPr="00D514AB">
              <w:rPr>
                <w:rFonts w:ascii="Calibri (Cuerpo)" w:eastAsia="Times New Roman" w:hAnsi="Calibri (Cuerpo)" w:cs="Times New Roman"/>
                <w:color w:val="000000"/>
                <w:sz w:val="20"/>
                <w:szCs w:val="20"/>
                <w:lang w:val="en-GB" w:eastAsia="es-ES_tradnl"/>
              </w:rPr>
              <w:t xml:space="preserve">Strengthen the support of the partners with regards of Housing, Land and Property issues. </w:t>
            </w:r>
          </w:p>
        </w:tc>
      </w:tr>
      <w:tr w:rsidR="00D476CC" w:rsidRPr="00D514AB" w14:paraId="2D49FF33" w14:textId="77777777" w:rsidTr="000233E5">
        <w:trPr>
          <w:trHeight w:val="781"/>
        </w:trPr>
        <w:tc>
          <w:tcPr>
            <w:tcW w:w="2270" w:type="dxa"/>
            <w:vMerge/>
            <w:vAlign w:val="center"/>
            <w:hideMark/>
          </w:tcPr>
          <w:p w14:paraId="5A8BB6D5"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3CF1F640" w14:textId="77777777" w:rsidR="00D476CC" w:rsidRPr="00D514AB" w:rsidRDefault="00D476CC" w:rsidP="00546908">
            <w:pPr>
              <w:rPr>
                <w:rFonts w:ascii="Calibri" w:eastAsia="Times New Roman" w:hAnsi="Calibri" w:cs="Times New Roman"/>
                <w:color w:val="833C0C"/>
                <w:sz w:val="16"/>
                <w:szCs w:val="16"/>
                <w:lang w:val="en-GB" w:eastAsia="es-ES_tradnl"/>
              </w:rPr>
            </w:pPr>
          </w:p>
        </w:tc>
        <w:tc>
          <w:tcPr>
            <w:tcW w:w="5811" w:type="dxa"/>
            <w:vMerge/>
            <w:vAlign w:val="center"/>
            <w:hideMark/>
          </w:tcPr>
          <w:p w14:paraId="2980CC2B" w14:textId="77777777" w:rsidR="00D476CC" w:rsidRPr="00D514AB" w:rsidRDefault="00D476CC" w:rsidP="00546908">
            <w:pPr>
              <w:rPr>
                <w:rFonts w:ascii="Calibri (Cuerpo)" w:eastAsia="Times New Roman" w:hAnsi="Calibri (Cuerpo)" w:cs="Times New Roman"/>
                <w:color w:val="000000"/>
                <w:sz w:val="20"/>
                <w:szCs w:val="20"/>
                <w:lang w:val="en-GB" w:eastAsia="es-ES_tradnl"/>
              </w:rPr>
            </w:pPr>
          </w:p>
        </w:tc>
        <w:tc>
          <w:tcPr>
            <w:tcW w:w="5954" w:type="dxa"/>
            <w:vMerge/>
            <w:vAlign w:val="center"/>
            <w:hideMark/>
          </w:tcPr>
          <w:p w14:paraId="4D255C12" w14:textId="77777777" w:rsidR="00D476CC" w:rsidRPr="00D514AB" w:rsidRDefault="00D476CC" w:rsidP="00546908">
            <w:pPr>
              <w:rPr>
                <w:rFonts w:ascii="Calibri (Cuerpo)" w:eastAsia="Times New Roman" w:hAnsi="Calibri (Cuerpo)" w:cs="Times New Roman"/>
                <w:color w:val="000000"/>
                <w:sz w:val="20"/>
                <w:szCs w:val="20"/>
                <w:lang w:val="en-GB" w:eastAsia="es-ES_tradnl"/>
              </w:rPr>
            </w:pPr>
          </w:p>
        </w:tc>
      </w:tr>
      <w:tr w:rsidR="00D476CC" w:rsidRPr="00D514AB" w14:paraId="4C85EB71" w14:textId="77777777" w:rsidTr="000233E5">
        <w:trPr>
          <w:trHeight w:val="293"/>
        </w:trPr>
        <w:tc>
          <w:tcPr>
            <w:tcW w:w="2270" w:type="dxa"/>
            <w:vMerge w:val="restart"/>
            <w:shd w:val="clear" w:color="000000" w:fill="D0CECE"/>
            <w:vAlign w:val="center"/>
            <w:hideMark/>
          </w:tcPr>
          <w:p w14:paraId="0AD00725"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5. Monitoring and reporting</w:t>
            </w:r>
          </w:p>
        </w:tc>
        <w:tc>
          <w:tcPr>
            <w:tcW w:w="1133" w:type="dxa"/>
            <w:vMerge w:val="restart"/>
            <w:shd w:val="clear" w:color="000000" w:fill="FFC7CE"/>
            <w:noWrap/>
            <w:vAlign w:val="center"/>
            <w:hideMark/>
          </w:tcPr>
          <w:p w14:paraId="69AED215" w14:textId="77777777" w:rsidR="00D476CC" w:rsidRPr="00D514AB" w:rsidRDefault="00D476CC" w:rsidP="00546908">
            <w:pPr>
              <w:jc w:val="center"/>
              <w:rPr>
                <w:rFonts w:ascii="Calibri" w:eastAsia="Times New Roman" w:hAnsi="Calibri" w:cs="Times New Roman"/>
                <w:color w:val="9C0006"/>
                <w:sz w:val="20"/>
                <w:szCs w:val="20"/>
                <w:lang w:val="en-GB" w:eastAsia="es-ES_tradnl"/>
              </w:rPr>
            </w:pPr>
            <w:r w:rsidRPr="00D514AB">
              <w:rPr>
                <w:rFonts w:ascii="Calibri" w:eastAsia="Times New Roman" w:hAnsi="Calibri" w:cs="Times New Roman"/>
                <w:color w:val="9C0006"/>
                <w:sz w:val="20"/>
                <w:szCs w:val="20"/>
                <w:lang w:val="en-GB" w:eastAsia="es-ES_tradnl"/>
              </w:rPr>
              <w:t>weak</w:t>
            </w:r>
          </w:p>
        </w:tc>
        <w:tc>
          <w:tcPr>
            <w:tcW w:w="5811" w:type="dxa"/>
            <w:vMerge w:val="restart"/>
            <w:shd w:val="clear" w:color="000000" w:fill="D0CECE"/>
            <w:hideMark/>
          </w:tcPr>
          <w:p w14:paraId="72BE5FF2"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By the moment, the monitoring of the response in general is poor and post-distribution monitoring activities (PDM) are challenging. The Shelter Cluster has not performed any </w:t>
            </w:r>
            <w:r w:rsidRPr="00D514AB">
              <w:rPr>
                <w:rFonts w:ascii="Calibri (Cuerpo)" w:eastAsia="Times New Roman" w:hAnsi="Calibri (Cuerpo)" w:cs="Times New Roman"/>
                <w:color w:val="000000"/>
                <w:sz w:val="20"/>
                <w:szCs w:val="20"/>
                <w:lang w:val="en-GB" w:eastAsia="es-ES_tradnl"/>
              </w:rPr>
              <w:t xml:space="preserve">monitoring activity yet. </w:t>
            </w:r>
          </w:p>
        </w:tc>
        <w:tc>
          <w:tcPr>
            <w:tcW w:w="5954" w:type="dxa"/>
            <w:vMerge w:val="restart"/>
            <w:shd w:val="clear" w:color="000000" w:fill="D0CECE"/>
            <w:hideMark/>
          </w:tcPr>
          <w:p w14:paraId="0C73AB79"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Start monitoring the response in the way that could be feasible and collect the PDM reports that the organizations are planning to conduct. </w:t>
            </w:r>
            <w:r w:rsidRPr="00D514AB">
              <w:rPr>
                <w:rFonts w:ascii="Calibri (Cuerpo)" w:eastAsia="Times New Roman" w:hAnsi="Calibri (Cuerpo)" w:cs="Times New Roman"/>
                <w:color w:val="000000"/>
                <w:sz w:val="20"/>
                <w:szCs w:val="20"/>
                <w:lang w:val="en-GB" w:eastAsia="es-ES_tradnl"/>
              </w:rPr>
              <w:t>Support the organizations without humanitarian background to design and conduct PDM activities.</w:t>
            </w:r>
          </w:p>
        </w:tc>
      </w:tr>
      <w:tr w:rsidR="00D476CC" w:rsidRPr="00D514AB" w14:paraId="776366FE" w14:textId="77777777" w:rsidTr="000233E5">
        <w:trPr>
          <w:trHeight w:val="823"/>
        </w:trPr>
        <w:tc>
          <w:tcPr>
            <w:tcW w:w="2270" w:type="dxa"/>
            <w:vMerge/>
            <w:vAlign w:val="center"/>
            <w:hideMark/>
          </w:tcPr>
          <w:p w14:paraId="48A62784"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2946C826" w14:textId="77777777" w:rsidR="00D476CC" w:rsidRPr="00D514AB" w:rsidRDefault="00D476CC" w:rsidP="00546908">
            <w:pPr>
              <w:rPr>
                <w:rFonts w:ascii="Calibri" w:eastAsia="Times New Roman" w:hAnsi="Calibri" w:cs="Times New Roman"/>
                <w:color w:val="9C0006"/>
                <w:sz w:val="16"/>
                <w:szCs w:val="16"/>
                <w:lang w:val="en-GB" w:eastAsia="es-ES_tradnl"/>
              </w:rPr>
            </w:pPr>
          </w:p>
        </w:tc>
        <w:tc>
          <w:tcPr>
            <w:tcW w:w="5811" w:type="dxa"/>
            <w:vMerge/>
            <w:vAlign w:val="center"/>
            <w:hideMark/>
          </w:tcPr>
          <w:p w14:paraId="1B792170"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1104920B"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04BC80D5" w14:textId="77777777" w:rsidTr="000233E5">
        <w:trPr>
          <w:trHeight w:val="293"/>
        </w:trPr>
        <w:tc>
          <w:tcPr>
            <w:tcW w:w="2270" w:type="dxa"/>
            <w:vMerge w:val="restart"/>
            <w:shd w:val="clear" w:color="auto" w:fill="auto"/>
            <w:vAlign w:val="center"/>
            <w:hideMark/>
          </w:tcPr>
          <w:p w14:paraId="3B73048D"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6. Contingency planning / preparedness</w:t>
            </w:r>
          </w:p>
        </w:tc>
        <w:tc>
          <w:tcPr>
            <w:tcW w:w="1133" w:type="dxa"/>
            <w:vMerge w:val="restart"/>
            <w:shd w:val="clear" w:color="000000" w:fill="F4B084"/>
            <w:noWrap/>
            <w:vAlign w:val="center"/>
            <w:hideMark/>
          </w:tcPr>
          <w:p w14:paraId="46826CD0" w14:textId="77777777" w:rsidR="00D476CC" w:rsidRPr="00D514AB" w:rsidRDefault="00D476CC" w:rsidP="00546908">
            <w:pPr>
              <w:jc w:val="center"/>
              <w:rPr>
                <w:rFonts w:ascii="Calibri" w:eastAsia="Times New Roman" w:hAnsi="Calibri" w:cs="Times New Roman"/>
                <w:color w:val="833C0C"/>
                <w:sz w:val="16"/>
                <w:szCs w:val="16"/>
                <w:lang w:val="en-GB" w:eastAsia="es-ES_tradnl"/>
              </w:rPr>
            </w:pPr>
            <w:r w:rsidRPr="00D514AB">
              <w:rPr>
                <w:rFonts w:ascii="Calibri" w:eastAsia="Times New Roman" w:hAnsi="Calibri" w:cs="Times New Roman"/>
                <w:color w:val="833C0C"/>
                <w:sz w:val="16"/>
                <w:szCs w:val="16"/>
                <w:lang w:val="en-GB" w:eastAsia="es-ES_tradnl"/>
              </w:rPr>
              <w:t>unsatisfactory</w:t>
            </w:r>
          </w:p>
        </w:tc>
        <w:tc>
          <w:tcPr>
            <w:tcW w:w="5811" w:type="dxa"/>
            <w:vMerge w:val="restart"/>
            <w:shd w:val="clear" w:color="auto" w:fill="auto"/>
            <w:hideMark/>
          </w:tcPr>
          <w:p w14:paraId="14954E5E"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Potential scenarios for contingency planning </w:t>
            </w:r>
            <w:proofErr w:type="gramStart"/>
            <w:r w:rsidRPr="00D514AB">
              <w:rPr>
                <w:rFonts w:ascii="Calibri" w:eastAsia="Times New Roman" w:hAnsi="Calibri" w:cs="Times New Roman"/>
                <w:color w:val="000000"/>
                <w:sz w:val="20"/>
                <w:szCs w:val="20"/>
                <w:lang w:val="en-GB" w:eastAsia="es-ES_tradnl"/>
              </w:rPr>
              <w:t>has</w:t>
            </w:r>
            <w:proofErr w:type="gramEnd"/>
            <w:r w:rsidRPr="00D514AB">
              <w:rPr>
                <w:rFonts w:ascii="Calibri" w:eastAsia="Times New Roman" w:hAnsi="Calibri" w:cs="Times New Roman"/>
                <w:color w:val="000000"/>
                <w:sz w:val="20"/>
                <w:szCs w:val="20"/>
                <w:lang w:val="en-GB" w:eastAsia="es-ES_tradnl"/>
              </w:rPr>
              <w:t xml:space="preserve"> not been identified yet.</w:t>
            </w:r>
          </w:p>
        </w:tc>
        <w:tc>
          <w:tcPr>
            <w:tcW w:w="5954" w:type="dxa"/>
            <w:vMerge w:val="restart"/>
            <w:shd w:val="clear" w:color="auto" w:fill="auto"/>
            <w:hideMark/>
          </w:tcPr>
          <w:p w14:paraId="3EEC27B8"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Evaluate the need of </w:t>
            </w:r>
            <w:r w:rsidRPr="00D514AB">
              <w:rPr>
                <w:rFonts w:ascii="Calibri (Cuerpo)" w:eastAsia="Times New Roman" w:hAnsi="Calibri (Cuerpo)" w:cs="Times New Roman"/>
                <w:color w:val="000000"/>
                <w:sz w:val="20"/>
                <w:szCs w:val="20"/>
                <w:lang w:val="en-GB" w:eastAsia="es-ES_tradnl"/>
              </w:rPr>
              <w:t>defining a contingency plan for specific potential scenarios.</w:t>
            </w:r>
          </w:p>
        </w:tc>
      </w:tr>
      <w:tr w:rsidR="00D476CC" w:rsidRPr="00D514AB" w14:paraId="05780F6D" w14:textId="77777777" w:rsidTr="000233E5">
        <w:trPr>
          <w:trHeight w:val="344"/>
        </w:trPr>
        <w:tc>
          <w:tcPr>
            <w:tcW w:w="2270" w:type="dxa"/>
            <w:vMerge/>
            <w:vAlign w:val="center"/>
            <w:hideMark/>
          </w:tcPr>
          <w:p w14:paraId="4EA72DB1"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7E90AF9F" w14:textId="77777777" w:rsidR="00D476CC" w:rsidRPr="00D514AB" w:rsidRDefault="00D476CC" w:rsidP="00546908">
            <w:pPr>
              <w:rPr>
                <w:rFonts w:ascii="Calibri" w:eastAsia="Times New Roman" w:hAnsi="Calibri" w:cs="Times New Roman"/>
                <w:color w:val="833C0C"/>
                <w:sz w:val="16"/>
                <w:szCs w:val="16"/>
                <w:lang w:val="en-GB" w:eastAsia="es-ES_tradnl"/>
              </w:rPr>
            </w:pPr>
          </w:p>
        </w:tc>
        <w:tc>
          <w:tcPr>
            <w:tcW w:w="5811" w:type="dxa"/>
            <w:vMerge/>
            <w:vAlign w:val="center"/>
            <w:hideMark/>
          </w:tcPr>
          <w:p w14:paraId="0FAE5C2D"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2F12F61A"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41C8540C" w14:textId="77777777" w:rsidTr="000233E5">
        <w:trPr>
          <w:trHeight w:val="530"/>
        </w:trPr>
        <w:tc>
          <w:tcPr>
            <w:tcW w:w="2270" w:type="dxa"/>
            <w:vMerge/>
            <w:vAlign w:val="center"/>
            <w:hideMark/>
          </w:tcPr>
          <w:p w14:paraId="69F4831D"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6456EA6A" w14:textId="77777777" w:rsidR="00D476CC" w:rsidRPr="00D514AB" w:rsidRDefault="00D476CC" w:rsidP="00546908">
            <w:pPr>
              <w:rPr>
                <w:rFonts w:ascii="Calibri" w:eastAsia="Times New Roman" w:hAnsi="Calibri" w:cs="Times New Roman"/>
                <w:color w:val="833C0C"/>
                <w:sz w:val="16"/>
                <w:szCs w:val="16"/>
                <w:lang w:val="en-GB" w:eastAsia="es-ES_tradnl"/>
              </w:rPr>
            </w:pPr>
          </w:p>
        </w:tc>
        <w:tc>
          <w:tcPr>
            <w:tcW w:w="5811" w:type="dxa"/>
            <w:shd w:val="clear" w:color="auto" w:fill="auto"/>
            <w:hideMark/>
          </w:tcPr>
          <w:p w14:paraId="756BE083"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Given the early moment of the emergency, the exit-strategy still has not been designed. </w:t>
            </w:r>
          </w:p>
        </w:tc>
        <w:tc>
          <w:tcPr>
            <w:tcW w:w="5954" w:type="dxa"/>
            <w:shd w:val="clear" w:color="auto" w:fill="auto"/>
            <w:noWrap/>
            <w:vAlign w:val="bottom"/>
            <w:hideMark/>
          </w:tcPr>
          <w:p w14:paraId="4690F308"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w:t>
            </w:r>
          </w:p>
        </w:tc>
      </w:tr>
      <w:tr w:rsidR="00D476CC" w:rsidRPr="00D514AB" w14:paraId="7EFC6683" w14:textId="77777777" w:rsidTr="000233E5">
        <w:trPr>
          <w:trHeight w:val="293"/>
        </w:trPr>
        <w:tc>
          <w:tcPr>
            <w:tcW w:w="2270" w:type="dxa"/>
            <w:vMerge w:val="restart"/>
            <w:shd w:val="clear" w:color="000000" w:fill="D0CECE"/>
            <w:vAlign w:val="center"/>
            <w:hideMark/>
          </w:tcPr>
          <w:p w14:paraId="3D4D178B"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7. Accountability to affected population</w:t>
            </w:r>
          </w:p>
        </w:tc>
        <w:tc>
          <w:tcPr>
            <w:tcW w:w="1133" w:type="dxa"/>
            <w:vMerge w:val="restart"/>
            <w:shd w:val="clear" w:color="000000" w:fill="FFC7CE"/>
            <w:noWrap/>
            <w:vAlign w:val="center"/>
            <w:hideMark/>
          </w:tcPr>
          <w:p w14:paraId="518CF867" w14:textId="77777777" w:rsidR="00D476CC" w:rsidRPr="00D514AB" w:rsidRDefault="00D476CC" w:rsidP="00546908">
            <w:pPr>
              <w:jc w:val="center"/>
              <w:rPr>
                <w:rFonts w:ascii="Calibri" w:eastAsia="Times New Roman" w:hAnsi="Calibri" w:cs="Times New Roman"/>
                <w:color w:val="9C0006"/>
                <w:sz w:val="20"/>
                <w:szCs w:val="20"/>
                <w:lang w:val="en-GB" w:eastAsia="es-ES_tradnl"/>
              </w:rPr>
            </w:pPr>
            <w:r w:rsidRPr="00D514AB">
              <w:rPr>
                <w:rFonts w:ascii="Calibri" w:eastAsia="Times New Roman" w:hAnsi="Calibri" w:cs="Times New Roman"/>
                <w:color w:val="9C0006"/>
                <w:sz w:val="20"/>
                <w:szCs w:val="20"/>
                <w:lang w:val="en-GB" w:eastAsia="es-ES_tradnl"/>
              </w:rPr>
              <w:t>weak</w:t>
            </w:r>
          </w:p>
        </w:tc>
        <w:tc>
          <w:tcPr>
            <w:tcW w:w="5811" w:type="dxa"/>
            <w:vMerge w:val="restart"/>
            <w:shd w:val="clear" w:color="000000" w:fill="D0CECE"/>
            <w:hideMark/>
          </w:tcPr>
          <w:p w14:paraId="28225725" w14:textId="77777777" w:rsidR="00D476CC" w:rsidRPr="00D514AB" w:rsidRDefault="00D476CC" w:rsidP="00546908">
            <w:pPr>
              <w:rPr>
                <w:rFonts w:ascii="Calibri (Cuerpo)" w:eastAsia="Times New Roman" w:hAnsi="Calibri (Cuerpo)"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There are very few mechanisms in place to guarantee the </w:t>
            </w:r>
            <w:r w:rsidRPr="00D514AB">
              <w:rPr>
                <w:rFonts w:ascii="Calibri (Cuerpo)" w:eastAsia="Times New Roman" w:hAnsi="Calibri (Cuerpo)" w:cs="Times New Roman"/>
                <w:color w:val="000000"/>
                <w:sz w:val="20"/>
                <w:szCs w:val="20"/>
                <w:lang w:val="en-GB" w:eastAsia="es-ES_tradnl"/>
              </w:rPr>
              <w:t>accountability towards the affected population. The level of communication is low and there is only one organization we know has a complaint system working.</w:t>
            </w:r>
          </w:p>
          <w:p w14:paraId="4875E41B"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Cuerpo)" w:eastAsia="Times New Roman" w:hAnsi="Calibri (Cuerpo)" w:cs="Times New Roman"/>
                <w:color w:val="000000"/>
                <w:sz w:val="20"/>
                <w:szCs w:val="20"/>
                <w:lang w:val="en-GB" w:eastAsia="es-ES_tradnl"/>
              </w:rPr>
              <w:t>As explained in the point n.5, the PDM activities are very challenging and partners are starting now to conduct them.</w:t>
            </w:r>
          </w:p>
        </w:tc>
        <w:tc>
          <w:tcPr>
            <w:tcW w:w="5954" w:type="dxa"/>
            <w:vMerge w:val="restart"/>
            <w:shd w:val="clear" w:color="000000" w:fill="D0CECE"/>
            <w:hideMark/>
          </w:tcPr>
          <w:p w14:paraId="6DBCCC74" w14:textId="77777777" w:rsidR="00D476CC" w:rsidRPr="00D514AB" w:rsidRDefault="00D476CC" w:rsidP="00546908">
            <w:pPr>
              <w:rPr>
                <w:rFonts w:ascii="Calibri" w:eastAsia="Times New Roman" w:hAnsi="Calibri" w:cs="Times New Roman"/>
                <w:color w:val="000000"/>
                <w:sz w:val="20"/>
                <w:szCs w:val="20"/>
                <w:lang w:val="en-GB" w:eastAsia="es-ES_tradnl"/>
              </w:rPr>
            </w:pPr>
            <w:r w:rsidRPr="00D514AB">
              <w:rPr>
                <w:rFonts w:ascii="Calibri" w:eastAsia="Times New Roman" w:hAnsi="Calibri" w:cs="Times New Roman"/>
                <w:color w:val="000000"/>
                <w:sz w:val="20"/>
                <w:szCs w:val="20"/>
                <w:lang w:val="en-GB" w:eastAsia="es-ES_tradnl"/>
              </w:rPr>
              <w:t xml:space="preserve">Improve urgently the level of accountability towards the affected population by providing a 2-way channel of communication. One proposal has been the centralization of the </w:t>
            </w:r>
            <w:r w:rsidRPr="00D514AB">
              <w:rPr>
                <w:rFonts w:ascii="Calibri (Cuerpo)" w:eastAsia="Times New Roman" w:hAnsi="Calibri (Cuerpo)" w:cs="Times New Roman"/>
                <w:color w:val="000000"/>
                <w:sz w:val="20"/>
                <w:szCs w:val="20"/>
                <w:lang w:val="en-GB" w:eastAsia="es-ES_tradnl"/>
              </w:rPr>
              <w:t>community complaints by the cluster as an independent entity that would address these concerns to the partners to respond.                                                                                                      Support the organizations without humanitarian background to design and conduct PDM activities.</w:t>
            </w:r>
          </w:p>
        </w:tc>
      </w:tr>
      <w:tr w:rsidR="00D476CC" w:rsidRPr="00D514AB" w14:paraId="2C9B97CC" w14:textId="77777777" w:rsidTr="000233E5">
        <w:trPr>
          <w:trHeight w:val="293"/>
        </w:trPr>
        <w:tc>
          <w:tcPr>
            <w:tcW w:w="2270" w:type="dxa"/>
            <w:vMerge/>
            <w:vAlign w:val="center"/>
            <w:hideMark/>
          </w:tcPr>
          <w:p w14:paraId="33F5B0D8"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738E0EAE" w14:textId="77777777" w:rsidR="00D476CC" w:rsidRPr="00D514AB" w:rsidRDefault="00D476CC" w:rsidP="00546908">
            <w:pPr>
              <w:rPr>
                <w:rFonts w:ascii="Calibri" w:eastAsia="Times New Roman" w:hAnsi="Calibri" w:cs="Times New Roman"/>
                <w:color w:val="9C0006"/>
                <w:sz w:val="20"/>
                <w:szCs w:val="20"/>
                <w:lang w:val="en-GB" w:eastAsia="es-ES_tradnl"/>
              </w:rPr>
            </w:pPr>
          </w:p>
        </w:tc>
        <w:tc>
          <w:tcPr>
            <w:tcW w:w="5811" w:type="dxa"/>
            <w:vMerge/>
            <w:vAlign w:val="center"/>
            <w:hideMark/>
          </w:tcPr>
          <w:p w14:paraId="2BD61C9A"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50140F4B" w14:textId="77777777" w:rsidR="00D476CC" w:rsidRPr="00D514AB" w:rsidRDefault="00D476CC" w:rsidP="00546908">
            <w:pPr>
              <w:rPr>
                <w:rFonts w:ascii="Calibri" w:eastAsia="Times New Roman" w:hAnsi="Calibri" w:cs="Times New Roman"/>
                <w:color w:val="000000"/>
                <w:sz w:val="20"/>
                <w:szCs w:val="20"/>
                <w:lang w:val="en-GB" w:eastAsia="es-ES_tradnl"/>
              </w:rPr>
            </w:pPr>
          </w:p>
        </w:tc>
      </w:tr>
      <w:tr w:rsidR="00D476CC" w:rsidRPr="00D514AB" w14:paraId="14D3A733" w14:textId="77777777" w:rsidTr="000233E5">
        <w:trPr>
          <w:trHeight w:val="1229"/>
        </w:trPr>
        <w:tc>
          <w:tcPr>
            <w:tcW w:w="2270" w:type="dxa"/>
            <w:vMerge/>
            <w:vAlign w:val="center"/>
            <w:hideMark/>
          </w:tcPr>
          <w:p w14:paraId="681B47FF"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1133" w:type="dxa"/>
            <w:vMerge/>
            <w:vAlign w:val="center"/>
            <w:hideMark/>
          </w:tcPr>
          <w:p w14:paraId="79A5E823" w14:textId="77777777" w:rsidR="00D476CC" w:rsidRPr="00D514AB" w:rsidRDefault="00D476CC" w:rsidP="00546908">
            <w:pPr>
              <w:rPr>
                <w:rFonts w:ascii="Calibri" w:eastAsia="Times New Roman" w:hAnsi="Calibri" w:cs="Times New Roman"/>
                <w:color w:val="9C0006"/>
                <w:sz w:val="20"/>
                <w:szCs w:val="20"/>
                <w:lang w:val="en-GB" w:eastAsia="es-ES_tradnl"/>
              </w:rPr>
            </w:pPr>
          </w:p>
        </w:tc>
        <w:tc>
          <w:tcPr>
            <w:tcW w:w="5811" w:type="dxa"/>
            <w:vMerge/>
            <w:vAlign w:val="center"/>
            <w:hideMark/>
          </w:tcPr>
          <w:p w14:paraId="6CC77322" w14:textId="77777777" w:rsidR="00D476CC" w:rsidRPr="00D514AB" w:rsidRDefault="00D476CC" w:rsidP="00546908">
            <w:pPr>
              <w:rPr>
                <w:rFonts w:ascii="Calibri" w:eastAsia="Times New Roman" w:hAnsi="Calibri" w:cs="Times New Roman"/>
                <w:color w:val="000000"/>
                <w:sz w:val="20"/>
                <w:szCs w:val="20"/>
                <w:lang w:val="en-GB" w:eastAsia="es-ES_tradnl"/>
              </w:rPr>
            </w:pPr>
          </w:p>
        </w:tc>
        <w:tc>
          <w:tcPr>
            <w:tcW w:w="5954" w:type="dxa"/>
            <w:vMerge/>
            <w:vAlign w:val="center"/>
            <w:hideMark/>
          </w:tcPr>
          <w:p w14:paraId="3A98D943" w14:textId="77777777" w:rsidR="00D476CC" w:rsidRPr="00D514AB" w:rsidRDefault="00D476CC" w:rsidP="00546908">
            <w:pPr>
              <w:rPr>
                <w:rFonts w:ascii="Calibri" w:eastAsia="Times New Roman" w:hAnsi="Calibri" w:cs="Times New Roman"/>
                <w:color w:val="000000"/>
                <w:sz w:val="20"/>
                <w:szCs w:val="20"/>
                <w:lang w:val="en-GB" w:eastAsia="es-ES_tradnl"/>
              </w:rPr>
            </w:pPr>
          </w:p>
        </w:tc>
      </w:tr>
    </w:tbl>
    <w:p w14:paraId="0FB62217" w14:textId="77777777" w:rsidR="00D476CC" w:rsidRPr="00D514AB" w:rsidRDefault="00D476CC" w:rsidP="00B50D0A">
      <w:pPr>
        <w:rPr>
          <w:sz w:val="10"/>
          <w:szCs w:val="10"/>
          <w:lang w:val="en-GB"/>
        </w:rPr>
      </w:pPr>
    </w:p>
    <w:sectPr w:rsidR="00D476CC" w:rsidRPr="00D514AB" w:rsidSect="00784369">
      <w:headerReference w:type="default" r:id="rId17"/>
      <w:pgSz w:w="16840" w:h="11900" w:orient="landscape"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1EF5D" w14:textId="77777777" w:rsidR="00716F14" w:rsidRDefault="00716F14" w:rsidP="00D476CC">
      <w:r>
        <w:separator/>
      </w:r>
    </w:p>
  </w:endnote>
  <w:endnote w:type="continuationSeparator" w:id="0">
    <w:p w14:paraId="37F01134" w14:textId="77777777" w:rsidR="00716F14" w:rsidRDefault="00716F14" w:rsidP="00D4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Cuerpo)">
    <w:altName w:val="Calibri"/>
    <w:charset w:val="00"/>
    <w:family w:val="auto"/>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8F115" w14:textId="77777777" w:rsidR="00716F14" w:rsidRDefault="00716F14" w:rsidP="00D476CC">
      <w:r>
        <w:separator/>
      </w:r>
    </w:p>
  </w:footnote>
  <w:footnote w:type="continuationSeparator" w:id="0">
    <w:p w14:paraId="7992AD4A" w14:textId="77777777" w:rsidR="00716F14" w:rsidRDefault="00716F14" w:rsidP="00D476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94A83" w14:textId="77777777" w:rsidR="00A17EAF" w:rsidRPr="008C1F15" w:rsidRDefault="00D476CC" w:rsidP="00A17EAF">
    <w:pPr>
      <w:pStyle w:val="Header"/>
      <w:tabs>
        <w:tab w:val="left" w:pos="270"/>
      </w:tabs>
      <w:rPr>
        <w:b/>
        <w:color w:val="7F1416"/>
        <w:szCs w:val="16"/>
      </w:rPr>
    </w:pPr>
    <w:r>
      <w:rPr>
        <w:noProof/>
        <w:lang w:eastAsia="es-ES_tradnl"/>
      </w:rPr>
      <w:drawing>
        <wp:anchor distT="0" distB="0" distL="114300" distR="114300" simplePos="0" relativeHeight="251659264" behindDoc="0" locked="0" layoutInCell="1" allowOverlap="1" wp14:anchorId="04372FFD" wp14:editId="5438AB5D">
          <wp:simplePos x="0" y="0"/>
          <wp:positionH relativeFrom="margin">
            <wp:align>left</wp:align>
          </wp:positionH>
          <wp:positionV relativeFrom="paragraph">
            <wp:posOffset>20320</wp:posOffset>
          </wp:positionV>
          <wp:extent cx="320040" cy="280670"/>
          <wp:effectExtent l="0" t="0" r="3810" b="5080"/>
          <wp:wrapSquare wrapText="right"/>
          <wp:docPr id="7" name="Picture 7"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17EAF" w:rsidRPr="008C1F15">
      <w:rPr>
        <w:noProof/>
        <w:sz w:val="40"/>
        <w:lang w:eastAsia="en-GB"/>
      </w:rPr>
      <w:drawing>
        <wp:anchor distT="0" distB="0" distL="114300" distR="114300" simplePos="0" relativeHeight="251663360" behindDoc="0" locked="0" layoutInCell="1" allowOverlap="1" wp14:anchorId="7A305C10" wp14:editId="2C48BED6">
          <wp:simplePos x="0" y="0"/>
          <wp:positionH relativeFrom="margin">
            <wp:posOffset>-80645</wp:posOffset>
          </wp:positionH>
          <wp:positionV relativeFrom="paragraph">
            <wp:posOffset>-36830</wp:posOffset>
          </wp:positionV>
          <wp:extent cx="401320" cy="351790"/>
          <wp:effectExtent l="0" t="0" r="0" b="0"/>
          <wp:wrapSquare wrapText="right"/>
          <wp:docPr id="1" name="Picture 1" descr="Description: 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320" cy="351790"/>
                  </a:xfrm>
                  <a:prstGeom prst="rect">
                    <a:avLst/>
                  </a:prstGeom>
                  <a:noFill/>
                </pic:spPr>
              </pic:pic>
            </a:graphicData>
          </a:graphic>
          <wp14:sizeRelH relativeFrom="margin">
            <wp14:pctWidth>0</wp14:pctWidth>
          </wp14:sizeRelH>
          <wp14:sizeRelV relativeFrom="margin">
            <wp14:pctHeight>0</wp14:pctHeight>
          </wp14:sizeRelV>
        </wp:anchor>
      </w:drawing>
    </w:r>
    <w:r w:rsidR="00A17EAF" w:rsidRPr="008C1F15">
      <w:rPr>
        <w:b/>
        <w:color w:val="7F1416"/>
        <w:szCs w:val="16"/>
      </w:rPr>
      <w:t>S/NFI Sector</w:t>
    </w:r>
  </w:p>
  <w:p w14:paraId="4783457C" w14:textId="1EC95B48" w:rsidR="00A17EAF" w:rsidRPr="00A17EAF" w:rsidRDefault="00A17EAF" w:rsidP="00A17EAF">
    <w:pPr>
      <w:pStyle w:val="Header"/>
      <w:tabs>
        <w:tab w:val="left" w:pos="270"/>
      </w:tabs>
      <w:rPr>
        <w:color w:val="7F1416"/>
        <w:sz w:val="20"/>
        <w:szCs w:val="12"/>
      </w:rPr>
    </w:pPr>
    <w:r w:rsidRPr="008C1F15">
      <w:rPr>
        <w:color w:val="7F1416"/>
        <w:sz w:val="20"/>
        <w:szCs w:val="12"/>
      </w:rPr>
      <w:t>Sudan</w:t>
    </w:r>
  </w:p>
  <w:p w14:paraId="2C48E99E" w14:textId="2F762623" w:rsidR="00D476CC" w:rsidRPr="00A17EAF" w:rsidRDefault="000233E5" w:rsidP="00D476CC">
    <w:pPr>
      <w:pStyle w:val="Header"/>
      <w:rPr>
        <w:rFonts w:ascii="Verdana" w:hAnsi="Verdana"/>
        <w:color w:val="262626" w:themeColor="text1" w:themeTint="D9"/>
        <w:sz w:val="20"/>
        <w:szCs w:val="20"/>
      </w:rPr>
    </w:pPr>
    <w:r w:rsidRPr="00A17EAF">
      <w:rPr>
        <w:rFonts w:ascii="Verdana" w:hAnsi="Verdana"/>
        <w:color w:val="262626" w:themeColor="text1" w:themeTint="D9"/>
        <w:sz w:val="12"/>
        <w:szCs w:val="12"/>
      </w:rPr>
      <w:tab/>
    </w:r>
    <w:r w:rsidRPr="00A17EAF">
      <w:rPr>
        <w:rFonts w:ascii="Verdana" w:hAnsi="Verdana"/>
        <w:color w:val="262626" w:themeColor="text1" w:themeTint="D9"/>
        <w:sz w:val="12"/>
        <w:szCs w:val="12"/>
      </w:rPr>
      <w:tab/>
      <w:t xml:space="preserve">                                                                                 </w:t>
    </w:r>
    <w:proofErr w:type="spellStart"/>
    <w:proofErr w:type="gramStart"/>
    <w:r w:rsidR="00D476CC" w:rsidRPr="00A17EAF">
      <w:rPr>
        <w:rFonts w:ascii="Verdana" w:hAnsi="Verdana"/>
        <w:color w:val="262626" w:themeColor="text1" w:themeTint="D9"/>
        <w:sz w:val="20"/>
        <w:szCs w:val="20"/>
      </w:rPr>
      <w:t>Cluster</w:t>
    </w:r>
    <w:proofErr w:type="spellEnd"/>
    <w:proofErr w:type="gramEnd"/>
    <w:r w:rsidR="00D476CC" w:rsidRPr="00A17EAF">
      <w:rPr>
        <w:rFonts w:ascii="Verdana" w:hAnsi="Verdana"/>
        <w:color w:val="262626" w:themeColor="text1" w:themeTint="D9"/>
        <w:sz w:val="20"/>
        <w:szCs w:val="20"/>
      </w:rPr>
      <w:t xml:space="preserve"> Coordination Performance Monitoring</w:t>
    </w:r>
    <w:r w:rsidR="00A17EAF" w:rsidRPr="00A17EAF">
      <w:rPr>
        <w:rFonts w:ascii="Verdana" w:hAnsi="Verdana"/>
        <w:color w:val="262626" w:themeColor="text1" w:themeTint="D9"/>
        <w:sz w:val="20"/>
        <w:szCs w:val="20"/>
      </w:rPr>
      <w:t xml:space="preserve"> 2020 </w:t>
    </w:r>
  </w:p>
  <w:p w14:paraId="59127207" w14:textId="77777777" w:rsidR="00D476CC" w:rsidRDefault="00D4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C1927"/>
    <w:multiLevelType w:val="hybridMultilevel"/>
    <w:tmpl w:val="75C8F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8C4DB8"/>
    <w:multiLevelType w:val="hybridMultilevel"/>
    <w:tmpl w:val="A3548104"/>
    <w:lvl w:ilvl="0" w:tplc="0409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D0A"/>
    <w:rsid w:val="000233E5"/>
    <w:rsid w:val="00045B95"/>
    <w:rsid w:val="000A5800"/>
    <w:rsid w:val="001A2A6F"/>
    <w:rsid w:val="001D7825"/>
    <w:rsid w:val="002F64E4"/>
    <w:rsid w:val="00347151"/>
    <w:rsid w:val="00356B04"/>
    <w:rsid w:val="00453490"/>
    <w:rsid w:val="005F317E"/>
    <w:rsid w:val="00684BBC"/>
    <w:rsid w:val="006C304C"/>
    <w:rsid w:val="006D0D11"/>
    <w:rsid w:val="00716F14"/>
    <w:rsid w:val="007218BB"/>
    <w:rsid w:val="00761FD3"/>
    <w:rsid w:val="00781140"/>
    <w:rsid w:val="00784369"/>
    <w:rsid w:val="007F06D3"/>
    <w:rsid w:val="008865E3"/>
    <w:rsid w:val="00995569"/>
    <w:rsid w:val="009B04B5"/>
    <w:rsid w:val="00A06D40"/>
    <w:rsid w:val="00A17EAF"/>
    <w:rsid w:val="00B33593"/>
    <w:rsid w:val="00B50D0A"/>
    <w:rsid w:val="00BC4ACC"/>
    <w:rsid w:val="00D043D9"/>
    <w:rsid w:val="00D476CC"/>
    <w:rsid w:val="00D514AB"/>
    <w:rsid w:val="00D856DE"/>
    <w:rsid w:val="00DA5B0F"/>
    <w:rsid w:val="00DD2EA7"/>
    <w:rsid w:val="00DD78D8"/>
    <w:rsid w:val="00DF50FD"/>
    <w:rsid w:val="00EA404E"/>
    <w:rsid w:val="00FB7F6E"/>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62C08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490"/>
    <w:rPr>
      <w:color w:val="0563C1" w:themeColor="hyperlink"/>
      <w:u w:val="single"/>
    </w:rPr>
  </w:style>
  <w:style w:type="paragraph" w:styleId="ListParagraph">
    <w:name w:val="List Paragraph"/>
    <w:basedOn w:val="Normal"/>
    <w:uiPriority w:val="34"/>
    <w:qFormat/>
    <w:rsid w:val="00D476CC"/>
    <w:pPr>
      <w:spacing w:after="200" w:line="276" w:lineRule="auto"/>
      <w:ind w:left="720"/>
      <w:contextualSpacing/>
    </w:pPr>
    <w:rPr>
      <w:rFonts w:ascii="Calibri" w:eastAsia="Times New Roman" w:hAnsi="Calibri" w:cs="Times New Roman"/>
      <w:sz w:val="22"/>
      <w:szCs w:val="22"/>
      <w:lang w:val="en-GB"/>
    </w:rPr>
  </w:style>
  <w:style w:type="paragraph" w:styleId="Header">
    <w:name w:val="header"/>
    <w:basedOn w:val="Normal"/>
    <w:link w:val="HeaderChar"/>
    <w:uiPriority w:val="99"/>
    <w:unhideWhenUsed/>
    <w:rsid w:val="00D476CC"/>
    <w:pPr>
      <w:tabs>
        <w:tab w:val="center" w:pos="4252"/>
        <w:tab w:val="right" w:pos="8504"/>
      </w:tabs>
    </w:pPr>
  </w:style>
  <w:style w:type="character" w:customStyle="1" w:styleId="HeaderChar">
    <w:name w:val="Header Char"/>
    <w:basedOn w:val="DefaultParagraphFont"/>
    <w:link w:val="Header"/>
    <w:uiPriority w:val="99"/>
    <w:rsid w:val="00D476CC"/>
  </w:style>
  <w:style w:type="paragraph" w:styleId="Footer">
    <w:name w:val="footer"/>
    <w:basedOn w:val="Normal"/>
    <w:link w:val="FooterChar"/>
    <w:uiPriority w:val="99"/>
    <w:unhideWhenUsed/>
    <w:rsid w:val="00D476CC"/>
    <w:pPr>
      <w:tabs>
        <w:tab w:val="center" w:pos="4252"/>
        <w:tab w:val="right" w:pos="8504"/>
      </w:tabs>
    </w:pPr>
  </w:style>
  <w:style w:type="character" w:customStyle="1" w:styleId="FooterChar">
    <w:name w:val="Footer Char"/>
    <w:basedOn w:val="DefaultParagraphFont"/>
    <w:link w:val="Footer"/>
    <w:uiPriority w:val="99"/>
    <w:rsid w:val="00D47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3381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heltercluster.org/sites/default/files/docs/nw_sw_presence_map_complete_cop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eltercluster.org/cameroon/documents/factsheetcameroon181212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heltercluster.org/cameroon/documents/sw-nw-cameroon-minimum-shelter-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eltercluster.org/response/cameroon" TargetMode="External"/><Relationship Id="rId5" Type="http://schemas.openxmlformats.org/officeDocument/2006/relationships/numbering" Target="numbering.xml"/><Relationship Id="rId15" Type="http://schemas.openxmlformats.org/officeDocument/2006/relationships/hyperlink" Target="https://www.sheltercluster.org/cameroon/documents/swnw-cameroon-minimum-nfi-ki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heltercluster.org/sites/default/files/docs/sc_swnw_cam_sc_strategy.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13" ma:contentTypeDescription="Create a new document." ma:contentTypeScope="" ma:versionID="ac86a000fabe1cd588c8302a481b1f33">
  <xsd:schema xmlns:xsd="http://www.w3.org/2001/XMLSchema" xmlns:xs="http://www.w3.org/2001/XMLSchema" xmlns:p="http://schemas.microsoft.com/office/2006/metadata/properties" xmlns:ns3="6df68d03-0d94-44b1-a9a2-765e7690f201" xmlns:ns4="1d8ebf77-cd33-4f18-bb2b-d077fe339d9a" targetNamespace="http://schemas.microsoft.com/office/2006/metadata/properties" ma:root="true" ma:fieldsID="c6debc5de8c98d67ad87a41679987d52" ns3:_="" ns4:_="">
    <xsd:import namespace="6df68d03-0d94-44b1-a9a2-765e7690f201"/>
    <xsd:import namespace="1d8ebf77-cd33-4f18-bb2b-d077fe339d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8ebf77-cd33-4f18-bb2b-d077fe339d9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27099-EE50-4B6E-A4E8-765025D69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1d8ebf77-cd33-4f18-bb2b-d077fe339d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2036E-ED00-45B0-AF3C-84C420DBA0CB}">
  <ds:schemaRefs>
    <ds:schemaRef ds:uri="http://schemas.microsoft.com/sharepoint/v3/contenttype/forms"/>
  </ds:schemaRefs>
</ds:datastoreItem>
</file>

<file path=customXml/itemProps3.xml><?xml version="1.0" encoding="utf-8"?>
<ds:datastoreItem xmlns:ds="http://schemas.openxmlformats.org/officeDocument/2006/customXml" ds:itemID="{4726E56D-BC2F-406A-9011-2061C59D81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D52F07-6ACD-4769-9ACF-20217B9A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1697</Words>
  <Characters>9677</Characters>
  <Application>Microsoft Office Word</Application>
  <DocSecurity>4</DocSecurity>
  <Lines>80</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Renee Wynveen</cp:lastModifiedBy>
  <cp:revision>2</cp:revision>
  <dcterms:created xsi:type="dcterms:W3CDTF">2020-09-25T13:31:00Z</dcterms:created>
  <dcterms:modified xsi:type="dcterms:W3CDTF">2020-09-25T13:31:00Z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