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64" w:lineRule="auto"/>
        <w:jc w:val="center"/>
        <w:rPr>
          <w:b w:val="1"/>
          <w:color w:val="365f91"/>
          <w:sz w:val="16"/>
          <w:szCs w:val="16"/>
        </w:rPr>
      </w:pPr>
      <w:r w:rsidDel="00000000" w:rsidR="00000000" w:rsidRPr="00000000">
        <w:rPr>
          <w:b w:val="1"/>
          <w:color w:val="365f91"/>
          <w:sz w:val="24"/>
          <w:szCs w:val="24"/>
          <w:rtl w:val="0"/>
        </w:rPr>
        <w:t xml:space="preserve">Diaspora</w:t>
      </w:r>
      <w:r w:rsidDel="00000000" w:rsidR="00000000" w:rsidRPr="00000000">
        <w:rPr>
          <w:rtl w:val="0"/>
        </w:rPr>
      </w:r>
    </w:p>
    <w:tbl>
      <w:tblPr>
        <w:tblStyle w:val="Table1"/>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155"/>
        <w:gridCol w:w="7880"/>
        <w:tblGridChange w:id="0">
          <w:tblGrid>
            <w:gridCol w:w="2155"/>
            <w:gridCol w:w="7880"/>
          </w:tblGrid>
        </w:tblGridChange>
      </w:tblGrid>
      <w:tr>
        <w:tc>
          <w:tcPr>
            <w:tcBorders>
              <w:right w:color="a6a6a6" w:space="0" w:sz="4" w:val="single"/>
            </w:tcBorders>
          </w:tcPr>
          <w:p w:rsidR="00000000" w:rsidDel="00000000" w:rsidP="00000000" w:rsidRDefault="00000000" w:rsidRPr="00000000" w14:paraId="00000002">
            <w:pPr>
              <w:spacing w:after="120" w:before="120" w:line="264" w:lineRule="auto"/>
              <w:rPr>
                <w:b w:val="1"/>
                <w:color w:val="980000"/>
              </w:rPr>
            </w:pPr>
            <w:r w:rsidDel="00000000" w:rsidR="00000000" w:rsidRPr="00000000">
              <w:rPr>
                <w:b w:val="1"/>
                <w:color w:val="980000"/>
                <w:rtl w:val="0"/>
              </w:rPr>
              <w:t xml:space="preserve">Topic/Title:</w:t>
            </w:r>
          </w:p>
        </w:tc>
        <w:tc>
          <w:tcPr>
            <w:tcBorders>
              <w:left w:color="a6a6a6" w:space="0" w:sz="4" w:val="single"/>
            </w:tcBorders>
          </w:tcPr>
          <w:p w:rsidR="00000000" w:rsidDel="00000000" w:rsidP="00000000" w:rsidRDefault="00000000" w:rsidRPr="00000000" w14:paraId="00000003">
            <w:pPr>
              <w:rPr/>
            </w:pPr>
            <w:r w:rsidDel="00000000" w:rsidR="00000000" w:rsidRPr="00000000">
              <w:rPr>
                <w:rtl w:val="0"/>
              </w:rPr>
              <w:t xml:space="preserve">Standard Operating Procedures (SOPs) to strengthen diaspora’s engagement within humanitarian shelter response</w:t>
            </w:r>
          </w:p>
        </w:tc>
      </w:tr>
      <w:tr>
        <w:tc>
          <w:tcPr>
            <w:tcBorders>
              <w:right w:color="a6a6a6" w:space="0" w:sz="4" w:val="single"/>
            </w:tcBorders>
          </w:tcPr>
          <w:p w:rsidR="00000000" w:rsidDel="00000000" w:rsidP="00000000" w:rsidRDefault="00000000" w:rsidRPr="00000000" w14:paraId="00000004">
            <w:pPr>
              <w:spacing w:after="120" w:before="120" w:lineRule="auto"/>
              <w:rPr/>
            </w:pPr>
            <w:r w:rsidDel="00000000" w:rsidR="00000000" w:rsidRPr="00000000">
              <w:rPr>
                <w:b w:val="1"/>
                <w:color w:val="980000"/>
                <w:rtl w:val="0"/>
              </w:rPr>
              <w:t xml:space="preserve">Background:</w:t>
            </w:r>
            <w:r w:rsidDel="00000000" w:rsidR="00000000" w:rsidRPr="00000000">
              <w:rPr>
                <w:rtl w:val="0"/>
              </w:rPr>
              <w:t xml:space="preserve"> (include relevance of topic to GSC stakeholders’ needs, interests, expectations)</w:t>
            </w:r>
          </w:p>
        </w:tc>
        <w:tc>
          <w:tcPr>
            <w:tcBorders>
              <w:left w:color="a6a6a6" w:space="0" w:sz="4" w:val="single"/>
            </w:tcBorders>
          </w:tcPr>
          <w:p w:rsidR="00000000" w:rsidDel="00000000" w:rsidP="00000000" w:rsidRDefault="00000000" w:rsidRPr="00000000" w14:paraId="0000000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Diasporas play a key role in disaster response in their countries of origin, directly or through resources sent to their communities. They send home billions of dollars in remittances every year – more than official aid and foreign direct investment, and remittances spike when a disaster strikes. When crises erupt, diaspora initiatives and organizations are often first-line responders, quickly sending relief and financial aid, and volunteers, directly to affected communities and support local structures. Due to their ties and networks in their countries of origin, they have access to relevant information, can assist during the crisis in areas with limited access to conventional actors and continue providing support as the immediate response moves to rehabilitation and recovery. This is true also for the Shelter Sector, where the great majority of damaged and destroyed shelters are cared for by the affected communities, often with Diasporas’ help. </w:t>
            </w:r>
          </w:p>
          <w:p w:rsidR="00000000" w:rsidDel="00000000" w:rsidP="00000000" w:rsidRDefault="00000000" w:rsidRPr="00000000" w14:paraId="0000000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wake of the World Humanitarian Summit (Turkey, January 2016) the international humanitarian community launched a clear call to effectively involve non-traditional actors, such as diasporas, for a more effective and comprehensive response. Moreover, the Sendai Framework recognizes migrants contribute to the resilience of communities and societies, and their knowledge, skills and capacities can be useful in the design and implementation of disaster risk reduction. However, despite widespread interest in diasporas’ as humanitarian partners, their engagement in disaster response has yet to be fully explored and coordinated for maximum impact.</w:t>
            </w:r>
          </w:p>
          <w:p w:rsidR="00000000" w:rsidDel="00000000" w:rsidP="00000000" w:rsidRDefault="00000000" w:rsidRPr="00000000" w14:paraId="0000000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Calibri" w:cs="Calibri" w:eastAsia="Calibri" w:hAnsi="Calibri"/>
                <w:b w:val="0"/>
                <w:i w:val="0"/>
                <w:smallCaps w:val="0"/>
                <w:strike w:val="0"/>
                <w:color w:val="363636"/>
                <w:sz w:val="22"/>
                <w:szCs w:val="22"/>
                <w:u w:val="none"/>
                <w:shd w:fill="auto" w:val="clear"/>
                <w:vertAlign w:val="baseline"/>
              </w:rPr>
            </w:pPr>
            <w:r w:rsidDel="00000000" w:rsidR="00000000" w:rsidRPr="00000000">
              <w:rPr>
                <w:rFonts w:ascii="Calibri" w:cs="Calibri" w:eastAsia="Calibri" w:hAnsi="Calibri"/>
                <w:b w:val="0"/>
                <w:i w:val="0"/>
                <w:smallCaps w:val="0"/>
                <w:strike w:val="0"/>
                <w:color w:val="363636"/>
                <w:sz w:val="22"/>
                <w:szCs w:val="22"/>
                <w:highlight w:val="white"/>
                <w:u w:val="none"/>
                <w:vertAlign w:val="baseline"/>
                <w:rtl w:val="0"/>
              </w:rPr>
              <w:t xml:space="preserve">In light of this, in 2018 pilot project was implemented by IOM aimed at taking an alternative approach to address the increasing demand for safer reconstruction</w:t>
            </w:r>
            <w:r w:rsidDel="00000000" w:rsidR="00000000" w:rsidRPr="00000000">
              <w:rPr>
                <w:rFonts w:ascii="Calibri" w:cs="Calibri" w:eastAsia="Calibri" w:hAnsi="Calibri"/>
                <w:b w:val="0"/>
                <w:i w:val="0"/>
                <w:smallCaps w:val="0"/>
                <w:strike w:val="0"/>
                <w:color w:val="363636"/>
                <w:sz w:val="22"/>
                <w:szCs w:val="22"/>
                <w:u w:val="none"/>
                <w:shd w:fill="auto" w:val="clear"/>
                <w:vertAlign w:val="baseline"/>
                <w:rtl w:val="0"/>
              </w:rPr>
              <w:t xml:space="preserve"> by engaging non-traditional actors like diaspora groups. </w:t>
            </w:r>
          </w:p>
          <w:p w:rsidR="00000000" w:rsidDel="00000000" w:rsidP="00000000" w:rsidRDefault="00000000" w:rsidRPr="00000000" w14:paraId="0000000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Calibri" w:cs="Calibri" w:eastAsia="Calibri" w:hAnsi="Calibri"/>
                <w:b w:val="0"/>
                <w:i w:val="0"/>
                <w:smallCaps w:val="0"/>
                <w:strike w:val="0"/>
                <w:color w:val="36363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Calibri" w:cs="Calibri" w:eastAsia="Calibri" w:hAnsi="Calibri"/>
                <w:b w:val="0"/>
                <w:i w:val="0"/>
                <w:smallCaps w:val="0"/>
                <w:strike w:val="0"/>
                <w:color w:val="363636"/>
                <w:sz w:val="22"/>
                <w:szCs w:val="22"/>
                <w:u w:val="none"/>
                <w:shd w:fill="auto" w:val="clear"/>
                <w:vertAlign w:val="baseline"/>
              </w:rPr>
            </w:pPr>
            <w:r w:rsidDel="00000000" w:rsidR="00000000" w:rsidRPr="00000000">
              <w:rPr>
                <w:rFonts w:ascii="Calibri" w:cs="Calibri" w:eastAsia="Calibri" w:hAnsi="Calibri"/>
                <w:b w:val="0"/>
                <w:i w:val="0"/>
                <w:smallCaps w:val="0"/>
                <w:strike w:val="0"/>
                <w:color w:val="363636"/>
                <w:sz w:val="22"/>
                <w:szCs w:val="22"/>
                <w:u w:val="none"/>
                <w:shd w:fill="auto" w:val="clear"/>
                <w:vertAlign w:val="baseline"/>
                <w:rtl w:val="0"/>
              </w:rPr>
              <w:t xml:space="preserve">The project engaged diaspora communities from the Philippines, Bangladesh and Haiti by raising awareness on the importance of safer shelters for Disaster Risk Reduction (DRR) and providing trainings on building back safer shelters. The pilot demonstrated that diaspora communities are very interested in being further and better engaged in the preparedness and response efforts with regards to shelters; they recognize that their direct and independent engagement in countries of origin when a disaster strikes often lacks in-depth technical knowledge, understanding of the needs, standards, systems, coordination mechanisms, and actors. Ultimately, the members of these diaspora communities are eager to support the disaster response efforts of the affected communities in their countries of origin for a response which can lead to increased resilience and risk reduction. </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c>
          <w:tcPr>
            <w:tcBorders>
              <w:right w:color="a6a6a6" w:space="0" w:sz="4" w:val="single"/>
            </w:tcBorders>
          </w:tcPr>
          <w:p w:rsidR="00000000" w:rsidDel="00000000" w:rsidP="00000000" w:rsidRDefault="00000000" w:rsidRPr="00000000" w14:paraId="0000000D">
            <w:pPr>
              <w:spacing w:after="120" w:before="120" w:lineRule="auto"/>
              <w:rPr/>
            </w:pPr>
            <w:r w:rsidDel="00000000" w:rsidR="00000000" w:rsidRPr="00000000">
              <w:rPr>
                <w:b w:val="1"/>
                <w:color w:val="980000"/>
                <w:rtl w:val="0"/>
              </w:rPr>
              <w:t xml:space="preserve">Link to 2019 theme:</w:t>
            </w:r>
            <w:r w:rsidDel="00000000" w:rsidR="00000000" w:rsidRPr="00000000">
              <w:rPr>
                <w:rtl w:val="0"/>
              </w:rPr>
              <w:t xml:space="preserve">  How are you linking to the Pillar 4 theme (Capacity, including localisation)</w:t>
            </w:r>
          </w:p>
        </w:tc>
        <w:tc>
          <w:tcPr>
            <w:tcBorders>
              <w:left w:color="a6a6a6" w:space="0" w:sz="4" w:val="single"/>
            </w:tcBorders>
          </w:tcPr>
          <w:p w:rsidR="00000000" w:rsidDel="00000000" w:rsidP="00000000" w:rsidRDefault="00000000" w:rsidRPr="00000000" w14:paraId="0000000E">
            <w:pPr>
              <w:rPr/>
            </w:pPr>
            <w:r w:rsidDel="00000000" w:rsidR="00000000" w:rsidRPr="00000000">
              <w:rPr>
                <w:rtl w:val="0"/>
              </w:rPr>
              <w:t xml:space="preserve">The idea of this working group is very closely linked to issues of capacity, and capacity building, addressing non-traditional actors, like diaspora members and organizations, which involve independently in disaster response and shelters reconstruction. Ultimately, the goal is to build capacity of local affected communities, especially those that are not reached by humanitarian actors, by leveraging the influence, connections and knowledge of the diasporas. </w:t>
            </w:r>
          </w:p>
        </w:tc>
      </w:tr>
      <w:tr>
        <w:tc>
          <w:tcPr>
            <w:tcBorders>
              <w:right w:color="a6a6a6" w:space="0" w:sz="4" w:val="single"/>
            </w:tcBorders>
          </w:tcPr>
          <w:p w:rsidR="00000000" w:rsidDel="00000000" w:rsidP="00000000" w:rsidRDefault="00000000" w:rsidRPr="00000000" w14:paraId="0000000F">
            <w:pPr>
              <w:spacing w:after="120" w:before="120" w:lineRule="auto"/>
              <w:rPr>
                <w:b w:val="1"/>
                <w:color w:val="980000"/>
              </w:rPr>
            </w:pPr>
            <w:r w:rsidDel="00000000" w:rsidR="00000000" w:rsidRPr="00000000">
              <w:rPr>
                <w:b w:val="1"/>
                <w:color w:val="980000"/>
                <w:rtl w:val="0"/>
              </w:rPr>
              <w:t xml:space="preserve">Your objectives (what you want to achieve)</w:t>
            </w:r>
          </w:p>
        </w:tc>
        <w:tc>
          <w:tcPr>
            <w:tcBorders>
              <w:left w:color="a6a6a6" w:space="0" w:sz="4" w:val="single"/>
            </w:tcBorders>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color w:val="363636"/>
                <w:rtl w:val="0"/>
              </w:rPr>
              <w:t xml:space="preserve">The objective is to have a</w:t>
            </w:r>
            <w:r w:rsidDel="00000000" w:rsidR="00000000" w:rsidRPr="00000000">
              <w:rPr>
                <w:rFonts w:ascii="Calibri" w:cs="Calibri" w:eastAsia="Calibri" w:hAnsi="Calibri"/>
                <w:rtl w:val="0"/>
              </w:rPr>
              <w:t xml:space="preserve"> Working Group to develop SOPs for diaspora organizations (DOs), aimed at ensuring improved coordination, and a more effective engagement on the ground for DOs in disaster contexts.</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These SOPs will seek to help clarify how these diaspora organizations can link with the shelter cluster and international shelter organizations, as well as how diaspora groups can better use their skills and capacities in response. The focus will primarily be on natural disasters with a focus on the Diaspora groups for Haiti, Bangladesh and the Philippines but could represent a model for other diaspora communities. </w:t>
            </w:r>
          </w:p>
        </w:tc>
      </w:tr>
      <w:tr>
        <w:tc>
          <w:tcPr>
            <w:tcBorders>
              <w:right w:color="a6a6a6" w:space="0" w:sz="4" w:val="single"/>
            </w:tcBorders>
          </w:tcPr>
          <w:p w:rsidR="00000000" w:rsidDel="00000000" w:rsidP="00000000" w:rsidRDefault="00000000" w:rsidRPr="00000000" w14:paraId="00000013">
            <w:pPr>
              <w:spacing w:after="120" w:before="120" w:lineRule="auto"/>
              <w:rPr/>
            </w:pPr>
            <w:r w:rsidDel="00000000" w:rsidR="00000000" w:rsidRPr="00000000">
              <w:rPr>
                <w:b w:val="1"/>
                <w:color w:val="980000"/>
                <w:rtl w:val="0"/>
              </w:rPr>
              <w:t xml:space="preserve">Anticipated Outcomes  for participants </w:t>
            </w:r>
            <w:r w:rsidDel="00000000" w:rsidR="00000000" w:rsidRPr="00000000">
              <w:rPr>
                <w:rtl w:val="0"/>
              </w:rPr>
            </w:r>
          </w:p>
        </w:tc>
        <w:tc>
          <w:tcPr>
            <w:tcBorders>
              <w:left w:color="a6a6a6" w:space="0" w:sz="4" w:val="single"/>
            </w:tcBorders>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Participants would:</w:t>
            </w:r>
          </w:p>
          <w:p w:rsidR="00000000" w:rsidDel="00000000" w:rsidP="00000000" w:rsidRDefault="00000000" w:rsidRPr="00000000" w14:paraId="00000015">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Better understand the key role played by diasporas in disaster response and shelter sector in particular</w:t>
            </w:r>
          </w:p>
          <w:p w:rsidR="00000000" w:rsidDel="00000000" w:rsidP="00000000" w:rsidRDefault="00000000" w:rsidRPr="00000000" w14:paraId="00000016">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Better understand challenges and opportunities for more effective and coordinated response for Dos in disasters</w:t>
            </w:r>
          </w:p>
          <w:p w:rsidR="00000000" w:rsidDel="00000000" w:rsidP="00000000" w:rsidRDefault="00000000" w:rsidRPr="00000000" w14:paraId="00000017">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 strategize on ways in which the formal humanitarian system can better coordinate and interface with Diaspora actors in disaster settings </w:t>
            </w:r>
          </w:p>
        </w:tc>
      </w:tr>
      <w:tr>
        <w:tc>
          <w:tcPr>
            <w:tcBorders>
              <w:right w:color="a6a6a6" w:space="0" w:sz="4" w:val="single"/>
            </w:tcBorders>
          </w:tcPr>
          <w:p w:rsidR="00000000" w:rsidDel="00000000" w:rsidP="00000000" w:rsidRDefault="00000000" w:rsidRPr="00000000" w14:paraId="00000018">
            <w:pPr>
              <w:spacing w:after="120" w:before="120" w:lineRule="auto"/>
              <w:rPr>
                <w:b w:val="1"/>
                <w:color w:val="980000"/>
              </w:rPr>
            </w:pPr>
            <w:r w:rsidDel="00000000" w:rsidR="00000000" w:rsidRPr="00000000">
              <w:rPr>
                <w:b w:val="1"/>
                <w:color w:val="980000"/>
                <w:rtl w:val="0"/>
              </w:rPr>
              <w:t xml:space="preserve">Outputs (if any)</w:t>
            </w:r>
          </w:p>
        </w:tc>
        <w:tc>
          <w:tcPr>
            <w:tcBorders>
              <w:left w:color="a6a6a6" w:space="0" w:sz="4" w:val="single"/>
            </w:tcBorders>
          </w:tcPr>
          <w:p w:rsidR="00000000" w:rsidDel="00000000" w:rsidP="00000000" w:rsidRDefault="00000000" w:rsidRPr="00000000" w14:paraId="0000001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3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discussion in the workshop will help the development of:</w:t>
            </w:r>
          </w:p>
          <w:p w:rsidR="00000000" w:rsidDel="00000000" w:rsidP="00000000" w:rsidRDefault="00000000" w:rsidRPr="00000000" w14:paraId="0000001A">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30" w:before="0" w:line="240"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Diaspora-specific SOPs for disaster response and recovery, including elements of coordination, communication, operational support, etc. </w:t>
            </w:r>
          </w:p>
          <w:p w:rsidR="00000000" w:rsidDel="00000000" w:rsidP="00000000" w:rsidRDefault="00000000" w:rsidRPr="00000000" w14:paraId="0000001B">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30" w:before="0" w:line="240"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Referral tools: Guidance for diaspora actors on establishing referral pathway to specialized Shelter actors</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tc>
      </w:tr>
      <w:tr>
        <w:tc>
          <w:tcPr>
            <w:tcBorders>
              <w:right w:color="a6a6a6" w:space="0" w:sz="4" w:val="single"/>
            </w:tcBorders>
          </w:tcPr>
          <w:p w:rsidR="00000000" w:rsidDel="00000000" w:rsidP="00000000" w:rsidRDefault="00000000" w:rsidRPr="00000000" w14:paraId="0000001D">
            <w:pPr>
              <w:spacing w:after="120" w:before="120" w:lineRule="auto"/>
              <w:rPr>
                <w:b w:val="1"/>
                <w:color w:val="980000"/>
              </w:rPr>
            </w:pPr>
            <w:r w:rsidDel="00000000" w:rsidR="00000000" w:rsidRPr="00000000">
              <w:rPr>
                <w:b w:val="1"/>
                <w:color w:val="980000"/>
                <w:rtl w:val="0"/>
              </w:rPr>
              <w:t xml:space="preserve">Time required:</w:t>
            </w:r>
          </w:p>
        </w:tc>
        <w:tc>
          <w:tcPr>
            <w:tcBorders>
              <w:left w:color="a6a6a6" w:space="0" w:sz="4" w:val="single"/>
            </w:tcBorders>
          </w:tcPr>
          <w:p w:rsidR="00000000" w:rsidDel="00000000" w:rsidP="00000000" w:rsidRDefault="00000000" w:rsidRPr="00000000" w14:paraId="0000001E">
            <w:pPr>
              <w:rPr/>
            </w:pPr>
            <w:r w:rsidDel="00000000" w:rsidR="00000000" w:rsidRPr="00000000">
              <w:rPr>
                <w:rtl w:val="0"/>
              </w:rPr>
              <w:t xml:space="preserve">1 hour to 1 hour and 30 minutes </w:t>
            </w:r>
          </w:p>
        </w:tc>
      </w:tr>
    </w:tbl>
    <w:p w:rsidR="00000000" w:rsidDel="00000000" w:rsidP="00000000" w:rsidRDefault="00000000" w:rsidRPr="00000000" w14:paraId="0000001F">
      <w:pPr>
        <w:spacing w:after="120" w:before="120" w:line="264" w:lineRule="auto"/>
        <w:rPr>
          <w:sz w:val="20"/>
          <w:szCs w:val="20"/>
        </w:rPr>
      </w:pPr>
      <w:r w:rsidDel="00000000" w:rsidR="00000000" w:rsidRPr="00000000">
        <w:rPr>
          <w:rtl w:val="0"/>
        </w:rPr>
      </w:r>
    </w:p>
    <w:tbl>
      <w:tblPr>
        <w:tblStyle w:val="Table2"/>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685"/>
        <w:gridCol w:w="7350"/>
        <w:tblGridChange w:id="0">
          <w:tblGrid>
            <w:gridCol w:w="2685"/>
            <w:gridCol w:w="7350"/>
          </w:tblGrid>
        </w:tblGridChange>
      </w:tblGrid>
      <w:tr>
        <w:trPr>
          <w:trHeight w:val="1960" w:hRule="atLeast"/>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0">
            <w:pPr>
              <w:rPr/>
            </w:pPr>
            <w:r w:rsidDel="00000000" w:rsidR="00000000" w:rsidRPr="00000000">
              <w:rPr>
                <w:rtl w:val="0"/>
              </w:rPr>
              <w:t xml:space="preserve"> </w:t>
            </w:r>
            <w:r w:rsidDel="00000000" w:rsidR="00000000" w:rsidRPr="00000000">
              <w:rPr/>
              <w:drawing>
                <wp:inline distB="0" distT="0" distL="0" distR="0">
                  <wp:extent cx="635797" cy="62134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5797" cy="621348"/>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Your session plan </w:t>
            </w:r>
          </w:p>
          <w:p w:rsidR="00000000" w:rsidDel="00000000" w:rsidP="00000000" w:rsidRDefault="00000000" w:rsidRPr="00000000" w14:paraId="00000022">
            <w:pPr>
              <w:rPr/>
            </w:pPr>
            <w:r w:rsidDel="00000000" w:rsidR="00000000" w:rsidRPr="00000000">
              <w:rPr>
                <w:rtl w:val="0"/>
              </w:rPr>
              <w:t xml:space="preserve">With approx. timings, activities and roles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3">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Introductions</w:t>
            </w:r>
          </w:p>
          <w:p w:rsidR="00000000" w:rsidDel="00000000" w:rsidP="00000000" w:rsidRDefault="00000000" w:rsidRPr="00000000" w14:paraId="00000024">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Presentation from IOM </w:t>
            </w:r>
          </w:p>
          <w:p w:rsidR="00000000" w:rsidDel="00000000" w:rsidP="00000000" w:rsidRDefault="00000000" w:rsidRPr="00000000" w14:paraId="00000025">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Presentation from Diaspora member</w:t>
            </w:r>
          </w:p>
          <w:p w:rsidR="00000000" w:rsidDel="00000000" w:rsidP="00000000" w:rsidRDefault="00000000" w:rsidRPr="00000000" w14:paraId="00000026">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Open discussion</w:t>
            </w:r>
          </w:p>
          <w:p w:rsidR="00000000" w:rsidDel="00000000" w:rsidP="00000000" w:rsidRDefault="00000000" w:rsidRPr="00000000" w14:paraId="00000027">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 points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8">
            <w:pPr>
              <w:rPr/>
            </w:pPr>
            <w:r w:rsidDel="00000000" w:rsidR="00000000" w:rsidRPr="00000000">
              <w:rPr>
                <w:rtl w:val="0"/>
              </w:rPr>
              <w:t xml:space="preserve">Materials and equipment needed*</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9">
            <w:pPr>
              <w:spacing w:after="120" w:before="120" w:line="264" w:lineRule="auto"/>
              <w:rPr/>
            </w:pPr>
            <w:r w:rsidDel="00000000" w:rsidR="00000000" w:rsidRPr="00000000">
              <w:rPr>
                <w:rtl w:val="0"/>
              </w:rPr>
              <w:t xml:space="preserve">Projector, Flipchart stand, paper, marker pens, tables and chairs </w:t>
            </w:r>
          </w:p>
          <w:p w:rsidR="00000000" w:rsidDel="00000000" w:rsidP="00000000" w:rsidRDefault="00000000" w:rsidRPr="00000000" w14:paraId="0000002A">
            <w:pPr>
              <w:rPr/>
            </w:pPr>
            <w:r w:rsidDel="00000000" w:rsidR="00000000" w:rsidRPr="00000000">
              <w:rPr>
                <w:rtl w:val="0"/>
              </w:rPr>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B">
            <w:pPr>
              <w:rPr/>
            </w:pPr>
            <w:r w:rsidDel="00000000" w:rsidR="00000000" w:rsidRPr="00000000">
              <w:rPr>
                <w:rtl w:val="0"/>
              </w:rPr>
              <w:t xml:space="preserve">What resources will you provide (papers etc)?</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C">
            <w:pPr>
              <w:rPr/>
            </w:pPr>
            <w:r w:rsidDel="00000000" w:rsidR="00000000" w:rsidRPr="00000000">
              <w:rPr>
                <w:rtl w:val="0"/>
              </w:rPr>
              <w:t xml:space="preserve">Some handouts </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D">
            <w:pPr>
              <w:rPr/>
            </w:pPr>
            <w:r w:rsidDel="00000000" w:rsidR="00000000" w:rsidRPr="00000000">
              <w:rPr>
                <w:rtl w:val="0"/>
              </w:rPr>
              <w:t xml:space="preserve">How will you capture information/actions)?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E">
            <w:pPr>
              <w:spacing w:after="120" w:before="120" w:line="264" w:lineRule="auto"/>
              <w:rPr>
                <w:sz w:val="20"/>
                <w:szCs w:val="20"/>
              </w:rPr>
            </w:pPr>
            <w:r w:rsidDel="00000000" w:rsidR="00000000" w:rsidRPr="00000000">
              <w:rPr>
                <w:sz w:val="20"/>
                <w:szCs w:val="20"/>
                <w:rtl w:val="0"/>
              </w:rPr>
              <w:t xml:space="preserve">Report </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F">
            <w:pPr>
              <w:rPr/>
            </w:pPr>
            <w:r w:rsidDel="00000000" w:rsidR="00000000" w:rsidRPr="00000000">
              <w:rPr>
                <w:rtl w:val="0"/>
              </w:rPr>
              <w:t xml:space="preserve">Would you like to discuss your session with Lesley or with GSC representatives?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30">
            <w:pPr>
              <w:spacing w:after="120" w:before="120" w:line="264" w:lineRule="auto"/>
              <w:rPr>
                <w:sz w:val="20"/>
                <w:szCs w:val="20"/>
              </w:rPr>
            </w:pPr>
            <w:r w:rsidDel="00000000" w:rsidR="00000000" w:rsidRPr="00000000">
              <w:rPr>
                <w:sz w:val="20"/>
                <w:szCs w:val="20"/>
                <w:rtl w:val="0"/>
              </w:rPr>
              <w:t xml:space="preserve">No</w:t>
            </w:r>
          </w:p>
        </w:tc>
      </w:tr>
    </w:tbl>
    <w:p w:rsidR="00000000" w:rsidDel="00000000" w:rsidP="00000000" w:rsidRDefault="00000000" w:rsidRPr="00000000" w14:paraId="00000031">
      <w:pPr>
        <w:spacing w:after="120" w:before="120" w:line="264" w:lineRule="auto"/>
        <w:ind w:hanging="720"/>
        <w:rPr>
          <w:color w:val="000000"/>
        </w:rPr>
      </w:pPr>
      <w:r w:rsidDel="00000000" w:rsidR="00000000" w:rsidRPr="00000000">
        <w:rPr>
          <w:rtl w:val="0"/>
        </w:rPr>
      </w:r>
    </w:p>
    <w:sectPr>
      <w:headerReference r:id="rId8" w:type="default"/>
      <w:footerReference r:id="rId9" w:type="default"/>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pos="4320"/>
        <w:tab w:val="right" w:pos="8640"/>
      </w:tabs>
      <w:spacing w:after="200" w:line="276" w:lineRule="auto"/>
      <w:jc w:val="center"/>
      <w:rPr>
        <w:b w:val="1"/>
        <w:color w:val="943634"/>
      </w:rPr>
    </w:pPr>
    <w:r w:rsidDel="00000000" w:rsidR="00000000" w:rsidRPr="00000000">
      <w:rPr>
        <w:b w:val="1"/>
        <w:color w:val="943634"/>
        <w:rtl w:val="0"/>
      </w:rPr>
      <w:t xml:space="preserve">GSC Meeting 9-10 October 2019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lineRule="auto"/>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lineRule="auto"/>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lineRule="auto"/>
    </w:pPr>
    <w:rPr>
      <w:rFonts w:ascii="Arial" w:cs="Arial" w:eastAsia="Arial" w:hAnsi="Arial"/>
      <w:color w:val="232323"/>
      <w:sz w:val="32"/>
      <w:szCs w:val="32"/>
    </w:rPr>
  </w:style>
  <w:style w:type="paragraph" w:styleId="Heading5">
    <w:name w:val="heading 5"/>
    <w:basedOn w:val="Normal"/>
    <w:next w:val="Normal"/>
    <w:pPr>
      <w:keepNext w:val="1"/>
      <w:keepLines w:val="1"/>
      <w:spacing w:before="200" w:lineRule="auto"/>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lineRule="auto"/>
    </w:pPr>
    <w:rPr>
      <w:rFonts w:ascii="Arial" w:cs="Arial" w:eastAsia="Arial" w:hAnsi="Arial"/>
      <w:i w:val="1"/>
      <w:color w:val="232323"/>
      <w:sz w:val="28"/>
      <w:szCs w:val="28"/>
    </w:rPr>
  </w:style>
  <w:style w:type="paragraph" w:styleId="Title">
    <w:name w:val="Title"/>
    <w:basedOn w:val="Normal"/>
    <w:next w:val="Normal"/>
    <w:pPr>
      <w:pBdr>
        <w:bottom w:color="000000" w:space="0" w:sz="24" w:val="single"/>
      </w:pBdr>
      <w:spacing w:after="80" w:before="300" w:lineRule="auto"/>
    </w:pPr>
    <w:rPr>
      <w:b w:val="1"/>
      <w:color w:val="000000"/>
      <w:sz w:val="72"/>
      <w:szCs w:val="72"/>
    </w:rPr>
  </w:style>
  <w:style w:type="paragraph" w:styleId="Normal" w:default="1">
    <w:name w:val="Normal"/>
  </w:style>
  <w:style w:type="paragraph" w:styleId="Heading1">
    <w:name w:val="heading 1"/>
    <w:basedOn w:val="Normal"/>
    <w:next w:val="Normal"/>
    <w:pPr>
      <w:keepNext w:val="1"/>
      <w:keepLines w:val="1"/>
      <w:spacing w:before="480"/>
      <w:outlineLvl w:val="0"/>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outlineLvl w:val="1"/>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outlineLvl w:val="2"/>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outlineLvl w:val="3"/>
    </w:pPr>
    <w:rPr>
      <w:rFonts w:ascii="Arial" w:cs="Arial" w:eastAsia="Arial" w:hAnsi="Arial"/>
      <w:color w:val="232323"/>
      <w:sz w:val="32"/>
      <w:szCs w:val="32"/>
    </w:rPr>
  </w:style>
  <w:style w:type="paragraph" w:styleId="Heading5">
    <w:name w:val="heading 5"/>
    <w:basedOn w:val="Normal"/>
    <w:next w:val="Normal"/>
    <w:pPr>
      <w:keepNext w:val="1"/>
      <w:keepLines w:val="1"/>
      <w:spacing w:before="200"/>
      <w:outlineLvl w:val="4"/>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outlineLvl w:val="5"/>
    </w:pPr>
    <w:rPr>
      <w:rFonts w:ascii="Arial" w:cs="Arial" w:eastAsia="Arial" w:hAnsi="Arial"/>
      <w:i w:val="1"/>
      <w:color w:val="232323"/>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pBdr>
        <w:bottom w:color="000000" w:space="0" w:sz="24" w:val="single"/>
      </w:pBdr>
      <w:spacing w:after="80" w:before="300"/>
    </w:pPr>
    <w:rPr>
      <w:b w:val="1"/>
      <w:color w:val="000000"/>
      <w:sz w:val="72"/>
      <w:szCs w:val="72"/>
    </w:rPr>
  </w:style>
  <w:style w:type="paragraph" w:styleId="Subtitle">
    <w:name w:val="Subtitle"/>
    <w:basedOn w:val="Normal"/>
    <w:next w:val="Normal"/>
    <w:rPr>
      <w:i w:val="1"/>
      <w:color w:val="444444"/>
      <w:sz w:val="52"/>
      <w:szCs w:val="5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Default" w:customStyle="1">
    <w:name w:val="Default"/>
    <w:rsid w:val="00696BDA"/>
    <w:pPr>
      <w:pBdr>
        <w:top w:color="auto" w:space="0" w:sz="0" w:val="none"/>
        <w:left w:color="auto" w:space="0" w:sz="0" w:val="none"/>
        <w:bottom w:color="auto" w:space="0" w:sz="0" w:val="none"/>
        <w:right w:color="auto" w:space="0" w:sz="0" w:val="none"/>
        <w:between w:color="auto" w:space="0" w:sz="0" w:val="none"/>
      </w:pBdr>
      <w:autoSpaceDE w:val="0"/>
      <w:autoSpaceDN w:val="0"/>
      <w:adjustRightInd w:val="0"/>
    </w:pPr>
    <w:rPr>
      <w:rFonts w:ascii="Arial" w:cs="Arial" w:hAnsi="Arial" w:eastAsiaTheme="minorHAnsi"/>
      <w:color w:val="000000"/>
      <w:sz w:val="24"/>
      <w:szCs w:val="24"/>
      <w:lang w:eastAsia="en-US" w:val="en-US"/>
    </w:rPr>
  </w:style>
  <w:style w:type="paragraph" w:styleId="ListParagraph">
    <w:name w:val="List Paragraph"/>
    <w:basedOn w:val="Normal"/>
    <w:uiPriority w:val="34"/>
    <w:qFormat w:val="1"/>
    <w:rsid w:val="00550BF1"/>
    <w:pPr>
      <w:ind w:left="720"/>
      <w:contextualSpacing w:val="1"/>
    </w:pPr>
  </w:style>
  <w:style w:type="paragraph" w:styleId="BalloonText">
    <w:name w:val="Balloon Text"/>
    <w:basedOn w:val="Normal"/>
    <w:link w:val="BalloonTextChar"/>
    <w:uiPriority w:val="99"/>
    <w:semiHidden w:val="1"/>
    <w:unhideWhenUsed w:val="1"/>
    <w:rsid w:val="0060566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5666"/>
    <w:rPr>
      <w:rFonts w:ascii="Segoe UI" w:cs="Segoe UI" w:hAnsi="Segoe UI"/>
      <w:sz w:val="18"/>
      <w:szCs w:val="18"/>
    </w:rPr>
  </w:style>
  <w:style w:type="character" w:styleId="CommentReference">
    <w:name w:val="annotation reference"/>
    <w:basedOn w:val="DefaultParagraphFont"/>
    <w:uiPriority w:val="99"/>
    <w:semiHidden w:val="1"/>
    <w:unhideWhenUsed w:val="1"/>
    <w:rsid w:val="00605666"/>
    <w:rPr>
      <w:sz w:val="16"/>
      <w:szCs w:val="16"/>
    </w:rPr>
  </w:style>
  <w:style w:type="paragraph" w:styleId="CommentText">
    <w:name w:val="annotation text"/>
    <w:basedOn w:val="Normal"/>
    <w:link w:val="CommentTextChar"/>
    <w:uiPriority w:val="99"/>
    <w:semiHidden w:val="1"/>
    <w:unhideWhenUsed w:val="1"/>
    <w:rsid w:val="00605666"/>
    <w:rPr>
      <w:sz w:val="20"/>
      <w:szCs w:val="20"/>
    </w:rPr>
  </w:style>
  <w:style w:type="character" w:styleId="CommentTextChar" w:customStyle="1">
    <w:name w:val="Comment Text Char"/>
    <w:basedOn w:val="DefaultParagraphFont"/>
    <w:link w:val="CommentText"/>
    <w:uiPriority w:val="99"/>
    <w:semiHidden w:val="1"/>
    <w:rsid w:val="00605666"/>
    <w:rPr>
      <w:sz w:val="20"/>
      <w:szCs w:val="20"/>
    </w:rPr>
  </w:style>
  <w:style w:type="paragraph" w:styleId="CommentSubject">
    <w:name w:val="annotation subject"/>
    <w:basedOn w:val="CommentText"/>
    <w:next w:val="CommentText"/>
    <w:link w:val="CommentSubjectChar"/>
    <w:uiPriority w:val="99"/>
    <w:semiHidden w:val="1"/>
    <w:unhideWhenUsed w:val="1"/>
    <w:rsid w:val="00605666"/>
    <w:rPr>
      <w:b w:val="1"/>
      <w:bCs w:val="1"/>
    </w:rPr>
  </w:style>
  <w:style w:type="character" w:styleId="CommentSubjectChar" w:customStyle="1">
    <w:name w:val="Comment Subject Char"/>
    <w:basedOn w:val="CommentTextChar"/>
    <w:link w:val="CommentSubject"/>
    <w:uiPriority w:val="99"/>
    <w:semiHidden w:val="1"/>
    <w:rsid w:val="00605666"/>
    <w:rPr>
      <w:b w:val="1"/>
      <w:bCs w:val="1"/>
      <w:sz w:val="20"/>
      <w:szCs w:val="20"/>
    </w:rPr>
  </w:style>
  <w:style w:type="paragraph" w:styleId="Subtitle">
    <w:name w:val="Subtitle"/>
    <w:basedOn w:val="Normal"/>
    <w:next w:val="Normal"/>
    <w:pPr/>
    <w:rPr>
      <w:i w:val="1"/>
      <w:color w:val="444444"/>
      <w:sz w:val="52"/>
      <w:szCs w:val="5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3rfMZ0ulQ4oHNAxrC1n+6w/irg==">AMUW2mVvyc6GWL58oLo1JOuBCIsKsQ15bQA3+JdDucnVkU8YNpkC2y6GacNvN7mpuipns1DYnNHUCL1sNxhXoMDO2CxA4lAB3zZJybM9FJ/J3lsOpFBQqtd/jyT3akANlUauA8IY4nqhU721WZ/kG3pF7IfkYPJMag==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2019-09-27T14:28:00Z</dcterms:created>
  <dc:creator>ROMANO Roberta</dc:creator>
</cp:coreProperties>
</file>