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18" w:rsidRPr="002B038B" w:rsidRDefault="00FA082F" w:rsidP="004E0E24">
      <w:pPr>
        <w:jc w:val="center"/>
        <w:rPr>
          <w:rFonts w:cs="Helv"/>
          <w:b/>
          <w:color w:val="000000"/>
          <w:sz w:val="24"/>
          <w:szCs w:val="24"/>
        </w:rPr>
      </w:pPr>
      <w:r>
        <w:rPr>
          <w:rFonts w:cs="Helv"/>
          <w:b/>
          <w:color w:val="000000"/>
          <w:sz w:val="24"/>
          <w:szCs w:val="24"/>
        </w:rPr>
        <w:t xml:space="preserve">National </w:t>
      </w:r>
      <w:r w:rsidR="002B038B" w:rsidRPr="002B038B">
        <w:rPr>
          <w:rFonts w:cs="Helv"/>
          <w:b/>
          <w:color w:val="000000"/>
          <w:sz w:val="24"/>
          <w:szCs w:val="24"/>
        </w:rPr>
        <w:t>Flood Response Matrix – Afar, Somali and SNNPR</w:t>
      </w:r>
    </w:p>
    <w:tbl>
      <w:tblPr>
        <w:tblStyle w:val="TableGrid"/>
        <w:tblW w:w="15678" w:type="dxa"/>
        <w:tblLayout w:type="fixed"/>
        <w:tblLook w:val="04A0" w:firstRow="1" w:lastRow="0" w:firstColumn="1" w:lastColumn="0" w:noHBand="0" w:noVBand="1"/>
      </w:tblPr>
      <w:tblGrid>
        <w:gridCol w:w="1045"/>
        <w:gridCol w:w="1149"/>
        <w:gridCol w:w="1982"/>
        <w:gridCol w:w="1602"/>
        <w:gridCol w:w="1174"/>
        <w:gridCol w:w="1912"/>
        <w:gridCol w:w="2210"/>
        <w:gridCol w:w="1480"/>
        <w:gridCol w:w="1414"/>
        <w:gridCol w:w="1710"/>
      </w:tblGrid>
      <w:tr w:rsidR="005B27E9" w:rsidRPr="00BC248D" w:rsidTr="005B27E9">
        <w:trPr>
          <w:trHeight w:val="497"/>
        </w:trPr>
        <w:tc>
          <w:tcPr>
            <w:tcW w:w="1045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32769">
              <w:rPr>
                <w:sz w:val="20"/>
                <w:szCs w:val="20"/>
              </w:rPr>
              <w:t xml:space="preserve"> </w:t>
            </w:r>
            <w:r w:rsidRPr="00BC248D">
              <w:rPr>
                <w:rFonts w:cs="Times New Roman"/>
                <w:b/>
                <w:sz w:val="20"/>
                <w:szCs w:val="20"/>
              </w:rPr>
              <w:t xml:space="preserve">Region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Sector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="005B27E9" w:rsidRPr="00BC248D" w:rsidRDefault="005B27E9" w:rsidP="006C69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Number of people receiving assistance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5B27E9" w:rsidRPr="00BC248D" w:rsidRDefault="005B27E9" w:rsidP="00CE5B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Partner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5B27E9" w:rsidRPr="00BC248D" w:rsidRDefault="005B27E9" w:rsidP="00CE5B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Budget/Supplies required 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:rsidR="005B27E9" w:rsidRPr="00BC248D" w:rsidRDefault="005B27E9" w:rsidP="006C078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Dispatched so far 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5B27E9" w:rsidRPr="00BC248D" w:rsidRDefault="005B27E9" w:rsidP="00A031D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Available 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5B27E9" w:rsidRPr="00BC248D" w:rsidRDefault="005B27E9" w:rsidP="00880378">
            <w:pPr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    Gap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5B27E9" w:rsidRPr="00BC248D" w:rsidRDefault="005B27E9" w:rsidP="0088037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Remarks</w:t>
            </w:r>
          </w:p>
        </w:tc>
      </w:tr>
      <w:tr w:rsidR="005B27E9" w:rsidRPr="00242E6C" w:rsidTr="005B27E9">
        <w:trPr>
          <w:trHeight w:val="1277"/>
        </w:trPr>
        <w:tc>
          <w:tcPr>
            <w:tcW w:w="1045" w:type="dxa"/>
            <w:vMerge w:val="restart"/>
          </w:tcPr>
          <w:p w:rsidR="005B27E9" w:rsidRPr="00691C8E" w:rsidRDefault="005B27E9" w:rsidP="00242E6C">
            <w:pPr>
              <w:rPr>
                <w:rFonts w:cs="Times New Roman"/>
                <w:b/>
                <w:sz w:val="20"/>
                <w:szCs w:val="20"/>
              </w:rPr>
            </w:pPr>
            <w:r w:rsidRPr="00691C8E">
              <w:rPr>
                <w:rFonts w:cs="Times New Roman"/>
                <w:b/>
                <w:sz w:val="20"/>
                <w:szCs w:val="20"/>
              </w:rPr>
              <w:t>Afar</w:t>
            </w:r>
            <w:r>
              <w:rPr>
                <w:rFonts w:cs="Times New Roman"/>
                <w:b/>
                <w:sz w:val="20"/>
                <w:szCs w:val="20"/>
              </w:rPr>
              <w:t>*</w:t>
            </w:r>
          </w:p>
          <w:p w:rsidR="005B27E9" w:rsidRPr="00691C8E" w:rsidRDefault="005B27E9" w:rsidP="001F4C7F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49" w:type="dxa"/>
            <w:vMerge w:val="restart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WASH</w:t>
            </w:r>
          </w:p>
        </w:tc>
        <w:tc>
          <w:tcPr>
            <w:tcW w:w="1982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Provision of Water purification and hygiene supply</w:t>
            </w:r>
          </w:p>
        </w:tc>
        <w:tc>
          <w:tcPr>
            <w:tcW w:w="1602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62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284E64">
              <w:rPr>
                <w:rFonts w:cs="Times New Roman"/>
                <w:sz w:val="20"/>
                <w:szCs w:val="20"/>
              </w:rPr>
              <w:t>572</w:t>
            </w:r>
          </w:p>
        </w:tc>
        <w:tc>
          <w:tcPr>
            <w:tcW w:w="1174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RWB, CARE Ethiopia, Save the children</w:t>
            </w:r>
          </w:p>
        </w:tc>
        <w:tc>
          <w:tcPr>
            <w:tcW w:w="1912" w:type="dxa"/>
            <w:vAlign w:val="bottom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319410 sachets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or 638820 sachets of Pure</w:t>
            </w:r>
          </w:p>
        </w:tc>
        <w:tc>
          <w:tcPr>
            <w:tcW w:w="2210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618,210 sachets of Pure and 46000 sachets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by UNICEF, GOAL, RWB, RHB, CARE for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Amibar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Dulsa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. 500,000 sachets of water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Pur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87780 sachets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by Care for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Buremodito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1 sachet of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purifies 20 litre water and 1 sachet of Pure purifies 10 litre  water</w:t>
            </w:r>
          </w:p>
        </w:tc>
        <w:tc>
          <w:tcPr>
            <w:tcW w:w="1414" w:type="dxa"/>
          </w:tcPr>
          <w:p w:rsidR="005B27E9" w:rsidRPr="00284E64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710" w:type="dxa"/>
          </w:tcPr>
          <w:p w:rsidR="005B27E9" w:rsidRPr="00284E64" w:rsidRDefault="005B27E9" w:rsidP="0071782D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SCI has secured us$50,000 for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Burimodayto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including health and NFI. </w:t>
            </w:r>
          </w:p>
        </w:tc>
      </w:tr>
      <w:tr w:rsidR="005B27E9" w:rsidRPr="00242E6C" w:rsidTr="005B27E9">
        <w:trPr>
          <w:trHeight w:val="1511"/>
        </w:trPr>
        <w:tc>
          <w:tcPr>
            <w:tcW w:w="1045" w:type="dxa"/>
            <w:vMerge/>
          </w:tcPr>
          <w:p w:rsidR="005B27E9" w:rsidRPr="00242E6C" w:rsidRDefault="005B27E9" w:rsidP="001F4C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B27E9" w:rsidRPr="00284E64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rehabilitation of damaged water schemes</w:t>
            </w:r>
          </w:p>
        </w:tc>
        <w:tc>
          <w:tcPr>
            <w:tcW w:w="1602" w:type="dxa"/>
          </w:tcPr>
          <w:p w:rsidR="005B27E9" w:rsidRPr="00284E64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29,592 (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AwshFental</w:t>
            </w:r>
            <w:proofErr w:type="spellEnd"/>
          </w:p>
        </w:tc>
        <w:tc>
          <w:tcPr>
            <w:tcW w:w="1174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RWB</w:t>
            </w:r>
          </w:p>
        </w:tc>
        <w:tc>
          <w:tcPr>
            <w:tcW w:w="1912" w:type="dxa"/>
            <w:vAlign w:val="bottom"/>
          </w:tcPr>
          <w:p w:rsidR="005B27E9" w:rsidRPr="00284E64" w:rsidRDefault="005B27E9" w:rsidP="001F4C7F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7 water schemes and 3 hand </w:t>
            </w:r>
            <w:proofErr w:type="gramStart"/>
            <w:r w:rsidRPr="00284E64">
              <w:rPr>
                <w:rFonts w:cs="Times New Roman"/>
                <w:sz w:val="20"/>
                <w:szCs w:val="20"/>
              </w:rPr>
              <w:t>pup</w:t>
            </w:r>
            <w:proofErr w:type="gramEnd"/>
            <w:r w:rsidRPr="00284E64">
              <w:rPr>
                <w:rFonts w:cs="Times New Roman"/>
                <w:sz w:val="20"/>
                <w:szCs w:val="20"/>
              </w:rPr>
              <w:t xml:space="preserve"> need to be rehabilitated in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Dulsa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AwashFental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84E64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284E6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10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480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27E9" w:rsidRPr="00242E6C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710" w:type="dxa"/>
          </w:tcPr>
          <w:p w:rsidR="005B27E9" w:rsidRDefault="005B27E9" w:rsidP="00464181">
            <w:pPr>
              <w:rPr>
                <w:rFonts w:cs="Times New Roman"/>
                <w:sz w:val="20"/>
                <w:szCs w:val="20"/>
              </w:rPr>
            </w:pPr>
            <w:r w:rsidRPr="00284E64">
              <w:rPr>
                <w:rFonts w:cs="Times New Roman"/>
                <w:sz w:val="20"/>
                <w:szCs w:val="20"/>
              </w:rPr>
              <w:t xml:space="preserve">Assessment of damaged schemes should be conducted after the water recedes </w:t>
            </w: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Health (Input from Cluster)</w:t>
            </w: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9817C6">
              <w:rPr>
                <w:rFonts w:cs="Times New Roman"/>
                <w:sz w:val="20"/>
                <w:szCs w:val="20"/>
              </w:rPr>
              <w:t>Strengthen  surveillance for  AWD, Malaria  and other outbreaks and  through supportive supervision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9817C6">
              <w:rPr>
                <w:rFonts w:cs="Times New Roman"/>
                <w:sz w:val="20"/>
                <w:szCs w:val="20"/>
              </w:rPr>
              <w:t>28392 (</w:t>
            </w:r>
            <w:proofErr w:type="spellStart"/>
            <w:r w:rsidRPr="009817C6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9817C6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9817C6">
              <w:rPr>
                <w:rFonts w:cs="Times New Roman"/>
                <w:sz w:val="20"/>
                <w:szCs w:val="20"/>
              </w:rPr>
              <w:t>Amibara</w:t>
            </w:r>
            <w:proofErr w:type="spellEnd"/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9817C6">
              <w:rPr>
                <w:rFonts w:cs="Times New Roman"/>
                <w:sz w:val="20"/>
                <w:szCs w:val="20"/>
              </w:rPr>
              <w:t>RHB WHO</w:t>
            </w:r>
          </w:p>
        </w:tc>
        <w:tc>
          <w:tcPr>
            <w:tcW w:w="1912" w:type="dxa"/>
          </w:tcPr>
          <w:p w:rsidR="000E7B44" w:rsidRPr="00DD3559" w:rsidRDefault="00732C7C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Supervision – USD 30,000</w:t>
            </w:r>
          </w:p>
        </w:tc>
        <w:tc>
          <w:tcPr>
            <w:tcW w:w="22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A team of health professionals from FMOH , RHB and MHNT arrived to the flood affected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kebeles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are conducting both curative and preventive services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732C7C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USD 25,000</w:t>
            </w: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0E7B44">
              <w:rPr>
                <w:rFonts w:cs="Times New Roman"/>
                <w:sz w:val="20"/>
                <w:szCs w:val="20"/>
              </w:rPr>
              <w:t xml:space="preserve">rovision of malaria Treatment drugs (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Coartum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+RDT)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28392 (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912" w:type="dxa"/>
          </w:tcPr>
          <w:p w:rsidR="000E7B44" w:rsidRPr="00DD3559" w:rsidRDefault="00732C7C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 procurement of drugs and medical supplies – USD 170,000</w:t>
            </w:r>
          </w:p>
        </w:tc>
        <w:tc>
          <w:tcPr>
            <w:tcW w:w="2210" w:type="dxa"/>
          </w:tcPr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1012 PKTs of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coartum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3000 kits of RDT,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chloroquine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160 tin, quinine tab of 300mg=160 PKT,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paracetamole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syrup=40 bottle, 2 box of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paracetamole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tab by FMOH and RHB</w:t>
            </w:r>
          </w:p>
          <w:p w:rsidR="000E7B44" w:rsidRPr="00DD3559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E7B44">
              <w:rPr>
                <w:rFonts w:cs="Times New Roman"/>
                <w:sz w:val="20"/>
                <w:szCs w:val="20"/>
              </w:rPr>
              <w:t>Arthmetrin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injection - 400 EPHI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732C7C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USD 170,000</w:t>
            </w: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0E7B44">
              <w:rPr>
                <w:rFonts w:cs="Times New Roman"/>
                <w:sz w:val="20"/>
                <w:szCs w:val="20"/>
              </w:rPr>
              <w:t xml:space="preserve">rovision of for </w:t>
            </w:r>
            <w:r w:rsidRPr="000E7B44">
              <w:rPr>
                <w:rFonts w:cs="Times New Roman"/>
                <w:sz w:val="20"/>
                <w:szCs w:val="20"/>
              </w:rPr>
              <w:lastRenderedPageBreak/>
              <w:t>prevention of AWD and other outbreaks Emergency drugs and CTC Kits ( for prepositioning )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lastRenderedPageBreak/>
              <w:t>28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0E7B44">
              <w:rPr>
                <w:rFonts w:cs="Times New Roman"/>
                <w:sz w:val="20"/>
                <w:szCs w:val="20"/>
              </w:rPr>
              <w:t>392</w:t>
            </w:r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91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5 EDK from GOAL 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lastRenderedPageBreak/>
              <w:t>8 EDK from UNICEF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5 IEHK were also received from EPHI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20,000 ORS sachet from EPHI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1000 bottle of Amoxicillin suspension from EPHI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Ringer lactate 500 (UNICEF)</w:t>
            </w:r>
          </w:p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IV cannula - 280</w:t>
            </w:r>
          </w:p>
          <w:p w:rsidR="000E7B44" w:rsidRPr="00DD3559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Scalp vein - 23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0E7B44">
              <w:rPr>
                <w:rFonts w:cs="Times New Roman"/>
                <w:sz w:val="20"/>
                <w:szCs w:val="20"/>
              </w:rPr>
              <w:t xml:space="preserve">rovision of ITNs  to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kebeles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 in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Dulecha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Gewane,Asayta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E7B44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0E7B44">
              <w:rPr>
                <w:rFonts w:cs="Times New Roman"/>
                <w:sz w:val="20"/>
                <w:szCs w:val="20"/>
              </w:rPr>
              <w:t xml:space="preserve"> and RHB</w:t>
            </w: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38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0E7B44">
              <w:rPr>
                <w:rFonts w:cs="Times New Roman"/>
                <w:sz w:val="20"/>
                <w:szCs w:val="20"/>
              </w:rPr>
              <w:t>392</w:t>
            </w:r>
          </w:p>
        </w:tc>
        <w:tc>
          <w:tcPr>
            <w:tcW w:w="1174" w:type="dxa"/>
          </w:tcPr>
          <w:p w:rsidR="000E7B44" w:rsidRPr="000E7B44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 xml:space="preserve">RHB, FMOH, Goal, </w:t>
            </w:r>
          </w:p>
          <w:p w:rsidR="000E7B44" w:rsidRPr="00DD3559" w:rsidRDefault="000E7B44" w:rsidP="000E7B44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E7B44">
              <w:rPr>
                <w:rFonts w:cs="Times New Roman"/>
                <w:sz w:val="20"/>
                <w:szCs w:val="20"/>
              </w:rPr>
              <w:t>Unicef</w:t>
            </w:r>
            <w:proofErr w:type="spellEnd"/>
          </w:p>
        </w:tc>
        <w:tc>
          <w:tcPr>
            <w:tcW w:w="1912" w:type="dxa"/>
          </w:tcPr>
          <w:p w:rsidR="000E7B44" w:rsidRPr="00DD3559" w:rsidRDefault="00732C7C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 procurement of LLITNS – USD 756</w:t>
            </w:r>
          </w:p>
        </w:tc>
        <w:tc>
          <w:tcPr>
            <w:tcW w:w="22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0E7B44">
              <w:rPr>
                <w:rFonts w:cs="Times New Roman"/>
                <w:sz w:val="20"/>
                <w:szCs w:val="20"/>
              </w:rPr>
              <w:t>30, 600 LLITN (FMOH, GOAL</w:t>
            </w:r>
            <w:proofErr w:type="gramStart"/>
            <w:r w:rsidRPr="000E7B44">
              <w:rPr>
                <w:rFonts w:cs="Times New Roman"/>
                <w:sz w:val="20"/>
                <w:szCs w:val="20"/>
              </w:rPr>
              <w:t>,UNICEF</w:t>
            </w:r>
            <w:proofErr w:type="gramEnd"/>
            <w:r w:rsidRPr="000E7B44">
              <w:rPr>
                <w:rFonts w:cs="Times New Roman"/>
                <w:sz w:val="20"/>
                <w:szCs w:val="20"/>
              </w:rPr>
              <w:t>, RHB…)</w:t>
            </w: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732C7C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commentRangeStart w:id="1"/>
            <w:r w:rsidRPr="00732C7C">
              <w:rPr>
                <w:rFonts w:cs="Times New Roman"/>
                <w:sz w:val="20"/>
                <w:szCs w:val="20"/>
              </w:rPr>
              <w:t>USD 756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7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7B44" w:rsidRPr="00242E6C" w:rsidTr="005B27E9">
        <w:trPr>
          <w:trHeight w:val="264"/>
        </w:trPr>
        <w:tc>
          <w:tcPr>
            <w:tcW w:w="1045" w:type="dxa"/>
            <w:vMerge/>
          </w:tcPr>
          <w:p w:rsidR="000E7B44" w:rsidRDefault="000E7B44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0E7B44" w:rsidRPr="00DD3559" w:rsidRDefault="000E7B44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E7B44" w:rsidRPr="00DD3559" w:rsidRDefault="00732C7C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732C7C">
              <w:rPr>
                <w:rFonts w:cs="Times New Roman"/>
                <w:b/>
                <w:sz w:val="20"/>
                <w:szCs w:val="20"/>
              </w:rPr>
              <w:t>USD 200,756</w:t>
            </w:r>
          </w:p>
        </w:tc>
        <w:tc>
          <w:tcPr>
            <w:tcW w:w="1710" w:type="dxa"/>
          </w:tcPr>
          <w:p w:rsidR="000E7B44" w:rsidRPr="00DD3559" w:rsidRDefault="00D16DF4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Supply matrix attached</w:t>
            </w:r>
          </w:p>
        </w:tc>
      </w:tr>
      <w:tr w:rsidR="005B27E9" w:rsidRPr="00242E6C" w:rsidTr="005B27E9">
        <w:trPr>
          <w:trHeight w:val="264"/>
        </w:trPr>
        <w:tc>
          <w:tcPr>
            <w:tcW w:w="1045" w:type="dxa"/>
            <w:vMerge/>
          </w:tcPr>
          <w:p w:rsidR="005B27E9" w:rsidRDefault="005B27E9" w:rsidP="009E78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commentRangeStart w:id="2"/>
            <w:r w:rsidRPr="00DD3559">
              <w:rPr>
                <w:rFonts w:cs="Times New Roman"/>
                <w:sz w:val="20"/>
                <w:szCs w:val="20"/>
              </w:rPr>
              <w:t xml:space="preserve">Food </w:t>
            </w:r>
          </w:p>
        </w:tc>
        <w:tc>
          <w:tcPr>
            <w:tcW w:w="198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Provision of Emergency food </w:t>
            </w:r>
          </w:p>
        </w:tc>
        <w:tc>
          <w:tcPr>
            <w:tcW w:w="160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61372 </w:t>
            </w:r>
          </w:p>
        </w:tc>
        <w:tc>
          <w:tcPr>
            <w:tcW w:w="1174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DRMFSS, DPFSPCO</w:t>
            </w:r>
          </w:p>
        </w:tc>
        <w:tc>
          <w:tcPr>
            <w:tcW w:w="1912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>wheat, CSB, oil, salt and pulse</w:t>
            </w:r>
          </w:p>
        </w:tc>
        <w:tc>
          <w:tcPr>
            <w:tcW w:w="221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11413.5 Wheat, 138.6 CSB, 118.2 Pulse, 37.5 Oil, </w:t>
            </w:r>
          </w:p>
        </w:tc>
        <w:tc>
          <w:tcPr>
            <w:tcW w:w="148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For 11944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 xml:space="preserve"> and 10536 Affected people need of 3371 Quintals of wheat, 1011Q CSB, 105 Q of oil and 337 Q of pulse.</w:t>
            </w:r>
          </w:p>
        </w:tc>
        <w:tc>
          <w:tcPr>
            <w:tcW w:w="1710" w:type="dxa"/>
          </w:tcPr>
          <w:p w:rsidR="005B27E9" w:rsidRPr="00DD3559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DD3559">
              <w:rPr>
                <w:rFonts w:cs="Times New Roman"/>
                <w:sz w:val="20"/>
                <w:szCs w:val="20"/>
              </w:rPr>
              <w:t xml:space="preserve">The food has on the process to dispatch from DRMFSS for </w:t>
            </w:r>
            <w:proofErr w:type="spellStart"/>
            <w:proofErr w:type="gramStart"/>
            <w:r w:rsidRPr="00DD3559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Burimoditu</w:t>
            </w:r>
            <w:proofErr w:type="spellEnd"/>
            <w:proofErr w:type="gramEnd"/>
            <w:r w:rsidRPr="00DD3559">
              <w:rPr>
                <w:rFonts w:cs="Times New Roman"/>
                <w:sz w:val="20"/>
                <w:szCs w:val="20"/>
              </w:rPr>
              <w:t xml:space="preserve"> and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AwashFental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D3559">
              <w:rPr>
                <w:rFonts w:cs="Times New Roman"/>
                <w:sz w:val="20"/>
                <w:szCs w:val="20"/>
              </w:rPr>
              <w:t>woredas</w:t>
            </w:r>
            <w:proofErr w:type="spellEnd"/>
            <w:r w:rsidRPr="00DD3559">
              <w:rPr>
                <w:rFonts w:cs="Times New Roman"/>
                <w:sz w:val="20"/>
                <w:szCs w:val="20"/>
              </w:rPr>
              <w:t>.</w:t>
            </w:r>
            <w:commentRangeEnd w:id="2"/>
            <w:r w:rsidR="00C83FBD">
              <w:rPr>
                <w:rStyle w:val="CommentReference"/>
              </w:rPr>
              <w:commentReference w:id="2"/>
            </w:r>
          </w:p>
        </w:tc>
      </w:tr>
      <w:tr w:rsidR="005B27E9" w:rsidRPr="00242E6C" w:rsidTr="005B27E9">
        <w:trPr>
          <w:trHeight w:val="264"/>
        </w:trPr>
        <w:tc>
          <w:tcPr>
            <w:tcW w:w="1045" w:type="dxa"/>
            <w:vMerge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5B27E9" w:rsidRPr="00DD3559" w:rsidRDefault="005B27E9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D3559">
              <w:rPr>
                <w:rFonts w:cs="Times New Roman"/>
                <w:sz w:val="20"/>
                <w:szCs w:val="20"/>
                <w:highlight w:val="yellow"/>
              </w:rPr>
              <w:t>NFI (Input by the cluster)</w:t>
            </w:r>
          </w:p>
        </w:tc>
        <w:tc>
          <w:tcPr>
            <w:tcW w:w="1982" w:type="dxa"/>
          </w:tcPr>
          <w:p w:rsidR="005B27E9" w:rsidRPr="00242E6C" w:rsidRDefault="005B27E9" w:rsidP="008D6BF5">
            <w:p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27E9" w:rsidRPr="00242E6C" w:rsidRDefault="005B27E9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242E6C" w:rsidRDefault="005B27E9" w:rsidP="00A429DB">
            <w:pPr>
              <w:rPr>
                <w:rFonts w:cs="Times New Roman"/>
                <w:sz w:val="20"/>
                <w:szCs w:val="20"/>
              </w:rPr>
            </w:pPr>
            <w:r w:rsidRPr="00242E6C">
              <w:rPr>
                <w:rFonts w:cs="Times New Roman"/>
                <w:sz w:val="20"/>
                <w:szCs w:val="20"/>
              </w:rPr>
              <w:t xml:space="preserve">Blanket, Plastic sheet, Cooking pot, Plastic cup, Plastic plate, Water jag, Ladle, </w:t>
            </w:r>
            <w:proofErr w:type="spellStart"/>
            <w:r w:rsidRPr="00242E6C">
              <w:rPr>
                <w:rFonts w:cs="Times New Roman"/>
                <w:sz w:val="20"/>
                <w:szCs w:val="20"/>
              </w:rPr>
              <w:t>Jerrican</w:t>
            </w:r>
            <w:proofErr w:type="spellEnd"/>
          </w:p>
        </w:tc>
        <w:tc>
          <w:tcPr>
            <w:tcW w:w="2210" w:type="dxa"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  <w:r w:rsidRPr="00242E6C">
              <w:rPr>
                <w:rFonts w:cs="Times New Roman"/>
                <w:sz w:val="20"/>
                <w:szCs w:val="20"/>
              </w:rPr>
              <w:t xml:space="preserve">Delivered by DRMFSS: 2879 blanket, 100 cooking pot, 2500 plastic sheets, 1100 </w:t>
            </w:r>
            <w:proofErr w:type="spellStart"/>
            <w:r w:rsidRPr="00242E6C">
              <w:rPr>
                <w:rFonts w:cs="Times New Roman"/>
                <w:sz w:val="20"/>
                <w:szCs w:val="20"/>
              </w:rPr>
              <w:t>Jerican</w:t>
            </w:r>
            <w:proofErr w:type="spellEnd"/>
            <w:r w:rsidRPr="00242E6C">
              <w:rPr>
                <w:rFonts w:cs="Times New Roman"/>
                <w:sz w:val="20"/>
                <w:szCs w:val="20"/>
              </w:rPr>
              <w:t xml:space="preserve">, 5000 cup, 500 jog, 5000 plates, 100 </w:t>
            </w:r>
            <w:proofErr w:type="spellStart"/>
            <w:r w:rsidRPr="00242E6C">
              <w:rPr>
                <w:rFonts w:cs="Times New Roman"/>
                <w:sz w:val="20"/>
                <w:szCs w:val="20"/>
              </w:rPr>
              <w:t>laddel</w:t>
            </w:r>
            <w:proofErr w:type="spellEnd"/>
            <w:r w:rsidRPr="00242E6C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1480" w:type="dxa"/>
          </w:tcPr>
          <w:p w:rsidR="005B27E9" w:rsidRPr="00242E6C" w:rsidRDefault="005B27E9" w:rsidP="00426B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B27E9" w:rsidRPr="00DD3559" w:rsidRDefault="005B27E9" w:rsidP="00811839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DD3559">
              <w:rPr>
                <w:rFonts w:cs="Times New Roman"/>
                <w:sz w:val="20"/>
                <w:szCs w:val="20"/>
                <w:highlight w:val="yellow"/>
              </w:rPr>
              <w:t>N</w:t>
            </w:r>
            <w:r w:rsidRPr="00DD3559">
              <w:rPr>
                <w:color w:val="000000"/>
                <w:sz w:val="20"/>
                <w:szCs w:val="20"/>
                <w:highlight w:val="yellow"/>
              </w:rPr>
              <w:t xml:space="preserve">o gap - The ES/NFI needs of Afar Region will be addressed fully with the joint IRC/Goal delivery of 2,000 ES/NFI kits. </w:t>
            </w:r>
          </w:p>
          <w:p w:rsidR="005B27E9" w:rsidRPr="00DD3559" w:rsidRDefault="005B27E9" w:rsidP="00811839">
            <w:pPr>
              <w:ind w:left="-360"/>
              <w:rPr>
                <w:rFonts w:cs="Times New Roman"/>
                <w:sz w:val="20"/>
                <w:szCs w:val="20"/>
                <w:highlight w:val="yellow"/>
              </w:rPr>
            </w:pPr>
          </w:p>
          <w:p w:rsidR="005B27E9" w:rsidRPr="00DD3559" w:rsidRDefault="005B27E9" w:rsidP="00256BE3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:rsidR="005B27E9" w:rsidRPr="00B270BB" w:rsidRDefault="005B27E9" w:rsidP="0081183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B27E9" w:rsidRPr="00242E6C" w:rsidTr="005B27E9">
        <w:trPr>
          <w:trHeight w:val="264"/>
        </w:trPr>
        <w:tc>
          <w:tcPr>
            <w:tcW w:w="1045" w:type="dxa"/>
            <w:vMerge/>
          </w:tcPr>
          <w:p w:rsidR="005B27E9" w:rsidRPr="00242E6C" w:rsidRDefault="005B27E9" w:rsidP="00174E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5B27E9" w:rsidRPr="00242E6C" w:rsidRDefault="005B27E9" w:rsidP="00174E59">
            <w:pPr>
              <w:rPr>
                <w:rFonts w:cs="Times New Roman"/>
                <w:sz w:val="20"/>
                <w:szCs w:val="20"/>
              </w:rPr>
            </w:pPr>
            <w:commentRangeStart w:id="3"/>
            <w:r w:rsidRPr="00242E6C">
              <w:rPr>
                <w:rFonts w:cs="Times New Roman"/>
                <w:sz w:val="20"/>
                <w:szCs w:val="20"/>
              </w:rPr>
              <w:t>Livelihood</w:t>
            </w:r>
            <w:commentRangeEnd w:id="3"/>
            <w:r w:rsidR="00D16DF4">
              <w:rPr>
                <w:rStyle w:val="CommentReference"/>
              </w:rPr>
              <w:commentReference w:id="3"/>
            </w: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5B27E9" w:rsidRPr="00AA237F" w:rsidRDefault="005B27E9" w:rsidP="00AA237F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Provision of animal feed( Hay and concentration)</w:t>
            </w:r>
          </w:p>
          <w:p w:rsidR="005B27E9" w:rsidRPr="00AA237F" w:rsidRDefault="005B27E9" w:rsidP="0071782D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2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9000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APADB and CARE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60592 bell grass and hay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95507 bell concentration</w:t>
            </w:r>
          </w:p>
        </w:tc>
        <w:tc>
          <w:tcPr>
            <w:tcW w:w="2210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Delivered by CARE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17313 bell hay and 7286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Gewane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>.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14426 hay and 6075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Burimoditu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>,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11540 hay and 4860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Awsh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Fentail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and 17313 hay and 7286 concentration for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Amibara</w:t>
            </w:r>
            <w:proofErr w:type="spellEnd"/>
          </w:p>
        </w:tc>
        <w:tc>
          <w:tcPr>
            <w:tcW w:w="1480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noon</w:t>
            </w:r>
          </w:p>
        </w:tc>
        <w:tc>
          <w:tcPr>
            <w:tcW w:w="1414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Requests for extra support will be made  based on the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assessment</w:t>
            </w:r>
          </w:p>
        </w:tc>
      </w:tr>
      <w:tr w:rsidR="005B27E9" w:rsidRPr="00242E6C" w:rsidTr="005B27E9">
        <w:trPr>
          <w:trHeight w:val="80"/>
        </w:trPr>
        <w:tc>
          <w:tcPr>
            <w:tcW w:w="1045" w:type="dxa"/>
            <w:vMerge/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5B27E9" w:rsidRPr="00242E6C" w:rsidRDefault="005B2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Provision of seed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5251 hectares of land in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Amibara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 xml:space="preserve"> and 480 hectares of land in </w:t>
            </w:r>
            <w:proofErr w:type="spellStart"/>
            <w:r w:rsidRPr="00AA237F">
              <w:rPr>
                <w:rFonts w:cs="Times New Roman"/>
                <w:sz w:val="20"/>
                <w:szCs w:val="20"/>
              </w:rPr>
              <w:t>Dulsa</w:t>
            </w:r>
            <w:proofErr w:type="spellEnd"/>
            <w:r w:rsidRPr="00AA237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APADB</w:t>
            </w: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  <w:r w:rsidRPr="00AA237F">
              <w:rPr>
                <w:rFonts w:cs="Times New Roman"/>
                <w:sz w:val="20"/>
                <w:szCs w:val="20"/>
              </w:rPr>
              <w:t>noon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B27E9" w:rsidRPr="00AA237F" w:rsidRDefault="005B27E9" w:rsidP="0071782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B27E9" w:rsidRPr="00242E6C" w:rsidTr="005B27E9">
        <w:trPr>
          <w:trHeight w:val="497"/>
        </w:trPr>
        <w:tc>
          <w:tcPr>
            <w:tcW w:w="1045" w:type="dxa"/>
            <w:vMerge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Education </w:t>
            </w:r>
          </w:p>
        </w:tc>
        <w:tc>
          <w:tcPr>
            <w:tcW w:w="1982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School maintenance </w:t>
            </w:r>
          </w:p>
        </w:tc>
        <w:tc>
          <w:tcPr>
            <w:tcW w:w="1602" w:type="dxa"/>
            <w:shd w:val="clear" w:color="auto" w:fill="FFFFFF" w:themeFill="background1"/>
          </w:tcPr>
          <w:p w:rsidR="005B27E9" w:rsidRPr="00D302D6" w:rsidRDefault="005B27E9" w:rsidP="00D302D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302D6">
              <w:rPr>
                <w:rFonts w:cs="Times New Roman"/>
                <w:sz w:val="20"/>
                <w:szCs w:val="20"/>
                <w:lang w:val="en-US"/>
              </w:rPr>
              <w:t xml:space="preserve">Maintenance of 3 schools in </w:t>
            </w:r>
            <w:proofErr w:type="spellStart"/>
            <w:r w:rsidRPr="00D302D6">
              <w:rPr>
                <w:rFonts w:cs="Times New Roman"/>
                <w:sz w:val="20"/>
                <w:szCs w:val="20"/>
                <w:lang w:val="en-US"/>
              </w:rPr>
              <w:t>Amibara</w:t>
            </w:r>
            <w:proofErr w:type="spellEnd"/>
            <w:r w:rsidRPr="00D302D6">
              <w:rPr>
                <w:rFonts w:cs="Times New Roman"/>
                <w:sz w:val="20"/>
                <w:szCs w:val="20"/>
                <w:lang w:val="en-US"/>
              </w:rPr>
              <w:t xml:space="preserve"> &amp; 4 schools in </w:t>
            </w:r>
            <w:proofErr w:type="spellStart"/>
            <w:r w:rsidRPr="00D302D6">
              <w:rPr>
                <w:rFonts w:cs="Times New Roman"/>
                <w:sz w:val="20"/>
                <w:szCs w:val="20"/>
                <w:lang w:val="en-US"/>
              </w:rPr>
              <w:t>Dulesa</w:t>
            </w:r>
            <w:proofErr w:type="spellEnd"/>
          </w:p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5B27E9" w:rsidRPr="00BC248D" w:rsidRDefault="005B27E9" w:rsidP="00BC248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>UNICEF dispatched 3006 school in a bag kits, 30 tents , 932 plastic sheets and 49 black boards that benefit 3006 school children</w:t>
            </w:r>
            <w:r w:rsidRPr="00BC248D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5B27E9" w:rsidRPr="00242E6C" w:rsidRDefault="005B27E9" w:rsidP="00BC248D">
            <w:pPr>
              <w:jc w:val="both"/>
              <w:rPr>
                <w:rFonts w:cs="Times New Roman"/>
                <w:sz w:val="20"/>
                <w:szCs w:val="20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>REB has been widely distributing education materials but accurate figures not yet found</w:t>
            </w:r>
          </w:p>
        </w:tc>
        <w:tc>
          <w:tcPr>
            <w:tcW w:w="1480" w:type="dxa"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FFFFFF" w:themeFill="background1"/>
          </w:tcPr>
          <w:p w:rsidR="005B27E9" w:rsidRPr="00BC248D" w:rsidRDefault="005B27E9" w:rsidP="00BC248D">
            <w:pPr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Maintenance of 3 schools in </w:t>
            </w:r>
            <w:proofErr w:type="spellStart"/>
            <w:r w:rsidRPr="00BC248D">
              <w:rPr>
                <w:rFonts w:cs="Times New Roman"/>
                <w:sz w:val="20"/>
                <w:szCs w:val="20"/>
                <w:lang w:val="en-US"/>
              </w:rPr>
              <w:t>Amibara</w:t>
            </w:r>
            <w:proofErr w:type="spellEnd"/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 &amp; 4 schools in </w:t>
            </w:r>
            <w:proofErr w:type="spellStart"/>
            <w:r w:rsidRPr="00BC248D">
              <w:rPr>
                <w:rFonts w:cs="Times New Roman"/>
                <w:sz w:val="20"/>
                <w:szCs w:val="20"/>
                <w:lang w:val="en-US"/>
              </w:rPr>
              <w:t>Dulesa</w:t>
            </w:r>
            <w:proofErr w:type="spellEnd"/>
          </w:p>
          <w:p w:rsidR="005B27E9" w:rsidRPr="00BC248D" w:rsidRDefault="005B27E9" w:rsidP="00BC248D">
            <w:pPr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Teachers and school management kits, Text book and sport materials for 3857 children and </w:t>
            </w:r>
          </w:p>
          <w:p w:rsidR="005B27E9" w:rsidRPr="00BC248D" w:rsidRDefault="005B27E9" w:rsidP="00BC248D">
            <w:pPr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  <w:lang w:val="en-US"/>
              </w:rPr>
            </w:pPr>
            <w:r w:rsidRPr="00BC248D">
              <w:rPr>
                <w:rFonts w:cs="Times New Roman"/>
                <w:sz w:val="20"/>
                <w:szCs w:val="20"/>
                <w:lang w:val="en-US"/>
              </w:rPr>
              <w:t xml:space="preserve">54 </w:t>
            </w:r>
            <w:r w:rsidRPr="00BC248D">
              <w:rPr>
                <w:rFonts w:cs="Times New Roman"/>
                <w:sz w:val="20"/>
                <w:szCs w:val="20"/>
                <w:lang w:val="en-US"/>
              </w:rPr>
              <w:lastRenderedPageBreak/>
              <w:t>blackboards for 2700 children</w:t>
            </w:r>
          </w:p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27E9" w:rsidRPr="00242E6C" w:rsidTr="005B27E9">
        <w:trPr>
          <w:trHeight w:val="497"/>
        </w:trPr>
        <w:tc>
          <w:tcPr>
            <w:tcW w:w="1045" w:type="dxa"/>
            <w:vMerge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5B27E9" w:rsidRPr="00242E6C" w:rsidRDefault="005B27E9" w:rsidP="00D302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Provision of school materials  </w:t>
            </w:r>
          </w:p>
        </w:tc>
        <w:tc>
          <w:tcPr>
            <w:tcW w:w="1602" w:type="dxa"/>
            <w:shd w:val="clear" w:color="auto" w:fill="FFFFFF" w:themeFill="background1"/>
          </w:tcPr>
          <w:p w:rsidR="005B27E9" w:rsidRPr="00D302D6" w:rsidRDefault="005B27E9" w:rsidP="00D302D6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302D6">
              <w:rPr>
                <w:rFonts w:cs="Times New Roman"/>
                <w:sz w:val="20"/>
                <w:szCs w:val="20"/>
                <w:lang w:val="en-US"/>
              </w:rPr>
              <w:t xml:space="preserve">Provision of education supplies and tents that benefit 3857 school children </w:t>
            </w:r>
          </w:p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5B27E9" w:rsidRPr="00242E6C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5B27E9" w:rsidRDefault="005B27E9" w:rsidP="0071782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5B27E9" w:rsidRPr="00242E6C" w:rsidRDefault="005B27E9" w:rsidP="0071782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B27E9" w:rsidRPr="00BC248D" w:rsidTr="005B27E9">
        <w:trPr>
          <w:trHeight w:val="497"/>
        </w:trPr>
        <w:tc>
          <w:tcPr>
            <w:tcW w:w="1045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lastRenderedPageBreak/>
              <w:t xml:space="preserve">Region 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Sector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Number of people receiving assistance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>Partner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Budget/Supplies required 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Dispatched so far 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Available 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rPr>
                <w:rFonts w:cs="Times New Roman"/>
                <w:b/>
                <w:sz w:val="20"/>
                <w:szCs w:val="20"/>
              </w:rPr>
            </w:pPr>
            <w:r w:rsidRPr="00BC248D">
              <w:rPr>
                <w:rFonts w:cs="Times New Roman"/>
                <w:b/>
                <w:sz w:val="20"/>
                <w:szCs w:val="20"/>
              </w:rPr>
              <w:t xml:space="preserve">    Gap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5B27E9" w:rsidRPr="00BC248D" w:rsidRDefault="005B27E9" w:rsidP="0071782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Remarks</w:t>
            </w:r>
          </w:p>
        </w:tc>
      </w:tr>
      <w:tr w:rsidR="00A83FBE" w:rsidRPr="00242E6C" w:rsidTr="00A83FBE">
        <w:trPr>
          <w:trHeight w:val="2555"/>
        </w:trPr>
        <w:tc>
          <w:tcPr>
            <w:tcW w:w="1045" w:type="dxa"/>
            <w:vMerge w:val="restart"/>
          </w:tcPr>
          <w:p w:rsidR="00A83FBE" w:rsidRPr="006C69AB" w:rsidRDefault="00A83FBE" w:rsidP="00734504">
            <w:pPr>
              <w:rPr>
                <w:rFonts w:cs="Times New Roman"/>
                <w:b/>
                <w:sz w:val="20"/>
                <w:szCs w:val="20"/>
              </w:rPr>
            </w:pPr>
            <w:r w:rsidRPr="006C69AB">
              <w:rPr>
                <w:rFonts w:cs="Times New Roman"/>
                <w:b/>
                <w:sz w:val="20"/>
                <w:szCs w:val="20"/>
              </w:rPr>
              <w:t>Somali</w:t>
            </w:r>
          </w:p>
        </w:tc>
        <w:tc>
          <w:tcPr>
            <w:tcW w:w="1149" w:type="dxa"/>
          </w:tcPr>
          <w:p w:rsidR="00A83FBE" w:rsidRPr="006C69AB" w:rsidRDefault="00A83FBE" w:rsidP="00734504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C69AB">
              <w:rPr>
                <w:rFonts w:cs="Times New Roman"/>
                <w:sz w:val="20"/>
                <w:szCs w:val="20"/>
                <w:lang w:val="en-US"/>
              </w:rPr>
              <w:t>NFI/shelter materials</w:t>
            </w:r>
          </w:p>
          <w:p w:rsidR="00A83FBE" w:rsidRPr="00242E6C" w:rsidRDefault="00A83FBE" w:rsidP="007345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83FBE" w:rsidRPr="00242E6C" w:rsidRDefault="00A83FBE" w:rsidP="0073450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Provision of NFI and Shelter</w:t>
            </w:r>
          </w:p>
        </w:tc>
        <w:tc>
          <w:tcPr>
            <w:tcW w:w="1602" w:type="dxa"/>
          </w:tcPr>
          <w:p w:rsidR="00A83FBE" w:rsidRPr="00FD3BD9" w:rsidRDefault="00A83FBE" w:rsidP="00734504">
            <w:pPr>
              <w:rPr>
                <w:rFonts w:cs="Times New Roman"/>
                <w:sz w:val="20"/>
                <w:szCs w:val="20"/>
              </w:rPr>
            </w:pPr>
            <w:r w:rsidRPr="00FD3BD9">
              <w:rPr>
                <w:color w:val="000000"/>
                <w:sz w:val="20"/>
              </w:rPr>
              <w:t>25,092 HH kits</w:t>
            </w:r>
          </w:p>
        </w:tc>
        <w:tc>
          <w:tcPr>
            <w:tcW w:w="1174" w:type="dxa"/>
          </w:tcPr>
          <w:p w:rsidR="00A83FBE" w:rsidRPr="00FD3BD9" w:rsidRDefault="00A83FBE" w:rsidP="007345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3FBE" w:rsidRPr="00FD3BD9" w:rsidRDefault="00A83FBE" w:rsidP="00734504">
            <w:pPr>
              <w:rPr>
                <w:rFonts w:cs="Times New Roman"/>
                <w:sz w:val="20"/>
                <w:szCs w:val="20"/>
              </w:rPr>
            </w:pPr>
            <w:r w:rsidRPr="00FD3BD9">
              <w:rPr>
                <w:color w:val="000000"/>
                <w:sz w:val="20"/>
              </w:rPr>
              <w:t>25,092 HH kits</w:t>
            </w:r>
          </w:p>
        </w:tc>
        <w:tc>
          <w:tcPr>
            <w:tcW w:w="2210" w:type="dxa"/>
            <w:shd w:val="clear" w:color="auto" w:fill="auto"/>
          </w:tcPr>
          <w:p w:rsidR="00A83FBE" w:rsidRPr="00242E6C" w:rsidRDefault="00A83FBE" w:rsidP="005778B3">
            <w:pPr>
              <w:rPr>
                <w:rFonts w:cs="Times New Roman"/>
                <w:sz w:val="20"/>
                <w:szCs w:val="20"/>
              </w:rPr>
            </w:pPr>
            <w:r w:rsidRPr="00A83FBE">
              <w:rPr>
                <w:rFonts w:cs="Times New Roman"/>
                <w:sz w:val="20"/>
                <w:szCs w:val="20"/>
              </w:rPr>
              <w:t>Dispatch of 2000 kits from IOM started on October 27, 2014</w:t>
            </w:r>
          </w:p>
        </w:tc>
        <w:tc>
          <w:tcPr>
            <w:tcW w:w="1480" w:type="dxa"/>
          </w:tcPr>
          <w:p w:rsidR="00A83FBE" w:rsidRPr="00FD3BD9" w:rsidRDefault="00A83FBE" w:rsidP="00734504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D3BD9">
              <w:rPr>
                <w:rFonts w:cs="Times New Roman"/>
                <w:sz w:val="20"/>
                <w:szCs w:val="20"/>
                <w:lang w:val="en-US"/>
              </w:rPr>
              <w:t xml:space="preserve">3000 HH kits by (ICRC&lt;500,ERCS-500,IOM-2000,FHI-1000,SCI-1000,)Humanitarian Agencies </w:t>
            </w:r>
          </w:p>
          <w:p w:rsidR="00A83FBE" w:rsidRPr="00FD3BD9" w:rsidRDefault="00A83FBE" w:rsidP="00734504">
            <w:pPr>
              <w:rPr>
                <w:rFonts w:cs="Times New Roman"/>
                <w:sz w:val="20"/>
                <w:szCs w:val="20"/>
              </w:rPr>
            </w:pPr>
            <w:r w:rsidRPr="00FD3BD9">
              <w:rPr>
                <w:rFonts w:cs="Times New Roman"/>
                <w:sz w:val="20"/>
                <w:szCs w:val="20"/>
                <w:lang w:val="en-US"/>
              </w:rPr>
              <w:t xml:space="preserve">10,000 HH kits by SRS government  </w:t>
            </w:r>
          </w:p>
        </w:tc>
        <w:tc>
          <w:tcPr>
            <w:tcW w:w="1414" w:type="dxa"/>
          </w:tcPr>
          <w:p w:rsidR="00A83FBE" w:rsidRPr="00FD3BD9" w:rsidRDefault="00A83FBE" w:rsidP="00734504">
            <w:pPr>
              <w:rPr>
                <w:rFonts w:cs="Times New Roman"/>
                <w:sz w:val="20"/>
                <w:szCs w:val="20"/>
              </w:rPr>
            </w:pPr>
            <w:r w:rsidRPr="00FD3BD9">
              <w:rPr>
                <w:rFonts w:cs="Times New Roman"/>
                <w:sz w:val="20"/>
                <w:szCs w:val="20"/>
                <w:lang w:val="en-US"/>
              </w:rPr>
              <w:t>11670 HH kits</w:t>
            </w:r>
          </w:p>
        </w:tc>
        <w:tc>
          <w:tcPr>
            <w:tcW w:w="1710" w:type="dxa"/>
          </w:tcPr>
          <w:p w:rsidR="00A83FBE" w:rsidRPr="00FD3BD9" w:rsidRDefault="00A83FBE" w:rsidP="00734504">
            <w:pPr>
              <w:rPr>
                <w:bCs/>
                <w:color w:val="000000"/>
                <w:sz w:val="18"/>
                <w:szCs w:val="18"/>
              </w:rPr>
            </w:pPr>
            <w:r w:rsidRPr="00FD3BD9">
              <w:rPr>
                <w:bCs/>
                <w:color w:val="000000"/>
                <w:sz w:val="18"/>
                <w:szCs w:val="18"/>
              </w:rPr>
              <w:t>Actual number of flood affected people VERFIED Request received by Cluster is 3,000HH – the gap</w:t>
            </w:r>
            <w:r w:rsidRPr="00FD3BD9">
              <w:rPr>
                <w:rFonts w:cs="Times New Roman"/>
                <w:sz w:val="20"/>
                <w:szCs w:val="20"/>
                <w:lang w:val="en-US"/>
              </w:rPr>
              <w:t>11,670 HH kits</w:t>
            </w:r>
            <w:r w:rsidRPr="00FD3BD9">
              <w:rPr>
                <w:bCs/>
                <w:color w:val="000000"/>
                <w:sz w:val="18"/>
                <w:szCs w:val="18"/>
              </w:rPr>
              <w:t xml:space="preserve"> of needs to be verified with the Regional DPPB requesting through DRMFSS in Addis as per the standard structure.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A83FBE" w:rsidRDefault="00A83FBE" w:rsidP="006C69AB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WASH</w:t>
            </w:r>
          </w:p>
          <w:p w:rsidR="00A83FBE" w:rsidRDefault="00A83FBE" w:rsidP="006C69AB">
            <w:pPr>
              <w:rPr>
                <w:rFonts w:cs="Times New Roman"/>
                <w:sz w:val="20"/>
                <w:szCs w:val="20"/>
              </w:rPr>
            </w:pPr>
          </w:p>
          <w:p w:rsidR="00A83FBE" w:rsidRPr="0000069C" w:rsidRDefault="00A83FBE" w:rsidP="00D849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Water Purification Chemicals)</w:t>
            </w:r>
          </w:p>
          <w:p w:rsidR="00A83FBE" w:rsidRDefault="00A83FBE" w:rsidP="006C070F">
            <w:pPr>
              <w:rPr>
                <w:rFonts w:cs="Times New Roman"/>
                <w:sz w:val="20"/>
                <w:szCs w:val="20"/>
              </w:rPr>
            </w:pPr>
          </w:p>
          <w:p w:rsidR="00A83FBE" w:rsidRDefault="00A83FBE" w:rsidP="006C070F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Water Guards *</w:t>
            </w:r>
          </w:p>
        </w:tc>
        <w:tc>
          <w:tcPr>
            <w:tcW w:w="1602" w:type="dxa"/>
          </w:tcPr>
          <w:p w:rsidR="00A83FBE" w:rsidRPr="0000069C" w:rsidRDefault="00A83FBE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54,516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Pr="0000069C" w:rsidRDefault="00A83FBE" w:rsidP="00426B6E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51,516.00</w:t>
            </w:r>
          </w:p>
        </w:tc>
        <w:tc>
          <w:tcPr>
            <w:tcW w:w="1710" w:type="dxa"/>
          </w:tcPr>
          <w:p w:rsidR="00A83FBE" w:rsidRDefault="00A83FBE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* = water purification chemicals are calculated initially for two month and the sector has secured requirement amount. </w:t>
            </w:r>
          </w:p>
          <w:p w:rsidR="00A83FBE" w:rsidRDefault="00A83FBE" w:rsidP="00363BB9">
            <w:pPr>
              <w:rPr>
                <w:rFonts w:cs="Times New Roman"/>
                <w:sz w:val="20"/>
                <w:szCs w:val="20"/>
              </w:rPr>
            </w:pPr>
          </w:p>
          <w:p w:rsidR="00A83FBE" w:rsidRPr="00363BB9" w:rsidRDefault="00A83FBE" w:rsidP="00363BB9">
            <w:pPr>
              <w:rPr>
                <w:rFonts w:cs="Times New Roman"/>
                <w:sz w:val="20"/>
                <w:szCs w:val="20"/>
              </w:rPr>
            </w:pPr>
          </w:p>
          <w:p w:rsidR="00A83FBE" w:rsidRPr="0000069C" w:rsidRDefault="00A83FBE" w:rsidP="00256B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00069C" w:rsidRDefault="00A83FBE" w:rsidP="006C69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0069C">
              <w:rPr>
                <w:rFonts w:cs="Times New Roman"/>
                <w:sz w:val="20"/>
                <w:szCs w:val="20"/>
              </w:rPr>
              <w:t>Bishangari</w:t>
            </w:r>
            <w:proofErr w:type="spellEnd"/>
            <w:r w:rsidRPr="0000069C">
              <w:rPr>
                <w:rFonts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IRC, SCI, UNICEF, RWB, SAAD, HAVAYOCO, Oxfam Inter,</w:t>
            </w: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>1,635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Pr="0000069C" w:rsidRDefault="00A83FBE" w:rsidP="0000069C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</w:rPr>
              <w:t xml:space="preserve"> 1,497 </w:t>
            </w:r>
          </w:p>
        </w:tc>
        <w:tc>
          <w:tcPr>
            <w:tcW w:w="1414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A83FBE" w:rsidRPr="00242E6C" w:rsidTr="005B27E9">
        <w:trPr>
          <w:trHeight w:val="602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6C69AB" w:rsidRDefault="00A83FBE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00069C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0069C">
              <w:rPr>
                <w:rFonts w:cs="Times New Roman"/>
                <w:sz w:val="20"/>
                <w:szCs w:val="20"/>
                <w:lang w:val="en-US"/>
              </w:rPr>
              <w:t>Aquat</w:t>
            </w:r>
            <w:proofErr w:type="spellEnd"/>
            <w:r w:rsidRPr="0000069C">
              <w:rPr>
                <w:rFonts w:cs="Times New Roman"/>
                <w:sz w:val="20"/>
                <w:szCs w:val="20"/>
                <w:lang w:val="en-US"/>
              </w:rPr>
              <w:t xml:space="preserve"> tab *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UNICEF/RWB</w:t>
            </w:r>
          </w:p>
        </w:tc>
        <w:tc>
          <w:tcPr>
            <w:tcW w:w="1912" w:type="dxa"/>
          </w:tcPr>
          <w:p w:rsidR="00A83FBE" w:rsidRDefault="00A83FBE" w:rsidP="00A429DB">
            <w:pPr>
              <w:rPr>
                <w:color w:val="000000"/>
                <w:sz w:val="20"/>
              </w:rPr>
            </w:pPr>
            <w:r w:rsidRPr="0000069C">
              <w:rPr>
                <w:color w:val="000000"/>
                <w:sz w:val="20"/>
                <w:lang w:val="en-US"/>
              </w:rPr>
              <w:t>54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Pr="00811839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4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</w:rPr>
            </w:pPr>
            <w:r w:rsidRPr="0000069C">
              <w:rPr>
                <w:bCs/>
                <w:color w:val="000000"/>
                <w:sz w:val="18"/>
                <w:szCs w:val="18"/>
                <w:lang w:val="en-US"/>
              </w:rPr>
              <w:t>50.70</w:t>
            </w:r>
          </w:p>
        </w:tc>
        <w:tc>
          <w:tcPr>
            <w:tcW w:w="1710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350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6C69AB" w:rsidRDefault="00A83FBE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00069C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0069C">
              <w:rPr>
                <w:rFonts w:cs="Times New Roman"/>
                <w:sz w:val="20"/>
                <w:szCs w:val="20"/>
                <w:lang w:val="en-US"/>
              </w:rPr>
              <w:t>Emwat</w:t>
            </w:r>
            <w:proofErr w:type="spellEnd"/>
            <w:r w:rsidRPr="0000069C">
              <w:rPr>
                <w:rFonts w:cs="Times New Roman"/>
                <w:sz w:val="20"/>
                <w:szCs w:val="20"/>
                <w:lang w:val="en-US"/>
              </w:rPr>
              <w:t xml:space="preserve"> Kits *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UNICEF</w:t>
            </w: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  <w:r w:rsidRPr="0000069C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620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6C69AB" w:rsidRDefault="00A83FBE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00069C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Body Soap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IRC, SCI, UNICEF, RWB, SAAD, HAVAYOCO, Oxfam Inter,</w:t>
            </w:r>
          </w:p>
        </w:tc>
        <w:tc>
          <w:tcPr>
            <w:tcW w:w="1912" w:type="dxa"/>
          </w:tcPr>
          <w:p w:rsidR="00A83FBE" w:rsidRPr="00C1662D" w:rsidRDefault="00A83FBE" w:rsidP="000006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069C">
              <w:rPr>
                <w:rFonts w:cs="Times New Roman"/>
                <w:sz w:val="20"/>
                <w:szCs w:val="20"/>
                <w:lang w:val="en-US"/>
              </w:rPr>
              <w:t>24,000</w:t>
            </w:r>
            <w:r w:rsidRPr="00C1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22,700</w:t>
            </w: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1,300</w:t>
            </w: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1043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6C69AB" w:rsidRDefault="00A83FBE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00069C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Jerry-cans distributions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41,754 affected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and 27,258 displaced </w:t>
            </w: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hh</w:t>
            </w:r>
            <w:proofErr w:type="spellEnd"/>
          </w:p>
        </w:tc>
        <w:tc>
          <w:tcPr>
            <w:tcW w:w="1174" w:type="dxa"/>
          </w:tcPr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  <w:r w:rsidRPr="00D8495A">
              <w:rPr>
                <w:color w:val="000000"/>
                <w:sz w:val="20"/>
                <w:lang w:val="en-US"/>
              </w:rPr>
              <w:t>70,368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4,575</w:t>
            </w: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65,793</w:t>
            </w:r>
          </w:p>
        </w:tc>
        <w:tc>
          <w:tcPr>
            <w:tcW w:w="1710" w:type="dxa"/>
          </w:tcPr>
          <w:p w:rsidR="00A83FBE" w:rsidRPr="00D8495A" w:rsidRDefault="00A83FBE" w:rsidP="00D42D8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</w:rPr>
              <w:t xml:space="preserve">Jerry cans and soap will be distributed as part of the NFI and the WASH cluster will monitor the need </w:t>
            </w:r>
          </w:p>
          <w:p w:rsidR="00A83FBE" w:rsidRDefault="00A83FBE" w:rsidP="00D42D89">
            <w:pPr>
              <w:ind w:left="360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665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6C69AB" w:rsidRDefault="00A83FBE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00069C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D8495A">
              <w:rPr>
                <w:rFonts w:cs="Times New Roman"/>
                <w:sz w:val="20"/>
                <w:szCs w:val="20"/>
                <w:lang w:val="en-US"/>
              </w:rPr>
              <w:t>Hygeine</w:t>
            </w:r>
            <w:proofErr w:type="spellEnd"/>
            <w:r w:rsidRPr="00D8495A">
              <w:rPr>
                <w:rFonts w:cs="Times New Roman"/>
                <w:sz w:val="20"/>
                <w:szCs w:val="20"/>
                <w:lang w:val="en-US"/>
              </w:rPr>
              <w:t xml:space="preserve"> Promotions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UNICEF/RHB</w:t>
            </w: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6C69AB" w:rsidRDefault="00A83FBE" w:rsidP="006C69AB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00069C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Communication Materials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8495A">
              <w:rPr>
                <w:rFonts w:cs="Times New Roman"/>
                <w:sz w:val="20"/>
                <w:szCs w:val="20"/>
                <w:lang w:val="en-US"/>
              </w:rPr>
              <w:t>UNICEF/RHB</w:t>
            </w:r>
          </w:p>
          <w:p w:rsidR="00A83FBE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A83FBE" w:rsidRPr="00242E6C" w:rsidRDefault="00A83FBE" w:rsidP="001462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D42D89">
            <w:pPr>
              <w:rPr>
                <w:rFonts w:cs="Times New Roman"/>
                <w:sz w:val="20"/>
                <w:szCs w:val="20"/>
              </w:rPr>
            </w:pPr>
            <w:r w:rsidRPr="00D8495A">
              <w:rPr>
                <w:rFonts w:cs="Times New Roman"/>
                <w:sz w:val="20"/>
                <w:szCs w:val="20"/>
              </w:rPr>
              <w:t xml:space="preserve">IEC – materials are not available and will be prepared/distributed before 15Nov14 as part the GHWD celebration in Somali region. </w:t>
            </w:r>
          </w:p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A83FBE" w:rsidRPr="002B038B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2B038B">
              <w:rPr>
                <w:rFonts w:cs="Times New Roman"/>
                <w:b/>
                <w:sz w:val="20"/>
                <w:szCs w:val="20"/>
                <w:lang w:val="en-US"/>
              </w:rPr>
              <w:t xml:space="preserve">Education </w:t>
            </w:r>
          </w:p>
        </w:tc>
        <w:tc>
          <w:tcPr>
            <w:tcW w:w="1982" w:type="dxa"/>
          </w:tcPr>
          <w:p w:rsidR="00A83FBE" w:rsidRPr="00D8495A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Rebuild/renovate schools </w:t>
            </w:r>
          </w:p>
        </w:tc>
        <w:tc>
          <w:tcPr>
            <w:tcW w:w="1602" w:type="dxa"/>
          </w:tcPr>
          <w:p w:rsidR="00A83FBE" w:rsidRPr="006C69AB" w:rsidRDefault="00A83F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49 schools </w:t>
            </w: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A32">
              <w:rPr>
                <w:rFonts w:cs="Times New Roman"/>
                <w:sz w:val="20"/>
                <w:szCs w:val="20"/>
              </w:rPr>
              <w:t>720 Tarpaulins that benefit 3000 school children</w:t>
            </w: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3 schools need rebuilding 33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schoold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require renovation </w:t>
            </w:r>
          </w:p>
        </w:tc>
        <w:tc>
          <w:tcPr>
            <w:tcW w:w="1710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In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kelafo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(3 schools to rebuild and 33 schools require renovation and furniture) and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Ferefer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(13 schools require renovation)</w:t>
            </w:r>
            <w:proofErr w:type="gramStart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gram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No data on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Mustahil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A83FBE" w:rsidRPr="00242E6C" w:rsidTr="005B27E9">
        <w:trPr>
          <w:trHeight w:val="1133"/>
        </w:trPr>
        <w:tc>
          <w:tcPr>
            <w:tcW w:w="1045" w:type="dxa"/>
            <w:vMerge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Pr="002B038B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Provision of education supplies and materials 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17,302 school aged children</w:t>
            </w: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UNICEF</w:t>
            </w: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Pr="009E4A32" w:rsidRDefault="00A83FBE" w:rsidP="009E4A32">
            <w:pPr>
              <w:rPr>
                <w:rFonts w:cs="Times New Roman"/>
                <w:sz w:val="20"/>
                <w:szCs w:val="20"/>
              </w:rPr>
            </w:pPr>
            <w:r w:rsidRPr="009E4A32">
              <w:rPr>
                <w:rFonts w:cs="Times New Roman"/>
                <w:sz w:val="20"/>
                <w:szCs w:val="20"/>
              </w:rPr>
              <w:t xml:space="preserve">3000 School in a bag kits </w:t>
            </w:r>
            <w:r>
              <w:rPr>
                <w:rFonts w:cs="Times New Roman"/>
                <w:sz w:val="20"/>
                <w:szCs w:val="20"/>
              </w:rPr>
              <w:t xml:space="preserve">that </w:t>
            </w:r>
            <w:r w:rsidRPr="009E4A32">
              <w:rPr>
                <w:rFonts w:cs="Times New Roman"/>
                <w:sz w:val="20"/>
                <w:szCs w:val="20"/>
              </w:rPr>
              <w:t>benefit 3000 school children</w:t>
            </w:r>
          </w:p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12,340 school age children require education materials</w:t>
            </w: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Kelafo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 w:rsidRPr="00286DC2">
              <w:rPr>
                <w:bCs/>
                <w:color w:val="000000"/>
                <w:sz w:val="18"/>
                <w:szCs w:val="18"/>
                <w:lang w:val="en-US"/>
              </w:rPr>
              <w:t>15,340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) and </w:t>
            </w:r>
            <w:proofErr w:type="spellStart"/>
            <w:r w:rsidRPr="00286DC2">
              <w:rPr>
                <w:bCs/>
                <w:color w:val="000000"/>
                <w:sz w:val="18"/>
                <w:szCs w:val="18"/>
                <w:lang w:val="en-US"/>
              </w:rPr>
              <w:t>Ferefer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 w:rsidRPr="00286DC2">
              <w:rPr>
                <w:bCs/>
                <w:color w:val="000000"/>
                <w:sz w:val="18"/>
                <w:szCs w:val="18"/>
                <w:lang w:val="en-US"/>
              </w:rPr>
              <w:t>1,962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Health </w:t>
            </w: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Assign Health professionals for 3 months at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Gode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Hargelle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>&amp; D/ado to Coordinate all Health Responses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USD 21,905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9A4F85">
              <w:rPr>
                <w:bCs/>
                <w:color w:val="000000"/>
                <w:sz w:val="18"/>
                <w:szCs w:val="18"/>
                <w:lang w:val="en-US"/>
              </w:rPr>
              <w:t>Includes 1 car rent for 2 months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Train 25 HWs from each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woreda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 &amp; Health facilities in the affected </w:t>
            </w:r>
            <w:proofErr w:type="spellStart"/>
            <w:r w:rsidRPr="009A4F85">
              <w:rPr>
                <w:rFonts w:cs="Times New Roman"/>
                <w:sz w:val="20"/>
                <w:szCs w:val="20"/>
                <w:lang w:val="en-US"/>
              </w:rPr>
              <w:t>Woreda</w:t>
            </w:r>
            <w:proofErr w:type="spellEnd"/>
            <w:r w:rsidRPr="009A4F85">
              <w:rPr>
                <w:rFonts w:cs="Times New Roman"/>
                <w:sz w:val="20"/>
                <w:szCs w:val="20"/>
                <w:lang w:val="en-US"/>
              </w:rPr>
              <w:t xml:space="preserve"> on Epidemic  investigation &amp; Diseases management and laboratory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USD 23,810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9A4F85">
              <w:rPr>
                <w:bCs/>
                <w:color w:val="000000"/>
                <w:sz w:val="18"/>
                <w:szCs w:val="18"/>
              </w:rPr>
              <w:t>Increase the capacity of Health workers in of epidemic management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620A41" w:rsidRDefault="00A83FBE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Deploy 8 Mobile Health Teams in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Kalafo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Mustahil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Ferfer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 , D/bay, </w:t>
            </w:r>
            <w:proofErr w:type="spellStart"/>
            <w:r w:rsidRPr="00620A41">
              <w:rPr>
                <w:rFonts w:cs="Times New Roman"/>
                <w:sz w:val="20"/>
                <w:szCs w:val="20"/>
                <w:lang w:val="en-US"/>
              </w:rPr>
              <w:t>Hargelle</w:t>
            </w:r>
            <w:proofErr w:type="spellEnd"/>
            <w:r w:rsidRPr="00620A41">
              <w:rPr>
                <w:rFonts w:cs="Times New Roman"/>
                <w:sz w:val="20"/>
                <w:szCs w:val="20"/>
                <w:lang w:val="en-US"/>
              </w:rPr>
              <w:t xml:space="preserve">, D/ado for 3 months   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USD 114,857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 w:val="restart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71782D">
              <w:rPr>
                <w:bCs/>
                <w:color w:val="000000"/>
                <w:sz w:val="18"/>
                <w:szCs w:val="18"/>
              </w:rPr>
              <w:t>Provide preventive and Curative health services for case management</w:t>
            </w:r>
          </w:p>
        </w:tc>
      </w:tr>
      <w:tr w:rsidR="00A83FBE" w:rsidRPr="00242E6C" w:rsidTr="00620A41">
        <w:trPr>
          <w:trHeight w:val="872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620A41" w:rsidRDefault="00A83FBE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20A41">
              <w:rPr>
                <w:rFonts w:cs="Times New Roman"/>
                <w:sz w:val="20"/>
                <w:szCs w:val="20"/>
                <w:lang w:val="en-US"/>
              </w:rPr>
              <w:t>Provision of 12 Emergency Drug Kits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1782D">
              <w:rPr>
                <w:rFonts w:cs="Times New Roman"/>
                <w:sz w:val="20"/>
                <w:szCs w:val="20"/>
              </w:rPr>
              <w:t>UNICEF, WHO, FMOH may provide</w:t>
            </w: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1782D">
              <w:rPr>
                <w:rFonts w:cs="Times New Roman"/>
                <w:sz w:val="20"/>
                <w:szCs w:val="20"/>
              </w:rPr>
              <w:t xml:space="preserve">12 EDKs for all affected </w:t>
            </w:r>
            <w:proofErr w:type="spellStart"/>
            <w:r w:rsidRPr="0071782D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71782D">
        <w:trPr>
          <w:trHeight w:val="710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620A41" w:rsidRDefault="00A83FBE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1782D">
              <w:rPr>
                <w:rFonts w:cs="Times New Roman"/>
                <w:sz w:val="20"/>
                <w:szCs w:val="20"/>
                <w:lang w:val="en-US"/>
              </w:rPr>
              <w:t>Community based health education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C91C0D" w:rsidRDefault="00A83FBE" w:rsidP="007178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71782D">
              <w:rPr>
                <w:color w:val="000000"/>
                <w:sz w:val="20"/>
                <w:lang w:val="en-US"/>
              </w:rPr>
              <w:t>USD 2019</w:t>
            </w:r>
            <w:r w:rsidRPr="00C9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71782D">
        <w:trPr>
          <w:trHeight w:val="980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 w:val="restart"/>
          </w:tcPr>
          <w:p w:rsidR="00A83FBE" w:rsidRPr="00620A41" w:rsidRDefault="00A83FBE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1782D">
              <w:rPr>
                <w:rFonts w:cs="Times New Roman"/>
                <w:sz w:val="20"/>
                <w:szCs w:val="20"/>
              </w:rPr>
              <w:t xml:space="preserve">Prepare 150 Dry waste disposal pits one for each </w:t>
            </w:r>
            <w:proofErr w:type="spellStart"/>
            <w:r w:rsidRPr="0071782D">
              <w:rPr>
                <w:rFonts w:cs="Times New Roman"/>
                <w:sz w:val="20"/>
                <w:szCs w:val="20"/>
              </w:rPr>
              <w:t>kebele</w:t>
            </w:r>
            <w:proofErr w:type="spellEnd"/>
            <w:r w:rsidRPr="0071782D">
              <w:rPr>
                <w:rFonts w:cs="Times New Roman"/>
                <w:sz w:val="20"/>
                <w:szCs w:val="20"/>
              </w:rPr>
              <w:t xml:space="preserve"> affected</w:t>
            </w:r>
          </w:p>
        </w:tc>
        <w:tc>
          <w:tcPr>
            <w:tcW w:w="1602" w:type="dxa"/>
            <w:vMerge w:val="restart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  <w:vMerge w:val="restart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USD 8,071</w:t>
            </w:r>
          </w:p>
        </w:tc>
        <w:tc>
          <w:tcPr>
            <w:tcW w:w="2210" w:type="dxa"/>
            <w:vMerge w:val="restart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 w:val="restart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 w:val="restart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71782D">
              <w:rPr>
                <w:bCs/>
                <w:color w:val="000000"/>
                <w:sz w:val="18"/>
                <w:szCs w:val="18"/>
              </w:rPr>
              <w:t>Hygiene and Sanitation</w:t>
            </w:r>
          </w:p>
        </w:tc>
      </w:tr>
      <w:tr w:rsidR="00A83FBE" w:rsidRPr="00242E6C" w:rsidTr="00732C7C">
        <w:trPr>
          <w:trHeight w:val="80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</w:tcPr>
          <w:p w:rsidR="00A83FBE" w:rsidRPr="00620A41" w:rsidRDefault="00A83FBE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  <w:vMerge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  <w:vMerge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  <w:vMerge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71782D">
            <w:pPr>
              <w:rPr>
                <w:rFonts w:cs="Times New Roman"/>
                <w:sz w:val="20"/>
                <w:szCs w:val="20"/>
              </w:rPr>
            </w:pPr>
            <w:r w:rsidRPr="00FD28CA">
              <w:rPr>
                <w:rFonts w:cs="Times New Roman"/>
                <w:sz w:val="20"/>
                <w:szCs w:val="20"/>
              </w:rPr>
              <w:t xml:space="preserve">Decrease malaria Morbidity and Mortality  </w:t>
            </w:r>
            <w:r>
              <w:rPr>
                <w:rFonts w:cs="Times New Roman"/>
                <w:sz w:val="20"/>
                <w:szCs w:val="20"/>
              </w:rPr>
              <w:t>-</w:t>
            </w:r>
          </w:p>
          <w:p w:rsidR="00A83FBE" w:rsidRPr="00620A41" w:rsidRDefault="00A83FBE" w:rsidP="00374F2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D28CA">
              <w:rPr>
                <w:rFonts w:cs="Times New Roman"/>
                <w:sz w:val="20"/>
                <w:szCs w:val="20"/>
              </w:rPr>
              <w:t>ITN/mosquito Net Distribution 16,200 pcs.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  <w:r w:rsidRPr="00FD28CA">
              <w:rPr>
                <w:rFonts w:cs="Times New Roman"/>
                <w:sz w:val="20"/>
                <w:szCs w:val="20"/>
              </w:rPr>
              <w:t>26,693</w:t>
            </w:r>
            <w:r>
              <w:rPr>
                <w:rFonts w:cs="Times New Roman"/>
                <w:sz w:val="20"/>
                <w:szCs w:val="20"/>
              </w:rPr>
              <w:t>hh</w:t>
            </w: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USD 254,219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FD28CA">
              <w:rPr>
                <w:bCs/>
                <w:color w:val="000000"/>
                <w:sz w:val="18"/>
                <w:szCs w:val="18"/>
              </w:rPr>
              <w:t>Budget for HH distribution through other logistics</w:t>
            </w:r>
          </w:p>
        </w:tc>
      </w:tr>
      <w:tr w:rsidR="00A83FBE" w:rsidRPr="00242E6C" w:rsidTr="00E66079">
        <w:trPr>
          <w:trHeight w:val="683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620A41" w:rsidRDefault="00A83FBE" w:rsidP="0071782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66079">
              <w:rPr>
                <w:rFonts w:cs="Times New Roman"/>
                <w:sz w:val="20"/>
                <w:szCs w:val="20"/>
              </w:rPr>
              <w:t>Anti-malaria drug Distribution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66079">
              <w:rPr>
                <w:rFonts w:cs="Times New Roman"/>
                <w:sz w:val="20"/>
                <w:szCs w:val="20"/>
              </w:rPr>
              <w:t>RHB will provide drugs &amp; supplies</w:t>
            </w: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E66079">
              <w:rPr>
                <w:bCs/>
                <w:color w:val="000000"/>
                <w:sz w:val="18"/>
                <w:szCs w:val="18"/>
              </w:rPr>
              <w:t>Distributed by the mobile teams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commentRangeStart w:id="4"/>
            <w:r w:rsidRPr="00E66079">
              <w:rPr>
                <w:rFonts w:cs="Times New Roman"/>
                <w:sz w:val="20"/>
                <w:szCs w:val="20"/>
              </w:rPr>
              <w:t>Nutrition</w:t>
            </w:r>
            <w:r>
              <w:rPr>
                <w:rFonts w:cs="Times New Roman"/>
                <w:sz w:val="20"/>
                <w:szCs w:val="20"/>
              </w:rPr>
              <w:t xml:space="preserve"> - </w:t>
            </w:r>
            <w:commentRangeEnd w:id="4"/>
            <w:r>
              <w:rPr>
                <w:rStyle w:val="CommentReference"/>
              </w:rPr>
              <w:commentReference w:id="4"/>
            </w:r>
            <w:r w:rsidRPr="00E66079">
              <w:rPr>
                <w:rFonts w:cs="Times New Roman"/>
                <w:sz w:val="20"/>
                <w:szCs w:val="20"/>
              </w:rPr>
              <w:t>Distribution of High energy foods for selected &lt;5 children and pregnant and lactating women (600 cartons of</w:t>
            </w:r>
            <w:r w:rsidRPr="00C91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66079">
              <w:rPr>
                <w:rFonts w:cs="Times New Roman"/>
                <w:sz w:val="20"/>
                <w:szCs w:val="20"/>
              </w:rPr>
              <w:t>BP5)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66079">
              <w:rPr>
                <w:rFonts w:cs="Times New Roman"/>
                <w:sz w:val="20"/>
                <w:szCs w:val="20"/>
              </w:rPr>
              <w:t xml:space="preserve">RHB will provide the </w:t>
            </w:r>
            <w:proofErr w:type="spellStart"/>
            <w:r w:rsidRPr="00E66079">
              <w:rPr>
                <w:rFonts w:cs="Times New Roman"/>
                <w:sz w:val="20"/>
                <w:szCs w:val="20"/>
              </w:rPr>
              <w:t>Plumpty</w:t>
            </w:r>
            <w:proofErr w:type="spellEnd"/>
            <w:r w:rsidRPr="00E66079">
              <w:rPr>
                <w:rFonts w:cs="Times New Roman"/>
                <w:sz w:val="20"/>
                <w:szCs w:val="20"/>
              </w:rPr>
              <w:t xml:space="preserve"> nets</w:t>
            </w: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E66079">
              <w:rPr>
                <w:bCs/>
                <w:color w:val="000000"/>
                <w:sz w:val="18"/>
                <w:szCs w:val="18"/>
              </w:rPr>
              <w:t>Distributed by the mobile teams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817C6">
              <w:rPr>
                <w:rFonts w:cs="Times New Roman"/>
                <w:sz w:val="20"/>
                <w:szCs w:val="20"/>
              </w:rPr>
              <w:t>SRHB Emergency Drugs &amp; Medical Supplies kit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5B0CB0" w:rsidRDefault="00A83FBE" w:rsidP="00A429DB">
            <w:pPr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28,571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Quantity – 12</w:t>
            </w:r>
          </w:p>
          <w:p w:rsidR="00A83FBE" w:rsidRDefault="00A83FBE" w:rsidP="00560750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Unit cost – </w:t>
            </w:r>
            <w:r>
              <w:rPr>
                <w:b/>
                <w:bCs/>
                <w:color w:val="000000"/>
                <w:sz w:val="18"/>
                <w:szCs w:val="18"/>
              </w:rPr>
              <w:t>2,381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817C6">
              <w:rPr>
                <w:rFonts w:cs="Times New Roman"/>
                <w:sz w:val="20"/>
                <w:szCs w:val="20"/>
              </w:rPr>
              <w:t>Logistics costs drug kit collection &amp; distribution</w:t>
            </w: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5B0CB0" w:rsidRDefault="00A83FBE" w:rsidP="00A429DB">
            <w:pPr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34,286</w:t>
            </w: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Quantity 12</w:t>
            </w:r>
          </w:p>
          <w:p w:rsidR="00A83FBE" w:rsidRDefault="00A83FBE" w:rsidP="00560750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Unit cost  - 2,857</w:t>
            </w: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A83FBE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5B0CB0" w:rsidRDefault="00A83FBE" w:rsidP="00560750">
            <w:pPr>
              <w:rPr>
                <w:b/>
                <w:color w:val="000000"/>
                <w:sz w:val="20"/>
                <w:lang w:val="en-US"/>
              </w:rPr>
            </w:pPr>
            <w:r w:rsidRPr="005B0CB0">
              <w:rPr>
                <w:b/>
                <w:color w:val="000000"/>
                <w:sz w:val="20"/>
                <w:lang w:val="en-US"/>
              </w:rPr>
              <w:t>Total Cost –</w:t>
            </w:r>
          </w:p>
          <w:p w:rsidR="00A83FBE" w:rsidRPr="009C4AD8" w:rsidRDefault="00A83FBE" w:rsidP="009C4AD8">
            <w:pPr>
              <w:rPr>
                <w:b/>
                <w:color w:val="000000"/>
                <w:sz w:val="20"/>
              </w:rPr>
            </w:pPr>
            <w:r w:rsidRPr="009C4AD8">
              <w:rPr>
                <w:b/>
                <w:color w:val="000000"/>
                <w:sz w:val="20"/>
              </w:rPr>
              <w:t>487,738</w:t>
            </w:r>
          </w:p>
          <w:p w:rsidR="00A83FBE" w:rsidRPr="005B0CB0" w:rsidRDefault="00A83FBE" w:rsidP="00560750">
            <w:pPr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9C4AD8" w:rsidRDefault="00A83FBE" w:rsidP="009C4AD8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4AD8">
              <w:rPr>
                <w:b/>
                <w:bCs/>
                <w:color w:val="000000"/>
                <w:sz w:val="18"/>
                <w:szCs w:val="18"/>
                <w:lang w:val="en-US"/>
              </w:rPr>
              <w:t>Total Cost –</w:t>
            </w:r>
          </w:p>
          <w:p w:rsidR="00A83FBE" w:rsidRPr="009C4AD8" w:rsidRDefault="00A83FBE" w:rsidP="009C4AD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C4AD8">
              <w:rPr>
                <w:b/>
                <w:bCs/>
                <w:color w:val="000000"/>
                <w:sz w:val="18"/>
                <w:szCs w:val="18"/>
              </w:rPr>
              <w:t>487,738</w:t>
            </w:r>
          </w:p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  <w:vMerge w:val="restart"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A83FBE" w:rsidRPr="002B038B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commentRangeStart w:id="5"/>
            <w:r>
              <w:rPr>
                <w:rFonts w:cs="Times New Roman"/>
                <w:b/>
                <w:sz w:val="20"/>
                <w:szCs w:val="20"/>
                <w:lang w:val="en-US"/>
              </w:rPr>
              <w:t>Livelihood</w:t>
            </w:r>
            <w:commentRangeEnd w:id="5"/>
            <w:r>
              <w:rPr>
                <w:rStyle w:val="CommentReference"/>
              </w:rPr>
              <w:commentReference w:id="5"/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  <w:vMerge/>
          </w:tcPr>
          <w:p w:rsidR="00A83FBE" w:rsidRDefault="00A83F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A83FBE" w:rsidRPr="002B038B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commentRangeStart w:id="6"/>
            <w:r>
              <w:rPr>
                <w:rFonts w:cs="Times New Roman"/>
                <w:b/>
                <w:sz w:val="20"/>
                <w:szCs w:val="20"/>
                <w:lang w:val="en-US"/>
              </w:rPr>
              <w:t>Food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242E6C" w:rsidTr="005B27E9">
        <w:trPr>
          <w:trHeight w:val="1529"/>
        </w:trPr>
        <w:tc>
          <w:tcPr>
            <w:tcW w:w="1045" w:type="dxa"/>
          </w:tcPr>
          <w:p w:rsidR="00A83FBE" w:rsidRPr="006C69AB" w:rsidRDefault="00A83FBE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SNNPR</w:t>
            </w:r>
          </w:p>
        </w:tc>
        <w:tc>
          <w:tcPr>
            <w:tcW w:w="1149" w:type="dxa"/>
          </w:tcPr>
          <w:p w:rsidR="00A83FBE" w:rsidRPr="002B038B" w:rsidRDefault="00A83FBE" w:rsidP="006C69A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Default="00A83FBE" w:rsidP="006C07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02" w:type="dxa"/>
          </w:tcPr>
          <w:p w:rsidR="00A83FBE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A83FBE" w:rsidRPr="00D8495A" w:rsidRDefault="00A83FBE" w:rsidP="001462C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00069C" w:rsidRDefault="00A83FBE" w:rsidP="00A429DB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10" w:type="dxa"/>
          </w:tcPr>
          <w:p w:rsidR="00A83FBE" w:rsidRPr="00242E6C" w:rsidRDefault="00A83F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Default="00A83FBE" w:rsidP="00426B6E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</w:tcPr>
          <w:p w:rsidR="00A83FBE" w:rsidRPr="0000069C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A83FBE" w:rsidRDefault="00A83FBE" w:rsidP="00256BE3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A83FBE" w:rsidRPr="00B93EDB" w:rsidTr="008B2EF5">
        <w:trPr>
          <w:trHeight w:val="1070"/>
        </w:trPr>
        <w:tc>
          <w:tcPr>
            <w:tcW w:w="1045" w:type="dxa"/>
          </w:tcPr>
          <w:p w:rsidR="00A83FBE" w:rsidRPr="006C69AB" w:rsidRDefault="00A83FBE" w:rsidP="005778B3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SNNPR</w:t>
            </w:r>
          </w:p>
        </w:tc>
        <w:tc>
          <w:tcPr>
            <w:tcW w:w="1149" w:type="dxa"/>
          </w:tcPr>
          <w:p w:rsidR="00A83FBE" w:rsidRPr="00476BC9" w:rsidRDefault="00A83FBE" w:rsidP="005778B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76BC9">
              <w:rPr>
                <w:rFonts w:cs="Times New Roman"/>
                <w:sz w:val="20"/>
                <w:szCs w:val="20"/>
                <w:lang w:val="en-US"/>
              </w:rPr>
              <w:t>NFI/shelter materials</w:t>
            </w:r>
          </w:p>
          <w:p w:rsidR="00A83FBE" w:rsidRPr="00476BC9" w:rsidRDefault="00A83FBE" w:rsidP="005778B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</w:tcPr>
          <w:p w:rsidR="00A83FBE" w:rsidRPr="00476BC9" w:rsidRDefault="00A83FBE" w:rsidP="005778B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76BC9">
              <w:rPr>
                <w:rFonts w:cs="Times New Roman"/>
                <w:sz w:val="20"/>
                <w:szCs w:val="20"/>
              </w:rPr>
              <w:t>Provision of NFI and Shelter</w:t>
            </w:r>
          </w:p>
        </w:tc>
        <w:tc>
          <w:tcPr>
            <w:tcW w:w="1602" w:type="dxa"/>
          </w:tcPr>
          <w:p w:rsidR="00A83FBE" w:rsidRPr="00476BC9" w:rsidRDefault="00A83FBE" w:rsidP="005778B3">
            <w:pPr>
              <w:rPr>
                <w:rFonts w:cs="Times New Roman"/>
                <w:sz w:val="20"/>
                <w:szCs w:val="20"/>
              </w:rPr>
            </w:pPr>
            <w:r w:rsidRPr="00476BC9">
              <w:rPr>
                <w:rFonts w:cs="Times New Roman"/>
                <w:sz w:val="20"/>
                <w:szCs w:val="20"/>
              </w:rPr>
              <w:t>4114 HH</w:t>
            </w:r>
          </w:p>
        </w:tc>
        <w:tc>
          <w:tcPr>
            <w:tcW w:w="1174" w:type="dxa"/>
          </w:tcPr>
          <w:p w:rsidR="00A83FBE" w:rsidRPr="00476BC9" w:rsidRDefault="00A83FBE" w:rsidP="005778B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12" w:type="dxa"/>
          </w:tcPr>
          <w:p w:rsidR="00A83FBE" w:rsidRPr="00476BC9" w:rsidRDefault="00A83FBE" w:rsidP="005778B3">
            <w:pPr>
              <w:rPr>
                <w:color w:val="000000"/>
                <w:sz w:val="20"/>
                <w:lang w:val="en-US"/>
              </w:rPr>
            </w:pPr>
            <w:r w:rsidRPr="00476BC9">
              <w:rPr>
                <w:color w:val="000000"/>
                <w:sz w:val="20"/>
              </w:rPr>
              <w:t>4,114 ES/NFI kits</w:t>
            </w:r>
          </w:p>
        </w:tc>
        <w:tc>
          <w:tcPr>
            <w:tcW w:w="2210" w:type="dxa"/>
          </w:tcPr>
          <w:p w:rsidR="00A83FBE" w:rsidRPr="00476BC9" w:rsidRDefault="00A83FBE" w:rsidP="005778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83FBE" w:rsidRPr="00476BC9" w:rsidRDefault="00A83FBE" w:rsidP="005778B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76BC9">
              <w:rPr>
                <w:rFonts w:cs="Times New Roman"/>
                <w:sz w:val="20"/>
                <w:szCs w:val="20"/>
                <w:lang w:val="en-US"/>
              </w:rPr>
              <w:t xml:space="preserve">To be discussed </w:t>
            </w:r>
          </w:p>
        </w:tc>
        <w:tc>
          <w:tcPr>
            <w:tcW w:w="1414" w:type="dxa"/>
          </w:tcPr>
          <w:p w:rsidR="00A83FBE" w:rsidRPr="00476BC9" w:rsidRDefault="00A83FBE" w:rsidP="005778B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476BC9">
              <w:rPr>
                <w:rFonts w:cs="Times New Roman"/>
                <w:sz w:val="20"/>
                <w:szCs w:val="20"/>
                <w:lang w:val="en-US"/>
              </w:rPr>
              <w:t>4114 kits</w:t>
            </w:r>
          </w:p>
        </w:tc>
        <w:tc>
          <w:tcPr>
            <w:tcW w:w="1710" w:type="dxa"/>
          </w:tcPr>
          <w:p w:rsidR="00A83FBE" w:rsidRPr="00476BC9" w:rsidRDefault="00A83FBE" w:rsidP="005778B3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>This is based on report from IOM DTM exercises in October, 2014</w:t>
            </w:r>
            <w:proofErr w:type="gramStart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gramEnd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>The displaced are in need of humanitarian assistance</w:t>
            </w:r>
            <w:proofErr w:type="gramStart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gramEnd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 xml:space="preserve">Specifically Butajira-174HHs, </w:t>
            </w:r>
            <w:proofErr w:type="spellStart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>Silte</w:t>
            </w:r>
            <w:proofErr w:type="spellEnd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 xml:space="preserve"> Zone-3125HHs, </w:t>
            </w:r>
            <w:proofErr w:type="spellStart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>Lanfiro</w:t>
            </w:r>
            <w:proofErr w:type="spellEnd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 xml:space="preserve"> Woreda-26HHs, </w:t>
            </w:r>
            <w:proofErr w:type="spellStart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>Dalocha</w:t>
            </w:r>
            <w:proofErr w:type="spellEnd"/>
            <w:r w:rsidRPr="00476BC9">
              <w:rPr>
                <w:bCs/>
                <w:color w:val="000000"/>
                <w:sz w:val="18"/>
                <w:szCs w:val="18"/>
                <w:lang w:val="en-US"/>
              </w:rPr>
              <w:t>- 77HHs, Mareko-282 HHs, Meskan-430HHs</w:t>
            </w:r>
          </w:p>
        </w:tc>
      </w:tr>
    </w:tbl>
    <w:p w:rsidR="005B27E9" w:rsidRPr="005B27E9" w:rsidRDefault="005B27E9" w:rsidP="005B27E9">
      <w:pPr>
        <w:pStyle w:val="ListParagraph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*</w:t>
      </w:r>
      <w:r w:rsidRPr="005B27E9">
        <w:rPr>
          <w:rFonts w:ascii="Times New Roman" w:hAnsi="Times New Roman" w:cs="Times New Roman"/>
          <w:sz w:val="24"/>
          <w:szCs w:val="24"/>
        </w:rPr>
        <w:t xml:space="preserve"> </w:t>
      </w:r>
      <w:r w:rsidRPr="005B27E9">
        <w:rPr>
          <w:rFonts w:cs="Times New Roman"/>
          <w:sz w:val="20"/>
          <w:szCs w:val="20"/>
        </w:rPr>
        <w:t xml:space="preserve">Number of people affected: 23752 people in </w:t>
      </w:r>
      <w:proofErr w:type="spellStart"/>
      <w:r w:rsidRPr="005B27E9">
        <w:rPr>
          <w:rFonts w:cs="Times New Roman"/>
          <w:sz w:val="20"/>
          <w:szCs w:val="20"/>
        </w:rPr>
        <w:t>Amibara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 and 4640 people in </w:t>
      </w:r>
      <w:proofErr w:type="spellStart"/>
      <w:r w:rsidRPr="005B27E9">
        <w:rPr>
          <w:rFonts w:cs="Times New Roman"/>
          <w:sz w:val="20"/>
          <w:szCs w:val="20"/>
        </w:rPr>
        <w:t>Dulecha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, 10500 people in </w:t>
      </w:r>
      <w:proofErr w:type="spellStart"/>
      <w:r w:rsidRPr="005B27E9">
        <w:rPr>
          <w:rFonts w:cs="Times New Roman"/>
          <w:sz w:val="20"/>
          <w:szCs w:val="20"/>
        </w:rPr>
        <w:t>Asayta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, 11944 people in </w:t>
      </w:r>
      <w:proofErr w:type="spellStart"/>
      <w:r w:rsidRPr="005B27E9">
        <w:rPr>
          <w:rFonts w:cs="Times New Roman"/>
          <w:sz w:val="20"/>
          <w:szCs w:val="20"/>
        </w:rPr>
        <w:t>Gewane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, and 10536 people in </w:t>
      </w:r>
      <w:proofErr w:type="spellStart"/>
      <w:r w:rsidRPr="005B27E9">
        <w:rPr>
          <w:rFonts w:cs="Times New Roman"/>
          <w:sz w:val="20"/>
          <w:szCs w:val="20"/>
        </w:rPr>
        <w:t>Burimodayto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 and 1200 people in </w:t>
      </w:r>
      <w:proofErr w:type="spellStart"/>
      <w:r w:rsidRPr="005B27E9">
        <w:rPr>
          <w:rFonts w:cs="Times New Roman"/>
          <w:sz w:val="20"/>
          <w:szCs w:val="20"/>
        </w:rPr>
        <w:t>AwashFenatal</w:t>
      </w:r>
      <w:proofErr w:type="spellEnd"/>
      <w:r w:rsidRPr="005B27E9">
        <w:rPr>
          <w:rFonts w:cs="Times New Roman"/>
          <w:sz w:val="20"/>
          <w:szCs w:val="20"/>
        </w:rPr>
        <w:t xml:space="preserve"> </w:t>
      </w:r>
      <w:proofErr w:type="spellStart"/>
      <w:r w:rsidRPr="005B27E9">
        <w:rPr>
          <w:rFonts w:cs="Times New Roman"/>
          <w:sz w:val="20"/>
          <w:szCs w:val="20"/>
        </w:rPr>
        <w:t>woreda</w:t>
      </w:r>
      <w:proofErr w:type="spellEnd"/>
      <w:r w:rsidRPr="005B27E9">
        <w:rPr>
          <w:rFonts w:cs="Times New Roman"/>
          <w:sz w:val="20"/>
          <w:szCs w:val="20"/>
        </w:rPr>
        <w:t xml:space="preserve">. </w:t>
      </w:r>
    </w:p>
    <w:p w:rsidR="00560750" w:rsidRDefault="00560750" w:rsidP="00363BB9">
      <w:pPr>
        <w:rPr>
          <w:rFonts w:cs="Times New Roman"/>
          <w:b/>
          <w:sz w:val="20"/>
          <w:szCs w:val="20"/>
        </w:rPr>
      </w:pPr>
    </w:p>
    <w:p w:rsidR="00363BB9" w:rsidRPr="00363BB9" w:rsidRDefault="00363BB9" w:rsidP="00363BB9">
      <w:pPr>
        <w:rPr>
          <w:rFonts w:cs="Times New Roman"/>
          <w:b/>
          <w:sz w:val="20"/>
          <w:szCs w:val="20"/>
        </w:rPr>
      </w:pPr>
      <w:r w:rsidRPr="00363BB9">
        <w:rPr>
          <w:rFonts w:cs="Times New Roman"/>
          <w:b/>
          <w:sz w:val="20"/>
          <w:szCs w:val="20"/>
        </w:rPr>
        <w:t>Nutrition</w:t>
      </w:r>
      <w:r w:rsidR="00AE2EF3">
        <w:rPr>
          <w:rFonts w:cs="Times New Roman"/>
          <w:b/>
          <w:sz w:val="20"/>
          <w:szCs w:val="20"/>
        </w:rPr>
        <w:t xml:space="preserve"> – Afar and Somali Regions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1170"/>
        <w:gridCol w:w="900"/>
        <w:gridCol w:w="827"/>
        <w:gridCol w:w="1181"/>
        <w:gridCol w:w="773"/>
        <w:gridCol w:w="189"/>
        <w:gridCol w:w="960"/>
        <w:gridCol w:w="1252"/>
        <w:gridCol w:w="1290"/>
        <w:gridCol w:w="981"/>
        <w:gridCol w:w="1364"/>
        <w:gridCol w:w="1581"/>
        <w:gridCol w:w="1328"/>
      </w:tblGrid>
      <w:tr w:rsidR="00374E74" w:rsidRPr="00363BB9" w:rsidTr="00374E74">
        <w:trPr>
          <w:trHeight w:val="827"/>
        </w:trPr>
        <w:tc>
          <w:tcPr>
            <w:tcW w:w="828" w:type="dxa"/>
            <w:vMerge w:val="restart"/>
            <w:shd w:val="clear" w:color="auto" w:fill="D9D9D9" w:themeFill="background1" w:themeFillShade="D9"/>
            <w:noWrap/>
            <w:hideMark/>
          </w:tcPr>
          <w:p w:rsidR="00374E74" w:rsidRPr="00D74B06" w:rsidRDefault="00374E74" w:rsidP="00374E7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R</w:t>
            </w:r>
            <w:r w:rsidRPr="00D74B06">
              <w:rPr>
                <w:rFonts w:cs="Times New Roman"/>
                <w:b/>
                <w:sz w:val="20"/>
                <w:szCs w:val="20"/>
              </w:rPr>
              <w:t>egion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zone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OTP posts affected ( not operational)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TFU/SC</w:t>
            </w:r>
          </w:p>
        </w:tc>
        <w:tc>
          <w:tcPr>
            <w:tcW w:w="1181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beneficiaries ( &lt;5s children) affected</w:t>
            </w:r>
          </w:p>
        </w:tc>
        <w:tc>
          <w:tcPr>
            <w:tcW w:w="4464" w:type="dxa"/>
            <w:gridSpan w:val="5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Type of response going on</w:t>
            </w:r>
          </w:p>
        </w:tc>
        <w:tc>
          <w:tcPr>
            <w:tcW w:w="981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Gaps in response in the flood affected areas</w:t>
            </w:r>
          </w:p>
        </w:tc>
        <w:tc>
          <w:tcPr>
            <w:tcW w:w="1364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Recommended actions for gaps</w:t>
            </w:r>
          </w:p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Implementing partner</w:t>
            </w:r>
          </w:p>
        </w:tc>
        <w:tc>
          <w:tcPr>
            <w:tcW w:w="1328" w:type="dxa"/>
            <w:vMerge w:val="restart"/>
            <w:shd w:val="clear" w:color="auto" w:fill="D9D9D9" w:themeFill="background1" w:themeFillShade="D9"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Remarks </w:t>
            </w:r>
          </w:p>
        </w:tc>
      </w:tr>
      <w:tr w:rsidR="00374E74" w:rsidRPr="00363BB9" w:rsidTr="00374E74">
        <w:trPr>
          <w:trHeight w:val="1088"/>
        </w:trPr>
        <w:tc>
          <w:tcPr>
            <w:tcW w:w="828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OTP ( RUTF, routine drugs) </w:t>
            </w:r>
          </w:p>
        </w:tc>
        <w:tc>
          <w:tcPr>
            <w:tcW w:w="960" w:type="dxa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SC/TFU</w:t>
            </w:r>
          </w:p>
        </w:tc>
        <w:tc>
          <w:tcPr>
            <w:tcW w:w="1252" w:type="dxa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MHNT</w:t>
            </w:r>
          </w:p>
        </w:tc>
        <w:tc>
          <w:tcPr>
            <w:tcW w:w="1290" w:type="dxa"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TSF</w:t>
            </w:r>
          </w:p>
        </w:tc>
        <w:tc>
          <w:tcPr>
            <w:tcW w:w="981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hideMark/>
          </w:tcPr>
          <w:p w:rsidR="00374E74" w:rsidRPr="00363BB9" w:rsidRDefault="00374E74" w:rsidP="00363B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hideMark/>
          </w:tcPr>
          <w:p w:rsidR="00374E74" w:rsidRPr="00363BB9" w:rsidRDefault="00374E7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63BB9" w:rsidRPr="00363BB9" w:rsidTr="00374E74">
        <w:trPr>
          <w:trHeight w:val="3900"/>
        </w:trPr>
        <w:tc>
          <w:tcPr>
            <w:tcW w:w="828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63BB9">
              <w:rPr>
                <w:rFonts w:cs="Times New Roman"/>
                <w:b/>
                <w:bCs/>
                <w:sz w:val="20"/>
                <w:szCs w:val="20"/>
              </w:rPr>
              <w:lastRenderedPageBreak/>
              <w:t>Somali</w:t>
            </w:r>
          </w:p>
        </w:tc>
        <w:tc>
          <w:tcPr>
            <w:tcW w:w="99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Shebele</w:t>
            </w:r>
            <w:proofErr w:type="spellEnd"/>
          </w:p>
        </w:tc>
        <w:tc>
          <w:tcPr>
            <w:tcW w:w="117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Kelafo</w:t>
            </w:r>
            <w:proofErr w:type="spellEnd"/>
          </w:p>
        </w:tc>
        <w:tc>
          <w:tcPr>
            <w:tcW w:w="900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27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252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CSB, oil for flood affected population</w:t>
            </w:r>
          </w:p>
        </w:tc>
        <w:tc>
          <w:tcPr>
            <w:tcW w:w="981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1 MHNT,SC, TSF, Screening </w:t>
            </w:r>
          </w:p>
        </w:tc>
        <w:tc>
          <w:tcPr>
            <w:tcW w:w="1364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1: SCI to establish temporary TFU/SC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and 2: UNICEF to provide the supplies in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cluding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tents for temporary SC and 3: SCI to conduct screening and manage children in the displaced areas if not done by the MNHTs.  Screening for TSF to commence first week November </w:t>
            </w:r>
          </w:p>
        </w:tc>
        <w:tc>
          <w:tcPr>
            <w:tcW w:w="15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SCI/RHB</w:t>
            </w:r>
          </w:p>
        </w:tc>
        <w:tc>
          <w:tcPr>
            <w:tcW w:w="1328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Additional 1 SC and 1 MHNT needed for 3mo</w:t>
            </w:r>
          </w:p>
        </w:tc>
      </w:tr>
      <w:tr w:rsidR="00D74B06" w:rsidRPr="00363BB9" w:rsidTr="00374E74">
        <w:trPr>
          <w:trHeight w:val="3000"/>
        </w:trPr>
        <w:tc>
          <w:tcPr>
            <w:tcW w:w="828" w:type="dxa"/>
            <w:vMerge w:val="restart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She</w:t>
            </w:r>
            <w:r w:rsidR="00452EA0">
              <w:rPr>
                <w:rFonts w:cs="Times New Roman"/>
                <w:sz w:val="20"/>
                <w:szCs w:val="20"/>
              </w:rPr>
              <w:t>b</w:t>
            </w:r>
            <w:r w:rsidRPr="00363BB9">
              <w:rPr>
                <w:rFonts w:cs="Times New Roman"/>
                <w:sz w:val="20"/>
                <w:szCs w:val="20"/>
              </w:rPr>
              <w:t>l</w:t>
            </w:r>
            <w:r w:rsidR="00452EA0">
              <w:rPr>
                <w:rFonts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Mustahili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hideMark/>
          </w:tcPr>
          <w:p w:rsidR="00D74B06" w:rsidRPr="00363BB9" w:rsidRDefault="00D74B06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27" w:type="dxa"/>
            <w:hideMark/>
          </w:tcPr>
          <w:p w:rsidR="00D74B06" w:rsidRPr="00363BB9" w:rsidRDefault="00D74B06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(implemented in September for three months up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mid December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>), CSB and Oil for flood affected population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 , Screening ,Logistics for delivering supplies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1: SCI to establish temporary TFU/SC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and 2: UNICEF to provide the supplies in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cluding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tents for temporary SC and 3. SCI to conduct screening and manage children in the displaced areas if not done by the </w:t>
            </w:r>
            <w:r w:rsidRPr="00363BB9">
              <w:rPr>
                <w:rFonts w:cs="Times New Roman"/>
                <w:sz w:val="20"/>
                <w:szCs w:val="20"/>
              </w:rPr>
              <w:lastRenderedPageBreak/>
              <w:t>MNHTs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lastRenderedPageBreak/>
              <w:t>SCI/RHB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Additional 1SC  needed</w:t>
            </w:r>
          </w:p>
        </w:tc>
      </w:tr>
      <w:tr w:rsidR="00D74B06" w:rsidRPr="00363BB9" w:rsidTr="00374E74">
        <w:trPr>
          <w:trHeight w:val="885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Dolo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Bay</w:t>
            </w:r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very few affected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(implemented in September for three months up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mid December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MHNT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UNICEF to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supoort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the additional MNHTs as soon as possible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 additional MHNT needed for 3mo</w:t>
            </w:r>
          </w:p>
        </w:tc>
      </w:tr>
      <w:tr w:rsidR="00D74B06" w:rsidRPr="00363BB9" w:rsidTr="00374E74">
        <w:trPr>
          <w:trHeight w:val="18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Shebele</w:t>
            </w:r>
            <w:proofErr w:type="spellEnd"/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Ferfer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nill</w:t>
            </w:r>
            <w:proofErr w:type="spellEnd"/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 (not functional)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Yes (implemented in September for three months up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mid December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 to start TFU/SCI as soon as possible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SCI/RHB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8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East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Emey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 yet started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MHNT, TSF 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UNICEF to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supoort</w:t>
            </w:r>
            <w:proofErr w:type="spellEnd"/>
            <w:r w:rsidRPr="00363BB9">
              <w:rPr>
                <w:rFonts w:cs="Times New Roman"/>
                <w:sz w:val="20"/>
                <w:szCs w:val="20"/>
              </w:rPr>
              <w:t xml:space="preserve"> the additional MNHTs as soon as possible. Ad hoc </w:t>
            </w:r>
            <w:r w:rsidRPr="00363BB9">
              <w:rPr>
                <w:rFonts w:cs="Times New Roman"/>
                <w:i/>
                <w:iCs/>
                <w:sz w:val="20"/>
                <w:szCs w:val="20"/>
              </w:rPr>
              <w:t>Screening for TSF to commence first week November</w:t>
            </w:r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additional 1 MHNT needed for 3mo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West Emely</w:t>
            </w:r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nil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RHB/UNICEF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Shinile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nil</w:t>
            </w:r>
          </w:p>
        </w:tc>
        <w:tc>
          <w:tcPr>
            <w:tcW w:w="827" w:type="dxa"/>
            <w:hideMark/>
          </w:tcPr>
          <w:p w:rsidR="00D74B06" w:rsidRPr="00363BB9" w:rsidRDefault="00D74B06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RHB/UNICEF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Kebridah</w:t>
            </w:r>
            <w:proofErr w:type="spellEnd"/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nil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D74B06" w:rsidRPr="00363BB9" w:rsidTr="00374E74">
        <w:trPr>
          <w:trHeight w:val="1200"/>
        </w:trPr>
        <w:tc>
          <w:tcPr>
            <w:tcW w:w="828" w:type="dxa"/>
            <w:vMerge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90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64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RHB  with support from UNICEF to strengthening of the existing TFP services in the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1581" w:type="dxa"/>
            <w:noWrap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328" w:type="dxa"/>
            <w:hideMark/>
          </w:tcPr>
          <w:p w:rsidR="00D74B06" w:rsidRPr="00363BB9" w:rsidRDefault="00D74B06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374E74" w:rsidRPr="00363BB9" w:rsidTr="0071782D">
        <w:trPr>
          <w:trHeight w:val="827"/>
        </w:trPr>
        <w:tc>
          <w:tcPr>
            <w:tcW w:w="828" w:type="dxa"/>
            <w:shd w:val="clear" w:color="auto" w:fill="D9D9D9" w:themeFill="background1" w:themeFillShade="D9"/>
            <w:noWrap/>
            <w:hideMark/>
          </w:tcPr>
          <w:p w:rsidR="00374E74" w:rsidRPr="00D74B06" w:rsidRDefault="00374E74" w:rsidP="0071782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D74B06">
              <w:rPr>
                <w:rFonts w:cs="Times New Roman"/>
                <w:b/>
                <w:sz w:val="20"/>
                <w:szCs w:val="20"/>
              </w:rPr>
              <w:t>egion</w:t>
            </w:r>
          </w:p>
        </w:tc>
        <w:tc>
          <w:tcPr>
            <w:tcW w:w="990" w:type="dxa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zone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woreda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OTP posts affected ( not operational)</w:t>
            </w:r>
          </w:p>
        </w:tc>
        <w:tc>
          <w:tcPr>
            <w:tcW w:w="827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TFU/SC</w:t>
            </w:r>
          </w:p>
        </w:tc>
        <w:tc>
          <w:tcPr>
            <w:tcW w:w="1181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number of beneficiaries ( &lt;5s children) affected</w:t>
            </w:r>
          </w:p>
        </w:tc>
        <w:tc>
          <w:tcPr>
            <w:tcW w:w="4464" w:type="dxa"/>
            <w:gridSpan w:val="5"/>
            <w:shd w:val="clear" w:color="auto" w:fill="D9D9D9" w:themeFill="background1" w:themeFillShade="D9"/>
            <w:hideMark/>
          </w:tcPr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Type of response going on</w:t>
            </w:r>
          </w:p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  <w:p w:rsidR="00374E74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  <w:tbl>
            <w:tblPr>
              <w:tblStyle w:val="TableGrid"/>
              <w:tblW w:w="4605" w:type="dxa"/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960"/>
              <w:gridCol w:w="1252"/>
              <w:gridCol w:w="1290"/>
            </w:tblGrid>
            <w:tr w:rsidR="00374E74" w:rsidRPr="00363BB9" w:rsidTr="00520199">
              <w:trPr>
                <w:trHeight w:val="1088"/>
              </w:trPr>
              <w:tc>
                <w:tcPr>
                  <w:tcW w:w="1103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 xml:space="preserve">OTP ( RUTF, routine drugs) </w:t>
                  </w:r>
                </w:p>
              </w:tc>
              <w:tc>
                <w:tcPr>
                  <w:tcW w:w="960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>SC/TFU</w:t>
                  </w:r>
                </w:p>
              </w:tc>
              <w:tc>
                <w:tcPr>
                  <w:tcW w:w="1252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>MHNT</w:t>
                  </w:r>
                </w:p>
              </w:tc>
              <w:tc>
                <w:tcPr>
                  <w:tcW w:w="1290" w:type="dxa"/>
                  <w:hideMark/>
                </w:tcPr>
                <w:p w:rsidR="00374E74" w:rsidRPr="00363BB9" w:rsidRDefault="00374E74" w:rsidP="0071782D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363BB9">
                    <w:rPr>
                      <w:rFonts w:cs="Times New Roman"/>
                      <w:sz w:val="20"/>
                      <w:szCs w:val="20"/>
                    </w:rPr>
                    <w:t>TSF</w:t>
                  </w:r>
                </w:p>
              </w:tc>
            </w:tr>
          </w:tbl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Gaps in response in the flood affected areas</w:t>
            </w:r>
          </w:p>
        </w:tc>
        <w:tc>
          <w:tcPr>
            <w:tcW w:w="1364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Recommended actions for gaps</w:t>
            </w:r>
          </w:p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581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Implementing partner</w:t>
            </w:r>
          </w:p>
        </w:tc>
        <w:tc>
          <w:tcPr>
            <w:tcW w:w="1328" w:type="dxa"/>
            <w:shd w:val="clear" w:color="auto" w:fill="D9D9D9" w:themeFill="background1" w:themeFillShade="D9"/>
            <w:hideMark/>
          </w:tcPr>
          <w:p w:rsidR="00374E74" w:rsidRPr="00363BB9" w:rsidRDefault="00374E74" w:rsidP="0071782D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Remarks </w:t>
            </w:r>
          </w:p>
        </w:tc>
      </w:tr>
      <w:tr w:rsidR="00363BB9" w:rsidRPr="00363BB9" w:rsidTr="00374E74">
        <w:trPr>
          <w:trHeight w:val="1800"/>
        </w:trPr>
        <w:tc>
          <w:tcPr>
            <w:tcW w:w="828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63BB9">
              <w:rPr>
                <w:rFonts w:cs="Times New Roman"/>
                <w:b/>
                <w:bCs/>
                <w:sz w:val="20"/>
                <w:szCs w:val="20"/>
              </w:rPr>
              <w:lastRenderedPageBreak/>
              <w:t>Afar</w:t>
            </w:r>
          </w:p>
        </w:tc>
        <w:tc>
          <w:tcPr>
            <w:tcW w:w="99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Amibara</w:t>
            </w:r>
            <w:proofErr w:type="spellEnd"/>
          </w:p>
        </w:tc>
        <w:tc>
          <w:tcPr>
            <w:tcW w:w="900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27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 ( all two operational)</w:t>
            </w:r>
          </w:p>
        </w:tc>
        <w:tc>
          <w:tcPr>
            <w:tcW w:w="1252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MHNT relocated from Kori </w:t>
            </w:r>
          </w:p>
        </w:tc>
        <w:tc>
          <w:tcPr>
            <w:tcW w:w="1290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 yet started</w:t>
            </w:r>
          </w:p>
        </w:tc>
        <w:tc>
          <w:tcPr>
            <w:tcW w:w="981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TSF </w:t>
            </w:r>
          </w:p>
        </w:tc>
        <w:tc>
          <w:tcPr>
            <w:tcW w:w="1364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TFP/TSF services provision assessment to be conducted first week of November</w:t>
            </w:r>
          </w:p>
        </w:tc>
        <w:tc>
          <w:tcPr>
            <w:tcW w:w="15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RHB/REW/AMREF</w:t>
            </w:r>
          </w:p>
        </w:tc>
        <w:tc>
          <w:tcPr>
            <w:tcW w:w="1328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TSF is supposed to be implemented by regional early warning. AMREF proposal recommended for funding, response expected in 2 weeks?</w:t>
            </w:r>
          </w:p>
        </w:tc>
      </w:tr>
      <w:tr w:rsidR="00363BB9" w:rsidRPr="00363BB9" w:rsidTr="00374E74">
        <w:trPr>
          <w:trHeight w:val="1800"/>
        </w:trPr>
        <w:tc>
          <w:tcPr>
            <w:tcW w:w="828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63BB9">
              <w:rPr>
                <w:rFonts w:cs="Times New Roman"/>
                <w:sz w:val="20"/>
                <w:szCs w:val="20"/>
              </w:rPr>
              <w:t>Gewane</w:t>
            </w:r>
            <w:proofErr w:type="spellEnd"/>
          </w:p>
        </w:tc>
        <w:tc>
          <w:tcPr>
            <w:tcW w:w="900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27" w:type="dxa"/>
            <w:hideMark/>
          </w:tcPr>
          <w:p w:rsidR="00363BB9" w:rsidRPr="00363BB9" w:rsidRDefault="00363BB9" w:rsidP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149" w:type="dxa"/>
            <w:gridSpan w:val="2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252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MHNT relocated from </w:t>
            </w:r>
            <w:proofErr w:type="spellStart"/>
            <w:r w:rsidRPr="00363BB9">
              <w:rPr>
                <w:rFonts w:cs="Times New Roman"/>
                <w:sz w:val="20"/>
                <w:szCs w:val="20"/>
              </w:rPr>
              <w:t>Buremudaytu</w:t>
            </w:r>
            <w:proofErr w:type="spellEnd"/>
          </w:p>
        </w:tc>
        <w:tc>
          <w:tcPr>
            <w:tcW w:w="1290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No yet started</w:t>
            </w:r>
          </w:p>
        </w:tc>
        <w:tc>
          <w:tcPr>
            <w:tcW w:w="981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 xml:space="preserve">TSF </w:t>
            </w:r>
          </w:p>
        </w:tc>
        <w:tc>
          <w:tcPr>
            <w:tcW w:w="1364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TFP/TSF services provision assessment to be conducted first week of November</w:t>
            </w:r>
          </w:p>
        </w:tc>
        <w:tc>
          <w:tcPr>
            <w:tcW w:w="1581" w:type="dxa"/>
            <w:noWrap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RHB/REW/AMREF</w:t>
            </w:r>
          </w:p>
        </w:tc>
        <w:tc>
          <w:tcPr>
            <w:tcW w:w="1328" w:type="dxa"/>
            <w:hideMark/>
          </w:tcPr>
          <w:p w:rsidR="00363BB9" w:rsidRPr="00363BB9" w:rsidRDefault="00363BB9">
            <w:pPr>
              <w:rPr>
                <w:rFonts w:cs="Times New Roman"/>
                <w:sz w:val="20"/>
                <w:szCs w:val="20"/>
              </w:rPr>
            </w:pPr>
            <w:r w:rsidRPr="00363BB9">
              <w:rPr>
                <w:rFonts w:cs="Times New Roman"/>
                <w:sz w:val="20"/>
                <w:szCs w:val="20"/>
              </w:rPr>
              <w:t>TSF is supposed to be implemented by regional early warning. AMREF proposal recommended for funding, response expected in 2 weeks?</w:t>
            </w:r>
          </w:p>
        </w:tc>
      </w:tr>
    </w:tbl>
    <w:p w:rsidR="00363BB9" w:rsidRDefault="00363BB9" w:rsidP="00363BB9">
      <w:pPr>
        <w:rPr>
          <w:rFonts w:cs="Times New Roman"/>
          <w:sz w:val="20"/>
          <w:szCs w:val="20"/>
        </w:rPr>
      </w:pPr>
    </w:p>
    <w:p w:rsidR="00363BB9" w:rsidRPr="00D8495A" w:rsidRDefault="00363BB9" w:rsidP="00363BB9">
      <w:pPr>
        <w:rPr>
          <w:rFonts w:cs="Times New Roman"/>
          <w:sz w:val="20"/>
          <w:szCs w:val="20"/>
        </w:rPr>
      </w:pPr>
    </w:p>
    <w:p w:rsidR="00F700DA" w:rsidRPr="00332769" w:rsidRDefault="00F700DA">
      <w:pPr>
        <w:rPr>
          <w:rFonts w:cs="Times New Roman"/>
          <w:sz w:val="20"/>
          <w:szCs w:val="20"/>
        </w:rPr>
      </w:pPr>
    </w:p>
    <w:sectPr w:rsidR="00F700DA" w:rsidRPr="00332769" w:rsidSect="00894D2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tha Getachew" w:date="2014-10-29T18:45:00Z" w:initials="MG">
    <w:p w:rsidR="00732C7C" w:rsidRDefault="00732C7C">
      <w:pPr>
        <w:pStyle w:val="CommentText"/>
      </w:pPr>
      <w:r>
        <w:rPr>
          <w:rStyle w:val="CommentReference"/>
        </w:rPr>
        <w:annotationRef/>
      </w:r>
      <w:r>
        <w:t>Too small</w:t>
      </w:r>
    </w:p>
  </w:comment>
  <w:comment w:id="2" w:author="Martha Getachew" w:date="2014-10-29T10:40:00Z" w:initials="MG">
    <w:p w:rsidR="0071782D" w:rsidRDefault="0071782D">
      <w:pPr>
        <w:pStyle w:val="CommentText"/>
      </w:pPr>
      <w:r>
        <w:rPr>
          <w:rStyle w:val="CommentReference"/>
        </w:rPr>
        <w:annotationRef/>
      </w:r>
      <w:r>
        <w:t>To be updated</w:t>
      </w:r>
    </w:p>
  </w:comment>
  <w:comment w:id="3" w:author="Martha Getachew" w:date="2014-10-29T15:37:00Z" w:initials="MG">
    <w:p w:rsidR="00D16DF4" w:rsidRDefault="00D16DF4">
      <w:pPr>
        <w:pStyle w:val="CommentText"/>
      </w:pPr>
      <w:r>
        <w:rPr>
          <w:rStyle w:val="CommentReference"/>
        </w:rPr>
        <w:annotationRef/>
      </w:r>
      <w:r>
        <w:t>Input from the region</w:t>
      </w:r>
    </w:p>
  </w:comment>
  <w:comment w:id="4" w:author="Martha Getachew" w:date="2014-10-29T18:48:00Z" w:initials="MG">
    <w:p w:rsidR="00A83FBE" w:rsidRDefault="00A83FBE">
      <w:pPr>
        <w:pStyle w:val="CommentText"/>
      </w:pPr>
      <w:r>
        <w:rPr>
          <w:rStyle w:val="CommentReference"/>
        </w:rPr>
        <w:annotationRef/>
      </w:r>
      <w:r>
        <w:t>Should go under nutrition</w:t>
      </w:r>
    </w:p>
  </w:comment>
  <w:comment w:id="5" w:author="Martha Getachew" w:date="2014-10-29T10:06:00Z" w:initials="MG">
    <w:p w:rsidR="00A83FBE" w:rsidRDefault="00A83FBE">
      <w:pPr>
        <w:pStyle w:val="CommentText"/>
      </w:pPr>
      <w:r>
        <w:rPr>
          <w:rStyle w:val="CommentReference"/>
        </w:rPr>
        <w:annotationRef/>
      </w:r>
      <w:r>
        <w:t>Input to be submitted by FAO</w:t>
      </w:r>
    </w:p>
  </w:comment>
  <w:comment w:id="6" w:author="Martha Getachew" w:date="2014-10-29T10:40:00Z" w:initials="MG">
    <w:p w:rsidR="00A83FBE" w:rsidRDefault="00A83FBE">
      <w:pPr>
        <w:pStyle w:val="CommentText"/>
      </w:pPr>
      <w:r>
        <w:rPr>
          <w:rStyle w:val="CommentReference"/>
        </w:rPr>
        <w:annotationRef/>
      </w:r>
      <w:r>
        <w:t>Input to be included by DRMFSS/WFP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0D"/>
    <w:multiLevelType w:val="hybridMultilevel"/>
    <w:tmpl w:val="D774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E4D11"/>
    <w:multiLevelType w:val="hybridMultilevel"/>
    <w:tmpl w:val="83EC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414DE"/>
    <w:multiLevelType w:val="hybridMultilevel"/>
    <w:tmpl w:val="92CC3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B64E1"/>
    <w:multiLevelType w:val="hybridMultilevel"/>
    <w:tmpl w:val="9EFCD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D0C5B"/>
    <w:multiLevelType w:val="hybridMultilevel"/>
    <w:tmpl w:val="CD887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215E5C"/>
    <w:multiLevelType w:val="hybridMultilevel"/>
    <w:tmpl w:val="D1D2F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655429"/>
    <w:multiLevelType w:val="hybridMultilevel"/>
    <w:tmpl w:val="052819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27D0268"/>
    <w:multiLevelType w:val="hybridMultilevel"/>
    <w:tmpl w:val="1DAA43E4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54"/>
    <w:rsid w:val="0000069C"/>
    <w:rsid w:val="00033B50"/>
    <w:rsid w:val="0003567F"/>
    <w:rsid w:val="000B3F2E"/>
    <w:rsid w:val="000D5D95"/>
    <w:rsid w:val="000D6564"/>
    <w:rsid w:val="000E3AA0"/>
    <w:rsid w:val="000E7B44"/>
    <w:rsid w:val="00143096"/>
    <w:rsid w:val="001462C7"/>
    <w:rsid w:val="00174E59"/>
    <w:rsid w:val="001866EC"/>
    <w:rsid w:val="001918FD"/>
    <w:rsid w:val="001C4043"/>
    <w:rsid w:val="001E6544"/>
    <w:rsid w:val="001F4C7F"/>
    <w:rsid w:val="00222427"/>
    <w:rsid w:val="00223E59"/>
    <w:rsid w:val="00242E6C"/>
    <w:rsid w:val="00250E8B"/>
    <w:rsid w:val="00251E3C"/>
    <w:rsid w:val="002556F7"/>
    <w:rsid w:val="00256BE3"/>
    <w:rsid w:val="00283DCF"/>
    <w:rsid w:val="00284E64"/>
    <w:rsid w:val="00286DC2"/>
    <w:rsid w:val="00287816"/>
    <w:rsid w:val="002B038B"/>
    <w:rsid w:val="002B0B7A"/>
    <w:rsid w:val="00332769"/>
    <w:rsid w:val="00334EA4"/>
    <w:rsid w:val="00354F35"/>
    <w:rsid w:val="00356428"/>
    <w:rsid w:val="00363BB9"/>
    <w:rsid w:val="00374E74"/>
    <w:rsid w:val="00374F21"/>
    <w:rsid w:val="003B2CCB"/>
    <w:rsid w:val="003B4F46"/>
    <w:rsid w:val="003E0D6D"/>
    <w:rsid w:val="003E28BC"/>
    <w:rsid w:val="003E294A"/>
    <w:rsid w:val="00423839"/>
    <w:rsid w:val="00426B6E"/>
    <w:rsid w:val="00452EA0"/>
    <w:rsid w:val="00464181"/>
    <w:rsid w:val="00476BC9"/>
    <w:rsid w:val="00497F3F"/>
    <w:rsid w:val="004E0E24"/>
    <w:rsid w:val="004F66C4"/>
    <w:rsid w:val="00520199"/>
    <w:rsid w:val="005448B7"/>
    <w:rsid w:val="00560750"/>
    <w:rsid w:val="0056733E"/>
    <w:rsid w:val="005A2A00"/>
    <w:rsid w:val="005B0CB0"/>
    <w:rsid w:val="005B27E9"/>
    <w:rsid w:val="005B425A"/>
    <w:rsid w:val="005C33B2"/>
    <w:rsid w:val="005C6615"/>
    <w:rsid w:val="00607B23"/>
    <w:rsid w:val="00613C6C"/>
    <w:rsid w:val="00620A41"/>
    <w:rsid w:val="00655942"/>
    <w:rsid w:val="006622BE"/>
    <w:rsid w:val="006630CE"/>
    <w:rsid w:val="00690765"/>
    <w:rsid w:val="00691C8E"/>
    <w:rsid w:val="006C070F"/>
    <w:rsid w:val="006C078F"/>
    <w:rsid w:val="006C69AB"/>
    <w:rsid w:val="006D6A32"/>
    <w:rsid w:val="006F14F8"/>
    <w:rsid w:val="00716D42"/>
    <w:rsid w:val="0071782D"/>
    <w:rsid w:val="00732C7C"/>
    <w:rsid w:val="00753CAA"/>
    <w:rsid w:val="0075531E"/>
    <w:rsid w:val="00762075"/>
    <w:rsid w:val="00765916"/>
    <w:rsid w:val="007C335C"/>
    <w:rsid w:val="007C3B60"/>
    <w:rsid w:val="007F2FBD"/>
    <w:rsid w:val="00811839"/>
    <w:rsid w:val="008318FE"/>
    <w:rsid w:val="008345AA"/>
    <w:rsid w:val="008414DB"/>
    <w:rsid w:val="008451AB"/>
    <w:rsid w:val="00876476"/>
    <w:rsid w:val="00880378"/>
    <w:rsid w:val="00894D2D"/>
    <w:rsid w:val="008B2EF5"/>
    <w:rsid w:val="008D6BF5"/>
    <w:rsid w:val="0090309D"/>
    <w:rsid w:val="0096327F"/>
    <w:rsid w:val="009817C6"/>
    <w:rsid w:val="00982A87"/>
    <w:rsid w:val="009A0FE8"/>
    <w:rsid w:val="009A4F85"/>
    <w:rsid w:val="009A78E4"/>
    <w:rsid w:val="009C4AD8"/>
    <w:rsid w:val="009E2F40"/>
    <w:rsid w:val="009E31DB"/>
    <w:rsid w:val="009E4A32"/>
    <w:rsid w:val="009E78D9"/>
    <w:rsid w:val="00A031DA"/>
    <w:rsid w:val="00A30AC4"/>
    <w:rsid w:val="00A33405"/>
    <w:rsid w:val="00A429DB"/>
    <w:rsid w:val="00A47E30"/>
    <w:rsid w:val="00A76F35"/>
    <w:rsid w:val="00A83FBE"/>
    <w:rsid w:val="00AA237F"/>
    <w:rsid w:val="00AC1FDB"/>
    <w:rsid w:val="00AE2EF3"/>
    <w:rsid w:val="00B23407"/>
    <w:rsid w:val="00B270BB"/>
    <w:rsid w:val="00B3100B"/>
    <w:rsid w:val="00B3257A"/>
    <w:rsid w:val="00B87484"/>
    <w:rsid w:val="00B910E4"/>
    <w:rsid w:val="00B964E0"/>
    <w:rsid w:val="00BA20E3"/>
    <w:rsid w:val="00BA785B"/>
    <w:rsid w:val="00BC248D"/>
    <w:rsid w:val="00BC7C3E"/>
    <w:rsid w:val="00BE13A2"/>
    <w:rsid w:val="00BE6A54"/>
    <w:rsid w:val="00C340FD"/>
    <w:rsid w:val="00C462F1"/>
    <w:rsid w:val="00C56D18"/>
    <w:rsid w:val="00C83FBD"/>
    <w:rsid w:val="00CB0C09"/>
    <w:rsid w:val="00CE5B4D"/>
    <w:rsid w:val="00CF7AC1"/>
    <w:rsid w:val="00D16DF4"/>
    <w:rsid w:val="00D302D6"/>
    <w:rsid w:val="00D36C0C"/>
    <w:rsid w:val="00D42D89"/>
    <w:rsid w:val="00D74B06"/>
    <w:rsid w:val="00D75DF3"/>
    <w:rsid w:val="00D8495A"/>
    <w:rsid w:val="00DB0414"/>
    <w:rsid w:val="00DD31B8"/>
    <w:rsid w:val="00DD3559"/>
    <w:rsid w:val="00E312BA"/>
    <w:rsid w:val="00E66079"/>
    <w:rsid w:val="00E7652C"/>
    <w:rsid w:val="00E92015"/>
    <w:rsid w:val="00EC3CF5"/>
    <w:rsid w:val="00ED6815"/>
    <w:rsid w:val="00EE41FC"/>
    <w:rsid w:val="00EF4123"/>
    <w:rsid w:val="00F40FE0"/>
    <w:rsid w:val="00F700DA"/>
    <w:rsid w:val="00F85AB3"/>
    <w:rsid w:val="00FA082F"/>
    <w:rsid w:val="00FD28CA"/>
    <w:rsid w:val="00F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5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5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6252-0E08-47E9-98B3-95179933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Aslanyan</dc:creator>
  <cp:lastModifiedBy>Martha Getachew</cp:lastModifiedBy>
  <cp:revision>2</cp:revision>
  <cp:lastPrinted>2014-10-30T06:15:00Z</cp:lastPrinted>
  <dcterms:created xsi:type="dcterms:W3CDTF">2014-10-31T07:45:00Z</dcterms:created>
  <dcterms:modified xsi:type="dcterms:W3CDTF">2014-10-31T07:45:00Z</dcterms:modified>
</cp:coreProperties>
</file>