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D51" w:rsidRPr="007860A4" w:rsidRDefault="00660D51" w:rsidP="007860A4">
      <w:pPr>
        <w:jc w:val="center"/>
        <w:rPr>
          <w:b/>
          <w:u w:val="single"/>
        </w:rPr>
      </w:pPr>
      <w:r w:rsidRPr="007860A4">
        <w:rPr>
          <w:b/>
          <w:u w:val="single"/>
        </w:rPr>
        <w:t>Monthly ES/NFI Cluster Meeting Minute</w:t>
      </w:r>
    </w:p>
    <w:p w:rsidR="00660D51" w:rsidRPr="007860A4" w:rsidRDefault="00660D51" w:rsidP="007860A4">
      <w:pPr>
        <w:ind w:left="720"/>
        <w:jc w:val="right"/>
      </w:pPr>
      <w:r w:rsidRPr="007860A4">
        <w:t>Date: 23</w:t>
      </w:r>
      <w:r w:rsidRPr="007860A4">
        <w:rPr>
          <w:vertAlign w:val="superscript"/>
        </w:rPr>
        <w:t>rd</w:t>
      </w:r>
      <w:r w:rsidRPr="007860A4">
        <w:t xml:space="preserve"> January 2014</w:t>
      </w:r>
    </w:p>
    <w:p w:rsidR="00660D51" w:rsidRPr="007860A4" w:rsidRDefault="00660D51" w:rsidP="006E37FD">
      <w:pPr>
        <w:jc w:val="both"/>
      </w:pPr>
      <w:r w:rsidRPr="007860A4">
        <w:t>Time: 10:00AM</w:t>
      </w:r>
    </w:p>
    <w:p w:rsidR="00660D51" w:rsidRPr="007860A4" w:rsidRDefault="00660D51" w:rsidP="006E37FD">
      <w:pPr>
        <w:jc w:val="both"/>
        <w:rPr>
          <w:b/>
        </w:rPr>
      </w:pPr>
      <w:r w:rsidRPr="007860A4">
        <w:rPr>
          <w:b/>
        </w:rPr>
        <w:t>Attendees</w:t>
      </w:r>
    </w:p>
    <w:p w:rsidR="00660D51" w:rsidRPr="007860A4" w:rsidRDefault="00660D51" w:rsidP="006E37FD">
      <w:pPr>
        <w:jc w:val="both"/>
        <w:rPr>
          <w:b/>
        </w:rPr>
      </w:pPr>
      <w:r w:rsidRPr="007860A4">
        <w:rPr>
          <w:b/>
        </w:rPr>
        <w:t>IOM, OCHA,</w:t>
      </w:r>
      <w:r w:rsidR="00702F4C" w:rsidRPr="007860A4">
        <w:rPr>
          <w:b/>
        </w:rPr>
        <w:t xml:space="preserve"> </w:t>
      </w:r>
      <w:r w:rsidRPr="007860A4">
        <w:rPr>
          <w:b/>
        </w:rPr>
        <w:t>UNICEF, IRC, NRC, GOAL</w:t>
      </w:r>
    </w:p>
    <w:p w:rsidR="00660D51" w:rsidRPr="007860A4" w:rsidRDefault="00660D51" w:rsidP="006E37FD">
      <w:pPr>
        <w:jc w:val="both"/>
        <w:rPr>
          <w:b/>
        </w:rPr>
      </w:pPr>
      <w:r w:rsidRPr="007860A4">
        <w:rPr>
          <w:b/>
        </w:rPr>
        <w:t>Agenda</w:t>
      </w:r>
    </w:p>
    <w:p w:rsidR="00660D51" w:rsidRPr="007860A4" w:rsidRDefault="00660D51" w:rsidP="006E37F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r w:rsidRPr="007860A4">
        <w:rPr>
          <w:rFonts w:asciiTheme="minorHAnsi" w:hAnsiTheme="minorHAnsi"/>
        </w:rPr>
        <w:t>Review of minute of the previous meeting</w:t>
      </w:r>
    </w:p>
    <w:p w:rsidR="00660D51" w:rsidRPr="007860A4" w:rsidRDefault="00660D51" w:rsidP="006E37F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r w:rsidRPr="007860A4">
        <w:rPr>
          <w:rFonts w:asciiTheme="minorHAnsi" w:hAnsiTheme="minorHAnsi"/>
        </w:rPr>
        <w:t>Cluster members ES/NFI related activities update (by members) and IOM presents 3W matrix for December 2014</w:t>
      </w:r>
    </w:p>
    <w:p w:rsidR="00660D51" w:rsidRPr="007860A4" w:rsidRDefault="00660D51" w:rsidP="006E37F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r w:rsidRPr="007860A4">
        <w:rPr>
          <w:rFonts w:asciiTheme="minorHAnsi" w:hAnsiTheme="minorHAnsi"/>
        </w:rPr>
        <w:t xml:space="preserve">Discussion on joint assessment report on </w:t>
      </w:r>
      <w:proofErr w:type="spellStart"/>
      <w:r w:rsidRPr="007860A4">
        <w:rPr>
          <w:rFonts w:asciiTheme="minorHAnsi" w:hAnsiTheme="minorHAnsi"/>
        </w:rPr>
        <w:t>Nogob</w:t>
      </w:r>
      <w:proofErr w:type="spellEnd"/>
      <w:r w:rsidRPr="007860A4">
        <w:rPr>
          <w:rFonts w:asciiTheme="minorHAnsi" w:hAnsiTheme="minorHAnsi"/>
        </w:rPr>
        <w:t xml:space="preserve"> zone of Somali region; findings, resource availability, needs priority</w:t>
      </w:r>
    </w:p>
    <w:p w:rsidR="00660D51" w:rsidRPr="007860A4" w:rsidRDefault="00660D51" w:rsidP="006E37F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r w:rsidRPr="007860A4">
        <w:rPr>
          <w:rFonts w:asciiTheme="minorHAnsi" w:hAnsiTheme="minorHAnsi"/>
        </w:rPr>
        <w:t>Standardization working group report</w:t>
      </w:r>
    </w:p>
    <w:p w:rsidR="00702F4C" w:rsidRDefault="00660D51" w:rsidP="006E37F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</w:rPr>
      </w:pPr>
      <w:r w:rsidRPr="007860A4">
        <w:rPr>
          <w:rFonts w:asciiTheme="minorHAnsi" w:hAnsiTheme="minorHAnsi"/>
        </w:rPr>
        <w:t>A.O.B</w:t>
      </w:r>
    </w:p>
    <w:p w:rsidR="007860A4" w:rsidRPr="007860A4" w:rsidRDefault="007860A4" w:rsidP="007860A4">
      <w:pPr>
        <w:pStyle w:val="ListParagraph"/>
        <w:jc w:val="both"/>
        <w:rPr>
          <w:rFonts w:asciiTheme="minorHAnsi" w:hAnsiTheme="minorHAnsi"/>
        </w:rPr>
      </w:pPr>
    </w:p>
    <w:p w:rsidR="00702F4C" w:rsidRPr="007860A4" w:rsidRDefault="00702F4C" w:rsidP="006E37FD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</w:rPr>
      </w:pPr>
      <w:r w:rsidRPr="007860A4">
        <w:rPr>
          <w:rFonts w:asciiTheme="minorHAnsi" w:hAnsiTheme="minorHAnsi"/>
          <w:b/>
        </w:rPr>
        <w:t>Review of minute of the previous meeting</w:t>
      </w:r>
    </w:p>
    <w:p w:rsidR="006E37FD" w:rsidRPr="007860A4" w:rsidRDefault="006E37FD" w:rsidP="006E37FD">
      <w:pPr>
        <w:pStyle w:val="ListParagraph"/>
        <w:ind w:left="360"/>
        <w:jc w:val="both"/>
        <w:rPr>
          <w:rFonts w:asciiTheme="minorHAnsi" w:hAnsiTheme="minorHAnsi"/>
        </w:rPr>
      </w:pPr>
    </w:p>
    <w:p w:rsidR="00702F4C" w:rsidRPr="007860A4" w:rsidRDefault="00702F4C" w:rsidP="006E37FD">
      <w:pPr>
        <w:jc w:val="both"/>
      </w:pPr>
      <w:r w:rsidRPr="007860A4">
        <w:t xml:space="preserve">The effects of previous flooding in </w:t>
      </w:r>
      <w:proofErr w:type="spellStart"/>
      <w:r w:rsidRPr="007860A4">
        <w:t>Leitchor</w:t>
      </w:r>
      <w:proofErr w:type="spellEnd"/>
      <w:r w:rsidRPr="007860A4">
        <w:t xml:space="preserve"> on host communities was agreed to be raised during cluster lead meetings by IOM and OCHA. This need to be followed up on.</w:t>
      </w:r>
    </w:p>
    <w:p w:rsidR="009A41F4" w:rsidRDefault="009A41F4" w:rsidP="007860A4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Discussion on ES/NFI support and gap for the Afar flooding</w:t>
      </w:r>
    </w:p>
    <w:p w:rsidR="009A41F4" w:rsidRDefault="009A41F4" w:rsidP="009A41F4">
      <w:pPr>
        <w:pStyle w:val="ListParagraph"/>
        <w:ind w:left="360"/>
        <w:jc w:val="both"/>
        <w:rPr>
          <w:rFonts w:asciiTheme="minorHAnsi" w:hAnsiTheme="minorHAnsi"/>
          <w:b/>
        </w:rPr>
      </w:pPr>
    </w:p>
    <w:p w:rsidR="009A41F4" w:rsidRPr="007860A4" w:rsidRDefault="009A41F4" w:rsidP="009A41F4">
      <w:pPr>
        <w:jc w:val="both"/>
      </w:pPr>
      <w:r w:rsidRPr="007860A4">
        <w:t>IOM and OCH</w:t>
      </w:r>
      <w:r>
        <w:t>A initiated and conducted a joi</w:t>
      </w:r>
      <w:r w:rsidRPr="007860A4">
        <w:t xml:space="preserve">nt verification assessment on outstanding needs of flood affected communities in Afar. As per the assessment findings 4143 households in zone 1 and 3 were reported to have outstanding NFI needs. After the assessment IOM distributed 1000 kits in </w:t>
      </w:r>
      <w:proofErr w:type="spellStart"/>
      <w:r w:rsidRPr="007860A4">
        <w:t>Amibara</w:t>
      </w:r>
      <w:proofErr w:type="spellEnd"/>
      <w:r w:rsidRPr="007860A4">
        <w:t xml:space="preserve"> wored</w:t>
      </w:r>
      <w:r>
        <w:t>a which leaves a gap of 3,143</w:t>
      </w:r>
      <w:r w:rsidRPr="007860A4">
        <w:t xml:space="preserve">. Thus far following the flooding in September/October 2014, at least 70% of the ES/NFI needs of the region was addressed by various members of the cluster including government. </w:t>
      </w:r>
    </w:p>
    <w:p w:rsidR="009A41F4" w:rsidRPr="009A41F4" w:rsidRDefault="009A41F4" w:rsidP="009A41F4">
      <w:pPr>
        <w:jc w:val="both"/>
        <w:rPr>
          <w:i/>
        </w:rPr>
      </w:pPr>
      <w:r w:rsidRPr="009A41F4">
        <w:rPr>
          <w:b/>
          <w:i/>
        </w:rPr>
        <w:t>Action point</w:t>
      </w:r>
      <w:r w:rsidRPr="009A41F4">
        <w:rPr>
          <w:i/>
        </w:rPr>
        <w:t>: The cluster suggested that a further verification should be conducted at least by the agencies based in Afar whether the remaining households returned, recovered or still have the needs.</w:t>
      </w:r>
    </w:p>
    <w:p w:rsidR="009A41F4" w:rsidRDefault="009A41F4" w:rsidP="009A41F4">
      <w:pPr>
        <w:pStyle w:val="ListParagraph"/>
        <w:ind w:left="360"/>
        <w:jc w:val="both"/>
        <w:rPr>
          <w:rFonts w:asciiTheme="minorHAnsi" w:hAnsiTheme="minorHAnsi"/>
          <w:b/>
        </w:rPr>
      </w:pPr>
    </w:p>
    <w:p w:rsidR="007860A4" w:rsidRPr="007860A4" w:rsidRDefault="007860A4" w:rsidP="007860A4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</w:rPr>
      </w:pPr>
      <w:r w:rsidRPr="007860A4">
        <w:rPr>
          <w:rFonts w:asciiTheme="minorHAnsi" w:hAnsiTheme="minorHAnsi"/>
          <w:b/>
        </w:rPr>
        <w:t>Cluster members ES/NFI related activities update (by members) and IOM presents 3W matrix for December 2014</w:t>
      </w:r>
    </w:p>
    <w:p w:rsidR="009A41F4" w:rsidRPr="009A41F4" w:rsidRDefault="009A41F4" w:rsidP="009A41F4">
      <w:pPr>
        <w:jc w:val="both"/>
      </w:pPr>
      <w:r>
        <w:t xml:space="preserve">During the month of December ES/NFI distribution among cluster members was very minimal due to the end of year period where in most cases funding ended. A total of 513 kits were distributed by IRC (500) in Gambella and ERC (13) in North </w:t>
      </w:r>
      <w:proofErr w:type="spellStart"/>
      <w:r>
        <w:t>wollo</w:t>
      </w:r>
      <w:proofErr w:type="spellEnd"/>
      <w:r>
        <w:t>.</w:t>
      </w:r>
    </w:p>
    <w:p w:rsidR="007860A4" w:rsidRDefault="007860A4" w:rsidP="007860A4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</w:rPr>
      </w:pPr>
      <w:r w:rsidRPr="007860A4">
        <w:rPr>
          <w:rFonts w:asciiTheme="minorHAnsi" w:hAnsiTheme="minorHAnsi"/>
          <w:b/>
        </w:rPr>
        <w:t xml:space="preserve">Discussion on joint assessment report on </w:t>
      </w:r>
      <w:proofErr w:type="spellStart"/>
      <w:r w:rsidRPr="007860A4">
        <w:rPr>
          <w:rFonts w:asciiTheme="minorHAnsi" w:hAnsiTheme="minorHAnsi"/>
          <w:b/>
        </w:rPr>
        <w:t>Nogob</w:t>
      </w:r>
      <w:proofErr w:type="spellEnd"/>
      <w:r w:rsidRPr="007860A4">
        <w:rPr>
          <w:rFonts w:asciiTheme="minorHAnsi" w:hAnsiTheme="minorHAnsi"/>
          <w:b/>
        </w:rPr>
        <w:t xml:space="preserve"> zone of Somali region; findings, resource availability, needs priority</w:t>
      </w:r>
    </w:p>
    <w:p w:rsidR="00F36637" w:rsidRPr="007860A4" w:rsidRDefault="00F36637" w:rsidP="00F36637">
      <w:pPr>
        <w:pStyle w:val="ListParagraph"/>
        <w:ind w:left="360"/>
        <w:jc w:val="both"/>
        <w:rPr>
          <w:rFonts w:asciiTheme="minorHAnsi" w:hAnsiTheme="minorHAnsi"/>
          <w:b/>
        </w:rPr>
      </w:pPr>
    </w:p>
    <w:p w:rsidR="008D6ED8" w:rsidRDefault="007860A4" w:rsidP="007860A4">
      <w:pPr>
        <w:jc w:val="both"/>
      </w:pPr>
      <w:r>
        <w:t>Multi agency assessment that comprised of Somali regional government represented by DPPB, HB WB and EB, UN agencies, INGOs and LNGOs was conducted on 5</w:t>
      </w:r>
      <w:r w:rsidRPr="007860A4">
        <w:rPr>
          <w:vertAlign w:val="superscript"/>
        </w:rPr>
        <w:t>th</w:t>
      </w:r>
      <w:r>
        <w:t>-17</w:t>
      </w:r>
      <w:r w:rsidRPr="007860A4">
        <w:rPr>
          <w:vertAlign w:val="superscript"/>
        </w:rPr>
        <w:t>th</w:t>
      </w:r>
      <w:r>
        <w:t xml:space="preserve"> of January in </w:t>
      </w:r>
      <w:proofErr w:type="spellStart"/>
      <w:r>
        <w:t>Salahad</w:t>
      </w:r>
      <w:proofErr w:type="spellEnd"/>
      <w:r>
        <w:t xml:space="preserve"> and </w:t>
      </w:r>
      <w:proofErr w:type="spellStart"/>
      <w:r>
        <w:t>Lagahida</w:t>
      </w:r>
      <w:proofErr w:type="spellEnd"/>
      <w:r w:rsidR="008D6ED8">
        <w:t xml:space="preserve"> woredas of </w:t>
      </w:r>
      <w:proofErr w:type="spellStart"/>
      <w:r w:rsidR="008D6ED8">
        <w:t>Nogob</w:t>
      </w:r>
      <w:proofErr w:type="spellEnd"/>
      <w:r w:rsidR="008D6ED8">
        <w:t xml:space="preserve"> zone. The Major causal factor for the crisis situation in the zone as identified by the </w:t>
      </w:r>
      <w:r w:rsidR="008D6ED8">
        <w:lastRenderedPageBreak/>
        <w:t xml:space="preserve">team was shortage of </w:t>
      </w:r>
      <w:proofErr w:type="spellStart"/>
      <w:proofErr w:type="gramStart"/>
      <w:r w:rsidR="008D6ED8">
        <w:t>Gu</w:t>
      </w:r>
      <w:proofErr w:type="spellEnd"/>
      <w:proofErr w:type="gramEnd"/>
      <w:r w:rsidR="008D6ED8">
        <w:t xml:space="preserve"> and </w:t>
      </w:r>
      <w:proofErr w:type="spellStart"/>
      <w:r w:rsidR="008D6ED8">
        <w:t>Deyr</w:t>
      </w:r>
      <w:proofErr w:type="spellEnd"/>
      <w:r w:rsidR="008D6ED8">
        <w:t xml:space="preserve"> seasonal rain. This has resulted in critical WASH related problems, health risks, school dropout and unusual animal migration. A total 23,646 people (3,941HH) in nine </w:t>
      </w:r>
      <w:proofErr w:type="spellStart"/>
      <w:r w:rsidR="008D6ED8">
        <w:t>kebeles</w:t>
      </w:r>
      <w:proofErr w:type="spellEnd"/>
      <w:r w:rsidR="008D6ED8">
        <w:t xml:space="preserve"> were reported to have been in a critical situation requiring humanitarian attention. Of this figure 1,525 HH in </w:t>
      </w:r>
      <w:proofErr w:type="spellStart"/>
      <w:r w:rsidR="008D6ED8">
        <w:t>Salahad</w:t>
      </w:r>
      <w:proofErr w:type="spellEnd"/>
      <w:r w:rsidR="008D6ED8">
        <w:t xml:space="preserve"> and 980 HH in </w:t>
      </w:r>
      <w:proofErr w:type="spellStart"/>
      <w:r w:rsidR="008D6ED8">
        <w:t>Lagahida</w:t>
      </w:r>
      <w:proofErr w:type="spellEnd"/>
      <w:r w:rsidR="008D6ED8">
        <w:t xml:space="preserve"> were reported to be conflict induced protracted IDPs since 2003, 2009 and 2012. </w:t>
      </w:r>
    </w:p>
    <w:p w:rsidR="008D6ED8" w:rsidRDefault="008D6ED8" w:rsidP="007860A4">
      <w:pPr>
        <w:jc w:val="both"/>
      </w:pPr>
      <w:r>
        <w:t xml:space="preserve">The </w:t>
      </w:r>
      <w:r w:rsidR="001A0C43">
        <w:t xml:space="preserve">team recommended cross </w:t>
      </w:r>
      <w:proofErr w:type="spellStart"/>
      <w:r w:rsidR="001A0C43">
        <w:t>sectoral</w:t>
      </w:r>
      <w:proofErr w:type="spellEnd"/>
      <w:r w:rsidR="001A0C43">
        <w:t xml:space="preserve"> humanitarian assistance, among which was provision of ES/NFI. However. During this cluster meeting participants suggested that </w:t>
      </w:r>
      <w:r w:rsidR="001A0C43" w:rsidRPr="007860A4">
        <w:t>Access issues may be preventing full information from coming out – verification neede</w:t>
      </w:r>
      <w:r w:rsidR="001A0C43">
        <w:t>d – as the disaster situation may not affect all in the same way in losing their household kits. Som</w:t>
      </w:r>
      <w:r w:rsidR="001B630E">
        <w:t>e may need some items but may</w:t>
      </w:r>
      <w:r w:rsidR="001A0C43">
        <w:t xml:space="preserve"> not all ES/NFI kits are </w:t>
      </w:r>
      <w:r w:rsidR="00F36637">
        <w:t>needed.</w:t>
      </w:r>
    </w:p>
    <w:p w:rsidR="00F36637" w:rsidRPr="00547215" w:rsidRDefault="00F36637" w:rsidP="007860A4">
      <w:pPr>
        <w:jc w:val="both"/>
        <w:rPr>
          <w:b/>
          <w:bCs/>
          <w:i/>
        </w:rPr>
      </w:pPr>
      <w:r w:rsidRPr="00F36637">
        <w:rPr>
          <w:b/>
          <w:i/>
        </w:rPr>
        <w:t>Action point:</w:t>
      </w:r>
      <w:r w:rsidRPr="00F36637">
        <w:rPr>
          <w:i/>
        </w:rPr>
        <w:t xml:space="preserve"> </w:t>
      </w:r>
      <w:r w:rsidRPr="00F36637">
        <w:rPr>
          <w:bCs/>
          <w:i/>
        </w:rPr>
        <w:t xml:space="preserve">IOM to liaise with </w:t>
      </w:r>
      <w:proofErr w:type="spellStart"/>
      <w:r w:rsidRPr="00F36637">
        <w:rPr>
          <w:bCs/>
          <w:i/>
        </w:rPr>
        <w:t>JigJiga</w:t>
      </w:r>
      <w:proofErr w:type="spellEnd"/>
      <w:r w:rsidRPr="00F36637">
        <w:rPr>
          <w:bCs/>
          <w:i/>
        </w:rPr>
        <w:t xml:space="preserve"> sub office to contact the team and DPPB to find out what justification is for NFI request.</w:t>
      </w:r>
    </w:p>
    <w:p w:rsidR="00547215" w:rsidRDefault="00547215" w:rsidP="007860A4">
      <w:pPr>
        <w:jc w:val="both"/>
      </w:pPr>
      <w:r>
        <w:t xml:space="preserve">There are outstanding needs of NFI for flood affected remote </w:t>
      </w:r>
      <w:r w:rsidR="00851A31">
        <w:t>communities</w:t>
      </w:r>
      <w:r>
        <w:t xml:space="preserve"> in Gambella particularly in </w:t>
      </w:r>
      <w:proofErr w:type="spellStart"/>
      <w:r>
        <w:t>Akobo</w:t>
      </w:r>
      <w:proofErr w:type="spellEnd"/>
      <w:r>
        <w:t xml:space="preserve">, </w:t>
      </w:r>
      <w:proofErr w:type="spellStart"/>
      <w:r>
        <w:t>Jor</w:t>
      </w:r>
      <w:proofErr w:type="spellEnd"/>
      <w:r>
        <w:t xml:space="preserve">, </w:t>
      </w:r>
      <w:proofErr w:type="spellStart"/>
      <w:r>
        <w:t>Wanthoa</w:t>
      </w:r>
      <w:proofErr w:type="spellEnd"/>
      <w:r>
        <w:t xml:space="preserve"> and </w:t>
      </w:r>
      <w:proofErr w:type="spellStart"/>
      <w:r>
        <w:t>Jikawo</w:t>
      </w:r>
      <w:proofErr w:type="spellEnd"/>
      <w:r>
        <w:t>. In this regard, UNICEF is planning to dis</w:t>
      </w:r>
      <w:r w:rsidR="00851A31">
        <w:t xml:space="preserve">tribute 2000 partial kits in </w:t>
      </w:r>
      <w:proofErr w:type="spellStart"/>
      <w:r w:rsidR="00851A31">
        <w:t>JiK</w:t>
      </w:r>
      <w:r>
        <w:t>awo</w:t>
      </w:r>
      <w:proofErr w:type="spellEnd"/>
      <w:r>
        <w:t xml:space="preserve"> and </w:t>
      </w:r>
      <w:proofErr w:type="spellStart"/>
      <w:r>
        <w:t>Jor</w:t>
      </w:r>
      <w:proofErr w:type="spellEnd"/>
      <w:r>
        <w:t xml:space="preserve">. DPFSA is screening beneficiaries in both woredas. ZOA also identified that there are at least 1390 HH in </w:t>
      </w:r>
      <w:proofErr w:type="spellStart"/>
      <w:r>
        <w:t>Akobo</w:t>
      </w:r>
      <w:proofErr w:type="spellEnd"/>
      <w:r>
        <w:t xml:space="preserve"> and 1296 HH in </w:t>
      </w:r>
      <w:proofErr w:type="spellStart"/>
      <w:r>
        <w:t>Wanthoa</w:t>
      </w:r>
      <w:proofErr w:type="spellEnd"/>
      <w:r>
        <w:t xml:space="preserve"> with critical ES/NFI needs.</w:t>
      </w:r>
    </w:p>
    <w:p w:rsidR="00547215" w:rsidRPr="00547215" w:rsidRDefault="008D6ED8" w:rsidP="00547215">
      <w:pPr>
        <w:jc w:val="both"/>
        <w:rPr>
          <w:bCs/>
          <w:i/>
        </w:rPr>
      </w:pPr>
      <w:r w:rsidRPr="00547215">
        <w:rPr>
          <w:i/>
        </w:rPr>
        <w:t xml:space="preserve"> </w:t>
      </w:r>
      <w:r w:rsidR="00547215" w:rsidRPr="00547215">
        <w:rPr>
          <w:b/>
          <w:i/>
        </w:rPr>
        <w:t>Action point</w:t>
      </w:r>
      <w:r w:rsidR="00547215" w:rsidRPr="00547215">
        <w:rPr>
          <w:i/>
        </w:rPr>
        <w:t xml:space="preserve">: </w:t>
      </w:r>
      <w:r w:rsidR="00547215" w:rsidRPr="00547215">
        <w:rPr>
          <w:bCs/>
          <w:i/>
        </w:rPr>
        <w:t>IOM to coordinate Gambella Region NFI cluster meeting ASAP.</w:t>
      </w:r>
    </w:p>
    <w:p w:rsidR="00851A31" w:rsidRDefault="009A41F4" w:rsidP="00851A31">
      <w:pPr>
        <w:pStyle w:val="ListParagraph"/>
        <w:numPr>
          <w:ilvl w:val="0"/>
          <w:numId w:val="9"/>
        </w:numPr>
        <w:jc w:val="both"/>
        <w:rPr>
          <w:b/>
        </w:rPr>
      </w:pPr>
      <w:r w:rsidRPr="009A41F4">
        <w:rPr>
          <w:b/>
        </w:rPr>
        <w:t>Standardization working group report</w:t>
      </w:r>
    </w:p>
    <w:p w:rsidR="00F447E7" w:rsidRDefault="00F447E7" w:rsidP="00F447E7">
      <w:pPr>
        <w:pStyle w:val="ListParagraph"/>
        <w:ind w:left="360"/>
        <w:jc w:val="both"/>
        <w:rPr>
          <w:b/>
        </w:rPr>
      </w:pPr>
      <w:bookmarkStart w:id="0" w:name="_GoBack"/>
      <w:bookmarkEnd w:id="0"/>
    </w:p>
    <w:p w:rsidR="001840B5" w:rsidRDefault="001840B5" w:rsidP="001840B5">
      <w:pPr>
        <w:jc w:val="both"/>
      </w:pPr>
      <w:r>
        <w:t xml:space="preserve">The standardization working group that comprise IOM, UNICEF, IRC and ICRC met and monitored IOM’s specification of standard kits. </w:t>
      </w:r>
    </w:p>
    <w:p w:rsidR="00F447E7" w:rsidRPr="00002EE4" w:rsidRDefault="000917D0" w:rsidP="001840B5">
      <w:pPr>
        <w:jc w:val="both"/>
        <w:rPr>
          <w:b/>
        </w:rPr>
      </w:pPr>
      <w:r w:rsidRPr="00002EE4">
        <w:rPr>
          <w:b/>
        </w:rPr>
        <w:t>Sample of kits presented for review by the standardization working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1875"/>
        <w:gridCol w:w="3597"/>
        <w:gridCol w:w="900"/>
        <w:gridCol w:w="2513"/>
      </w:tblGrid>
      <w:tr w:rsidR="00504961" w:rsidRPr="000917D0" w:rsidTr="00504961">
        <w:tc>
          <w:tcPr>
            <w:tcW w:w="460" w:type="dxa"/>
          </w:tcPr>
          <w:p w:rsidR="00F447E7" w:rsidRPr="000917D0" w:rsidRDefault="00F447E7" w:rsidP="001840B5">
            <w:pPr>
              <w:jc w:val="both"/>
              <w:rPr>
                <w:b/>
              </w:rPr>
            </w:pPr>
            <w:r w:rsidRPr="000917D0">
              <w:rPr>
                <w:b/>
              </w:rPr>
              <w:t>SN</w:t>
            </w:r>
          </w:p>
        </w:tc>
        <w:tc>
          <w:tcPr>
            <w:tcW w:w="1875" w:type="dxa"/>
          </w:tcPr>
          <w:p w:rsidR="00F447E7" w:rsidRPr="000917D0" w:rsidRDefault="00F447E7" w:rsidP="001840B5">
            <w:pPr>
              <w:jc w:val="both"/>
              <w:rPr>
                <w:b/>
              </w:rPr>
            </w:pPr>
            <w:r w:rsidRPr="000917D0">
              <w:rPr>
                <w:b/>
              </w:rPr>
              <w:t>List of kits</w:t>
            </w:r>
          </w:p>
        </w:tc>
        <w:tc>
          <w:tcPr>
            <w:tcW w:w="3600" w:type="dxa"/>
          </w:tcPr>
          <w:p w:rsidR="00F447E7" w:rsidRPr="000917D0" w:rsidRDefault="00F447E7" w:rsidP="001840B5">
            <w:pPr>
              <w:jc w:val="both"/>
              <w:rPr>
                <w:b/>
              </w:rPr>
            </w:pPr>
            <w:r w:rsidRPr="000917D0">
              <w:rPr>
                <w:b/>
              </w:rPr>
              <w:t>Specification</w:t>
            </w:r>
          </w:p>
        </w:tc>
        <w:tc>
          <w:tcPr>
            <w:tcW w:w="900" w:type="dxa"/>
          </w:tcPr>
          <w:p w:rsidR="00F447E7" w:rsidRPr="000917D0" w:rsidRDefault="00F447E7" w:rsidP="001840B5">
            <w:pPr>
              <w:jc w:val="both"/>
              <w:rPr>
                <w:b/>
              </w:rPr>
            </w:pPr>
            <w:r w:rsidRPr="000917D0">
              <w:rPr>
                <w:b/>
              </w:rPr>
              <w:t>Price</w:t>
            </w:r>
          </w:p>
        </w:tc>
        <w:tc>
          <w:tcPr>
            <w:tcW w:w="2515" w:type="dxa"/>
          </w:tcPr>
          <w:p w:rsidR="00F447E7" w:rsidRPr="000917D0" w:rsidRDefault="00F447E7" w:rsidP="001840B5">
            <w:pPr>
              <w:jc w:val="both"/>
              <w:rPr>
                <w:b/>
              </w:rPr>
            </w:pPr>
            <w:r w:rsidRPr="000917D0">
              <w:rPr>
                <w:b/>
              </w:rPr>
              <w:t>Remarks made by the WG</w:t>
            </w:r>
          </w:p>
        </w:tc>
      </w:tr>
      <w:tr w:rsidR="00504961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1</w:t>
            </w:r>
          </w:p>
        </w:tc>
        <w:tc>
          <w:tcPr>
            <w:tcW w:w="1875" w:type="dxa"/>
          </w:tcPr>
          <w:p w:rsidR="00F447E7" w:rsidRDefault="00F447E7" w:rsidP="001840B5">
            <w:pPr>
              <w:jc w:val="both"/>
            </w:pPr>
            <w:r>
              <w:t>Hessian Bad</w:t>
            </w:r>
          </w:p>
        </w:tc>
        <w:tc>
          <w:tcPr>
            <w:tcW w:w="3600" w:type="dxa"/>
          </w:tcPr>
          <w:p w:rsidR="00F447E7" w:rsidRDefault="00C02AF6" w:rsidP="001840B5">
            <w:pPr>
              <w:jc w:val="both"/>
            </w:pPr>
            <w:r>
              <w:t>100kg capacity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8</w:t>
            </w:r>
          </w:p>
        </w:tc>
        <w:tc>
          <w:tcPr>
            <w:tcW w:w="2515" w:type="dxa"/>
          </w:tcPr>
          <w:p w:rsidR="00F447E7" w:rsidRDefault="00F447E7" w:rsidP="001840B5">
            <w:pPr>
              <w:jc w:val="both"/>
            </w:pPr>
          </w:p>
        </w:tc>
      </w:tr>
      <w:tr w:rsidR="00504961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2</w:t>
            </w:r>
          </w:p>
        </w:tc>
        <w:tc>
          <w:tcPr>
            <w:tcW w:w="1875" w:type="dxa"/>
          </w:tcPr>
          <w:p w:rsidR="00F447E7" w:rsidRDefault="00F447E7" w:rsidP="001840B5">
            <w:pPr>
              <w:jc w:val="both"/>
            </w:pPr>
            <w:r>
              <w:t>Mosquito net</w:t>
            </w:r>
          </w:p>
        </w:tc>
        <w:tc>
          <w:tcPr>
            <w:tcW w:w="3600" w:type="dxa"/>
          </w:tcPr>
          <w:p w:rsidR="00F447E7" w:rsidRDefault="00C02AF6" w:rsidP="001840B5">
            <w:pPr>
              <w:jc w:val="both"/>
            </w:pPr>
            <w:r>
              <w:t>Square, WHO standard, impregnated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92</w:t>
            </w:r>
          </w:p>
        </w:tc>
        <w:tc>
          <w:tcPr>
            <w:tcW w:w="2515" w:type="dxa"/>
          </w:tcPr>
          <w:p w:rsidR="00F447E7" w:rsidRDefault="00F447E7" w:rsidP="001840B5">
            <w:pPr>
              <w:jc w:val="both"/>
            </w:pPr>
          </w:p>
        </w:tc>
      </w:tr>
      <w:tr w:rsidR="00504961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3</w:t>
            </w:r>
          </w:p>
        </w:tc>
        <w:tc>
          <w:tcPr>
            <w:tcW w:w="1875" w:type="dxa"/>
          </w:tcPr>
          <w:p w:rsidR="00F447E7" w:rsidRDefault="00F447E7" w:rsidP="00504961">
            <w:pPr>
              <w:jc w:val="both"/>
            </w:pPr>
            <w:r>
              <w:t>Soap</w:t>
            </w:r>
            <w:r w:rsidR="004F6569">
              <w:t xml:space="preserve"> </w:t>
            </w:r>
          </w:p>
        </w:tc>
        <w:tc>
          <w:tcPr>
            <w:tcW w:w="3600" w:type="dxa"/>
          </w:tcPr>
          <w:p w:rsidR="00F447E7" w:rsidRDefault="004F6569" w:rsidP="004F6569">
            <w:pPr>
              <w:jc w:val="both"/>
            </w:pPr>
            <w:r>
              <w:t>washing, laundry, 250g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6.11</w:t>
            </w:r>
          </w:p>
        </w:tc>
        <w:tc>
          <w:tcPr>
            <w:tcW w:w="2515" w:type="dxa"/>
          </w:tcPr>
          <w:p w:rsidR="00F447E7" w:rsidRDefault="00F447E7" w:rsidP="001840B5">
            <w:pPr>
              <w:jc w:val="both"/>
            </w:pPr>
          </w:p>
        </w:tc>
      </w:tr>
      <w:tr w:rsidR="00504961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4</w:t>
            </w:r>
          </w:p>
        </w:tc>
        <w:tc>
          <w:tcPr>
            <w:tcW w:w="1875" w:type="dxa"/>
          </w:tcPr>
          <w:p w:rsidR="00F447E7" w:rsidRDefault="00F447E7" w:rsidP="00F447E7">
            <w:pPr>
              <w:jc w:val="both"/>
            </w:pPr>
            <w:r>
              <w:t>Ladle</w:t>
            </w:r>
          </w:p>
        </w:tc>
        <w:tc>
          <w:tcPr>
            <w:tcW w:w="3600" w:type="dxa"/>
          </w:tcPr>
          <w:p w:rsidR="00F447E7" w:rsidRDefault="004F6569" w:rsidP="001840B5">
            <w:pPr>
              <w:jc w:val="both"/>
            </w:pPr>
            <w:r>
              <w:t>Stainless steel, 125ml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25</w:t>
            </w:r>
          </w:p>
        </w:tc>
        <w:tc>
          <w:tcPr>
            <w:tcW w:w="2515" w:type="dxa"/>
          </w:tcPr>
          <w:p w:rsidR="00F447E7" w:rsidRDefault="00F447E7" w:rsidP="001840B5">
            <w:pPr>
              <w:jc w:val="both"/>
            </w:pPr>
          </w:p>
        </w:tc>
      </w:tr>
      <w:tr w:rsidR="00504961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5</w:t>
            </w:r>
          </w:p>
        </w:tc>
        <w:tc>
          <w:tcPr>
            <w:tcW w:w="1875" w:type="dxa"/>
          </w:tcPr>
          <w:p w:rsidR="00F447E7" w:rsidRDefault="00F447E7" w:rsidP="001840B5">
            <w:pPr>
              <w:jc w:val="both"/>
            </w:pPr>
            <w:r>
              <w:t>Blanket</w:t>
            </w:r>
          </w:p>
        </w:tc>
        <w:tc>
          <w:tcPr>
            <w:tcW w:w="3600" w:type="dxa"/>
          </w:tcPr>
          <w:p w:rsidR="00F447E7" w:rsidRDefault="004F6569" w:rsidP="001840B5">
            <w:pPr>
              <w:jc w:val="both"/>
            </w:pPr>
            <w:r>
              <w:t>Wool, 1.60m x 2.20m, 2kg (+/- 5%)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158.70</w:t>
            </w:r>
          </w:p>
        </w:tc>
        <w:tc>
          <w:tcPr>
            <w:tcW w:w="2515" w:type="dxa"/>
          </w:tcPr>
          <w:p w:rsidR="00F447E7" w:rsidRDefault="00F447E7" w:rsidP="001840B5">
            <w:pPr>
              <w:jc w:val="both"/>
            </w:pPr>
          </w:p>
        </w:tc>
      </w:tr>
      <w:tr w:rsidR="00504961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6</w:t>
            </w:r>
          </w:p>
        </w:tc>
        <w:tc>
          <w:tcPr>
            <w:tcW w:w="1875" w:type="dxa"/>
          </w:tcPr>
          <w:p w:rsidR="00F447E7" w:rsidRDefault="00F447E7" w:rsidP="001840B5">
            <w:pPr>
              <w:jc w:val="both"/>
            </w:pPr>
            <w:r>
              <w:t>Rope</w:t>
            </w:r>
          </w:p>
        </w:tc>
        <w:tc>
          <w:tcPr>
            <w:tcW w:w="3600" w:type="dxa"/>
          </w:tcPr>
          <w:p w:rsidR="00F447E7" w:rsidRDefault="004F6569" w:rsidP="001840B5">
            <w:pPr>
              <w:jc w:val="both"/>
            </w:pPr>
            <w:r>
              <w:t>20m plastic strong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30</w:t>
            </w:r>
          </w:p>
        </w:tc>
        <w:tc>
          <w:tcPr>
            <w:tcW w:w="2515" w:type="dxa"/>
          </w:tcPr>
          <w:p w:rsidR="00F447E7" w:rsidRDefault="00F447E7" w:rsidP="001840B5">
            <w:pPr>
              <w:jc w:val="both"/>
            </w:pPr>
          </w:p>
        </w:tc>
      </w:tr>
      <w:tr w:rsidR="00504961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7</w:t>
            </w:r>
          </w:p>
        </w:tc>
        <w:tc>
          <w:tcPr>
            <w:tcW w:w="1875" w:type="dxa"/>
          </w:tcPr>
          <w:p w:rsidR="00F447E7" w:rsidRDefault="00F447E7" w:rsidP="001840B5">
            <w:pPr>
              <w:jc w:val="both"/>
            </w:pPr>
            <w:r>
              <w:t>Tarpaulin/plastic sheet</w:t>
            </w:r>
          </w:p>
        </w:tc>
        <w:tc>
          <w:tcPr>
            <w:tcW w:w="3600" w:type="dxa"/>
          </w:tcPr>
          <w:p w:rsidR="00F447E7" w:rsidRDefault="004F6569" w:rsidP="001840B5">
            <w:pPr>
              <w:jc w:val="both"/>
            </w:pPr>
            <w:r>
              <w:t>4x5m, 200</w:t>
            </w:r>
            <w:r w:rsidR="00506817">
              <w:t>g/m2, HDPE inner, LDPE exterior, blue color, UV coated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290</w:t>
            </w:r>
          </w:p>
        </w:tc>
        <w:tc>
          <w:tcPr>
            <w:tcW w:w="2515" w:type="dxa"/>
          </w:tcPr>
          <w:p w:rsidR="00F447E7" w:rsidRDefault="00504961" w:rsidP="001840B5">
            <w:pPr>
              <w:jc w:val="both"/>
            </w:pPr>
            <w:r>
              <w:t xml:space="preserve">If there is a local supplier share the contact </w:t>
            </w:r>
          </w:p>
        </w:tc>
      </w:tr>
      <w:tr w:rsidR="00F447E7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8</w:t>
            </w:r>
          </w:p>
        </w:tc>
        <w:tc>
          <w:tcPr>
            <w:tcW w:w="1875" w:type="dxa"/>
          </w:tcPr>
          <w:p w:rsidR="00F447E7" w:rsidRDefault="009B2939" w:rsidP="001840B5">
            <w:pPr>
              <w:jc w:val="both"/>
            </w:pPr>
            <w:r>
              <w:t>Sleeping mat</w:t>
            </w:r>
          </w:p>
        </w:tc>
        <w:tc>
          <w:tcPr>
            <w:tcW w:w="3600" w:type="dxa"/>
          </w:tcPr>
          <w:p w:rsidR="00F447E7" w:rsidRDefault="00506817" w:rsidP="001840B5">
            <w:pPr>
              <w:jc w:val="both"/>
            </w:pPr>
            <w:r>
              <w:t>2mx2.5m, plastic woven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117.39</w:t>
            </w:r>
          </w:p>
        </w:tc>
        <w:tc>
          <w:tcPr>
            <w:tcW w:w="2515" w:type="dxa"/>
          </w:tcPr>
          <w:p w:rsidR="00F447E7" w:rsidRDefault="00F447E7" w:rsidP="001840B5">
            <w:pPr>
              <w:jc w:val="both"/>
            </w:pPr>
          </w:p>
        </w:tc>
      </w:tr>
      <w:tr w:rsidR="00F447E7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9</w:t>
            </w:r>
          </w:p>
        </w:tc>
        <w:tc>
          <w:tcPr>
            <w:tcW w:w="1875" w:type="dxa"/>
          </w:tcPr>
          <w:p w:rsidR="00F447E7" w:rsidRDefault="009B2939" w:rsidP="001840B5">
            <w:pPr>
              <w:jc w:val="both"/>
            </w:pPr>
            <w:r>
              <w:t xml:space="preserve">Jerry can 20 </w:t>
            </w:r>
            <w:proofErr w:type="spellStart"/>
            <w:r>
              <w:t>lt</w:t>
            </w:r>
            <w:proofErr w:type="spellEnd"/>
          </w:p>
        </w:tc>
        <w:tc>
          <w:tcPr>
            <w:tcW w:w="3600" w:type="dxa"/>
          </w:tcPr>
          <w:p w:rsidR="00F447E7" w:rsidRDefault="00F11432" w:rsidP="001840B5">
            <w:pPr>
              <w:jc w:val="both"/>
            </w:pPr>
            <w:r>
              <w:t>Non collapsible plastic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120</w:t>
            </w:r>
          </w:p>
        </w:tc>
        <w:tc>
          <w:tcPr>
            <w:tcW w:w="2515" w:type="dxa"/>
          </w:tcPr>
          <w:p w:rsidR="00F447E7" w:rsidRDefault="00504961" w:rsidP="001840B5">
            <w:pPr>
              <w:jc w:val="both"/>
            </w:pPr>
            <w:r>
              <w:t>It should be non-recycled</w:t>
            </w:r>
          </w:p>
        </w:tc>
      </w:tr>
      <w:tr w:rsidR="00F447E7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10</w:t>
            </w:r>
          </w:p>
        </w:tc>
        <w:tc>
          <w:tcPr>
            <w:tcW w:w="1875" w:type="dxa"/>
          </w:tcPr>
          <w:p w:rsidR="00F447E7" w:rsidRDefault="009B2939" w:rsidP="001840B5">
            <w:pPr>
              <w:jc w:val="both"/>
            </w:pPr>
            <w:r>
              <w:t>Jerry can 10lt</w:t>
            </w:r>
          </w:p>
        </w:tc>
        <w:tc>
          <w:tcPr>
            <w:tcW w:w="3600" w:type="dxa"/>
          </w:tcPr>
          <w:p w:rsidR="00F447E7" w:rsidRDefault="00F11432" w:rsidP="001840B5">
            <w:pPr>
              <w:jc w:val="both"/>
            </w:pPr>
            <w:r>
              <w:t>Non collapsible plastic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29.90</w:t>
            </w:r>
          </w:p>
        </w:tc>
        <w:tc>
          <w:tcPr>
            <w:tcW w:w="2515" w:type="dxa"/>
          </w:tcPr>
          <w:p w:rsidR="00F447E7" w:rsidRDefault="00504961" w:rsidP="001840B5">
            <w:pPr>
              <w:jc w:val="both"/>
            </w:pPr>
            <w:r>
              <w:t>It should be non-recycled</w:t>
            </w:r>
          </w:p>
        </w:tc>
      </w:tr>
      <w:tr w:rsidR="00F447E7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11</w:t>
            </w:r>
          </w:p>
        </w:tc>
        <w:tc>
          <w:tcPr>
            <w:tcW w:w="1875" w:type="dxa"/>
          </w:tcPr>
          <w:p w:rsidR="00F447E7" w:rsidRDefault="009B2939" w:rsidP="001840B5">
            <w:pPr>
              <w:jc w:val="both"/>
            </w:pPr>
            <w:r>
              <w:t>Cooking pot</w:t>
            </w:r>
          </w:p>
        </w:tc>
        <w:tc>
          <w:tcPr>
            <w:tcW w:w="3600" w:type="dxa"/>
          </w:tcPr>
          <w:p w:rsidR="00F447E7" w:rsidRDefault="00F11432" w:rsidP="001840B5">
            <w:pPr>
              <w:jc w:val="both"/>
            </w:pPr>
            <w:r>
              <w:t>7lt with lid and handles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189</w:t>
            </w:r>
          </w:p>
        </w:tc>
        <w:tc>
          <w:tcPr>
            <w:tcW w:w="2515" w:type="dxa"/>
          </w:tcPr>
          <w:p w:rsidR="00F447E7" w:rsidRDefault="000917D0" w:rsidP="001840B5">
            <w:pPr>
              <w:jc w:val="both"/>
            </w:pPr>
            <w:r>
              <w:t>Handles should be attached lower from the edge</w:t>
            </w:r>
          </w:p>
        </w:tc>
      </w:tr>
      <w:tr w:rsidR="00F447E7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12</w:t>
            </w:r>
          </w:p>
        </w:tc>
        <w:tc>
          <w:tcPr>
            <w:tcW w:w="1875" w:type="dxa"/>
          </w:tcPr>
          <w:p w:rsidR="00F447E7" w:rsidRDefault="009B2939" w:rsidP="001840B5">
            <w:pPr>
              <w:jc w:val="both"/>
            </w:pPr>
            <w:r>
              <w:t>Drinking cup</w:t>
            </w:r>
          </w:p>
        </w:tc>
        <w:tc>
          <w:tcPr>
            <w:tcW w:w="3600" w:type="dxa"/>
          </w:tcPr>
          <w:p w:rsidR="00F11432" w:rsidRDefault="00F11432" w:rsidP="001840B5">
            <w:pPr>
              <w:jc w:val="both"/>
            </w:pPr>
            <w:r>
              <w:t>Stainless steel 300ml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16.52</w:t>
            </w:r>
          </w:p>
        </w:tc>
        <w:tc>
          <w:tcPr>
            <w:tcW w:w="2515" w:type="dxa"/>
          </w:tcPr>
          <w:p w:rsidR="00F447E7" w:rsidRDefault="000917D0" w:rsidP="000917D0">
            <w:pPr>
              <w:jc w:val="both"/>
            </w:pPr>
            <w:r>
              <w:t xml:space="preserve">Preferred locally made, stainless steel, trapezoid shaped without handle </w:t>
            </w:r>
          </w:p>
        </w:tc>
      </w:tr>
      <w:tr w:rsidR="00F447E7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lastRenderedPageBreak/>
              <w:t>13</w:t>
            </w:r>
          </w:p>
        </w:tc>
        <w:tc>
          <w:tcPr>
            <w:tcW w:w="1875" w:type="dxa"/>
          </w:tcPr>
          <w:p w:rsidR="00F447E7" w:rsidRDefault="009B2939" w:rsidP="001840B5">
            <w:pPr>
              <w:jc w:val="both"/>
            </w:pPr>
            <w:r>
              <w:t>Plate</w:t>
            </w:r>
          </w:p>
        </w:tc>
        <w:tc>
          <w:tcPr>
            <w:tcW w:w="3600" w:type="dxa"/>
          </w:tcPr>
          <w:p w:rsidR="00F447E7" w:rsidRDefault="00F11432" w:rsidP="001840B5">
            <w:pPr>
              <w:jc w:val="both"/>
            </w:pPr>
            <w:r>
              <w:t>Round, stainless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29</w:t>
            </w:r>
          </w:p>
        </w:tc>
        <w:tc>
          <w:tcPr>
            <w:tcW w:w="2515" w:type="dxa"/>
          </w:tcPr>
          <w:p w:rsidR="00F447E7" w:rsidRDefault="00F447E7" w:rsidP="001840B5">
            <w:pPr>
              <w:jc w:val="both"/>
            </w:pPr>
          </w:p>
        </w:tc>
      </w:tr>
      <w:tr w:rsidR="00F447E7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14</w:t>
            </w:r>
          </w:p>
        </w:tc>
        <w:tc>
          <w:tcPr>
            <w:tcW w:w="1875" w:type="dxa"/>
          </w:tcPr>
          <w:p w:rsidR="00F447E7" w:rsidRDefault="00C02AF6" w:rsidP="001840B5">
            <w:pPr>
              <w:jc w:val="both"/>
            </w:pPr>
            <w:r>
              <w:t>Water jug</w:t>
            </w:r>
          </w:p>
        </w:tc>
        <w:tc>
          <w:tcPr>
            <w:tcW w:w="3600" w:type="dxa"/>
          </w:tcPr>
          <w:p w:rsidR="00F447E7" w:rsidRDefault="00FF0C38" w:rsidP="001840B5">
            <w:pPr>
              <w:jc w:val="both"/>
            </w:pPr>
            <w:r>
              <w:t>Stainless steel, 3lt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119</w:t>
            </w:r>
          </w:p>
        </w:tc>
        <w:tc>
          <w:tcPr>
            <w:tcW w:w="2515" w:type="dxa"/>
          </w:tcPr>
          <w:p w:rsidR="00F447E7" w:rsidRDefault="00F447E7" w:rsidP="001840B5">
            <w:pPr>
              <w:jc w:val="both"/>
            </w:pPr>
          </w:p>
        </w:tc>
      </w:tr>
      <w:tr w:rsidR="00F447E7" w:rsidTr="00504961">
        <w:tc>
          <w:tcPr>
            <w:tcW w:w="460" w:type="dxa"/>
          </w:tcPr>
          <w:p w:rsidR="00F447E7" w:rsidRDefault="00504961" w:rsidP="001840B5">
            <w:pPr>
              <w:jc w:val="both"/>
            </w:pPr>
            <w:r>
              <w:t>15</w:t>
            </w:r>
          </w:p>
        </w:tc>
        <w:tc>
          <w:tcPr>
            <w:tcW w:w="1875" w:type="dxa"/>
          </w:tcPr>
          <w:p w:rsidR="00F447E7" w:rsidRDefault="00C02AF6" w:rsidP="001840B5">
            <w:pPr>
              <w:jc w:val="both"/>
            </w:pPr>
            <w:r>
              <w:t>Washing basin</w:t>
            </w:r>
          </w:p>
        </w:tc>
        <w:tc>
          <w:tcPr>
            <w:tcW w:w="3600" w:type="dxa"/>
          </w:tcPr>
          <w:p w:rsidR="00F447E7" w:rsidRDefault="00FF0C38" w:rsidP="001840B5">
            <w:pPr>
              <w:jc w:val="both"/>
            </w:pPr>
            <w:r>
              <w:t>Aluminum, medium size, round 60cm</w:t>
            </w:r>
          </w:p>
        </w:tc>
        <w:tc>
          <w:tcPr>
            <w:tcW w:w="900" w:type="dxa"/>
          </w:tcPr>
          <w:p w:rsidR="00F447E7" w:rsidRDefault="00504961" w:rsidP="001840B5">
            <w:pPr>
              <w:jc w:val="both"/>
            </w:pPr>
            <w:r>
              <w:t>170</w:t>
            </w:r>
          </w:p>
        </w:tc>
        <w:tc>
          <w:tcPr>
            <w:tcW w:w="2515" w:type="dxa"/>
          </w:tcPr>
          <w:p w:rsidR="00F447E7" w:rsidRDefault="00F447E7" w:rsidP="001840B5">
            <w:pPr>
              <w:jc w:val="both"/>
            </w:pPr>
          </w:p>
        </w:tc>
      </w:tr>
    </w:tbl>
    <w:p w:rsidR="00F447E7" w:rsidRDefault="00F447E7" w:rsidP="001840B5">
      <w:pPr>
        <w:jc w:val="both"/>
      </w:pPr>
    </w:p>
    <w:p w:rsidR="00002EE4" w:rsidRDefault="000917D0" w:rsidP="00002EE4">
      <w:pPr>
        <w:keepNext/>
        <w:jc w:val="both"/>
      </w:pPr>
      <w:r w:rsidRPr="000917D0">
        <w:rPr>
          <w:noProof/>
        </w:rPr>
        <w:drawing>
          <wp:inline distT="0" distB="0" distL="0" distR="0" wp14:anchorId="05001B00" wp14:editId="70187AAE">
            <wp:extent cx="3195955" cy="2526757"/>
            <wp:effectExtent l="0" t="0" r="4445" b="6985"/>
            <wp:docPr id="2" name="Picture 2" descr="C:\Users\bhabte\Documents\ES_NFI Cluster Coordination\IMG_20150122_233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habte\Documents\ES_NFI Cluster Coordination\IMG_20150122_2331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896" cy="25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7D0" w:rsidRPr="001840B5" w:rsidRDefault="00002EE4" w:rsidP="00002EE4">
      <w:pPr>
        <w:pStyle w:val="Caption"/>
        <w:jc w:val="both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Sample kits</w:t>
      </w:r>
    </w:p>
    <w:sectPr w:rsidR="000917D0" w:rsidRPr="00184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6207"/>
    <w:multiLevelType w:val="hybridMultilevel"/>
    <w:tmpl w:val="27868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A6E69"/>
    <w:multiLevelType w:val="hybridMultilevel"/>
    <w:tmpl w:val="9A16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9AB"/>
    <w:multiLevelType w:val="hybridMultilevel"/>
    <w:tmpl w:val="27868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05CA3"/>
    <w:multiLevelType w:val="hybridMultilevel"/>
    <w:tmpl w:val="58B81A22"/>
    <w:lvl w:ilvl="0" w:tplc="C34830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915CB"/>
    <w:multiLevelType w:val="hybridMultilevel"/>
    <w:tmpl w:val="961E9F78"/>
    <w:lvl w:ilvl="0" w:tplc="C34830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C607F"/>
    <w:multiLevelType w:val="hybridMultilevel"/>
    <w:tmpl w:val="C5249E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683E63"/>
    <w:multiLevelType w:val="hybridMultilevel"/>
    <w:tmpl w:val="27868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F5E5F"/>
    <w:multiLevelType w:val="hybridMultilevel"/>
    <w:tmpl w:val="4B683E58"/>
    <w:lvl w:ilvl="0" w:tplc="C34830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D3D81"/>
    <w:multiLevelType w:val="hybridMultilevel"/>
    <w:tmpl w:val="6938180A"/>
    <w:lvl w:ilvl="0" w:tplc="81E246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51"/>
    <w:rsid w:val="00002EE4"/>
    <w:rsid w:val="000917D0"/>
    <w:rsid w:val="001840B5"/>
    <w:rsid w:val="001A0C43"/>
    <w:rsid w:val="001B630E"/>
    <w:rsid w:val="00343BA8"/>
    <w:rsid w:val="004F6569"/>
    <w:rsid w:val="00504961"/>
    <w:rsid w:val="00506817"/>
    <w:rsid w:val="00547215"/>
    <w:rsid w:val="005F716C"/>
    <w:rsid w:val="00660D51"/>
    <w:rsid w:val="006E37FD"/>
    <w:rsid w:val="00702F4C"/>
    <w:rsid w:val="007860A4"/>
    <w:rsid w:val="00851A31"/>
    <w:rsid w:val="008D6ED8"/>
    <w:rsid w:val="009A41F4"/>
    <w:rsid w:val="009B2939"/>
    <w:rsid w:val="00A332A8"/>
    <w:rsid w:val="00A964E9"/>
    <w:rsid w:val="00C02AF6"/>
    <w:rsid w:val="00E215E7"/>
    <w:rsid w:val="00F11432"/>
    <w:rsid w:val="00F36637"/>
    <w:rsid w:val="00F447E7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B49CB-4C57-41C7-A35B-3DFBB2A5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D51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F44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002EE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3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Rescue Committee</Company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HABTE Behigu</dc:creator>
  <cp:keywords/>
  <dc:description/>
  <cp:lastModifiedBy>HABTE Behigu</cp:lastModifiedBy>
  <cp:revision>5</cp:revision>
  <dcterms:created xsi:type="dcterms:W3CDTF">2015-01-28T05:47:00Z</dcterms:created>
  <dcterms:modified xsi:type="dcterms:W3CDTF">2015-02-02T09:40:00Z</dcterms:modified>
</cp:coreProperties>
</file>