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515B7" w14:textId="77777777" w:rsidR="00945A73" w:rsidRDefault="00945A73" w:rsidP="00945A73">
      <w:pPr>
        <w:pStyle w:val="Title"/>
        <w:jc w:val="center"/>
        <w:rPr>
          <w:rFonts w:ascii="Arial Narrow" w:hAnsi="Arial Narrow"/>
          <w:color w:val="723233" w:themeColor="accent3" w:themeShade="BF"/>
        </w:rPr>
      </w:pPr>
      <w:bookmarkStart w:id="0" w:name="_GoBack"/>
      <w:bookmarkEnd w:id="0"/>
      <w:r w:rsidRPr="00945A73">
        <w:rPr>
          <w:rFonts w:ascii="Arial Narrow" w:hAnsi="Arial Narrow"/>
          <w:color w:val="723233" w:themeColor="accent3" w:themeShade="BF"/>
        </w:rPr>
        <w:t xml:space="preserve">Shelter Cluster </w:t>
      </w:r>
      <w:r w:rsidR="00EF0115">
        <w:rPr>
          <w:rFonts w:ascii="Arial Narrow" w:hAnsi="Arial Narrow"/>
          <w:color w:val="723233" w:themeColor="accent3" w:themeShade="BF"/>
        </w:rPr>
        <w:t xml:space="preserve">GBV </w:t>
      </w:r>
      <w:r w:rsidR="00FE4449">
        <w:rPr>
          <w:rFonts w:ascii="Arial Narrow" w:hAnsi="Arial Narrow"/>
          <w:color w:val="723233" w:themeColor="accent3" w:themeShade="BF"/>
        </w:rPr>
        <w:t>in shelter programming</w:t>
      </w:r>
      <w:r w:rsidR="00EF0115">
        <w:rPr>
          <w:rFonts w:ascii="Arial Narrow" w:hAnsi="Arial Narrow"/>
          <w:color w:val="723233" w:themeColor="accent3" w:themeShade="BF"/>
        </w:rPr>
        <w:t xml:space="preserve"> Working Group</w:t>
      </w:r>
    </w:p>
    <w:p w14:paraId="1F7EFE8D" w14:textId="77777777" w:rsidR="00FE4449" w:rsidRPr="00FE4449" w:rsidRDefault="00FE4449" w:rsidP="00FE4449">
      <w:pPr>
        <w:rPr>
          <w:i/>
          <w:color w:val="C00000"/>
        </w:rPr>
      </w:pPr>
      <w:r w:rsidRPr="00FE4449">
        <w:rPr>
          <w:i/>
          <w:color w:val="C00000"/>
        </w:rPr>
        <w:t>In humanitarian crises, women and children are highly vulnerable to violence and exploitation due to their lower socio-economic status grounded in pre-existing inequalities and discriminative social and legal norms. Gender-Based Violence (GBV) is an umbrella term for any harmful act that is perpetrated against a person's will and that is based on socially ascribed (i.e. gender) differences between males and females. This working group aims to provide tools to help shelter actors to mainstream GBV risk mitigation, ultimately reducing vulnerabilities to GBV, particularly for women and girls, in their shelter programming. This WG is led by CARE International UK and IOM</w:t>
      </w:r>
    </w:p>
    <w:p w14:paraId="65F81E71" w14:textId="77777777" w:rsidR="002B680E" w:rsidRPr="003C38D1" w:rsidRDefault="00A33C4C" w:rsidP="00981673">
      <w:pPr>
        <w:pStyle w:val="Heading1"/>
      </w:pPr>
      <w:r w:rsidRPr="00A33C4C">
        <w:t>DRAFT</w:t>
      </w:r>
      <w:r>
        <w:t xml:space="preserve"> </w:t>
      </w:r>
      <w:r w:rsidR="00091764" w:rsidRPr="00981673">
        <w:t>Meeting</w:t>
      </w:r>
      <w:r w:rsidR="00091764" w:rsidRPr="003C38D1">
        <w:t xml:space="preserve"> minutes</w:t>
      </w:r>
    </w:p>
    <w:p w14:paraId="7AB4D03B" w14:textId="77777777" w:rsidR="00091764" w:rsidRPr="003C38D1" w:rsidRDefault="00091764" w:rsidP="00091764">
      <w:r w:rsidRPr="003C38D1">
        <w:rPr>
          <w:b/>
        </w:rPr>
        <w:t>Date:</w:t>
      </w:r>
      <w:r w:rsidR="001A52BA" w:rsidRPr="003C38D1">
        <w:t xml:space="preserve"> </w:t>
      </w:r>
      <w:r w:rsidR="00A37909">
        <w:t>5 July 2016</w:t>
      </w:r>
    </w:p>
    <w:p w14:paraId="05A558F4" w14:textId="77777777" w:rsidR="00091764" w:rsidRPr="00FE013D" w:rsidRDefault="00091764" w:rsidP="00091764">
      <w:r w:rsidRPr="00FE013D">
        <w:rPr>
          <w:b/>
        </w:rPr>
        <w:t xml:space="preserve">Location: </w:t>
      </w:r>
      <w:r w:rsidR="004674BD" w:rsidRPr="00FE013D">
        <w:t>IOM</w:t>
      </w:r>
      <w:r w:rsidR="00A37909">
        <w:t>-</w:t>
      </w:r>
      <w:r w:rsidRPr="00FE013D">
        <w:t>Geneva</w:t>
      </w:r>
      <w:r w:rsidR="00EF0115" w:rsidRPr="00FE013D">
        <w:t xml:space="preserve"> and dial in.</w:t>
      </w:r>
    </w:p>
    <w:p w14:paraId="33524350" w14:textId="538CAC79" w:rsidR="00EF0115" w:rsidRPr="00FE013D" w:rsidRDefault="00945A73" w:rsidP="00091764">
      <w:r w:rsidRPr="00FE013D">
        <w:rPr>
          <w:b/>
        </w:rPr>
        <w:t>Attendance</w:t>
      </w:r>
      <w:r w:rsidR="00091764" w:rsidRPr="00FE013D">
        <w:rPr>
          <w:b/>
        </w:rPr>
        <w:t xml:space="preserve">: </w:t>
      </w:r>
      <w:r w:rsidR="00EF0115" w:rsidRPr="00FE013D">
        <w:t>Ameli</w:t>
      </w:r>
      <w:r w:rsidR="00332D72">
        <w:t xml:space="preserve">a Rule (CARE, </w:t>
      </w:r>
      <w:r w:rsidR="00A37909">
        <w:t>C</w:t>
      </w:r>
      <w:r w:rsidR="00EF0115" w:rsidRPr="00FE013D">
        <w:t xml:space="preserve">hair), </w:t>
      </w:r>
      <w:r w:rsidR="00332D72">
        <w:t xml:space="preserve">Toral Pattni (CARE), </w:t>
      </w:r>
      <w:r w:rsidR="00F51155">
        <w:t>Andy Powell (Save t</w:t>
      </w:r>
      <w:r w:rsidR="000977A9" w:rsidRPr="00FE013D">
        <w:t>he Children</w:t>
      </w:r>
      <w:r w:rsidR="007A122F">
        <w:t xml:space="preserve"> UK</w:t>
      </w:r>
      <w:r w:rsidR="00F51155">
        <w:t>)</w:t>
      </w:r>
      <w:r w:rsidR="001E109D" w:rsidRPr="00FE013D">
        <w:t>,</w:t>
      </w:r>
      <w:r w:rsidR="00A37909">
        <w:t xml:space="preserve"> Jake Zarins (Habitat for Humanity</w:t>
      </w:r>
      <w:r w:rsidR="007A122F">
        <w:t xml:space="preserve"> International</w:t>
      </w:r>
      <w:r w:rsidR="00A37909">
        <w:t>), Anna Stone (NRC), Tom Corsellis (Shelter Center/ UNOPS), Takuya Ono (IOM), Jessica Izquierdo (IOM), and Haruka Ue</w:t>
      </w:r>
      <w:r w:rsidR="001E109D" w:rsidRPr="00FE013D">
        <w:t>d</w:t>
      </w:r>
      <w:r w:rsidR="00A37909">
        <w:t>a (IOM).</w:t>
      </w:r>
      <w:r w:rsidR="001E109D" w:rsidRPr="00FE013D">
        <w:t xml:space="preserve"> </w:t>
      </w:r>
    </w:p>
    <w:p w14:paraId="75ED1027" w14:textId="77777777" w:rsidR="00091764" w:rsidRPr="00FE013D" w:rsidRDefault="004E622D" w:rsidP="00091764">
      <w:r w:rsidRPr="00FE013D">
        <w:rPr>
          <w:b/>
        </w:rPr>
        <w:t xml:space="preserve">Apologies: </w:t>
      </w:r>
      <w:r w:rsidR="00A37909">
        <w:t>Joseph Ashmore (IOM)</w:t>
      </w:r>
    </w:p>
    <w:p w14:paraId="3B6B74B1" w14:textId="1A75FEB1" w:rsidR="00BC4D75" w:rsidRPr="00E32C7F" w:rsidRDefault="00ED32BF" w:rsidP="00E32C7F">
      <w:pPr>
        <w:pStyle w:val="Heading1"/>
        <w:jc w:val="left"/>
        <w:rPr>
          <w:sz w:val="28"/>
        </w:rPr>
      </w:pPr>
      <w:r w:rsidRPr="00E32C7F">
        <w:rPr>
          <w:sz w:val="28"/>
        </w:rPr>
        <w:t>Agenda</w:t>
      </w:r>
    </w:p>
    <w:p w14:paraId="53A725B0" w14:textId="36BAD4F0" w:rsidR="001A3D1C" w:rsidRPr="00E32C7F" w:rsidRDefault="00E32C7F" w:rsidP="00E32C7F">
      <w:r>
        <w:t>Go over the latest draft of the Shelter-GBV toolkit on 1) Assessment tool, 2) Mitigation tool and 3) Respon</w:t>
      </w:r>
      <w:r w:rsidR="008526DD">
        <w:t>ding to Incidents</w:t>
      </w:r>
      <w:r>
        <w:t xml:space="preserve"> tool accompanied by Guidelines.</w:t>
      </w:r>
    </w:p>
    <w:p w14:paraId="4E5DA648" w14:textId="464654A2" w:rsidR="00F0246C" w:rsidRPr="00E32C7F" w:rsidRDefault="00BC4D75" w:rsidP="00E32C7F">
      <w:pPr>
        <w:pStyle w:val="Heading1"/>
        <w:jc w:val="left"/>
        <w:rPr>
          <w:sz w:val="28"/>
        </w:rPr>
      </w:pPr>
      <w:r w:rsidRPr="00E32C7F">
        <w:rPr>
          <w:sz w:val="28"/>
        </w:rPr>
        <w:t>Action</w:t>
      </w:r>
    </w:p>
    <w:p w14:paraId="3E527AFA" w14:textId="3741DB9D" w:rsidR="00BC4D75" w:rsidRDefault="00BC4D75" w:rsidP="00E32C7F">
      <w:r w:rsidRPr="00BA40E5">
        <w:rPr>
          <w:b/>
          <w:color w:val="723233"/>
        </w:rPr>
        <w:t>ACTION</w:t>
      </w:r>
      <w:r>
        <w:t>: CARE / IOM to share final draft by the end of August for comment.</w:t>
      </w:r>
    </w:p>
    <w:p w14:paraId="7492F3D8" w14:textId="2F3EFD71" w:rsidR="00BC4D75" w:rsidRPr="00E32C7F" w:rsidRDefault="006900F1" w:rsidP="00E32C7F">
      <w:pPr>
        <w:pStyle w:val="Heading1"/>
        <w:jc w:val="left"/>
        <w:rPr>
          <w:sz w:val="28"/>
        </w:rPr>
      </w:pPr>
      <w:r w:rsidRPr="00E32C7F">
        <w:rPr>
          <w:sz w:val="28"/>
        </w:rPr>
        <w:t>Discussions</w:t>
      </w:r>
    </w:p>
    <w:p w14:paraId="63BDFB7D" w14:textId="7DB65674" w:rsidR="00783C01" w:rsidRDefault="00783C01" w:rsidP="006900F1">
      <w:pPr>
        <w:rPr>
          <w:b/>
        </w:rPr>
      </w:pPr>
      <w:r>
        <w:rPr>
          <w:b/>
        </w:rPr>
        <w:t>Introduction of the draft set of tools:</w:t>
      </w:r>
    </w:p>
    <w:p w14:paraId="26D22B84" w14:textId="77777777" w:rsidR="008526DD" w:rsidRPr="008526DD" w:rsidRDefault="008526DD" w:rsidP="008526DD">
      <w:pPr>
        <w:pStyle w:val="Heading2"/>
        <w:ind w:left="680" w:hanging="680"/>
        <w:rPr>
          <w:rFonts w:ascii="Arial Narrow" w:eastAsiaTheme="minorEastAsia" w:hAnsi="Arial Narrow" w:cstheme="minorBidi"/>
          <w:bCs w:val="0"/>
          <w:i w:val="0"/>
          <w:color w:val="auto"/>
          <w:sz w:val="20"/>
          <w:szCs w:val="22"/>
        </w:rPr>
      </w:pPr>
      <w:bookmarkStart w:id="1" w:name="_Toc455072091"/>
      <w:r w:rsidRPr="008526DD">
        <w:rPr>
          <w:rFonts w:ascii="Arial Narrow" w:eastAsiaTheme="minorEastAsia" w:hAnsi="Arial Narrow" w:cstheme="minorBidi"/>
          <w:bCs w:val="0"/>
          <w:i w:val="0"/>
          <w:color w:val="auto"/>
          <w:sz w:val="20"/>
          <w:szCs w:val="22"/>
        </w:rPr>
        <w:t>Purpose of the Toolkit (What it does, and critically what it doesn’t do):</w:t>
      </w:r>
      <w:bookmarkEnd w:id="1"/>
    </w:p>
    <w:p w14:paraId="67DC30C1" w14:textId="77777777" w:rsidR="008526DD" w:rsidRPr="00F17345" w:rsidRDefault="008526DD" w:rsidP="008526DD">
      <w:pPr>
        <w:rPr>
          <w:shd w:val="clear" w:color="auto" w:fill="FFFFFF"/>
          <w:lang w:val="en-GB"/>
        </w:rPr>
      </w:pPr>
      <w:r w:rsidRPr="00F17345">
        <w:rPr>
          <w:shd w:val="clear" w:color="auto" w:fill="FFFFFF"/>
          <w:lang w:val="en-GB"/>
        </w:rPr>
        <w:t xml:space="preserve">The toolkit offers specific tools supported by guidance notes which shelter practitioners can use to enhance and improve shelter projects, ensuring that proposed activities do not exacerbated any negative power dynamics in the community which may result in an increase of GBV risk. The tools are designed to complement existing shelter tools which will already be in use. These tools are not to be seen as a further check box to be ticked or extra work to be done. These tools aim to improve what shelter practitioners already do, ensuring that the effectiveness and high quality of projects. </w:t>
      </w:r>
    </w:p>
    <w:p w14:paraId="05475919" w14:textId="77777777" w:rsidR="008526DD" w:rsidRPr="00F17345" w:rsidRDefault="008526DD" w:rsidP="008526DD">
      <w:pPr>
        <w:rPr>
          <w:b/>
          <w:lang w:val="en-GB"/>
        </w:rPr>
      </w:pPr>
      <w:r w:rsidRPr="00F17345">
        <w:rPr>
          <w:shd w:val="clear" w:color="auto" w:fill="FFFFFF"/>
          <w:lang w:val="en-GB"/>
        </w:rPr>
        <w:t xml:space="preserve">The toolkit does not offer specific shelter activities or solutions which are guaranteed to reduce or prevent GBV incidents within the areas or communities targeted </w:t>
      </w:r>
      <w:r w:rsidRPr="00F17345">
        <w:rPr>
          <w:shd w:val="clear" w:color="auto" w:fill="FFFFFF"/>
          <w:lang w:val="en-GB"/>
        </w:rPr>
        <w:lastRenderedPageBreak/>
        <w:t xml:space="preserve">by shelter programming. Each context and project is different, and the level and type of risk will differ from project to project. The toolkit will however ensure a detailed context analysis </w:t>
      </w:r>
      <w:r w:rsidRPr="00F17345">
        <w:rPr>
          <w:b/>
          <w:shd w:val="clear" w:color="auto" w:fill="FFFFFF"/>
          <w:lang w:val="en-GB"/>
        </w:rPr>
        <w:t xml:space="preserve">(Assessment), </w:t>
      </w:r>
      <w:r w:rsidRPr="00F17345">
        <w:rPr>
          <w:shd w:val="clear" w:color="auto" w:fill="FFFFFF"/>
          <w:lang w:val="en-GB"/>
        </w:rPr>
        <w:t xml:space="preserve">provide guidance on how to analyse the assessment results and incorporate them into a plan, suggest how to monitor the impact of projects and prioritise actions through the use of a risk register </w:t>
      </w:r>
      <w:r w:rsidRPr="00F17345">
        <w:rPr>
          <w:b/>
          <w:shd w:val="clear" w:color="auto" w:fill="FFFFFF"/>
          <w:lang w:val="en-GB"/>
        </w:rPr>
        <w:t>(Mitigation).</w:t>
      </w:r>
      <w:r w:rsidRPr="00F17345">
        <w:rPr>
          <w:shd w:val="clear" w:color="auto" w:fill="FFFFFF"/>
          <w:lang w:val="en-GB"/>
        </w:rPr>
        <w:t xml:space="preserve"> In the case of GBV incidents the last tool </w:t>
      </w:r>
      <w:r>
        <w:rPr>
          <w:b/>
          <w:shd w:val="clear" w:color="auto" w:fill="FFFFFF"/>
        </w:rPr>
        <w:t>(Responding</w:t>
      </w:r>
      <w:r w:rsidRPr="00F17345">
        <w:rPr>
          <w:b/>
          <w:shd w:val="clear" w:color="auto" w:fill="FFFFFF"/>
          <w:lang w:val="en-GB"/>
        </w:rPr>
        <w:t>)</w:t>
      </w:r>
      <w:r w:rsidRPr="00F17345">
        <w:rPr>
          <w:shd w:val="clear" w:color="auto" w:fill="FFFFFF"/>
          <w:lang w:val="en-GB"/>
        </w:rPr>
        <w:t xml:space="preserve"> will help non specialised GBV staff (programme staff) to support survivors of GBV incidents in an appropriate and effective manner when needed.</w:t>
      </w:r>
    </w:p>
    <w:p w14:paraId="75EA7C42" w14:textId="77777777" w:rsidR="00530786" w:rsidRDefault="00530786" w:rsidP="006900F1">
      <w:pPr>
        <w:rPr>
          <w:b/>
        </w:rPr>
      </w:pPr>
    </w:p>
    <w:p w14:paraId="0F32B18D" w14:textId="274AAF25" w:rsidR="008526DD" w:rsidRDefault="008526DD" w:rsidP="006900F1">
      <w:pPr>
        <w:rPr>
          <w:b/>
        </w:rPr>
      </w:pPr>
      <w:r>
        <w:rPr>
          <w:b/>
        </w:rPr>
        <w:t>What was discussed:</w:t>
      </w:r>
    </w:p>
    <w:p w14:paraId="543C7208" w14:textId="21B0764E" w:rsidR="004A1DEF" w:rsidRDefault="00783C01" w:rsidP="00783C01">
      <w:pPr>
        <w:pStyle w:val="ListParagraph"/>
        <w:numPr>
          <w:ilvl w:val="0"/>
          <w:numId w:val="31"/>
        </w:numPr>
      </w:pPr>
      <w:r>
        <w:t>Three element</w:t>
      </w:r>
      <w:r w:rsidR="006F2DEE">
        <w:t>s</w:t>
      </w:r>
      <w:r w:rsidR="004A1DEF">
        <w:t xml:space="preserve"> of the toolkit</w:t>
      </w:r>
      <w:r w:rsidR="00142AED">
        <w:t xml:space="preserve"> explained</w:t>
      </w:r>
      <w:r w:rsidR="002E568B">
        <w:t>, t</w:t>
      </w:r>
      <w:r w:rsidR="004A1DEF">
        <w:t xml:space="preserve">he Assessment Tool, </w:t>
      </w:r>
      <w:r w:rsidR="002E568B">
        <w:t>the Mitigation Tool, and the GBV i</w:t>
      </w:r>
      <w:r w:rsidR="004A1DEF">
        <w:t xml:space="preserve">ncident response </w:t>
      </w:r>
      <w:r w:rsidR="002E568B">
        <w:t>t</w:t>
      </w:r>
      <w:r w:rsidR="004A1DEF">
        <w:t>ool.</w:t>
      </w:r>
      <w:r w:rsidR="00142AED">
        <w:t xml:space="preserve"> </w:t>
      </w:r>
    </w:p>
    <w:p w14:paraId="0A65C800" w14:textId="19036689" w:rsidR="00783C01" w:rsidRDefault="004A1DEF" w:rsidP="00783C01">
      <w:pPr>
        <w:pStyle w:val="ListParagraph"/>
        <w:numPr>
          <w:ilvl w:val="0"/>
          <w:numId w:val="31"/>
        </w:numPr>
      </w:pPr>
      <w:r>
        <w:t xml:space="preserve">The </w:t>
      </w:r>
      <w:r w:rsidR="00142AED">
        <w:t>option</w:t>
      </w:r>
      <w:r>
        <w:t>s</w:t>
      </w:r>
      <w:r w:rsidR="00142AED">
        <w:t xml:space="preserve"> for the risk register framework</w:t>
      </w:r>
      <w:r>
        <w:t xml:space="preserve"> were presented</w:t>
      </w:r>
      <w:r w:rsidR="00142AED">
        <w:t xml:space="preserve"> (structur</w:t>
      </w:r>
      <w:r w:rsidR="002E568B">
        <w:t>ed</w:t>
      </w:r>
      <w:r w:rsidR="00142AED">
        <w:t xml:space="preserve"> with the shelter activity </w:t>
      </w:r>
      <w:r>
        <w:t xml:space="preserve">taking prominence </w:t>
      </w:r>
      <w:r w:rsidR="007A122F">
        <w:t>or the assessment Area of Inquiry -  See below</w:t>
      </w:r>
      <w:r w:rsidR="00142AED">
        <w:t>)</w:t>
      </w:r>
    </w:p>
    <w:p w14:paraId="22DE81B5" w14:textId="2D4F7959" w:rsidR="00783C01" w:rsidRDefault="00783C01" w:rsidP="00783C01">
      <w:pPr>
        <w:pStyle w:val="ListParagraph"/>
        <w:numPr>
          <w:ilvl w:val="0"/>
          <w:numId w:val="31"/>
        </w:numPr>
      </w:pPr>
      <w:r>
        <w:t>As discussed in the first Wo</w:t>
      </w:r>
      <w:r w:rsidR="00142AED">
        <w:t>rk</w:t>
      </w:r>
      <w:r w:rsidR="00332D72">
        <w:t>ing Group meeting, this toolkit</w:t>
      </w:r>
      <w:r w:rsidR="00142AED">
        <w:t xml:space="preserve"> should not be additional tools</w:t>
      </w:r>
      <w:r w:rsidR="00332D72">
        <w:t xml:space="preserve"> for shelter staff</w:t>
      </w:r>
      <w:r w:rsidR="00142AED">
        <w:t xml:space="preserve">, but </w:t>
      </w:r>
      <w:r w:rsidR="00332D72">
        <w:t>should</w:t>
      </w:r>
      <w:r w:rsidR="00142AED">
        <w:t xml:space="preserve"> strengthen </w:t>
      </w:r>
      <w:r w:rsidR="00332D72">
        <w:t>existing</w:t>
      </w:r>
      <w:r w:rsidR="00142AED">
        <w:t xml:space="preserve"> tools with guidance so that the shelter practitioners can identify necessary actions to take</w:t>
      </w:r>
      <w:r w:rsidR="00332D72">
        <w:t xml:space="preserve"> and include in their programme assessment and planning</w:t>
      </w:r>
      <w:r w:rsidR="00142AED">
        <w:t>.</w:t>
      </w:r>
    </w:p>
    <w:p w14:paraId="33496ECC" w14:textId="1C602CAE" w:rsidR="003527D1" w:rsidRDefault="003527D1" w:rsidP="00783C01">
      <w:pPr>
        <w:pStyle w:val="ListParagraph"/>
        <w:numPr>
          <w:ilvl w:val="0"/>
          <w:numId w:val="31"/>
        </w:numPr>
      </w:pPr>
      <w:r>
        <w:t xml:space="preserve">After the completion of the toolkits, </w:t>
      </w:r>
      <w:r w:rsidR="00332D72">
        <w:t>CARE/IOM will look</w:t>
      </w:r>
      <w:r>
        <w:t xml:space="preserve"> </w:t>
      </w:r>
      <w:r w:rsidR="00332D72">
        <w:t>to pilot/test</w:t>
      </w:r>
      <w:r>
        <w:t xml:space="preserve"> the tools in several field locations.</w:t>
      </w:r>
    </w:p>
    <w:p w14:paraId="3CEF9C2C" w14:textId="77777777" w:rsidR="00332D72" w:rsidRPr="00783C01" w:rsidRDefault="00332D72" w:rsidP="00332D72">
      <w:pPr>
        <w:pStyle w:val="ListParagraph"/>
      </w:pPr>
    </w:p>
    <w:p w14:paraId="641338EA" w14:textId="7A7DF50A" w:rsidR="006900F1" w:rsidRDefault="00142AED" w:rsidP="006900F1">
      <w:pPr>
        <w:rPr>
          <w:b/>
        </w:rPr>
      </w:pPr>
      <w:r>
        <w:rPr>
          <w:b/>
        </w:rPr>
        <w:t>Reviews of each tool in the toolkit</w:t>
      </w:r>
    </w:p>
    <w:p w14:paraId="1A307154" w14:textId="55B40B32" w:rsidR="00332D72" w:rsidRDefault="00332D72" w:rsidP="00142AED">
      <w:pPr>
        <w:pStyle w:val="ListParagraph"/>
        <w:numPr>
          <w:ilvl w:val="0"/>
          <w:numId w:val="28"/>
        </w:numPr>
        <w:ind w:left="720"/>
      </w:pPr>
      <w:r>
        <w:t>Assessment Question Table to be reordered and simplified – cross referenced with IASC GBV guidelines.</w:t>
      </w:r>
    </w:p>
    <w:p w14:paraId="639BA6AE" w14:textId="7D735CCF" w:rsidR="00332D72" w:rsidRDefault="00201D01" w:rsidP="00332D72">
      <w:pPr>
        <w:pStyle w:val="ListParagraph"/>
        <w:numPr>
          <w:ilvl w:val="0"/>
          <w:numId w:val="28"/>
        </w:numPr>
        <w:ind w:left="720"/>
      </w:pPr>
      <w:r>
        <w:t>Regarding the risk register framework, it would be better to start with the shelter activity, so that shelter practitioners</w:t>
      </w:r>
      <w:r w:rsidR="00332D72">
        <w:t xml:space="preserve"> can go straight to the section</w:t>
      </w:r>
      <w:r>
        <w:t xml:space="preserve"> most relevant to their activity.  It would be also better to highlight the </w:t>
      </w:r>
      <w:r w:rsidR="00332D72">
        <w:t xml:space="preserve">GBV </w:t>
      </w:r>
      <w:r>
        <w:t>risks in the framework.  The other option can be good as a teaching method for the shelter practitioner, but for the purpose of this toolkit (quick and easier to reach), starting with shelter activity is better.</w:t>
      </w:r>
    </w:p>
    <w:p w14:paraId="65565B0B" w14:textId="77777777" w:rsidR="00332D72" w:rsidRDefault="00332D72" w:rsidP="00332D72"/>
    <w:tbl>
      <w:tblPr>
        <w:tblpPr w:leftFromText="180" w:rightFromText="180" w:vertAnchor="text"/>
        <w:tblW w:w="8998" w:type="dxa"/>
        <w:tblCellMar>
          <w:left w:w="0" w:type="dxa"/>
          <w:right w:w="0" w:type="dxa"/>
        </w:tblCellMar>
        <w:tblLook w:val="04A0" w:firstRow="1" w:lastRow="0" w:firstColumn="1" w:lastColumn="0" w:noHBand="0" w:noVBand="1"/>
      </w:tblPr>
      <w:tblGrid>
        <w:gridCol w:w="1384"/>
        <w:gridCol w:w="1985"/>
        <w:gridCol w:w="1928"/>
        <w:gridCol w:w="1997"/>
        <w:gridCol w:w="1704"/>
      </w:tblGrid>
      <w:tr w:rsidR="007A122F" w:rsidRPr="007A122F" w14:paraId="6D350901" w14:textId="77777777" w:rsidTr="00332D72">
        <w:trPr>
          <w:trHeight w:val="351"/>
        </w:trPr>
        <w:tc>
          <w:tcPr>
            <w:tcW w:w="1384" w:type="dxa"/>
            <w:tcBorders>
              <w:top w:val="single" w:sz="8" w:space="0" w:color="auto"/>
              <w:left w:val="single" w:sz="8" w:space="0" w:color="auto"/>
              <w:bottom w:val="single" w:sz="8" w:space="0" w:color="auto"/>
              <w:right w:val="nil"/>
            </w:tcBorders>
            <w:shd w:val="clear" w:color="auto" w:fill="C5D9F1"/>
            <w:tcMar>
              <w:top w:w="0" w:type="dxa"/>
              <w:left w:w="108" w:type="dxa"/>
              <w:bottom w:w="0" w:type="dxa"/>
              <w:right w:w="108" w:type="dxa"/>
            </w:tcMar>
            <w:vAlign w:val="bottom"/>
            <w:hideMark/>
          </w:tcPr>
          <w:p w14:paraId="7C514D3D" w14:textId="77777777" w:rsidR="007A122F" w:rsidRPr="007A122F" w:rsidRDefault="007A122F">
            <w:pPr>
              <w:rPr>
                <w:rFonts w:ascii="Calibri" w:eastAsiaTheme="minorHAnsi" w:hAnsi="Calibri"/>
                <w:b/>
                <w:bCs/>
                <w:lang w:eastAsia="en-GB"/>
              </w:rPr>
            </w:pPr>
            <w:r w:rsidRPr="007A122F">
              <w:rPr>
                <w:b/>
                <w:bCs/>
                <w:lang w:eastAsia="en-GB"/>
              </w:rPr>
              <w:t>Risk Register</w:t>
            </w:r>
          </w:p>
        </w:tc>
        <w:tc>
          <w:tcPr>
            <w:tcW w:w="1985" w:type="dxa"/>
            <w:tcBorders>
              <w:top w:val="single" w:sz="8" w:space="0" w:color="auto"/>
              <w:left w:val="nil"/>
              <w:bottom w:val="single" w:sz="8" w:space="0" w:color="auto"/>
              <w:right w:val="nil"/>
            </w:tcBorders>
            <w:shd w:val="clear" w:color="auto" w:fill="C5D9F1"/>
            <w:noWrap/>
            <w:tcMar>
              <w:top w:w="0" w:type="dxa"/>
              <w:left w:w="108" w:type="dxa"/>
              <w:bottom w:w="0" w:type="dxa"/>
              <w:right w:w="108" w:type="dxa"/>
            </w:tcMar>
            <w:vAlign w:val="bottom"/>
            <w:hideMark/>
          </w:tcPr>
          <w:p w14:paraId="560D0C81" w14:textId="77777777" w:rsidR="007A122F" w:rsidRPr="007A122F" w:rsidRDefault="007A122F">
            <w:pPr>
              <w:rPr>
                <w:rFonts w:ascii="Calibri" w:eastAsiaTheme="minorHAnsi" w:hAnsi="Calibri"/>
                <w:lang w:eastAsia="en-GB"/>
              </w:rPr>
            </w:pPr>
            <w:r w:rsidRPr="007A122F">
              <w:rPr>
                <w:lang w:eastAsia="en-GB"/>
              </w:rPr>
              <w:t> </w:t>
            </w:r>
          </w:p>
        </w:tc>
        <w:tc>
          <w:tcPr>
            <w:tcW w:w="1928" w:type="dxa"/>
            <w:tcBorders>
              <w:top w:val="single" w:sz="8" w:space="0" w:color="auto"/>
              <w:left w:val="nil"/>
              <w:bottom w:val="single" w:sz="8" w:space="0" w:color="auto"/>
              <w:right w:val="nil"/>
            </w:tcBorders>
            <w:shd w:val="clear" w:color="auto" w:fill="C5D9F1"/>
            <w:noWrap/>
            <w:tcMar>
              <w:top w:w="0" w:type="dxa"/>
              <w:left w:w="108" w:type="dxa"/>
              <w:bottom w:w="0" w:type="dxa"/>
              <w:right w:w="108" w:type="dxa"/>
            </w:tcMar>
            <w:vAlign w:val="bottom"/>
            <w:hideMark/>
          </w:tcPr>
          <w:p w14:paraId="4DA587B4" w14:textId="77777777" w:rsidR="007A122F" w:rsidRPr="007A122F" w:rsidRDefault="007A122F">
            <w:pPr>
              <w:rPr>
                <w:rFonts w:ascii="Calibri" w:eastAsiaTheme="minorHAnsi" w:hAnsi="Calibri"/>
                <w:lang w:eastAsia="en-GB"/>
              </w:rPr>
            </w:pPr>
            <w:r w:rsidRPr="007A122F">
              <w:rPr>
                <w:lang w:eastAsia="en-GB"/>
              </w:rPr>
              <w:t> </w:t>
            </w:r>
          </w:p>
        </w:tc>
        <w:tc>
          <w:tcPr>
            <w:tcW w:w="1997"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14:paraId="6253F23C" w14:textId="77777777" w:rsidR="007A122F" w:rsidRPr="007A122F" w:rsidRDefault="007A122F">
            <w:pPr>
              <w:rPr>
                <w:rFonts w:ascii="Calibri" w:eastAsiaTheme="minorHAnsi" w:hAnsi="Calibri"/>
                <w:lang w:eastAsia="en-GB"/>
              </w:rPr>
            </w:pPr>
            <w:r w:rsidRPr="007A122F">
              <w:rPr>
                <w:lang w:eastAsia="en-GB"/>
              </w:rPr>
              <w:t> </w:t>
            </w:r>
          </w:p>
        </w:tc>
        <w:tc>
          <w:tcPr>
            <w:tcW w:w="1704"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bottom"/>
            <w:hideMark/>
          </w:tcPr>
          <w:p w14:paraId="4980CC93" w14:textId="77777777" w:rsidR="007A122F" w:rsidRPr="007A122F" w:rsidRDefault="007A122F">
            <w:pPr>
              <w:rPr>
                <w:rFonts w:ascii="Calibri" w:eastAsiaTheme="minorHAnsi" w:hAnsi="Calibri"/>
                <w:lang w:eastAsia="en-GB"/>
              </w:rPr>
            </w:pPr>
            <w:r w:rsidRPr="007A122F">
              <w:rPr>
                <w:lang w:eastAsia="en-GB"/>
              </w:rPr>
              <w:t> </w:t>
            </w:r>
          </w:p>
        </w:tc>
      </w:tr>
      <w:tr w:rsidR="007A122F" w:rsidRPr="007A122F" w14:paraId="3BDFA6B3" w14:textId="77777777" w:rsidTr="00332D72">
        <w:trPr>
          <w:trHeight w:val="254"/>
        </w:trPr>
        <w:tc>
          <w:tcPr>
            <w:tcW w:w="1384" w:type="dxa"/>
            <w:tcMar>
              <w:top w:w="0" w:type="dxa"/>
              <w:left w:w="108" w:type="dxa"/>
              <w:bottom w:w="0" w:type="dxa"/>
              <w:right w:w="108" w:type="dxa"/>
            </w:tcMar>
            <w:vAlign w:val="bottom"/>
            <w:hideMark/>
          </w:tcPr>
          <w:p w14:paraId="26A750E5" w14:textId="77777777" w:rsidR="007A122F" w:rsidRPr="007A122F" w:rsidRDefault="007A122F">
            <w:pPr>
              <w:rPr>
                <w:rFonts w:ascii="Times New Roman" w:eastAsia="Times New Roman" w:hAnsi="Times New Roman"/>
                <w:lang w:eastAsia="en-GB"/>
              </w:rPr>
            </w:pPr>
          </w:p>
        </w:tc>
        <w:tc>
          <w:tcPr>
            <w:tcW w:w="1985" w:type="dxa"/>
            <w:noWrap/>
            <w:tcMar>
              <w:top w:w="0" w:type="dxa"/>
              <w:left w:w="108" w:type="dxa"/>
              <w:bottom w:w="0" w:type="dxa"/>
              <w:right w:w="108" w:type="dxa"/>
            </w:tcMar>
            <w:vAlign w:val="bottom"/>
            <w:hideMark/>
          </w:tcPr>
          <w:p w14:paraId="7BD71976" w14:textId="77777777" w:rsidR="007A122F" w:rsidRPr="007A122F" w:rsidRDefault="007A122F">
            <w:pPr>
              <w:rPr>
                <w:rFonts w:ascii="Times New Roman" w:eastAsia="Times New Roman" w:hAnsi="Times New Roman"/>
                <w:lang w:eastAsia="en-GB"/>
              </w:rPr>
            </w:pPr>
          </w:p>
        </w:tc>
        <w:tc>
          <w:tcPr>
            <w:tcW w:w="1928" w:type="dxa"/>
            <w:noWrap/>
            <w:tcMar>
              <w:top w:w="0" w:type="dxa"/>
              <w:left w:w="108" w:type="dxa"/>
              <w:bottom w:w="0" w:type="dxa"/>
              <w:right w:w="108" w:type="dxa"/>
            </w:tcMar>
            <w:vAlign w:val="bottom"/>
            <w:hideMark/>
          </w:tcPr>
          <w:p w14:paraId="05F8AD85" w14:textId="77777777" w:rsidR="007A122F" w:rsidRPr="007A122F" w:rsidRDefault="007A122F">
            <w:pPr>
              <w:rPr>
                <w:rFonts w:ascii="Times New Roman" w:eastAsia="Times New Roman" w:hAnsi="Times New Roman"/>
                <w:lang w:eastAsia="en-GB"/>
              </w:rPr>
            </w:pPr>
          </w:p>
        </w:tc>
        <w:tc>
          <w:tcPr>
            <w:tcW w:w="1997" w:type="dxa"/>
            <w:noWrap/>
            <w:tcMar>
              <w:top w:w="0" w:type="dxa"/>
              <w:left w:w="108" w:type="dxa"/>
              <w:bottom w:w="0" w:type="dxa"/>
              <w:right w:w="108" w:type="dxa"/>
            </w:tcMar>
            <w:vAlign w:val="bottom"/>
            <w:hideMark/>
          </w:tcPr>
          <w:p w14:paraId="30257F4A" w14:textId="77777777" w:rsidR="007A122F" w:rsidRPr="007A122F" w:rsidRDefault="007A122F">
            <w:pPr>
              <w:rPr>
                <w:rFonts w:ascii="Times New Roman" w:eastAsia="Times New Roman" w:hAnsi="Times New Roman"/>
                <w:lang w:eastAsia="en-GB"/>
              </w:rPr>
            </w:pPr>
          </w:p>
        </w:tc>
        <w:tc>
          <w:tcPr>
            <w:tcW w:w="1704" w:type="dxa"/>
            <w:noWrap/>
            <w:tcMar>
              <w:top w:w="0" w:type="dxa"/>
              <w:left w:w="108" w:type="dxa"/>
              <w:bottom w:w="0" w:type="dxa"/>
              <w:right w:w="108" w:type="dxa"/>
            </w:tcMar>
            <w:vAlign w:val="bottom"/>
            <w:hideMark/>
          </w:tcPr>
          <w:p w14:paraId="299107A9" w14:textId="77777777" w:rsidR="007A122F" w:rsidRPr="007A122F" w:rsidRDefault="007A122F">
            <w:pPr>
              <w:rPr>
                <w:rFonts w:ascii="Times New Roman" w:eastAsia="Times New Roman" w:hAnsi="Times New Roman"/>
                <w:lang w:eastAsia="en-GB"/>
              </w:rPr>
            </w:pPr>
          </w:p>
        </w:tc>
      </w:tr>
      <w:tr w:rsidR="007A122F" w:rsidRPr="007A122F" w14:paraId="509401D5" w14:textId="77777777" w:rsidTr="00332D72">
        <w:trPr>
          <w:trHeight w:val="352"/>
        </w:trPr>
        <w:tc>
          <w:tcPr>
            <w:tcW w:w="1384" w:type="dxa"/>
            <w:tcBorders>
              <w:top w:val="single" w:sz="8" w:space="0" w:color="auto"/>
              <w:left w:val="single" w:sz="8" w:space="0" w:color="auto"/>
              <w:bottom w:val="single" w:sz="8" w:space="0" w:color="auto"/>
              <w:right w:val="single" w:sz="8" w:space="0" w:color="auto"/>
            </w:tcBorders>
            <w:shd w:val="clear" w:color="auto" w:fill="D8E4BC"/>
            <w:tcMar>
              <w:top w:w="0" w:type="dxa"/>
              <w:left w:w="108" w:type="dxa"/>
              <w:bottom w:w="0" w:type="dxa"/>
              <w:right w:w="108" w:type="dxa"/>
            </w:tcMar>
            <w:hideMark/>
          </w:tcPr>
          <w:p w14:paraId="0E0B05BC" w14:textId="77777777" w:rsidR="007A122F" w:rsidRPr="007A122F" w:rsidRDefault="007A122F" w:rsidP="007A122F">
            <w:pPr>
              <w:rPr>
                <w:rFonts w:ascii="Calibri" w:eastAsiaTheme="minorHAnsi" w:hAnsi="Calibri"/>
                <w:b/>
                <w:bCs/>
                <w:sz w:val="18"/>
                <w:lang w:eastAsia="en-GB"/>
              </w:rPr>
            </w:pPr>
            <w:r w:rsidRPr="007A122F">
              <w:rPr>
                <w:b/>
                <w:bCs/>
                <w:sz w:val="18"/>
                <w:lang w:eastAsia="en-GB"/>
              </w:rPr>
              <w:t>Area of Inquiry</w:t>
            </w:r>
          </w:p>
        </w:tc>
        <w:tc>
          <w:tcPr>
            <w:tcW w:w="1985"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hideMark/>
          </w:tcPr>
          <w:p w14:paraId="57E7B591" w14:textId="77777777" w:rsidR="007A122F" w:rsidRPr="007A122F" w:rsidRDefault="007A122F" w:rsidP="007A122F">
            <w:pPr>
              <w:rPr>
                <w:rFonts w:ascii="Calibri" w:eastAsiaTheme="minorHAnsi" w:hAnsi="Calibri"/>
                <w:b/>
                <w:bCs/>
                <w:sz w:val="18"/>
                <w:lang w:eastAsia="en-GB"/>
              </w:rPr>
            </w:pPr>
            <w:r w:rsidRPr="007A122F">
              <w:rPr>
                <w:b/>
                <w:bCs/>
                <w:sz w:val="18"/>
                <w:lang w:eastAsia="en-GB"/>
              </w:rPr>
              <w:t>Info received</w:t>
            </w:r>
          </w:p>
        </w:tc>
        <w:tc>
          <w:tcPr>
            <w:tcW w:w="1928"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hideMark/>
          </w:tcPr>
          <w:p w14:paraId="6F2D6552" w14:textId="769C9E35" w:rsidR="007A122F" w:rsidRPr="007A122F" w:rsidRDefault="00332D72" w:rsidP="007A122F">
            <w:pPr>
              <w:rPr>
                <w:rFonts w:ascii="Calibri" w:eastAsiaTheme="minorHAnsi" w:hAnsi="Calibri"/>
                <w:b/>
                <w:bCs/>
                <w:sz w:val="18"/>
                <w:lang w:eastAsia="en-GB"/>
              </w:rPr>
            </w:pPr>
            <w:r>
              <w:rPr>
                <w:b/>
                <w:bCs/>
                <w:sz w:val="18"/>
                <w:lang w:eastAsia="en-GB"/>
              </w:rPr>
              <w:t xml:space="preserve">GBV </w:t>
            </w:r>
            <w:r w:rsidR="007A122F" w:rsidRPr="007A122F">
              <w:rPr>
                <w:b/>
                <w:bCs/>
                <w:sz w:val="18"/>
                <w:lang w:eastAsia="en-GB"/>
              </w:rPr>
              <w:t>Risk</w:t>
            </w:r>
          </w:p>
        </w:tc>
        <w:tc>
          <w:tcPr>
            <w:tcW w:w="1997"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hideMark/>
          </w:tcPr>
          <w:p w14:paraId="3B94FF56" w14:textId="77777777" w:rsidR="007A122F" w:rsidRPr="007A122F" w:rsidRDefault="007A122F" w:rsidP="007A122F">
            <w:pPr>
              <w:rPr>
                <w:rFonts w:ascii="Calibri" w:eastAsiaTheme="minorHAnsi" w:hAnsi="Calibri"/>
                <w:b/>
                <w:bCs/>
                <w:sz w:val="18"/>
                <w:lang w:eastAsia="en-GB"/>
              </w:rPr>
            </w:pPr>
            <w:r w:rsidRPr="007A122F">
              <w:rPr>
                <w:b/>
                <w:bCs/>
                <w:sz w:val="18"/>
                <w:lang w:eastAsia="en-GB"/>
              </w:rPr>
              <w:t>Mitigating actions</w:t>
            </w:r>
          </w:p>
        </w:tc>
        <w:tc>
          <w:tcPr>
            <w:tcW w:w="1704" w:type="dxa"/>
            <w:tcBorders>
              <w:top w:val="single" w:sz="8" w:space="0" w:color="auto"/>
              <w:left w:val="nil"/>
              <w:bottom w:val="single" w:sz="8" w:space="0" w:color="auto"/>
              <w:right w:val="single" w:sz="8" w:space="0" w:color="auto"/>
            </w:tcBorders>
            <w:shd w:val="clear" w:color="auto" w:fill="D8E4BC"/>
            <w:tcMar>
              <w:top w:w="0" w:type="dxa"/>
              <w:left w:w="108" w:type="dxa"/>
              <w:bottom w:w="0" w:type="dxa"/>
              <w:right w:w="108" w:type="dxa"/>
            </w:tcMar>
            <w:hideMark/>
          </w:tcPr>
          <w:p w14:paraId="5E146C85" w14:textId="7423B2CE" w:rsidR="007A122F" w:rsidRPr="007A122F" w:rsidRDefault="007A122F" w:rsidP="007A122F">
            <w:pPr>
              <w:rPr>
                <w:rFonts w:ascii="Calibri" w:eastAsiaTheme="minorHAnsi" w:hAnsi="Calibri"/>
                <w:b/>
                <w:bCs/>
                <w:sz w:val="18"/>
                <w:lang w:eastAsia="en-GB"/>
              </w:rPr>
            </w:pPr>
            <w:r w:rsidRPr="007A122F">
              <w:rPr>
                <w:b/>
                <w:bCs/>
                <w:sz w:val="18"/>
                <w:lang w:eastAsia="en-GB"/>
              </w:rPr>
              <w:t>Responsible</w:t>
            </w:r>
          </w:p>
        </w:tc>
      </w:tr>
      <w:tr w:rsidR="007A122F" w:rsidRPr="007A122F" w14:paraId="6EECAB5D" w14:textId="77777777" w:rsidTr="00332D72">
        <w:trPr>
          <w:trHeight w:val="1807"/>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72836" w14:textId="77777777" w:rsidR="007A122F" w:rsidRPr="007A122F" w:rsidRDefault="007A122F">
            <w:pPr>
              <w:rPr>
                <w:rFonts w:ascii="Calibri" w:eastAsiaTheme="minorHAnsi" w:hAnsi="Calibri"/>
                <w:b/>
                <w:bCs/>
                <w:sz w:val="18"/>
                <w:lang w:eastAsia="en-GB"/>
              </w:rPr>
            </w:pPr>
            <w:r w:rsidRPr="007A122F">
              <w:rPr>
                <w:b/>
                <w:bCs/>
                <w:sz w:val="18"/>
                <w:lang w:eastAsia="en-GB"/>
              </w:rPr>
              <w:t>Basic Info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86E85AB" w14:textId="79516422" w:rsidR="007A122F" w:rsidRPr="007A122F" w:rsidRDefault="007A122F" w:rsidP="00332D72">
            <w:pPr>
              <w:rPr>
                <w:rFonts w:ascii="Calibri" w:eastAsiaTheme="minorHAnsi" w:hAnsi="Calibri"/>
                <w:sz w:val="18"/>
                <w:lang w:eastAsia="en-GB"/>
              </w:rPr>
            </w:pPr>
            <w:r w:rsidRPr="007A122F">
              <w:rPr>
                <w:sz w:val="18"/>
                <w:lang w:eastAsia="en-GB"/>
              </w:rPr>
              <w:t xml:space="preserve">A lack of good Sex and Age Disaggregated Data can mean an oversight - missing the fact that there are unaccompanied young females, or young female headed </w:t>
            </w:r>
            <w:r w:rsidR="00332D72">
              <w:rPr>
                <w:sz w:val="18"/>
                <w:lang w:eastAsia="en-GB"/>
              </w:rPr>
              <w:t>HH</w:t>
            </w:r>
            <w:r w:rsidRPr="007A122F">
              <w:rPr>
                <w:sz w:val="18"/>
                <w:lang w:eastAsia="en-GB"/>
              </w:rPr>
              <w:t>.</w:t>
            </w:r>
          </w:p>
        </w:tc>
        <w:tc>
          <w:tcPr>
            <w:tcW w:w="1928" w:type="dxa"/>
            <w:tcBorders>
              <w:top w:val="nil"/>
              <w:left w:val="nil"/>
              <w:bottom w:val="single" w:sz="8" w:space="0" w:color="auto"/>
              <w:right w:val="single" w:sz="8" w:space="0" w:color="auto"/>
            </w:tcBorders>
            <w:tcMar>
              <w:top w:w="0" w:type="dxa"/>
              <w:left w:w="108" w:type="dxa"/>
              <w:bottom w:w="0" w:type="dxa"/>
              <w:right w:w="108" w:type="dxa"/>
            </w:tcMar>
            <w:hideMark/>
          </w:tcPr>
          <w:p w14:paraId="730ADA18" w14:textId="77777777" w:rsidR="007A122F" w:rsidRPr="007A122F" w:rsidRDefault="007A122F">
            <w:pPr>
              <w:rPr>
                <w:rFonts w:ascii="Calibri" w:eastAsiaTheme="minorHAnsi" w:hAnsi="Calibri"/>
                <w:sz w:val="18"/>
                <w:lang w:eastAsia="en-GB"/>
              </w:rPr>
            </w:pPr>
            <w:r w:rsidRPr="007A122F">
              <w:rPr>
                <w:sz w:val="18"/>
                <w:lang w:eastAsia="en-GB"/>
              </w:rPr>
              <w:t>There could be a risk of sexual exploitation for access to shelter NFIs or vouchers, shelters etc.</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025DB6EB" w14:textId="77777777" w:rsidR="007A122F" w:rsidRPr="007A122F" w:rsidRDefault="007A122F">
            <w:pPr>
              <w:rPr>
                <w:rFonts w:ascii="Calibri" w:eastAsiaTheme="minorHAnsi" w:hAnsi="Calibri"/>
                <w:sz w:val="18"/>
                <w:lang w:eastAsia="en-GB"/>
              </w:rPr>
            </w:pPr>
            <w:r w:rsidRPr="007A122F">
              <w:rPr>
                <w:sz w:val="18"/>
                <w:lang w:eastAsia="en-GB"/>
              </w:rPr>
              <w:t>Shelter NFIs: Ensure specific support to FFH HH's etc.</w:t>
            </w:r>
            <w:r w:rsidRPr="007A122F">
              <w:rPr>
                <w:sz w:val="18"/>
                <w:lang w:eastAsia="en-GB"/>
              </w:rPr>
              <w:br/>
            </w:r>
            <w:r w:rsidRPr="007A122F">
              <w:rPr>
                <w:sz w:val="18"/>
                <w:lang w:eastAsia="en-GB"/>
              </w:rPr>
              <w:br/>
              <w:t>Rental grants: xxxxx</w:t>
            </w:r>
            <w:r w:rsidRPr="007A122F">
              <w:rPr>
                <w:sz w:val="18"/>
                <w:lang w:eastAsia="en-GB"/>
              </w:rPr>
              <w:br/>
            </w:r>
            <w:r w:rsidRPr="007A122F">
              <w:rPr>
                <w:sz w:val="18"/>
                <w:lang w:eastAsia="en-GB"/>
              </w:rPr>
              <w:br/>
              <w:t>Construction: xxxxx</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603F13EF" w14:textId="77777777" w:rsidR="007A122F" w:rsidRPr="007A122F" w:rsidRDefault="007A122F">
            <w:pPr>
              <w:rPr>
                <w:rFonts w:ascii="Calibri" w:eastAsiaTheme="minorHAnsi" w:hAnsi="Calibri"/>
                <w:sz w:val="18"/>
                <w:lang w:eastAsia="en-GB"/>
              </w:rPr>
            </w:pPr>
            <w:r w:rsidRPr="007A122F">
              <w:rPr>
                <w:sz w:val="18"/>
                <w:lang w:eastAsia="en-GB"/>
              </w:rPr>
              <w:t>Everyone - especially M&amp;E, IM, Emergency Team leader, enumerators and Technical Staff</w:t>
            </w:r>
          </w:p>
        </w:tc>
      </w:tr>
      <w:tr w:rsidR="008C5189" w:rsidRPr="007A122F" w14:paraId="642CCE2B" w14:textId="77777777" w:rsidTr="008C5189">
        <w:trPr>
          <w:trHeight w:val="401"/>
        </w:trPr>
        <w:tc>
          <w:tcPr>
            <w:tcW w:w="8998" w:type="dxa"/>
            <w:gridSpan w:val="5"/>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14:paraId="135FFAFF" w14:textId="472E13F4" w:rsidR="008C5189" w:rsidRPr="007A122F" w:rsidRDefault="008C5189" w:rsidP="008C5189">
            <w:pPr>
              <w:jc w:val="center"/>
              <w:rPr>
                <w:b/>
                <w:bCs/>
                <w:sz w:val="18"/>
                <w:lang w:eastAsia="en-GB"/>
              </w:rPr>
            </w:pPr>
            <w:r>
              <w:rPr>
                <w:b/>
                <w:bCs/>
                <w:sz w:val="18"/>
                <w:lang w:eastAsia="en-GB"/>
              </w:rPr>
              <w:t>OR…</w:t>
            </w:r>
          </w:p>
        </w:tc>
      </w:tr>
      <w:tr w:rsidR="007A122F" w:rsidRPr="007A122F" w14:paraId="1809131B" w14:textId="77777777" w:rsidTr="00332D72">
        <w:trPr>
          <w:trHeight w:val="459"/>
        </w:trPr>
        <w:tc>
          <w:tcPr>
            <w:tcW w:w="1384" w:type="dxa"/>
            <w:tcBorders>
              <w:top w:val="nil"/>
              <w:left w:val="single" w:sz="8" w:space="0" w:color="auto"/>
              <w:bottom w:val="single" w:sz="8" w:space="0" w:color="auto"/>
              <w:right w:val="single" w:sz="8" w:space="0" w:color="auto"/>
            </w:tcBorders>
            <w:shd w:val="clear" w:color="auto" w:fill="D8E4BC"/>
            <w:tcMar>
              <w:top w:w="0" w:type="dxa"/>
              <w:left w:w="108" w:type="dxa"/>
              <w:bottom w:w="0" w:type="dxa"/>
              <w:right w:w="108" w:type="dxa"/>
            </w:tcMar>
            <w:vAlign w:val="bottom"/>
            <w:hideMark/>
          </w:tcPr>
          <w:p w14:paraId="08770314" w14:textId="77777777" w:rsidR="007A122F" w:rsidRPr="007A122F" w:rsidRDefault="007A122F">
            <w:pPr>
              <w:rPr>
                <w:rFonts w:ascii="Calibri" w:eastAsiaTheme="minorHAnsi" w:hAnsi="Calibri"/>
                <w:b/>
                <w:bCs/>
                <w:sz w:val="18"/>
                <w:lang w:eastAsia="en-GB"/>
              </w:rPr>
            </w:pPr>
            <w:r w:rsidRPr="007A122F">
              <w:rPr>
                <w:b/>
                <w:bCs/>
                <w:sz w:val="18"/>
                <w:lang w:eastAsia="en-GB"/>
              </w:rPr>
              <w:t>Shelter Activity</w:t>
            </w:r>
          </w:p>
        </w:tc>
        <w:tc>
          <w:tcPr>
            <w:tcW w:w="1985" w:type="dxa"/>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hideMark/>
          </w:tcPr>
          <w:p w14:paraId="58BDC625" w14:textId="77777777" w:rsidR="007A122F" w:rsidRPr="007A122F" w:rsidRDefault="007A122F">
            <w:pPr>
              <w:rPr>
                <w:rFonts w:ascii="Calibri" w:eastAsiaTheme="minorHAnsi" w:hAnsi="Calibri"/>
                <w:b/>
                <w:bCs/>
                <w:sz w:val="18"/>
                <w:lang w:eastAsia="en-GB"/>
              </w:rPr>
            </w:pPr>
            <w:r w:rsidRPr="007A122F">
              <w:rPr>
                <w:b/>
                <w:bCs/>
                <w:sz w:val="18"/>
                <w:lang w:eastAsia="en-GB"/>
              </w:rPr>
              <w:t>Area of Inquiry</w:t>
            </w:r>
          </w:p>
        </w:tc>
        <w:tc>
          <w:tcPr>
            <w:tcW w:w="1928" w:type="dxa"/>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hideMark/>
          </w:tcPr>
          <w:p w14:paraId="036755E8" w14:textId="716E4A6A" w:rsidR="007A122F" w:rsidRPr="007A122F" w:rsidRDefault="007A122F">
            <w:pPr>
              <w:rPr>
                <w:rFonts w:ascii="Calibri" w:eastAsiaTheme="minorHAnsi" w:hAnsi="Calibri"/>
                <w:b/>
                <w:bCs/>
                <w:sz w:val="18"/>
                <w:lang w:eastAsia="en-GB"/>
              </w:rPr>
            </w:pPr>
            <w:r w:rsidRPr="007A122F">
              <w:rPr>
                <w:b/>
                <w:bCs/>
                <w:sz w:val="18"/>
                <w:lang w:eastAsia="en-GB"/>
              </w:rPr>
              <w:t xml:space="preserve">Associated </w:t>
            </w:r>
            <w:r w:rsidR="00332D72">
              <w:rPr>
                <w:b/>
                <w:bCs/>
                <w:sz w:val="18"/>
                <w:lang w:eastAsia="en-GB"/>
              </w:rPr>
              <w:t xml:space="preserve">GBV </w:t>
            </w:r>
            <w:r w:rsidRPr="007A122F">
              <w:rPr>
                <w:b/>
                <w:bCs/>
                <w:sz w:val="18"/>
                <w:lang w:eastAsia="en-GB"/>
              </w:rPr>
              <w:t>Risks</w:t>
            </w:r>
          </w:p>
        </w:tc>
        <w:tc>
          <w:tcPr>
            <w:tcW w:w="1997" w:type="dxa"/>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hideMark/>
          </w:tcPr>
          <w:p w14:paraId="2E575E4E" w14:textId="77777777" w:rsidR="007A122F" w:rsidRPr="007A122F" w:rsidRDefault="007A122F">
            <w:pPr>
              <w:rPr>
                <w:rFonts w:ascii="Calibri" w:eastAsiaTheme="minorHAnsi" w:hAnsi="Calibri"/>
                <w:b/>
                <w:bCs/>
                <w:sz w:val="18"/>
                <w:lang w:eastAsia="en-GB"/>
              </w:rPr>
            </w:pPr>
            <w:r w:rsidRPr="007A122F">
              <w:rPr>
                <w:b/>
                <w:bCs/>
                <w:sz w:val="18"/>
                <w:lang w:eastAsia="en-GB"/>
              </w:rPr>
              <w:t>Mitigating actions</w:t>
            </w:r>
          </w:p>
        </w:tc>
        <w:tc>
          <w:tcPr>
            <w:tcW w:w="1704" w:type="dxa"/>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hideMark/>
          </w:tcPr>
          <w:p w14:paraId="68C99293" w14:textId="77777777" w:rsidR="007A122F" w:rsidRPr="007A122F" w:rsidRDefault="007A122F">
            <w:pPr>
              <w:rPr>
                <w:rFonts w:ascii="Calibri" w:eastAsiaTheme="minorHAnsi" w:hAnsi="Calibri"/>
                <w:b/>
                <w:bCs/>
                <w:sz w:val="18"/>
                <w:lang w:eastAsia="en-GB"/>
              </w:rPr>
            </w:pPr>
            <w:r w:rsidRPr="007A122F">
              <w:rPr>
                <w:b/>
                <w:bCs/>
                <w:sz w:val="18"/>
                <w:lang w:eastAsia="en-GB"/>
              </w:rPr>
              <w:t>Responsible</w:t>
            </w:r>
          </w:p>
        </w:tc>
      </w:tr>
      <w:tr w:rsidR="007A122F" w:rsidRPr="007A122F" w14:paraId="2A2C936B" w14:textId="77777777" w:rsidTr="00332D72">
        <w:trPr>
          <w:trHeight w:val="1529"/>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2EB665" w14:textId="77777777" w:rsidR="007A122F" w:rsidRPr="007A122F" w:rsidRDefault="007A122F">
            <w:pPr>
              <w:rPr>
                <w:rFonts w:ascii="Calibri" w:eastAsiaTheme="minorHAnsi" w:hAnsi="Calibri"/>
                <w:sz w:val="18"/>
                <w:lang w:eastAsia="en-GB"/>
              </w:rPr>
            </w:pPr>
            <w:r w:rsidRPr="007A122F">
              <w:rPr>
                <w:sz w:val="18"/>
                <w:lang w:eastAsia="en-GB"/>
              </w:rPr>
              <w:lastRenderedPageBreak/>
              <w:t>Shelter NFIs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181463" w14:textId="77777777" w:rsidR="007A122F" w:rsidRPr="007A122F" w:rsidRDefault="007A122F">
            <w:pPr>
              <w:rPr>
                <w:rFonts w:ascii="Calibri" w:eastAsiaTheme="minorHAnsi" w:hAnsi="Calibri"/>
                <w:sz w:val="18"/>
                <w:lang w:eastAsia="en-GB"/>
              </w:rPr>
            </w:pPr>
            <w:r w:rsidRPr="007A122F">
              <w:rPr>
                <w:sz w:val="18"/>
                <w:lang w:eastAsia="en-GB"/>
              </w:rPr>
              <w:t>Basic Info</w:t>
            </w:r>
          </w:p>
        </w:tc>
        <w:tc>
          <w:tcPr>
            <w:tcW w:w="1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2EFAE" w14:textId="77777777" w:rsidR="007A122F" w:rsidRPr="007A122F" w:rsidRDefault="007A122F">
            <w:pPr>
              <w:rPr>
                <w:rFonts w:ascii="Calibri" w:eastAsiaTheme="minorHAnsi" w:hAnsi="Calibri"/>
                <w:sz w:val="18"/>
                <w:lang w:eastAsia="en-GB"/>
              </w:rPr>
            </w:pPr>
            <w:r w:rsidRPr="007A122F">
              <w:rPr>
                <w:sz w:val="18"/>
                <w:lang w:eastAsia="en-GB"/>
              </w:rPr>
              <w:t>There could be a risk of sexual exploitation for access to shelter NFIs or vouchers, shelters etc.</w:t>
            </w:r>
          </w:p>
        </w:tc>
        <w:tc>
          <w:tcPr>
            <w:tcW w:w="1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1DE9E" w14:textId="77777777" w:rsidR="007A122F" w:rsidRPr="007A122F" w:rsidRDefault="007A122F">
            <w:pPr>
              <w:rPr>
                <w:rFonts w:ascii="Calibri" w:eastAsiaTheme="minorHAnsi" w:hAnsi="Calibri"/>
                <w:sz w:val="18"/>
                <w:lang w:eastAsia="en-GB"/>
              </w:rPr>
            </w:pPr>
            <w:r w:rsidRPr="007A122F">
              <w:rPr>
                <w:sz w:val="18"/>
                <w:lang w:eastAsia="en-GB"/>
              </w:rPr>
              <w:t>Shelter NFIs: Ensure specific support to FFH HH's etc.</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64FB4" w14:textId="77777777" w:rsidR="007A122F" w:rsidRPr="007A122F" w:rsidRDefault="007A122F">
            <w:pPr>
              <w:rPr>
                <w:rFonts w:ascii="Calibri" w:eastAsiaTheme="minorHAnsi" w:hAnsi="Calibri"/>
                <w:sz w:val="18"/>
                <w:lang w:eastAsia="en-GB"/>
              </w:rPr>
            </w:pPr>
            <w:r w:rsidRPr="007A122F">
              <w:rPr>
                <w:sz w:val="18"/>
                <w:lang w:eastAsia="en-GB"/>
              </w:rPr>
              <w:t>Everyone - especially M&amp;E, IM, Emergency Team leader, enumerators and Technical Staff</w:t>
            </w:r>
          </w:p>
        </w:tc>
      </w:tr>
    </w:tbl>
    <w:p w14:paraId="4093E27B" w14:textId="77777777" w:rsidR="007A122F" w:rsidRDefault="007A122F" w:rsidP="007A122F">
      <w:pPr>
        <w:pStyle w:val="ListParagraph"/>
      </w:pPr>
    </w:p>
    <w:p w14:paraId="7FD085B8" w14:textId="520E79B4" w:rsidR="00201D01" w:rsidRDefault="00201D01" w:rsidP="00142AED">
      <w:pPr>
        <w:pStyle w:val="ListParagraph"/>
        <w:numPr>
          <w:ilvl w:val="0"/>
          <w:numId w:val="28"/>
        </w:numPr>
        <w:ind w:left="720"/>
      </w:pPr>
      <w:r>
        <w:t>Due to the chaotic nature at the very beginning of the emergency response, the risk analysis does not happen most of the time, therefore these document which can be a quick guide</w:t>
      </w:r>
      <w:r w:rsidR="006F2DEE">
        <w:t xml:space="preserve"> (awareness on GBV, bare minimum of what to do)</w:t>
      </w:r>
      <w:r>
        <w:t xml:space="preserve"> for the people on the ground is most needed and welcomed.</w:t>
      </w:r>
    </w:p>
    <w:p w14:paraId="773E8EDF" w14:textId="1F197CA2" w:rsidR="00B30801" w:rsidRDefault="00B30801" w:rsidP="00142AED">
      <w:pPr>
        <w:pStyle w:val="ListParagraph"/>
        <w:numPr>
          <w:ilvl w:val="0"/>
          <w:numId w:val="28"/>
        </w:numPr>
        <w:ind w:left="720"/>
      </w:pPr>
      <w:r>
        <w:t>Looking at the existing Shelter Cluster and other tools</w:t>
      </w:r>
      <w:r w:rsidR="00FC621F">
        <w:t xml:space="preserve"> (</w:t>
      </w:r>
      <w:r w:rsidR="006F2DEE">
        <w:t>common/</w:t>
      </w:r>
      <w:r w:rsidR="00FC621F">
        <w:t>multi-cluster assessment, REACH etc.)</w:t>
      </w:r>
      <w:r>
        <w:t xml:space="preserve"> </w:t>
      </w:r>
      <w:r w:rsidR="006F2DEE">
        <w:t xml:space="preserve">would help </w:t>
      </w:r>
      <w:r w:rsidR="00332D72">
        <w:t xml:space="preserve">inform </w:t>
      </w:r>
      <w:r w:rsidR="006F2DEE">
        <w:t>how this draft toolkit can be useful and incorporated in the existing tools.</w:t>
      </w:r>
    </w:p>
    <w:p w14:paraId="2D297A42" w14:textId="73800427" w:rsidR="006F2DEE" w:rsidRDefault="006F2DEE" w:rsidP="006F2DEE">
      <w:pPr>
        <w:pStyle w:val="ListParagraph"/>
        <w:numPr>
          <w:ilvl w:val="0"/>
          <w:numId w:val="28"/>
        </w:numPr>
        <w:ind w:left="720"/>
      </w:pPr>
      <w:r>
        <w:t xml:space="preserve">It would be also important to make reference to other tools on other type of vulnerability (age, children, disability etc., </w:t>
      </w:r>
      <w:r w:rsidR="004A1DEF">
        <w:t>and protection</w:t>
      </w:r>
      <w:r>
        <w:t xml:space="preserve"> as a whole) so that the audience would not be pressured with to do list for each, but to mention the overlaps to be streamlined and demonstrating the usage and applicability of this toolkit to other vulnerabilities.</w:t>
      </w:r>
    </w:p>
    <w:p w14:paraId="6964FE1F" w14:textId="600A7DDB" w:rsidR="00B30801" w:rsidRDefault="00B30801" w:rsidP="00142AED">
      <w:pPr>
        <w:pStyle w:val="ListParagraph"/>
        <w:numPr>
          <w:ilvl w:val="0"/>
          <w:numId w:val="28"/>
        </w:numPr>
        <w:ind w:left="720"/>
      </w:pPr>
      <w:r>
        <w:t xml:space="preserve">Reference to Do No Harm principle to be included </w:t>
      </w:r>
      <w:r w:rsidR="006F2DEE">
        <w:t>in the toolkit</w:t>
      </w:r>
      <w:r>
        <w:t xml:space="preserve">, advising the users that before you </w:t>
      </w:r>
      <w:r w:rsidR="004A1DEF">
        <w:t>intervene</w:t>
      </w:r>
      <w:r>
        <w:t xml:space="preserve">, </w:t>
      </w:r>
      <w:r w:rsidR="004A1DEF">
        <w:t xml:space="preserve">to </w:t>
      </w:r>
      <w:r>
        <w:t xml:space="preserve">consider </w:t>
      </w:r>
      <w:r w:rsidR="004A1DEF">
        <w:t>what the impacts of your action may be</w:t>
      </w:r>
      <w:r>
        <w:t>, mentioning shelter practitioners’ liability.</w:t>
      </w:r>
    </w:p>
    <w:p w14:paraId="7820CE8B" w14:textId="035A0A46" w:rsidR="004937F0" w:rsidRDefault="006F2DEE" w:rsidP="00142AED">
      <w:pPr>
        <w:pStyle w:val="ListParagraph"/>
        <w:numPr>
          <w:ilvl w:val="0"/>
          <w:numId w:val="28"/>
        </w:numPr>
        <w:ind w:left="720"/>
      </w:pPr>
      <w:r>
        <w:t>E</w:t>
      </w:r>
      <w:r w:rsidR="00451E83">
        <w:t>lement on interaction with communities need to be included.</w:t>
      </w:r>
    </w:p>
    <w:p w14:paraId="463BCF49" w14:textId="514A2E27" w:rsidR="00451E83" w:rsidRDefault="0051753E" w:rsidP="00142AED">
      <w:pPr>
        <w:pStyle w:val="ListParagraph"/>
        <w:numPr>
          <w:ilvl w:val="0"/>
          <w:numId w:val="28"/>
        </w:numPr>
        <w:ind w:left="720"/>
      </w:pPr>
      <w:r>
        <w:t>On the response tool, in the heading of the tool, it is better to explain that the likelihood of encountering GBV incident and to know who to refer to and seek information from, and where to go and contact if there are no formal system (i.e. informal women’s group etc.)</w:t>
      </w:r>
    </w:p>
    <w:p w14:paraId="0DE32149" w14:textId="3FADE17E" w:rsidR="008C5189" w:rsidRDefault="008C5189" w:rsidP="00142AED">
      <w:pPr>
        <w:pStyle w:val="ListParagraph"/>
        <w:numPr>
          <w:ilvl w:val="0"/>
          <w:numId w:val="28"/>
        </w:numPr>
        <w:ind w:left="720"/>
      </w:pPr>
      <w:r>
        <w:t>Compare to whistle blowing in cases of child protection</w:t>
      </w:r>
      <w:r w:rsidR="00530786">
        <w:t xml:space="preserve"> (Save to input)</w:t>
      </w:r>
      <w:r>
        <w:t>.</w:t>
      </w:r>
    </w:p>
    <w:p w14:paraId="25D95CFF" w14:textId="1A669C64" w:rsidR="0051753E" w:rsidRDefault="0051753E" w:rsidP="00142AED">
      <w:pPr>
        <w:pStyle w:val="ListParagraph"/>
        <w:numPr>
          <w:ilvl w:val="0"/>
          <w:numId w:val="28"/>
        </w:numPr>
        <w:ind w:left="720"/>
      </w:pPr>
      <w:r>
        <w:t>The current response tool need</w:t>
      </w:r>
      <w:r w:rsidR="008C5189">
        <w:t>s</w:t>
      </w:r>
      <w:r>
        <w:t xml:space="preserve"> to be </w:t>
      </w:r>
      <w:r w:rsidR="006B4796">
        <w:t xml:space="preserve">simpler </w:t>
      </w:r>
      <w:r>
        <w:t xml:space="preserve">lighter. </w:t>
      </w:r>
    </w:p>
    <w:p w14:paraId="628F5B16" w14:textId="220168F7" w:rsidR="0051753E" w:rsidRDefault="0051753E" w:rsidP="00142AED">
      <w:pPr>
        <w:pStyle w:val="ListParagraph"/>
        <w:numPr>
          <w:ilvl w:val="0"/>
          <w:numId w:val="28"/>
        </w:numPr>
        <w:ind w:left="720"/>
      </w:pPr>
      <w:r>
        <w:t>The hierarchy of obligation/responsibility can be clarified and mentioned in the tool.</w:t>
      </w:r>
      <w:r w:rsidR="00A048B4">
        <w:t xml:space="preserve">  Identifying an example of flow of action can be useful, clarifying responsibility.</w:t>
      </w:r>
      <w:r w:rsidR="00482D5D">
        <w:t xml:space="preserve">  </w:t>
      </w:r>
      <w:r w:rsidR="006B4796">
        <w:t>It is better to mention s</w:t>
      </w:r>
      <w:r w:rsidR="00482D5D">
        <w:t>ensitivity of the issue to be considered when you handle/refer the case.</w:t>
      </w:r>
    </w:p>
    <w:p w14:paraId="74CDFF15" w14:textId="1A6F5219" w:rsidR="00482D5D" w:rsidRDefault="00482D5D" w:rsidP="00142AED">
      <w:pPr>
        <w:pStyle w:val="ListParagraph"/>
        <w:numPr>
          <w:ilvl w:val="0"/>
          <w:numId w:val="28"/>
        </w:numPr>
        <w:ind w:left="720"/>
      </w:pPr>
      <w:r>
        <w:t>Making this response tool also in the form of</w:t>
      </w:r>
      <w:r w:rsidR="00332D72">
        <w:t xml:space="preserve"> a</w:t>
      </w:r>
      <w:r>
        <w:t xml:space="preserve"> </w:t>
      </w:r>
      <w:r w:rsidR="00332D72">
        <w:t>‘</w:t>
      </w:r>
      <w:r>
        <w:t>Constant Companion</w:t>
      </w:r>
      <w:r w:rsidR="00332D72">
        <w:t>’</w:t>
      </w:r>
      <w:r>
        <w:t xml:space="preserve"> would be appreciated for the field staff, indicating what to do step by step in </w:t>
      </w:r>
      <w:r w:rsidR="00332D72">
        <w:t xml:space="preserve">a </w:t>
      </w:r>
      <w:r>
        <w:t>simple manner</w:t>
      </w:r>
      <w:r w:rsidR="00332D72">
        <w:t xml:space="preserve"> and plain language (</w:t>
      </w:r>
      <w:r w:rsidR="008C5189">
        <w:t>for translation</w:t>
      </w:r>
      <w:r w:rsidR="00332D72">
        <w:t xml:space="preserve">) – </w:t>
      </w:r>
      <w:r w:rsidR="008C5189">
        <w:t xml:space="preserve">Or a </w:t>
      </w:r>
      <w:r w:rsidR="00332D72">
        <w:t>pocket size</w:t>
      </w:r>
      <w:r w:rsidR="008C5189">
        <w:t>d flow chart for reporting</w:t>
      </w:r>
      <w:r>
        <w:t>.</w:t>
      </w:r>
    </w:p>
    <w:p w14:paraId="5A0DEE4D" w14:textId="20125E33" w:rsidR="00482D5D" w:rsidRDefault="00332D72" w:rsidP="00142AED">
      <w:pPr>
        <w:pStyle w:val="ListParagraph"/>
        <w:numPr>
          <w:ilvl w:val="0"/>
          <w:numId w:val="28"/>
        </w:numPr>
        <w:ind w:left="720"/>
      </w:pPr>
      <w:r>
        <w:t xml:space="preserve">The </w:t>
      </w:r>
      <w:r w:rsidR="00482D5D">
        <w:t xml:space="preserve">Response tool can be used as </w:t>
      </w:r>
      <w:r w:rsidR="006B4796">
        <w:t xml:space="preserve">a </w:t>
      </w:r>
      <w:r w:rsidR="00482D5D">
        <w:t xml:space="preserve">tool for </w:t>
      </w:r>
      <w:r w:rsidR="008C5189">
        <w:t>sensitizing</w:t>
      </w:r>
      <w:r w:rsidR="00482D5D">
        <w:t xml:space="preserve"> the team on </w:t>
      </w:r>
      <w:r>
        <w:t>GBV.</w:t>
      </w:r>
    </w:p>
    <w:p w14:paraId="708E50BE" w14:textId="5C478B1D" w:rsidR="00A048B4" w:rsidRDefault="00482D5D" w:rsidP="00142AED">
      <w:pPr>
        <w:pStyle w:val="ListParagraph"/>
        <w:numPr>
          <w:ilvl w:val="0"/>
          <w:numId w:val="28"/>
        </w:numPr>
        <w:ind w:left="720"/>
      </w:pPr>
      <w:r>
        <w:t>Consider that different referral pathway can be followed for those case</w:t>
      </w:r>
      <w:r w:rsidR="00332D72">
        <w:t>s</w:t>
      </w:r>
      <w:r>
        <w:t xml:space="preserve"> which happened within the scope of the project of the agency or outside of the project.</w:t>
      </w:r>
    </w:p>
    <w:p w14:paraId="2EAE3C40" w14:textId="78608450" w:rsidR="00482D5D" w:rsidRDefault="00706A4C" w:rsidP="00142AED">
      <w:pPr>
        <w:pStyle w:val="ListParagraph"/>
        <w:numPr>
          <w:ilvl w:val="0"/>
          <w:numId w:val="28"/>
        </w:numPr>
        <w:ind w:left="720"/>
      </w:pPr>
      <w:r>
        <w:t xml:space="preserve">Need to be careful not to raise expectation where there is no capacity to respond, but </w:t>
      </w:r>
      <w:r w:rsidR="006F2DEE">
        <w:t xml:space="preserve">note that </w:t>
      </w:r>
      <w:r>
        <w:t xml:space="preserve">it is also humanitarian actor’s </w:t>
      </w:r>
      <w:r w:rsidR="006F2DEE">
        <w:t>responsibility to take up the issue of non-existence of referral pathway.</w:t>
      </w:r>
    </w:p>
    <w:p w14:paraId="71428002" w14:textId="13C95AD4" w:rsidR="00F0246C" w:rsidRPr="00FE4449" w:rsidRDefault="00F0246C" w:rsidP="00F0246C"/>
    <w:sectPr w:rsidR="00F0246C" w:rsidRPr="00FE4449" w:rsidSect="00D940D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16DBA" w14:textId="77777777" w:rsidR="005E335D" w:rsidRDefault="005E335D" w:rsidP="00584F10">
      <w:pPr>
        <w:spacing w:after="0" w:line="240" w:lineRule="auto"/>
      </w:pPr>
      <w:r>
        <w:separator/>
      </w:r>
    </w:p>
  </w:endnote>
  <w:endnote w:type="continuationSeparator" w:id="0">
    <w:p w14:paraId="711E8EC3" w14:textId="77777777" w:rsidR="005E335D" w:rsidRDefault="005E335D"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5213D" w14:textId="5F1108AC" w:rsidR="00F0246C" w:rsidRPr="00B2499F" w:rsidRDefault="00F0246C" w:rsidP="00913C21">
    <w:pPr>
      <w:pStyle w:val="Footer"/>
      <w:rPr>
        <w:color w:val="7F1416"/>
        <w:sz w:val="18"/>
        <w:szCs w:val="18"/>
      </w:rPr>
    </w:pPr>
    <w:r>
      <w:rPr>
        <w:noProof/>
        <w:color w:val="7F1416"/>
        <w:sz w:val="18"/>
        <w:szCs w:val="18"/>
      </w:rPr>
      <mc:AlternateContent>
        <mc:Choice Requires="wps">
          <w:drawing>
            <wp:anchor distT="4294967294" distB="4294967294" distL="114300" distR="114300" simplePos="0" relativeHeight="251657728" behindDoc="0" locked="0" layoutInCell="1" allowOverlap="1" wp14:anchorId="6BE8053D" wp14:editId="3F1DD811">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0052B4"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8560B2">
      <w:rPr>
        <w:noProof/>
        <w:color w:val="7F1416"/>
        <w:sz w:val="18"/>
        <w:szCs w:val="18"/>
      </w:rPr>
      <w:t>2</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4E47" w14:textId="77777777" w:rsidR="005E335D" w:rsidRDefault="005E335D" w:rsidP="00584F10">
      <w:pPr>
        <w:spacing w:after="0" w:line="240" w:lineRule="auto"/>
      </w:pPr>
      <w:r>
        <w:separator/>
      </w:r>
    </w:p>
  </w:footnote>
  <w:footnote w:type="continuationSeparator" w:id="0">
    <w:p w14:paraId="668293F4" w14:textId="77777777" w:rsidR="005E335D" w:rsidRDefault="005E335D"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0BE28" w14:textId="77777777" w:rsidR="00F0246C" w:rsidRPr="00717F55" w:rsidRDefault="008560B2" w:rsidP="00CE5166">
    <w:pPr>
      <w:pStyle w:val="Header"/>
      <w:ind w:firstLine="567"/>
      <w:rPr>
        <w:rFonts w:ascii="Verdana" w:hAnsi="Verdana"/>
        <w:szCs w:val="20"/>
      </w:rPr>
    </w:pPr>
    <w:sdt>
      <w:sdtPr>
        <w:rPr>
          <w:rFonts w:ascii="Verdana" w:hAnsi="Verdana"/>
          <w:b/>
          <w:color w:val="7F1416"/>
          <w:szCs w:val="20"/>
        </w:rPr>
        <w:id w:val="-443619835"/>
        <w:docPartObj>
          <w:docPartGallery w:val="Watermarks"/>
          <w:docPartUnique/>
        </w:docPartObj>
      </w:sdtPr>
      <w:sdtEndPr/>
      <w:sdtContent>
        <w:r>
          <w:rPr>
            <w:rFonts w:ascii="Verdana" w:hAnsi="Verdana"/>
            <w:b/>
            <w:noProof/>
            <w:color w:val="7F1416"/>
            <w:szCs w:val="20"/>
            <w:lang w:eastAsia="en-US"/>
          </w:rPr>
          <w:pict w14:anchorId="2FC4F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0246C" w:rsidRPr="00717F55">
      <w:rPr>
        <w:rFonts w:ascii="Verdana" w:hAnsi="Verdana"/>
        <w:b/>
        <w:noProof/>
        <w:color w:val="7F1416"/>
        <w:szCs w:val="20"/>
      </w:rPr>
      <w:drawing>
        <wp:anchor distT="0" distB="0" distL="114300" distR="114300" simplePos="0" relativeHeight="251656704" behindDoc="0" locked="0" layoutInCell="1" allowOverlap="1" wp14:anchorId="31F0236E" wp14:editId="648C0D53">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00F0246C" w:rsidRPr="00717F55">
      <w:rPr>
        <w:rFonts w:ascii="Verdana" w:hAnsi="Verdana"/>
        <w:b/>
        <w:color w:val="7F1416"/>
        <w:szCs w:val="20"/>
      </w:rPr>
      <w:t>Global Shelter Cluster</w:t>
    </w:r>
  </w:p>
  <w:p w14:paraId="134BB2EA" w14:textId="77777777" w:rsidR="00F0246C" w:rsidRPr="00717F55" w:rsidRDefault="00F0246C"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14:paraId="5A1B7F31" w14:textId="77777777" w:rsidR="00F0246C" w:rsidRDefault="00F0246C"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14:paraId="6BEB5FE0" w14:textId="77777777" w:rsidR="00F0246C" w:rsidRPr="005C324F" w:rsidRDefault="00F0246C"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6F70"/>
    <w:multiLevelType w:val="hybridMultilevel"/>
    <w:tmpl w:val="F6B8A298"/>
    <w:lvl w:ilvl="0" w:tplc="C8F28620">
      <w:start w:val="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5" w15:restartNumberingAfterBreak="0">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6271A"/>
    <w:multiLevelType w:val="hybridMultilevel"/>
    <w:tmpl w:val="D042F90A"/>
    <w:lvl w:ilvl="0" w:tplc="6C3243D6">
      <w:start w:val="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9" w15:restartNumberingAfterBreak="0">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E20D32"/>
    <w:multiLevelType w:val="hybridMultilevel"/>
    <w:tmpl w:val="AF365FD2"/>
    <w:lvl w:ilvl="0" w:tplc="0088BE1E">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0B0435"/>
    <w:multiLevelType w:val="hybridMultilevel"/>
    <w:tmpl w:val="27FAE4C4"/>
    <w:lvl w:ilvl="0" w:tplc="0088BE1E">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26439F"/>
    <w:multiLevelType w:val="hybridMultilevel"/>
    <w:tmpl w:val="EFAAD94A"/>
    <w:lvl w:ilvl="0" w:tplc="0088BE1E">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4"/>
  </w:num>
  <w:num w:numId="5">
    <w:abstractNumId w:val="28"/>
  </w:num>
  <w:num w:numId="6">
    <w:abstractNumId w:val="11"/>
  </w:num>
  <w:num w:numId="7">
    <w:abstractNumId w:val="21"/>
  </w:num>
  <w:num w:numId="8">
    <w:abstractNumId w:val="18"/>
  </w:num>
  <w:num w:numId="9">
    <w:abstractNumId w:val="9"/>
  </w:num>
  <w:num w:numId="10">
    <w:abstractNumId w:val="23"/>
  </w:num>
  <w:num w:numId="11">
    <w:abstractNumId w:val="26"/>
  </w:num>
  <w:num w:numId="12">
    <w:abstractNumId w:val="6"/>
  </w:num>
  <w:num w:numId="13">
    <w:abstractNumId w:val="15"/>
  </w:num>
  <w:num w:numId="14">
    <w:abstractNumId w:val="19"/>
  </w:num>
  <w:num w:numId="15">
    <w:abstractNumId w:val="27"/>
  </w:num>
  <w:num w:numId="16">
    <w:abstractNumId w:val="25"/>
  </w:num>
  <w:num w:numId="17">
    <w:abstractNumId w:val="16"/>
  </w:num>
  <w:num w:numId="18">
    <w:abstractNumId w:val="5"/>
  </w:num>
  <w:num w:numId="19">
    <w:abstractNumId w:val="1"/>
  </w:num>
  <w:num w:numId="20">
    <w:abstractNumId w:val="13"/>
  </w:num>
  <w:num w:numId="21">
    <w:abstractNumId w:val="24"/>
  </w:num>
  <w:num w:numId="22">
    <w:abstractNumId w:val="10"/>
  </w:num>
  <w:num w:numId="23">
    <w:abstractNumId w:val="2"/>
  </w:num>
  <w:num w:numId="24">
    <w:abstractNumId w:val="7"/>
  </w:num>
  <w:num w:numId="25">
    <w:abstractNumId w:val="20"/>
  </w:num>
  <w:num w:numId="26">
    <w:abstractNumId w:val="3"/>
  </w:num>
  <w:num w:numId="27">
    <w:abstractNumId w:val="29"/>
  </w:num>
  <w:num w:numId="28">
    <w:abstractNumId w:val="30"/>
  </w:num>
  <w:num w:numId="29">
    <w:abstractNumId w:val="22"/>
  </w:num>
  <w:num w:numId="30">
    <w:abstractNumId w:val="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91"/>
  <w:drawingGridVerticalSpacing w:val="9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5D"/>
    <w:rsid w:val="00013D97"/>
    <w:rsid w:val="00020687"/>
    <w:rsid w:val="00030530"/>
    <w:rsid w:val="00062558"/>
    <w:rsid w:val="00071D43"/>
    <w:rsid w:val="000874E5"/>
    <w:rsid w:val="00090A37"/>
    <w:rsid w:val="00091764"/>
    <w:rsid w:val="000977A9"/>
    <w:rsid w:val="000B4FB0"/>
    <w:rsid w:val="000C5665"/>
    <w:rsid w:val="000D5F34"/>
    <w:rsid w:val="000F170F"/>
    <w:rsid w:val="001011E9"/>
    <w:rsid w:val="00110270"/>
    <w:rsid w:val="00116D41"/>
    <w:rsid w:val="001171B8"/>
    <w:rsid w:val="001244BB"/>
    <w:rsid w:val="001312DF"/>
    <w:rsid w:val="00142AED"/>
    <w:rsid w:val="00161C31"/>
    <w:rsid w:val="00163E2F"/>
    <w:rsid w:val="001767A4"/>
    <w:rsid w:val="00192EED"/>
    <w:rsid w:val="001A3D1C"/>
    <w:rsid w:val="001A52BA"/>
    <w:rsid w:val="001E109D"/>
    <w:rsid w:val="001E4389"/>
    <w:rsid w:val="001E71DE"/>
    <w:rsid w:val="001F18F1"/>
    <w:rsid w:val="00201D01"/>
    <w:rsid w:val="00203D40"/>
    <w:rsid w:val="00205387"/>
    <w:rsid w:val="002154CA"/>
    <w:rsid w:val="00217E6B"/>
    <w:rsid w:val="00223F7D"/>
    <w:rsid w:val="0024055B"/>
    <w:rsid w:val="00241F07"/>
    <w:rsid w:val="0026576D"/>
    <w:rsid w:val="00276798"/>
    <w:rsid w:val="002856C7"/>
    <w:rsid w:val="00291988"/>
    <w:rsid w:val="002A04AE"/>
    <w:rsid w:val="002B0591"/>
    <w:rsid w:val="002B680E"/>
    <w:rsid w:val="002C2EE4"/>
    <w:rsid w:val="002C30A4"/>
    <w:rsid w:val="002E1D60"/>
    <w:rsid w:val="002E28D1"/>
    <w:rsid w:val="002E568B"/>
    <w:rsid w:val="002E64B5"/>
    <w:rsid w:val="002E6B43"/>
    <w:rsid w:val="002F0383"/>
    <w:rsid w:val="002F3F2F"/>
    <w:rsid w:val="002F7B37"/>
    <w:rsid w:val="00307310"/>
    <w:rsid w:val="00311C0B"/>
    <w:rsid w:val="00315C0F"/>
    <w:rsid w:val="00320A52"/>
    <w:rsid w:val="003232A2"/>
    <w:rsid w:val="00332D72"/>
    <w:rsid w:val="003527D1"/>
    <w:rsid w:val="003738B6"/>
    <w:rsid w:val="00391887"/>
    <w:rsid w:val="0039539C"/>
    <w:rsid w:val="003A4B8D"/>
    <w:rsid w:val="003C0D47"/>
    <w:rsid w:val="003C38D1"/>
    <w:rsid w:val="003C582E"/>
    <w:rsid w:val="003D3B37"/>
    <w:rsid w:val="003E70F6"/>
    <w:rsid w:val="003E71BC"/>
    <w:rsid w:val="003F023D"/>
    <w:rsid w:val="003F4219"/>
    <w:rsid w:val="00400A3D"/>
    <w:rsid w:val="004424C8"/>
    <w:rsid w:val="00446AC9"/>
    <w:rsid w:val="00451E83"/>
    <w:rsid w:val="00454DFD"/>
    <w:rsid w:val="00455A19"/>
    <w:rsid w:val="004674BD"/>
    <w:rsid w:val="00477BB3"/>
    <w:rsid w:val="00482D5D"/>
    <w:rsid w:val="00483E5C"/>
    <w:rsid w:val="00485BF9"/>
    <w:rsid w:val="00485CDA"/>
    <w:rsid w:val="00487FB6"/>
    <w:rsid w:val="004937F0"/>
    <w:rsid w:val="004A1DEF"/>
    <w:rsid w:val="004C7173"/>
    <w:rsid w:val="004D4B4A"/>
    <w:rsid w:val="004E622D"/>
    <w:rsid w:val="004F53AA"/>
    <w:rsid w:val="0050377B"/>
    <w:rsid w:val="00510903"/>
    <w:rsid w:val="0051752C"/>
    <w:rsid w:val="0051753E"/>
    <w:rsid w:val="00523A33"/>
    <w:rsid w:val="005260B4"/>
    <w:rsid w:val="0053049C"/>
    <w:rsid w:val="00530786"/>
    <w:rsid w:val="0053395D"/>
    <w:rsid w:val="00567F7D"/>
    <w:rsid w:val="0057408E"/>
    <w:rsid w:val="00584F10"/>
    <w:rsid w:val="005B7B5E"/>
    <w:rsid w:val="005C324F"/>
    <w:rsid w:val="005D2A9A"/>
    <w:rsid w:val="005D6DF3"/>
    <w:rsid w:val="005E335D"/>
    <w:rsid w:val="005E6B61"/>
    <w:rsid w:val="005F0D53"/>
    <w:rsid w:val="005F57A6"/>
    <w:rsid w:val="00606EE7"/>
    <w:rsid w:val="00614602"/>
    <w:rsid w:val="006230BF"/>
    <w:rsid w:val="00640275"/>
    <w:rsid w:val="00643791"/>
    <w:rsid w:val="00661014"/>
    <w:rsid w:val="00677930"/>
    <w:rsid w:val="006900F1"/>
    <w:rsid w:val="00690722"/>
    <w:rsid w:val="00694025"/>
    <w:rsid w:val="00696D39"/>
    <w:rsid w:val="006B4796"/>
    <w:rsid w:val="006B4882"/>
    <w:rsid w:val="006B6B15"/>
    <w:rsid w:val="006C5FAB"/>
    <w:rsid w:val="006D744A"/>
    <w:rsid w:val="006F2DEE"/>
    <w:rsid w:val="006F67D6"/>
    <w:rsid w:val="006F6CBD"/>
    <w:rsid w:val="00706A4C"/>
    <w:rsid w:val="00716660"/>
    <w:rsid w:val="00717F55"/>
    <w:rsid w:val="0072278F"/>
    <w:rsid w:val="007312A2"/>
    <w:rsid w:val="00733F2A"/>
    <w:rsid w:val="00734009"/>
    <w:rsid w:val="00761A2C"/>
    <w:rsid w:val="00765564"/>
    <w:rsid w:val="00773FD9"/>
    <w:rsid w:val="00780BF8"/>
    <w:rsid w:val="00780EFE"/>
    <w:rsid w:val="00783C01"/>
    <w:rsid w:val="007864FF"/>
    <w:rsid w:val="00790CB0"/>
    <w:rsid w:val="007A122F"/>
    <w:rsid w:val="007C2B2D"/>
    <w:rsid w:val="007D27E6"/>
    <w:rsid w:val="007D3389"/>
    <w:rsid w:val="00806D4E"/>
    <w:rsid w:val="00813A44"/>
    <w:rsid w:val="00821E17"/>
    <w:rsid w:val="00821E60"/>
    <w:rsid w:val="00825528"/>
    <w:rsid w:val="00832406"/>
    <w:rsid w:val="00832E7E"/>
    <w:rsid w:val="0084110A"/>
    <w:rsid w:val="0084754C"/>
    <w:rsid w:val="008526DD"/>
    <w:rsid w:val="008560B2"/>
    <w:rsid w:val="008630F7"/>
    <w:rsid w:val="008705EC"/>
    <w:rsid w:val="008769B9"/>
    <w:rsid w:val="00882413"/>
    <w:rsid w:val="00883E0D"/>
    <w:rsid w:val="008969B5"/>
    <w:rsid w:val="008A5C5D"/>
    <w:rsid w:val="008B037F"/>
    <w:rsid w:val="008B14BE"/>
    <w:rsid w:val="008B2895"/>
    <w:rsid w:val="008C06F0"/>
    <w:rsid w:val="008C3D2D"/>
    <w:rsid w:val="008C5189"/>
    <w:rsid w:val="008C6C92"/>
    <w:rsid w:val="008C7872"/>
    <w:rsid w:val="008D3D2E"/>
    <w:rsid w:val="008E3F4F"/>
    <w:rsid w:val="008F2572"/>
    <w:rsid w:val="008F6AC7"/>
    <w:rsid w:val="00913C21"/>
    <w:rsid w:val="00930F85"/>
    <w:rsid w:val="00945A73"/>
    <w:rsid w:val="009505F9"/>
    <w:rsid w:val="0095081B"/>
    <w:rsid w:val="00951CA1"/>
    <w:rsid w:val="0096584E"/>
    <w:rsid w:val="00981673"/>
    <w:rsid w:val="00987E70"/>
    <w:rsid w:val="009A4FE4"/>
    <w:rsid w:val="009B6AAE"/>
    <w:rsid w:val="009C0760"/>
    <w:rsid w:val="009E7ABF"/>
    <w:rsid w:val="00A00FCF"/>
    <w:rsid w:val="00A021E3"/>
    <w:rsid w:val="00A048B4"/>
    <w:rsid w:val="00A16B69"/>
    <w:rsid w:val="00A22B22"/>
    <w:rsid w:val="00A23C02"/>
    <w:rsid w:val="00A25E4B"/>
    <w:rsid w:val="00A33C4C"/>
    <w:rsid w:val="00A37909"/>
    <w:rsid w:val="00A60668"/>
    <w:rsid w:val="00A60B2D"/>
    <w:rsid w:val="00A616DE"/>
    <w:rsid w:val="00A82C22"/>
    <w:rsid w:val="00A91929"/>
    <w:rsid w:val="00A92B90"/>
    <w:rsid w:val="00A977A9"/>
    <w:rsid w:val="00AA4074"/>
    <w:rsid w:val="00AB2AF8"/>
    <w:rsid w:val="00AB47E0"/>
    <w:rsid w:val="00AB769F"/>
    <w:rsid w:val="00AB7F13"/>
    <w:rsid w:val="00AC2AD2"/>
    <w:rsid w:val="00AE23F4"/>
    <w:rsid w:val="00B166BD"/>
    <w:rsid w:val="00B2499F"/>
    <w:rsid w:val="00B250E5"/>
    <w:rsid w:val="00B30801"/>
    <w:rsid w:val="00B32032"/>
    <w:rsid w:val="00B425DC"/>
    <w:rsid w:val="00B47014"/>
    <w:rsid w:val="00B55CBA"/>
    <w:rsid w:val="00B72373"/>
    <w:rsid w:val="00B728D0"/>
    <w:rsid w:val="00B737F0"/>
    <w:rsid w:val="00BA2F40"/>
    <w:rsid w:val="00BA40E5"/>
    <w:rsid w:val="00BA57D3"/>
    <w:rsid w:val="00BA6BB6"/>
    <w:rsid w:val="00BB0AFF"/>
    <w:rsid w:val="00BB4A12"/>
    <w:rsid w:val="00BC0A81"/>
    <w:rsid w:val="00BC4D75"/>
    <w:rsid w:val="00BC50CC"/>
    <w:rsid w:val="00BD6830"/>
    <w:rsid w:val="00BD6B11"/>
    <w:rsid w:val="00BE685E"/>
    <w:rsid w:val="00BE7BE0"/>
    <w:rsid w:val="00BF30D4"/>
    <w:rsid w:val="00C05A3D"/>
    <w:rsid w:val="00C23D0C"/>
    <w:rsid w:val="00C355E2"/>
    <w:rsid w:val="00C45A6E"/>
    <w:rsid w:val="00C55774"/>
    <w:rsid w:val="00C75497"/>
    <w:rsid w:val="00C81294"/>
    <w:rsid w:val="00C91470"/>
    <w:rsid w:val="00C92CF3"/>
    <w:rsid w:val="00CB1B92"/>
    <w:rsid w:val="00CB38E2"/>
    <w:rsid w:val="00CC360A"/>
    <w:rsid w:val="00CD3CC5"/>
    <w:rsid w:val="00CE5166"/>
    <w:rsid w:val="00D042A0"/>
    <w:rsid w:val="00D1203F"/>
    <w:rsid w:val="00D14A53"/>
    <w:rsid w:val="00D16ADE"/>
    <w:rsid w:val="00D17181"/>
    <w:rsid w:val="00D265FC"/>
    <w:rsid w:val="00D33732"/>
    <w:rsid w:val="00D35CA6"/>
    <w:rsid w:val="00D41053"/>
    <w:rsid w:val="00D463F7"/>
    <w:rsid w:val="00D650D3"/>
    <w:rsid w:val="00D65E04"/>
    <w:rsid w:val="00D7148C"/>
    <w:rsid w:val="00D73ADD"/>
    <w:rsid w:val="00D81853"/>
    <w:rsid w:val="00D92430"/>
    <w:rsid w:val="00D940D0"/>
    <w:rsid w:val="00DA1CBE"/>
    <w:rsid w:val="00DB3DBA"/>
    <w:rsid w:val="00DC07F5"/>
    <w:rsid w:val="00DD187F"/>
    <w:rsid w:val="00DD1A95"/>
    <w:rsid w:val="00DE357F"/>
    <w:rsid w:val="00DF2192"/>
    <w:rsid w:val="00DF4E95"/>
    <w:rsid w:val="00E12CCE"/>
    <w:rsid w:val="00E17338"/>
    <w:rsid w:val="00E17A2A"/>
    <w:rsid w:val="00E20F5B"/>
    <w:rsid w:val="00E32C7F"/>
    <w:rsid w:val="00E35E9E"/>
    <w:rsid w:val="00E36C33"/>
    <w:rsid w:val="00E52F1D"/>
    <w:rsid w:val="00E55792"/>
    <w:rsid w:val="00E567A1"/>
    <w:rsid w:val="00E7333B"/>
    <w:rsid w:val="00E86518"/>
    <w:rsid w:val="00E87C3D"/>
    <w:rsid w:val="00E936BB"/>
    <w:rsid w:val="00E95676"/>
    <w:rsid w:val="00ED0E37"/>
    <w:rsid w:val="00ED32BF"/>
    <w:rsid w:val="00ED3EEC"/>
    <w:rsid w:val="00EE3557"/>
    <w:rsid w:val="00EF0115"/>
    <w:rsid w:val="00EF2574"/>
    <w:rsid w:val="00F0246C"/>
    <w:rsid w:val="00F14FEC"/>
    <w:rsid w:val="00F3369F"/>
    <w:rsid w:val="00F47481"/>
    <w:rsid w:val="00F5045A"/>
    <w:rsid w:val="00F51155"/>
    <w:rsid w:val="00F65731"/>
    <w:rsid w:val="00F95A0C"/>
    <w:rsid w:val="00FA189D"/>
    <w:rsid w:val="00FA2C99"/>
    <w:rsid w:val="00FA6D2A"/>
    <w:rsid w:val="00FA70D1"/>
    <w:rsid w:val="00FC2932"/>
    <w:rsid w:val="00FC621F"/>
    <w:rsid w:val="00FC79F3"/>
    <w:rsid w:val="00FD6274"/>
    <w:rsid w:val="00FE013D"/>
    <w:rsid w:val="00FE0A00"/>
    <w:rsid w:val="00FE4449"/>
    <w:rsid w:val="00FE5B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5720A4"/>
  <w15:docId w15:val="{C14D268F-352F-487D-8CE6-3BB7AD7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37909"/>
    <w:rPr>
      <w:sz w:val="16"/>
      <w:szCs w:val="16"/>
    </w:rPr>
  </w:style>
  <w:style w:type="paragraph" w:styleId="CommentText">
    <w:name w:val="annotation text"/>
    <w:basedOn w:val="Normal"/>
    <w:link w:val="CommentTextChar"/>
    <w:uiPriority w:val="99"/>
    <w:semiHidden/>
    <w:unhideWhenUsed/>
    <w:rsid w:val="00A37909"/>
    <w:pPr>
      <w:spacing w:line="240" w:lineRule="auto"/>
    </w:pPr>
    <w:rPr>
      <w:szCs w:val="20"/>
    </w:rPr>
  </w:style>
  <w:style w:type="character" w:customStyle="1" w:styleId="CommentTextChar">
    <w:name w:val="Comment Text Char"/>
    <w:basedOn w:val="DefaultParagraphFont"/>
    <w:link w:val="CommentText"/>
    <w:uiPriority w:val="99"/>
    <w:semiHidden/>
    <w:rsid w:val="00A37909"/>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A37909"/>
    <w:rPr>
      <w:b/>
      <w:bCs/>
    </w:rPr>
  </w:style>
  <w:style w:type="character" w:customStyle="1" w:styleId="CommentSubjectChar">
    <w:name w:val="Comment Subject Char"/>
    <w:basedOn w:val="CommentTextChar"/>
    <w:link w:val="CommentSubject"/>
    <w:uiPriority w:val="99"/>
    <w:semiHidden/>
    <w:rsid w:val="00A37909"/>
    <w:rPr>
      <w:rFonts w:ascii="Arial Narrow" w:hAnsi="Arial Narrow"/>
      <w:b/>
      <w:bCs/>
      <w:sz w:val="20"/>
      <w:szCs w:val="20"/>
    </w:rPr>
  </w:style>
  <w:style w:type="character" w:styleId="FollowedHyperlink">
    <w:name w:val="FollowedHyperlink"/>
    <w:basedOn w:val="DefaultParagraphFont"/>
    <w:uiPriority w:val="99"/>
    <w:semiHidden/>
    <w:unhideWhenUsed/>
    <w:rsid w:val="00A37909"/>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0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/Global/_layouts/WebsioPreviewField/preview.aspx?ID=407d3656-0055-44c0-b521-7ca8ec2b90e3&amp;WebID=30d679d3-1a3d-45e2-8217-3a6e66821850&amp;SiteID=0e29c24b-3e6a-4c7c-8cc1-69b27805b55c</Websio_x0020_Document_x0020_Preview>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TaxCatchAll xmlns="96664bca-06c0-4657-b6f9-0a997f5ff9b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3D78-6EFB-430B-B90C-F2AE01014930}">
  <ds:schemaRef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96664bca-06c0-4657-b6f9-0a997f5ff9b9"/>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3.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40E368-218E-4679-B0EE-3BDDDF93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0</TotalTime>
  <Pages>3</Pages>
  <Words>1121</Words>
  <Characters>6394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UEDA Haruka</cp:lastModifiedBy>
  <cp:revision>2</cp:revision>
  <cp:lastPrinted>2016-07-11T14:46:00Z</cp:lastPrinted>
  <dcterms:created xsi:type="dcterms:W3CDTF">2016-09-06T16:25:00Z</dcterms:created>
  <dcterms:modified xsi:type="dcterms:W3CDTF">2016-09-06T16:25:00Z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