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35" w:rsidRDefault="00BA6935" w:rsidP="00BA6935">
      <w:pPr>
        <w:pStyle w:val="Heading1"/>
        <w:spacing w:before="0"/>
        <w:jc w:val="center"/>
        <w:rPr>
          <w:lang w:val="en-GB"/>
        </w:rPr>
      </w:pPr>
      <w:bookmarkStart w:id="0" w:name="_GoBack"/>
      <w:bookmarkEnd w:id="0"/>
      <w:r>
        <w:rPr>
          <w:lang w:val="en-GB"/>
        </w:rPr>
        <w:t xml:space="preserve">Global Shelter Cluster (GSC) </w:t>
      </w:r>
      <w:r w:rsidRPr="00662024">
        <w:rPr>
          <w:lang w:val="en-GB"/>
        </w:rPr>
        <w:t>S</w:t>
      </w:r>
      <w:r>
        <w:rPr>
          <w:lang w:val="en-GB"/>
        </w:rPr>
        <w:t>trategic Advisory Group (S</w:t>
      </w:r>
      <w:r w:rsidRPr="00662024">
        <w:rPr>
          <w:lang w:val="en-GB"/>
        </w:rPr>
        <w:t>AG</w:t>
      </w:r>
      <w:r>
        <w:rPr>
          <w:lang w:val="en-GB"/>
        </w:rPr>
        <w:t>)</w:t>
      </w:r>
      <w:r w:rsidRPr="00662024">
        <w:rPr>
          <w:lang w:val="en-GB"/>
        </w:rPr>
        <w:t xml:space="preserve"> </w:t>
      </w:r>
      <w:r>
        <w:rPr>
          <w:lang w:val="en-GB"/>
        </w:rPr>
        <w:t>R</w:t>
      </w:r>
      <w:r w:rsidRPr="00662024">
        <w:rPr>
          <w:lang w:val="en-GB"/>
        </w:rPr>
        <w:t>etreat</w:t>
      </w:r>
    </w:p>
    <w:p w:rsidR="00BA6935" w:rsidRPr="00662024" w:rsidRDefault="00BA6935" w:rsidP="00767947">
      <w:pPr>
        <w:pStyle w:val="Heading1"/>
        <w:spacing w:before="0"/>
        <w:jc w:val="center"/>
        <w:rPr>
          <w:lang w:val="en-GB"/>
        </w:rPr>
      </w:pPr>
      <w:r>
        <w:rPr>
          <w:lang w:val="en-GB"/>
        </w:rPr>
        <w:t xml:space="preserve">(8-9 December 2014) </w:t>
      </w:r>
      <w:r w:rsidRPr="00662024">
        <w:rPr>
          <w:lang w:val="en-GB"/>
        </w:rPr>
        <w:t xml:space="preserve">– </w:t>
      </w:r>
      <w:r>
        <w:rPr>
          <w:lang w:val="en-GB"/>
        </w:rPr>
        <w:t xml:space="preserve">Meeting Notes and </w:t>
      </w:r>
      <w:r w:rsidR="00767947">
        <w:rPr>
          <w:lang w:val="en-GB"/>
        </w:rPr>
        <w:t>Decisions</w:t>
      </w:r>
    </w:p>
    <w:p w:rsidR="00577897" w:rsidRDefault="00577897" w:rsidP="00577897">
      <w:pPr>
        <w:rPr>
          <w:lang w:val="en-GB"/>
        </w:rPr>
      </w:pPr>
    </w:p>
    <w:p w:rsidR="000D56A2" w:rsidRDefault="00DC61CF" w:rsidP="00FD1C93">
      <w:pPr>
        <w:rPr>
          <w:lang w:val="en-GB"/>
        </w:rPr>
      </w:pPr>
      <w:r>
        <w:rPr>
          <w:lang w:val="en-GB"/>
        </w:rPr>
        <w:t xml:space="preserve">The GSG SAG held its annual retreat in Geneva on December 8-9, 2014. </w:t>
      </w:r>
      <w:r w:rsidR="000D56A2">
        <w:rPr>
          <w:lang w:val="en-GB"/>
        </w:rPr>
        <w:t xml:space="preserve">The GSC SAG 2014 retreat centred around two key issues that SAG members </w:t>
      </w:r>
      <w:r w:rsidR="00570164">
        <w:rPr>
          <w:lang w:val="en-GB"/>
        </w:rPr>
        <w:t>agreed</w:t>
      </w:r>
      <w:r w:rsidR="000D56A2">
        <w:rPr>
          <w:lang w:val="en-GB"/>
        </w:rPr>
        <w:t xml:space="preserve"> required detailed discussion and further clarification: sustainability and governance. A more detailed agenda can be found in </w:t>
      </w:r>
      <w:r w:rsidR="00FD1C93" w:rsidRPr="00FD1C93">
        <w:rPr>
          <w:b/>
          <w:bCs/>
          <w:i/>
          <w:iCs/>
          <w:lang w:val="en-GB"/>
        </w:rPr>
        <w:t>Annex 1 - Agenda</w:t>
      </w:r>
      <w:r w:rsidR="000D56A2">
        <w:rPr>
          <w:lang w:val="en-GB"/>
        </w:rPr>
        <w:t>.</w:t>
      </w:r>
    </w:p>
    <w:p w:rsidR="000D56A2" w:rsidRDefault="000D56A2" w:rsidP="000D56A2">
      <w:pPr>
        <w:rPr>
          <w:lang w:val="en-GB"/>
        </w:rPr>
      </w:pPr>
    </w:p>
    <w:p w:rsidR="00BA6935" w:rsidRDefault="000D56A2" w:rsidP="000D56A2">
      <w:pPr>
        <w:rPr>
          <w:lang w:val="en-GB"/>
        </w:rPr>
      </w:pPr>
      <w:r w:rsidRPr="00E86816">
        <w:rPr>
          <w:rFonts w:ascii="Verdana" w:eastAsiaTheme="majorEastAsia" w:hAnsi="Verdana" w:cstheme="majorBidi"/>
          <w:bCs/>
          <w:i/>
          <w:color w:val="04314C"/>
          <w:szCs w:val="26"/>
          <w:lang w:val="en-GB"/>
        </w:rPr>
        <w:t>Participants</w:t>
      </w:r>
      <w:r>
        <w:rPr>
          <w:lang w:val="en-GB"/>
        </w:rPr>
        <w:t xml:space="preserve">:  </w:t>
      </w:r>
    </w:p>
    <w:p w:rsidR="005B4FDC" w:rsidRPr="005B4FDC" w:rsidRDefault="005B4FDC" w:rsidP="008256F5">
      <w:pPr>
        <w:rPr>
          <w:lang w:val="en-GB"/>
        </w:rPr>
      </w:pPr>
      <w:r w:rsidRPr="005B4FDC">
        <w:rPr>
          <w:lang w:val="en-GB"/>
        </w:rPr>
        <w:t>Brett Moore (World Vision Int</w:t>
      </w:r>
      <w:r w:rsidR="008256F5">
        <w:rPr>
          <w:lang w:val="en-GB"/>
        </w:rPr>
        <w:t>e</w:t>
      </w:r>
      <w:r w:rsidR="009028DD">
        <w:rPr>
          <w:lang w:val="en-GB"/>
        </w:rPr>
        <w:t>r</w:t>
      </w:r>
      <w:r w:rsidR="008256F5">
        <w:rPr>
          <w:lang w:val="en-GB"/>
        </w:rPr>
        <w:t>national</w:t>
      </w:r>
      <w:r w:rsidRPr="005B4FDC">
        <w:rPr>
          <w:lang w:val="en-GB"/>
        </w:rPr>
        <w:t xml:space="preserve">), David Evans (UNHABITAT), Jake </w:t>
      </w:r>
      <w:proofErr w:type="spellStart"/>
      <w:r w:rsidRPr="005B4FDC">
        <w:rPr>
          <w:lang w:val="en-GB"/>
        </w:rPr>
        <w:t>Zarins</w:t>
      </w:r>
      <w:proofErr w:type="spellEnd"/>
      <w:r w:rsidRPr="005B4FDC">
        <w:rPr>
          <w:lang w:val="en-GB"/>
        </w:rPr>
        <w:t xml:space="preserve"> (NRC), Joseph </w:t>
      </w:r>
      <w:proofErr w:type="spellStart"/>
      <w:r w:rsidRPr="005B4FDC">
        <w:rPr>
          <w:lang w:val="en-GB"/>
        </w:rPr>
        <w:t>Ashmore</w:t>
      </w:r>
      <w:proofErr w:type="spellEnd"/>
      <w:r w:rsidRPr="005B4FDC">
        <w:rPr>
          <w:lang w:val="en-GB"/>
        </w:rPr>
        <w:t xml:space="preserve"> (IOM), Kip </w:t>
      </w:r>
      <w:proofErr w:type="spellStart"/>
      <w:r w:rsidRPr="005B4FDC">
        <w:rPr>
          <w:lang w:val="en-GB"/>
        </w:rPr>
        <w:t>Scheidler</w:t>
      </w:r>
      <w:proofErr w:type="spellEnd"/>
      <w:r w:rsidRPr="005B4FDC">
        <w:rPr>
          <w:lang w:val="en-GB"/>
        </w:rPr>
        <w:t xml:space="preserve"> (Habitat for Humanity), Luca </w:t>
      </w:r>
      <w:proofErr w:type="spellStart"/>
      <w:r w:rsidRPr="005B4FDC">
        <w:rPr>
          <w:lang w:val="en-GB"/>
        </w:rPr>
        <w:t>Pupulin</w:t>
      </w:r>
      <w:proofErr w:type="spellEnd"/>
      <w:r w:rsidRPr="005B4FDC">
        <w:rPr>
          <w:lang w:val="en-GB"/>
        </w:rPr>
        <w:t xml:space="preserve"> (ACTED), Martin </w:t>
      </w:r>
      <w:proofErr w:type="spellStart"/>
      <w:r w:rsidRPr="005B4FDC">
        <w:rPr>
          <w:lang w:val="en-GB"/>
        </w:rPr>
        <w:t>Suvatne</w:t>
      </w:r>
      <w:proofErr w:type="spellEnd"/>
      <w:r w:rsidRPr="005B4FDC">
        <w:rPr>
          <w:lang w:val="en-GB"/>
        </w:rPr>
        <w:t xml:space="preserve"> (NRC), Mohamad </w:t>
      </w:r>
      <w:proofErr w:type="spellStart"/>
      <w:r w:rsidRPr="005B4FDC">
        <w:rPr>
          <w:lang w:val="en-GB"/>
        </w:rPr>
        <w:t>Hilmi</w:t>
      </w:r>
      <w:proofErr w:type="spellEnd"/>
      <w:r w:rsidRPr="005B4FDC">
        <w:rPr>
          <w:lang w:val="en-GB"/>
        </w:rPr>
        <w:t xml:space="preserve"> (</w:t>
      </w:r>
      <w:proofErr w:type="spellStart"/>
      <w:r w:rsidRPr="005B4FDC">
        <w:rPr>
          <w:lang w:val="en-GB"/>
        </w:rPr>
        <w:t>InterAction</w:t>
      </w:r>
      <w:proofErr w:type="spellEnd"/>
      <w:r w:rsidRPr="005B4FDC">
        <w:rPr>
          <w:lang w:val="en-GB"/>
        </w:rPr>
        <w:t>), Tom Newby (CARE International), Shaun Scales (GSC/UNHCR), Graham Saunders (GSC/IFRC), Pablo Medina (GSC/IFRC), Miguel Urquia (GSC/UNHCR).</w:t>
      </w:r>
    </w:p>
    <w:p w:rsidR="00DC61CF" w:rsidRDefault="005B4FDC" w:rsidP="005B4FDC">
      <w:pPr>
        <w:rPr>
          <w:lang w:val="en-GB"/>
        </w:rPr>
      </w:pPr>
      <w:r w:rsidRPr="005B4FDC">
        <w:rPr>
          <w:lang w:val="en-GB"/>
        </w:rPr>
        <w:t xml:space="preserve">Excused: </w:t>
      </w:r>
      <w:proofErr w:type="spellStart"/>
      <w:r w:rsidRPr="005B4FDC">
        <w:rPr>
          <w:lang w:val="en-GB"/>
        </w:rPr>
        <w:t>Supriya</w:t>
      </w:r>
      <w:proofErr w:type="spellEnd"/>
      <w:r w:rsidRPr="005B4FDC">
        <w:rPr>
          <w:lang w:val="en-GB"/>
        </w:rPr>
        <w:t xml:space="preserve"> Mehta (Australian RC).</w:t>
      </w:r>
    </w:p>
    <w:p w:rsidR="005B4FDC" w:rsidRDefault="005B4FDC" w:rsidP="005B4FDC">
      <w:pPr>
        <w:rPr>
          <w:lang w:val="en-GB"/>
        </w:rPr>
      </w:pPr>
    </w:p>
    <w:p w:rsidR="00E86816" w:rsidRPr="00E86816" w:rsidRDefault="00E86816" w:rsidP="005B4FDC">
      <w:pPr>
        <w:rPr>
          <w:rFonts w:ascii="Verdana" w:eastAsiaTheme="majorEastAsia" w:hAnsi="Verdana" w:cstheme="majorBidi"/>
          <w:bCs/>
          <w:i/>
          <w:color w:val="04314C"/>
          <w:szCs w:val="26"/>
          <w:lang w:val="en-GB"/>
        </w:rPr>
      </w:pPr>
      <w:r w:rsidRPr="00E86816">
        <w:rPr>
          <w:rFonts w:ascii="Verdana" w:eastAsiaTheme="majorEastAsia" w:hAnsi="Verdana" w:cstheme="majorBidi"/>
          <w:bCs/>
          <w:i/>
          <w:color w:val="04314C"/>
          <w:szCs w:val="26"/>
          <w:lang w:val="en-GB"/>
        </w:rPr>
        <w:t>1. Welcome from GSC Coordinators</w:t>
      </w:r>
    </w:p>
    <w:p w:rsidR="00E86816" w:rsidRDefault="00E86816" w:rsidP="005B4FDC">
      <w:pPr>
        <w:rPr>
          <w:lang w:val="en-GB"/>
        </w:rPr>
      </w:pPr>
    </w:p>
    <w:p w:rsidR="00E86816" w:rsidRDefault="00E86816" w:rsidP="005B4FDC">
      <w:pPr>
        <w:rPr>
          <w:lang w:val="en-GB"/>
        </w:rPr>
      </w:pPr>
      <w:r>
        <w:rPr>
          <w:lang w:val="en-GB"/>
        </w:rPr>
        <w:t>The welcome notes from the GSC Coordinators highlighted the need for collective ownership of the cluster and institutional commitment beyond individuals, promoting collective accountability. Some of the challenges that the GSC faced in the past year include coping with three consecutive L3 crises and engaging qualified coordinators beyond the initial surge.</w:t>
      </w:r>
    </w:p>
    <w:p w:rsidR="005B4FDC" w:rsidRDefault="005B4FDC" w:rsidP="005B4FDC">
      <w:pPr>
        <w:rPr>
          <w:lang w:val="en-GB"/>
        </w:rPr>
      </w:pPr>
    </w:p>
    <w:p w:rsidR="00DC61CF" w:rsidRPr="00E86816" w:rsidRDefault="00E86816" w:rsidP="00577897">
      <w:pPr>
        <w:rPr>
          <w:rFonts w:ascii="Verdana" w:eastAsiaTheme="majorEastAsia" w:hAnsi="Verdana" w:cstheme="majorBidi"/>
          <w:bCs/>
          <w:i/>
          <w:color w:val="04314C"/>
          <w:szCs w:val="26"/>
          <w:lang w:val="en-GB"/>
        </w:rPr>
      </w:pPr>
      <w:r w:rsidRPr="00E86816">
        <w:rPr>
          <w:rFonts w:ascii="Verdana" w:eastAsiaTheme="majorEastAsia" w:hAnsi="Verdana" w:cstheme="majorBidi"/>
          <w:bCs/>
          <w:i/>
          <w:color w:val="04314C"/>
          <w:szCs w:val="26"/>
          <w:lang w:val="en-GB"/>
        </w:rPr>
        <w:t>2. GSC Sustainability</w:t>
      </w:r>
      <w:r w:rsidR="00497226">
        <w:rPr>
          <w:rFonts w:ascii="Verdana" w:eastAsiaTheme="majorEastAsia" w:hAnsi="Verdana" w:cstheme="majorBidi"/>
          <w:bCs/>
          <w:i/>
          <w:color w:val="04314C"/>
          <w:szCs w:val="26"/>
          <w:lang w:val="en-GB"/>
        </w:rPr>
        <w:t xml:space="preserve"> – Part 1</w:t>
      </w:r>
    </w:p>
    <w:p w:rsidR="00E86816" w:rsidRDefault="00E86816" w:rsidP="00577897">
      <w:pPr>
        <w:rPr>
          <w:lang w:val="en-GB"/>
        </w:rPr>
      </w:pPr>
    </w:p>
    <w:p w:rsidR="004E0F0B" w:rsidRDefault="004E0F0B" w:rsidP="007B1BD5">
      <w:pPr>
        <w:rPr>
          <w:lang w:val="en-GB"/>
        </w:rPr>
      </w:pPr>
      <w:r>
        <w:rPr>
          <w:lang w:val="en-GB"/>
        </w:rPr>
        <w:t xml:space="preserve">The main purpose of this session was two-fold: </w:t>
      </w:r>
    </w:p>
    <w:p w:rsidR="004E0F0B" w:rsidRDefault="004E0F0B" w:rsidP="007B1BD5">
      <w:pPr>
        <w:rPr>
          <w:lang w:val="en-GB"/>
        </w:rPr>
      </w:pPr>
    </w:p>
    <w:p w:rsidR="007B1BD5" w:rsidRDefault="004E0F0B" w:rsidP="004E0F0B">
      <w:pPr>
        <w:pStyle w:val="ListParagraph"/>
        <w:numPr>
          <w:ilvl w:val="0"/>
          <w:numId w:val="20"/>
        </w:numPr>
        <w:rPr>
          <w:lang w:val="en-GB"/>
        </w:rPr>
      </w:pPr>
      <w:r>
        <w:rPr>
          <w:lang w:val="en-GB"/>
        </w:rPr>
        <w:t>T</w:t>
      </w:r>
      <w:r w:rsidRPr="004E0F0B">
        <w:rPr>
          <w:lang w:val="en-GB"/>
        </w:rPr>
        <w:t>o clarify the core services that the GSC should provide and its corresponding core team</w:t>
      </w:r>
      <w:r>
        <w:rPr>
          <w:lang w:val="en-GB"/>
        </w:rPr>
        <w:t>;</w:t>
      </w:r>
    </w:p>
    <w:p w:rsidR="00E86816" w:rsidRPr="004E0F0B" w:rsidRDefault="004E0F0B" w:rsidP="004E0F0B">
      <w:pPr>
        <w:pStyle w:val="ListParagraph"/>
        <w:numPr>
          <w:ilvl w:val="0"/>
          <w:numId w:val="20"/>
        </w:numPr>
        <w:rPr>
          <w:lang w:val="en-GB"/>
        </w:rPr>
      </w:pPr>
      <w:r w:rsidRPr="004E0F0B">
        <w:rPr>
          <w:lang w:val="en-GB"/>
        </w:rPr>
        <w:t>To c</w:t>
      </w:r>
      <w:r w:rsidR="007B1BD5" w:rsidRPr="004E0F0B">
        <w:rPr>
          <w:lang w:val="en-GB"/>
        </w:rPr>
        <w:t>larify commitments from GSC partners in resourcing the GSC with/without external funding</w:t>
      </w:r>
      <w:r>
        <w:rPr>
          <w:lang w:val="en-GB"/>
        </w:rPr>
        <w:t>.</w:t>
      </w:r>
    </w:p>
    <w:p w:rsidR="007B1BD5" w:rsidRDefault="007B1BD5" w:rsidP="00577897">
      <w:pPr>
        <w:rPr>
          <w:lang w:val="en-GB"/>
        </w:rPr>
      </w:pPr>
    </w:p>
    <w:p w:rsidR="007B1BD5" w:rsidRDefault="004E0F0B" w:rsidP="00577897">
      <w:pPr>
        <w:rPr>
          <w:lang w:val="en-GB"/>
        </w:rPr>
      </w:pPr>
      <w:r>
        <w:rPr>
          <w:lang w:val="en-GB"/>
        </w:rPr>
        <w:t>The SAG members were split in two groups</w:t>
      </w:r>
      <w:r w:rsidR="004D1BA2">
        <w:rPr>
          <w:lang w:val="en-GB"/>
        </w:rPr>
        <w:t xml:space="preserve"> and asked to identify the core services the GSC should provide. As guidance for this exercise, the groups received an outline of the global cluster responsibilities as spelled out in the 2006 IASC Guidance Note on the Cluster Approach:</w:t>
      </w:r>
    </w:p>
    <w:p w:rsidR="004D1BA2" w:rsidRDefault="004D1BA2" w:rsidP="00577897">
      <w:pPr>
        <w:rPr>
          <w:lang w:val="en-GB"/>
        </w:rPr>
      </w:pPr>
    </w:p>
    <w:p w:rsidR="004D1BA2" w:rsidRPr="004D1BA2" w:rsidRDefault="004D1BA2" w:rsidP="004D1BA2">
      <w:pPr>
        <w:rPr>
          <w:lang w:val="en-GB"/>
        </w:rPr>
      </w:pPr>
      <w:r w:rsidRPr="004D1BA2">
        <w:rPr>
          <w:b/>
          <w:bCs/>
          <w:lang w:val="en-GB"/>
        </w:rPr>
        <w:t>Standards and policy-setting</w:t>
      </w:r>
      <w:r>
        <w:rPr>
          <w:lang w:val="en-GB"/>
        </w:rPr>
        <w:t>: c</w:t>
      </w:r>
      <w:r w:rsidRPr="004D1BA2">
        <w:rPr>
          <w:lang w:val="en-GB"/>
        </w:rPr>
        <w:t>onsolidation and dissemination of standards; where necessary, development of standards and policies; identification of ‘best practice’.</w:t>
      </w:r>
    </w:p>
    <w:p w:rsidR="004D1BA2" w:rsidRPr="004D1BA2" w:rsidRDefault="004D1BA2" w:rsidP="004D1BA2">
      <w:pPr>
        <w:rPr>
          <w:lang w:val="en-GB"/>
        </w:rPr>
      </w:pPr>
      <w:r w:rsidRPr="004D1BA2">
        <w:rPr>
          <w:lang w:val="en-GB"/>
        </w:rPr>
        <w:t> </w:t>
      </w:r>
    </w:p>
    <w:p w:rsidR="004D1BA2" w:rsidRPr="004D1BA2" w:rsidRDefault="004D1BA2" w:rsidP="004D1BA2">
      <w:pPr>
        <w:rPr>
          <w:lang w:val="en-GB"/>
        </w:rPr>
      </w:pPr>
      <w:r w:rsidRPr="004D1BA2">
        <w:rPr>
          <w:b/>
          <w:bCs/>
          <w:lang w:val="en-GB"/>
        </w:rPr>
        <w:t>Building response capacity</w:t>
      </w:r>
      <w:r>
        <w:rPr>
          <w:lang w:val="en-GB"/>
        </w:rPr>
        <w:t>: t</w:t>
      </w:r>
      <w:r w:rsidRPr="004D1BA2">
        <w:rPr>
          <w:lang w:val="en-GB"/>
        </w:rPr>
        <w:t>raining and system development at the local, national, regional and international levels; establishing and maintaining surge capacity and standby rosters; establishing and maintaining material stockpiles.</w:t>
      </w:r>
    </w:p>
    <w:p w:rsidR="004D1BA2" w:rsidRPr="004D1BA2" w:rsidRDefault="004D1BA2" w:rsidP="004D1BA2">
      <w:pPr>
        <w:rPr>
          <w:lang w:val="en-GB"/>
        </w:rPr>
      </w:pPr>
    </w:p>
    <w:p w:rsidR="004D1BA2" w:rsidRDefault="004D1BA2" w:rsidP="004D1BA2">
      <w:pPr>
        <w:rPr>
          <w:lang w:val="en-GB"/>
        </w:rPr>
      </w:pPr>
      <w:r w:rsidRPr="004D1BA2">
        <w:rPr>
          <w:b/>
          <w:bCs/>
          <w:lang w:val="en-GB"/>
        </w:rPr>
        <w:t>Operational support</w:t>
      </w:r>
      <w:r>
        <w:rPr>
          <w:lang w:val="en-GB"/>
        </w:rPr>
        <w:t>: a</w:t>
      </w:r>
      <w:r w:rsidRPr="004D1BA2">
        <w:rPr>
          <w:lang w:val="en-GB"/>
        </w:rPr>
        <w:t xml:space="preserve">ssessment of needs for human, financial and institutional capacity; emergency preparedness and long term planning; securing access to appropriate technical </w:t>
      </w:r>
      <w:r w:rsidRPr="004D1BA2">
        <w:rPr>
          <w:lang w:val="en-GB"/>
        </w:rPr>
        <w:lastRenderedPageBreak/>
        <w:t>expertise; advocacy and resource mobilization; pooling resources and ensuring complementarity of efforts through enhanced partnerships.</w:t>
      </w:r>
    </w:p>
    <w:p w:rsidR="007B1BD5" w:rsidRPr="00BA6935" w:rsidRDefault="007B1BD5" w:rsidP="00577897">
      <w:pPr>
        <w:rPr>
          <w:lang w:val="en-GB"/>
        </w:rPr>
      </w:pPr>
    </w:p>
    <w:p w:rsidR="00577897" w:rsidRDefault="004D1BA2" w:rsidP="00577897">
      <w:r>
        <w:t>They were then asked to identify what human resources would be necessary to ensure the core services can be provided.</w:t>
      </w:r>
    </w:p>
    <w:p w:rsidR="004D1BA2" w:rsidRDefault="004D1BA2" w:rsidP="00577897"/>
    <w:p w:rsidR="004D1BA2" w:rsidRPr="004D1BA2" w:rsidRDefault="004D1BA2" w:rsidP="00577897">
      <w:pPr>
        <w:rPr>
          <w:b/>
          <w:bCs/>
          <w:i/>
          <w:iCs/>
        </w:rPr>
      </w:pPr>
      <w:r>
        <w:t xml:space="preserve">The outputs of the two groups can be found in </w:t>
      </w:r>
      <w:r w:rsidRPr="004D1BA2">
        <w:rPr>
          <w:b/>
          <w:bCs/>
          <w:i/>
          <w:iCs/>
        </w:rPr>
        <w:t>Annex 2 – GSC Sustainability: Session 1 group outputs</w:t>
      </w:r>
      <w:r w:rsidRPr="004D1BA2">
        <w:t>.</w:t>
      </w:r>
    </w:p>
    <w:p w:rsidR="004D1BA2" w:rsidRDefault="004D1BA2" w:rsidP="00577897"/>
    <w:p w:rsidR="00577897" w:rsidRDefault="00797EF4" w:rsidP="00646E42">
      <w:r>
        <w:rPr>
          <w:iCs/>
        </w:rPr>
        <w:t xml:space="preserve">After the two groups presented the result of their work in plenary, a discussion followed on </w:t>
      </w:r>
      <w:r w:rsidR="005D4177">
        <w:rPr>
          <w:iCs/>
        </w:rPr>
        <w:t>the resourcing of the Global Shelter Cluster. The following prompting question was put forward to SAG members in plenary: i</w:t>
      </w:r>
      <w:r w:rsidR="00577897">
        <w:t xml:space="preserve">s resourcing the </w:t>
      </w:r>
      <w:r w:rsidR="005D4177">
        <w:t>Global Shelter Cluster</w:t>
      </w:r>
      <w:r w:rsidR="00577897">
        <w:t xml:space="preserve"> the responsibility of all agencies in</w:t>
      </w:r>
      <w:r w:rsidR="005D4177">
        <w:t xml:space="preserve"> the</w:t>
      </w:r>
      <w:r w:rsidR="00577897">
        <w:t xml:space="preserve"> cluster, and not just the responsibility of cluster leads?</w:t>
      </w:r>
      <w:r w:rsidR="005D4177">
        <w:t xml:space="preserve"> Some of the points raised during the discussion can be found in </w:t>
      </w:r>
      <w:r w:rsidR="005D4177" w:rsidRPr="005D4177">
        <w:rPr>
          <w:b/>
          <w:bCs/>
          <w:i/>
          <w:iCs/>
        </w:rPr>
        <w:t xml:space="preserve">Annex 3 – GSC Sustainability: </w:t>
      </w:r>
      <w:r w:rsidR="00646E42">
        <w:rPr>
          <w:b/>
          <w:bCs/>
          <w:i/>
          <w:iCs/>
        </w:rPr>
        <w:t>points</w:t>
      </w:r>
      <w:r w:rsidR="005D4177" w:rsidRPr="005D4177">
        <w:rPr>
          <w:b/>
          <w:bCs/>
          <w:i/>
          <w:iCs/>
        </w:rPr>
        <w:t xml:space="preserve"> raised and discussed</w:t>
      </w:r>
    </w:p>
    <w:p w:rsidR="00577897" w:rsidRDefault="00577897" w:rsidP="00577897">
      <w:pPr>
        <w:jc w:val="both"/>
      </w:pPr>
    </w:p>
    <w:p w:rsidR="00920208" w:rsidRDefault="00920208" w:rsidP="00577897">
      <w:pPr>
        <w:jc w:val="both"/>
      </w:pPr>
      <w:r>
        <w:t xml:space="preserve">The document </w:t>
      </w:r>
      <w:r w:rsidR="001F5F6C">
        <w:t xml:space="preserve">“Resourcing of the Global Shelter Cluster” was discussed as well. </w:t>
      </w:r>
    </w:p>
    <w:p w:rsidR="001F5F6C" w:rsidRDefault="001F5F6C" w:rsidP="00577897">
      <w:pPr>
        <w:jc w:val="both"/>
      </w:pPr>
    </w:p>
    <w:p w:rsidR="001F5F6C" w:rsidRDefault="001F5F6C" w:rsidP="00577897">
      <w:pPr>
        <w:jc w:val="both"/>
      </w:pPr>
      <w:r>
        <w:t>Decisions:</w:t>
      </w:r>
    </w:p>
    <w:p w:rsidR="001F5F6C" w:rsidRDefault="001F5F6C" w:rsidP="00577897">
      <w:pPr>
        <w:jc w:val="both"/>
      </w:pPr>
    </w:p>
    <w:p w:rsidR="001F5F6C" w:rsidRPr="001F5F6C" w:rsidRDefault="001F5F6C" w:rsidP="001F5F6C">
      <w:pPr>
        <w:pStyle w:val="ListParagraph"/>
        <w:numPr>
          <w:ilvl w:val="0"/>
          <w:numId w:val="23"/>
        </w:numPr>
        <w:rPr>
          <w:b/>
          <w:bCs/>
        </w:rPr>
      </w:pPr>
      <w:r w:rsidRPr="001F5F6C">
        <w:rPr>
          <w:b/>
          <w:bCs/>
        </w:rPr>
        <w:t>The GSC SAG reaffirms that resourcing of the GSC is a joint responsibility of all cluster members.</w:t>
      </w:r>
    </w:p>
    <w:p w:rsidR="001F5F6C" w:rsidRPr="001F5F6C" w:rsidRDefault="001F5F6C" w:rsidP="001F5F6C">
      <w:pPr>
        <w:pStyle w:val="ListParagraph"/>
        <w:numPr>
          <w:ilvl w:val="0"/>
          <w:numId w:val="23"/>
        </w:numPr>
        <w:rPr>
          <w:b/>
          <w:bCs/>
        </w:rPr>
      </w:pPr>
      <w:r w:rsidRPr="001F5F6C">
        <w:rPr>
          <w:b/>
          <w:bCs/>
        </w:rPr>
        <w:t>The GSC SAG commits to develop an accountability framework to promote collective accountability of its members in delivering on the GSC core functions.</w:t>
      </w:r>
    </w:p>
    <w:p w:rsidR="001F5F6C" w:rsidRPr="001F5F6C" w:rsidRDefault="001F5F6C" w:rsidP="001F5F6C">
      <w:pPr>
        <w:pStyle w:val="ListParagraph"/>
        <w:numPr>
          <w:ilvl w:val="0"/>
          <w:numId w:val="23"/>
        </w:numPr>
        <w:jc w:val="both"/>
        <w:rPr>
          <w:b/>
          <w:bCs/>
        </w:rPr>
      </w:pPr>
      <w:r w:rsidRPr="001F5F6C">
        <w:rPr>
          <w:b/>
          <w:bCs/>
        </w:rPr>
        <w:t>The GSC SAG encourages the adoption of formal institutional commitments by GSC agencies in delivering on the GSC core functions.</w:t>
      </w:r>
    </w:p>
    <w:p w:rsidR="00920208" w:rsidRDefault="00920208" w:rsidP="00577897">
      <w:pPr>
        <w:jc w:val="both"/>
      </w:pPr>
    </w:p>
    <w:p w:rsidR="001F5F6C" w:rsidRPr="00E86816" w:rsidRDefault="001F5F6C" w:rsidP="001F5F6C">
      <w:pPr>
        <w:rPr>
          <w:rFonts w:ascii="Verdana" w:eastAsiaTheme="majorEastAsia" w:hAnsi="Verdana" w:cstheme="majorBidi"/>
          <w:bCs/>
          <w:i/>
          <w:color w:val="04314C"/>
          <w:szCs w:val="26"/>
          <w:lang w:val="en-GB"/>
        </w:rPr>
      </w:pPr>
      <w:r>
        <w:rPr>
          <w:rFonts w:ascii="Verdana" w:eastAsiaTheme="majorEastAsia" w:hAnsi="Verdana" w:cstheme="majorBidi"/>
          <w:bCs/>
          <w:i/>
          <w:color w:val="04314C"/>
          <w:szCs w:val="26"/>
          <w:lang w:val="en-GB"/>
        </w:rPr>
        <w:t>3</w:t>
      </w:r>
      <w:r w:rsidRPr="00E86816">
        <w:rPr>
          <w:rFonts w:ascii="Verdana" w:eastAsiaTheme="majorEastAsia" w:hAnsi="Verdana" w:cstheme="majorBidi"/>
          <w:bCs/>
          <w:i/>
          <w:color w:val="04314C"/>
          <w:szCs w:val="26"/>
          <w:lang w:val="en-GB"/>
        </w:rPr>
        <w:t>. GSC Sustainability</w:t>
      </w:r>
      <w:r>
        <w:rPr>
          <w:rFonts w:ascii="Verdana" w:eastAsiaTheme="majorEastAsia" w:hAnsi="Verdana" w:cstheme="majorBidi"/>
          <w:bCs/>
          <w:i/>
          <w:color w:val="04314C"/>
          <w:szCs w:val="26"/>
          <w:lang w:val="en-GB"/>
        </w:rPr>
        <w:t xml:space="preserve"> – Part 2</w:t>
      </w:r>
    </w:p>
    <w:p w:rsidR="00577897" w:rsidRDefault="00577897" w:rsidP="00577897">
      <w:pPr>
        <w:jc w:val="both"/>
        <w:rPr>
          <w:u w:val="single"/>
        </w:rPr>
      </w:pPr>
    </w:p>
    <w:p w:rsidR="001F5F6C" w:rsidRPr="001F5F6C" w:rsidRDefault="00A22C8D" w:rsidP="00A22C8D">
      <w:pPr>
        <w:jc w:val="both"/>
      </w:pPr>
      <w:r>
        <w:t>The main purpose of this session was to brief the SAG on the next steps for the ECHO application and to discuss fund-raising beyond ECHO.</w:t>
      </w:r>
    </w:p>
    <w:p w:rsidR="001F5F6C" w:rsidRDefault="001F5F6C" w:rsidP="00577897">
      <w:pPr>
        <w:jc w:val="both"/>
        <w:rPr>
          <w:u w:val="single"/>
        </w:rPr>
      </w:pPr>
    </w:p>
    <w:p w:rsidR="00577897" w:rsidRDefault="00577897" w:rsidP="00577897">
      <w:pPr>
        <w:jc w:val="both"/>
      </w:pPr>
      <w:r>
        <w:t>Next steps with ECHO:</w:t>
      </w:r>
    </w:p>
    <w:p w:rsidR="00577897" w:rsidRDefault="00577897" w:rsidP="00577897">
      <w:pPr>
        <w:pStyle w:val="ListParagraph"/>
        <w:numPr>
          <w:ilvl w:val="0"/>
          <w:numId w:val="5"/>
        </w:numPr>
        <w:spacing w:after="200" w:line="276" w:lineRule="auto"/>
        <w:jc w:val="both"/>
      </w:pPr>
      <w:r>
        <w:t>Concept note has been approved with comments</w:t>
      </w:r>
      <w:r w:rsidR="00A22C8D">
        <w:t>.</w:t>
      </w:r>
    </w:p>
    <w:p w:rsidR="00577897" w:rsidRDefault="00577897" w:rsidP="00A22C8D">
      <w:pPr>
        <w:pStyle w:val="ListParagraph"/>
        <w:numPr>
          <w:ilvl w:val="0"/>
          <w:numId w:val="5"/>
        </w:numPr>
        <w:spacing w:after="200" w:line="276" w:lineRule="auto"/>
        <w:jc w:val="both"/>
      </w:pPr>
      <w:r>
        <w:t>The proposal is to be submitted by the end of January</w:t>
      </w:r>
      <w:r w:rsidR="00A22C8D">
        <w:t>, although i</w:t>
      </w:r>
      <w:r>
        <w:t xml:space="preserve">deally </w:t>
      </w:r>
      <w:r w:rsidR="00A22C8D">
        <w:t xml:space="preserve">we would like to submit </w:t>
      </w:r>
      <w:r>
        <w:t xml:space="preserve">by mid-January </w:t>
      </w:r>
      <w:r w:rsidR="00A22C8D">
        <w:t xml:space="preserve">so that we can get </w:t>
      </w:r>
      <w:r>
        <w:t>earlier comments</w:t>
      </w:r>
      <w:r w:rsidR="00A22C8D">
        <w:t xml:space="preserve"> back.</w:t>
      </w:r>
    </w:p>
    <w:p w:rsidR="00577897" w:rsidRDefault="00577897" w:rsidP="00577897">
      <w:pPr>
        <w:jc w:val="both"/>
      </w:pPr>
      <w:r>
        <w:t>GSC fundraising beyond ECHO:</w:t>
      </w:r>
    </w:p>
    <w:p w:rsidR="00577897" w:rsidRDefault="00577897" w:rsidP="00577897">
      <w:pPr>
        <w:pStyle w:val="ListParagraph"/>
        <w:numPr>
          <w:ilvl w:val="0"/>
          <w:numId w:val="6"/>
        </w:numPr>
        <w:spacing w:after="200" w:line="276" w:lineRule="auto"/>
        <w:jc w:val="both"/>
      </w:pPr>
      <w:r>
        <w:t>Road show to donors</w:t>
      </w:r>
    </w:p>
    <w:p w:rsidR="00577897" w:rsidRDefault="00577897" w:rsidP="00AE59E4">
      <w:pPr>
        <w:pStyle w:val="ListParagraph"/>
        <w:numPr>
          <w:ilvl w:val="0"/>
          <w:numId w:val="6"/>
        </w:numPr>
        <w:spacing w:after="200" w:line="276" w:lineRule="auto"/>
        <w:jc w:val="both"/>
      </w:pPr>
      <w:r>
        <w:t>Membership contribution</w:t>
      </w:r>
      <w:r w:rsidR="00AE59E4">
        <w:t>.</w:t>
      </w:r>
      <w:r>
        <w:t xml:space="preserve"> Discussion about ‘types’ of membership.</w:t>
      </w:r>
      <w:r w:rsidR="00AE59E4">
        <w:t xml:space="preserve"> No unanimous position on this.</w:t>
      </w:r>
    </w:p>
    <w:p w:rsidR="00577897" w:rsidRDefault="00577897" w:rsidP="00AE59E4">
      <w:pPr>
        <w:pStyle w:val="ListParagraph"/>
        <w:numPr>
          <w:ilvl w:val="0"/>
          <w:numId w:val="6"/>
        </w:numPr>
        <w:spacing w:after="200" w:line="276" w:lineRule="auto"/>
        <w:jc w:val="both"/>
      </w:pPr>
      <w:r>
        <w:t>Other ideas</w:t>
      </w:r>
      <w:r w:rsidR="00AE59E4">
        <w:t xml:space="preserve">: for instance, </w:t>
      </w:r>
      <w:r>
        <w:t xml:space="preserve">asking </w:t>
      </w:r>
      <w:r w:rsidR="00AE59E4">
        <w:t>a percentage contribution</w:t>
      </w:r>
      <w:r>
        <w:t xml:space="preserve"> from country</w:t>
      </w:r>
      <w:r w:rsidR="00AE59E4">
        <w:t>-level</w:t>
      </w:r>
      <w:r>
        <w:t xml:space="preserve"> shelter operations</w:t>
      </w:r>
      <w:r w:rsidR="00AE59E4">
        <w:t xml:space="preserve"> for coordination services provided.</w:t>
      </w:r>
      <w:r>
        <w:t xml:space="preserve"> How would the different agencies be involved in this, from whom to ask the contribution and who should receive/keep it? </w:t>
      </w:r>
      <w:r w:rsidR="00AE59E4">
        <w:lastRenderedPageBreak/>
        <w:t>What accountability mechanisms to put in place against these contributions? How much should the contribution be? More elaborate thinking is required to make this an option.</w:t>
      </w:r>
    </w:p>
    <w:p w:rsidR="00AE59E4" w:rsidRDefault="00AE59E4" w:rsidP="00577897">
      <w:pPr>
        <w:jc w:val="both"/>
      </w:pPr>
      <w:r>
        <w:t xml:space="preserve">A discussion ensued on the different fundraising avenues </w:t>
      </w:r>
      <w:r w:rsidR="006B5D5F">
        <w:t>and how to pursue them, including which donors to approach and how to approach them, what to present, which key messages to give and how best to present the funding requirements and shortfall of the GSC as well as what the consequences would be if funding does not come through.</w:t>
      </w:r>
      <w:r w:rsidR="00B017C6">
        <w:t xml:space="preserve"> It was agreed that SAG members would make initial research on some of the donors that are key to the sector. This research would be internal (no contact with the donors yet) and would be used to inform the roadshow to donors. The main issues to research are: possible areas of interest and the best time to approach them. The allocation of donors and SAG members was the following:</w:t>
      </w:r>
    </w:p>
    <w:p w:rsidR="00B017C6" w:rsidRDefault="00B017C6" w:rsidP="00577897">
      <w:pPr>
        <w:jc w:val="both"/>
      </w:pPr>
    </w:p>
    <w:tbl>
      <w:tblPr>
        <w:tblStyle w:val="TableGrid"/>
        <w:tblW w:w="0" w:type="auto"/>
        <w:tblInd w:w="720" w:type="dxa"/>
        <w:tblLook w:val="04A0" w:firstRow="1" w:lastRow="0" w:firstColumn="1" w:lastColumn="0" w:noHBand="0" w:noVBand="1"/>
      </w:tblPr>
      <w:tblGrid>
        <w:gridCol w:w="3074"/>
        <w:gridCol w:w="3685"/>
      </w:tblGrid>
      <w:tr w:rsidR="00B017C6" w:rsidTr="00B017C6">
        <w:tc>
          <w:tcPr>
            <w:tcW w:w="3074"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ind w:left="0"/>
              <w:jc w:val="center"/>
              <w:rPr>
                <w:b/>
              </w:rPr>
            </w:pPr>
            <w:r>
              <w:rPr>
                <w:b/>
              </w:rPr>
              <w:t>Donor</w:t>
            </w:r>
          </w:p>
        </w:tc>
        <w:tc>
          <w:tcPr>
            <w:tcW w:w="3685"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ind w:left="0"/>
              <w:jc w:val="center"/>
              <w:rPr>
                <w:b/>
              </w:rPr>
            </w:pPr>
            <w:r>
              <w:rPr>
                <w:b/>
              </w:rPr>
              <w:t>SAG Members</w:t>
            </w:r>
          </w:p>
        </w:tc>
      </w:tr>
      <w:tr w:rsidR="00B017C6" w:rsidTr="00B017C6">
        <w:tc>
          <w:tcPr>
            <w:tcW w:w="3074"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ECHO</w:t>
            </w:r>
          </w:p>
        </w:tc>
        <w:tc>
          <w:tcPr>
            <w:tcW w:w="3685"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UNHCR, IFRC, NRC</w:t>
            </w:r>
          </w:p>
        </w:tc>
      </w:tr>
      <w:tr w:rsidR="00B017C6" w:rsidTr="00B017C6">
        <w:tc>
          <w:tcPr>
            <w:tcW w:w="3074"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DFID</w:t>
            </w:r>
          </w:p>
        </w:tc>
        <w:tc>
          <w:tcPr>
            <w:tcW w:w="3685"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 xml:space="preserve">CARE, </w:t>
            </w:r>
            <w:proofErr w:type="spellStart"/>
            <w:r>
              <w:t>HfH</w:t>
            </w:r>
            <w:proofErr w:type="spellEnd"/>
            <w:r>
              <w:t>, UNHABITAT</w:t>
            </w:r>
          </w:p>
        </w:tc>
      </w:tr>
      <w:tr w:rsidR="00B017C6" w:rsidTr="00B017C6">
        <w:tc>
          <w:tcPr>
            <w:tcW w:w="3074"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USAID - OFDA</w:t>
            </w:r>
          </w:p>
        </w:tc>
        <w:tc>
          <w:tcPr>
            <w:tcW w:w="3685"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proofErr w:type="spellStart"/>
            <w:r>
              <w:t>InterAction</w:t>
            </w:r>
            <w:proofErr w:type="spellEnd"/>
            <w:r>
              <w:t xml:space="preserve">, </w:t>
            </w:r>
            <w:proofErr w:type="spellStart"/>
            <w:r>
              <w:t>HfH</w:t>
            </w:r>
            <w:proofErr w:type="spellEnd"/>
          </w:p>
        </w:tc>
      </w:tr>
      <w:tr w:rsidR="00B017C6" w:rsidTr="00B017C6">
        <w:tc>
          <w:tcPr>
            <w:tcW w:w="3074"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proofErr w:type="spellStart"/>
            <w:r>
              <w:t>AusAID</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Australian RC, WVI</w:t>
            </w:r>
          </w:p>
        </w:tc>
      </w:tr>
      <w:tr w:rsidR="00B017C6" w:rsidTr="00B017C6">
        <w:tc>
          <w:tcPr>
            <w:tcW w:w="3074"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Norway, Sweden</w:t>
            </w:r>
          </w:p>
        </w:tc>
        <w:tc>
          <w:tcPr>
            <w:tcW w:w="3685"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NRC, IOM</w:t>
            </w:r>
          </w:p>
        </w:tc>
      </w:tr>
      <w:tr w:rsidR="00B017C6" w:rsidTr="00B017C6">
        <w:tc>
          <w:tcPr>
            <w:tcW w:w="3074"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SDC</w:t>
            </w:r>
          </w:p>
        </w:tc>
        <w:tc>
          <w:tcPr>
            <w:tcW w:w="3685" w:type="dxa"/>
            <w:tcBorders>
              <w:top w:val="single" w:sz="4" w:space="0" w:color="auto"/>
              <w:left w:val="single" w:sz="4" w:space="0" w:color="auto"/>
              <w:bottom w:val="single" w:sz="4" w:space="0" w:color="auto"/>
              <w:right w:val="single" w:sz="4" w:space="0" w:color="auto"/>
            </w:tcBorders>
            <w:hideMark/>
          </w:tcPr>
          <w:p w:rsidR="00B017C6" w:rsidRDefault="00B017C6">
            <w:pPr>
              <w:pStyle w:val="ListParagraph"/>
              <w:rPr>
                <w:lang w:val="en-GB"/>
              </w:rPr>
            </w:pPr>
            <w:r>
              <w:t>UNHABITAT</w:t>
            </w:r>
          </w:p>
        </w:tc>
      </w:tr>
    </w:tbl>
    <w:p w:rsidR="00B017C6" w:rsidRDefault="00B017C6" w:rsidP="00577897">
      <w:pPr>
        <w:jc w:val="both"/>
      </w:pPr>
    </w:p>
    <w:p w:rsidR="00AE59E4" w:rsidRDefault="00AE59E4" w:rsidP="00577897">
      <w:pPr>
        <w:jc w:val="both"/>
      </w:pPr>
    </w:p>
    <w:p w:rsidR="00577897" w:rsidRDefault="00EB5EDB" w:rsidP="00577897">
      <w:pPr>
        <w:jc w:val="both"/>
      </w:pPr>
      <w:r>
        <w:t>Decisions:</w:t>
      </w:r>
    </w:p>
    <w:p w:rsidR="00EB5EDB" w:rsidRDefault="00EB5EDB" w:rsidP="00577897">
      <w:pPr>
        <w:jc w:val="both"/>
      </w:pPr>
    </w:p>
    <w:p w:rsidR="00EB5EDB" w:rsidRPr="00F40642" w:rsidRDefault="00EB5EDB" w:rsidP="00EB5EDB">
      <w:pPr>
        <w:pStyle w:val="ListParagraph"/>
        <w:numPr>
          <w:ilvl w:val="0"/>
          <w:numId w:val="23"/>
        </w:numPr>
        <w:jc w:val="both"/>
        <w:rPr>
          <w:b/>
          <w:bCs/>
        </w:rPr>
      </w:pPr>
      <w:r w:rsidRPr="00F40642">
        <w:rPr>
          <w:b/>
          <w:bCs/>
        </w:rPr>
        <w:t>Identified agencies to liaise with their resource mobilization counterparts in their agency to discuss the best way to approach their assigned donor and timelines for submission of proposals.</w:t>
      </w:r>
    </w:p>
    <w:p w:rsidR="00EB5EDB" w:rsidRPr="00F40642" w:rsidRDefault="00F40642" w:rsidP="00EB5EDB">
      <w:pPr>
        <w:pStyle w:val="ListParagraph"/>
        <w:numPr>
          <w:ilvl w:val="0"/>
          <w:numId w:val="23"/>
        </w:numPr>
        <w:jc w:val="both"/>
        <w:rPr>
          <w:b/>
          <w:bCs/>
        </w:rPr>
      </w:pPr>
      <w:r w:rsidRPr="00F40642">
        <w:rPr>
          <w:b/>
          <w:bCs/>
        </w:rPr>
        <w:t xml:space="preserve">GSC </w:t>
      </w:r>
      <w:r w:rsidR="00B017C6">
        <w:rPr>
          <w:b/>
          <w:bCs/>
        </w:rPr>
        <w:t>SAG</w:t>
      </w:r>
      <w:r w:rsidRPr="00F40642">
        <w:rPr>
          <w:b/>
          <w:bCs/>
        </w:rPr>
        <w:t xml:space="preserve"> to prepare a standard set of documents that agencies can present to donors during their fundraising activities.</w:t>
      </w:r>
    </w:p>
    <w:p w:rsidR="00EB5EDB" w:rsidRDefault="00EB5EDB" w:rsidP="00577897">
      <w:pPr>
        <w:jc w:val="both"/>
      </w:pPr>
    </w:p>
    <w:p w:rsidR="00F40642" w:rsidRPr="00E86816" w:rsidRDefault="00F40642" w:rsidP="00F40642">
      <w:pPr>
        <w:rPr>
          <w:rFonts w:ascii="Verdana" w:eastAsiaTheme="majorEastAsia" w:hAnsi="Verdana" w:cstheme="majorBidi"/>
          <w:bCs/>
          <w:i/>
          <w:color w:val="04314C"/>
          <w:szCs w:val="26"/>
          <w:lang w:val="en-GB"/>
        </w:rPr>
      </w:pPr>
      <w:r>
        <w:rPr>
          <w:rFonts w:ascii="Verdana" w:eastAsiaTheme="majorEastAsia" w:hAnsi="Verdana" w:cstheme="majorBidi"/>
          <w:bCs/>
          <w:i/>
          <w:color w:val="04314C"/>
          <w:szCs w:val="26"/>
          <w:lang w:val="en-GB"/>
        </w:rPr>
        <w:t>4</w:t>
      </w:r>
      <w:r w:rsidRPr="00E86816">
        <w:rPr>
          <w:rFonts w:ascii="Verdana" w:eastAsiaTheme="majorEastAsia" w:hAnsi="Verdana" w:cstheme="majorBidi"/>
          <w:bCs/>
          <w:i/>
          <w:color w:val="04314C"/>
          <w:szCs w:val="26"/>
          <w:lang w:val="en-GB"/>
        </w:rPr>
        <w:t xml:space="preserve">. GSC </w:t>
      </w:r>
      <w:r>
        <w:rPr>
          <w:rFonts w:ascii="Verdana" w:eastAsiaTheme="majorEastAsia" w:hAnsi="Verdana" w:cstheme="majorBidi"/>
          <w:bCs/>
          <w:i/>
          <w:color w:val="04314C"/>
          <w:szCs w:val="26"/>
          <w:lang w:val="en-GB"/>
        </w:rPr>
        <w:t>Governance – Part 1: GSC Strategy</w:t>
      </w:r>
    </w:p>
    <w:p w:rsidR="00F40642" w:rsidRDefault="00F40642" w:rsidP="00577897">
      <w:pPr>
        <w:jc w:val="both"/>
        <w:rPr>
          <w:u w:val="single"/>
        </w:rPr>
      </w:pPr>
    </w:p>
    <w:p w:rsidR="00F40642" w:rsidRDefault="00F40642" w:rsidP="00F40642">
      <w:pPr>
        <w:jc w:val="both"/>
      </w:pPr>
      <w:r>
        <w:t xml:space="preserve">The main purpose of this session was to explore how the GSC Strategy 2013-2017 can be reviewed to make it </w:t>
      </w:r>
      <w:r w:rsidRPr="00F40642">
        <w:t xml:space="preserve">more actionable </w:t>
      </w:r>
      <w:r>
        <w:t xml:space="preserve">and progress against it more measurable. There was general consensus that the current strategy is a good framework to guide the activities of the GSC, but there are too many outputs within the three main pillars. It was acknowledged that there is room to consolidate these outputs </w:t>
      </w:r>
      <w:r w:rsidR="00242C40">
        <w:t>into fewer numbers so that the Strategy is easier to grasp and monitor.</w:t>
      </w:r>
    </w:p>
    <w:p w:rsidR="00242C40" w:rsidRDefault="00242C40" w:rsidP="00F40642">
      <w:pPr>
        <w:jc w:val="both"/>
      </w:pPr>
    </w:p>
    <w:p w:rsidR="00242C40" w:rsidRPr="00F40642" w:rsidRDefault="00242C40" w:rsidP="00F40642">
      <w:pPr>
        <w:jc w:val="both"/>
      </w:pPr>
      <w:r>
        <w:t>SAG members were spli</w:t>
      </w:r>
      <w:r w:rsidR="003A6B40">
        <w:t>t into groups and asked to revise and consolidate the activities/outputs u</w:t>
      </w:r>
      <w:r w:rsidR="00442EBC">
        <w:t xml:space="preserve">nder each of the Strategic Aims. The result of the group discussions can be found in </w:t>
      </w:r>
      <w:r w:rsidR="00442EBC" w:rsidRPr="0030307A">
        <w:rPr>
          <w:b/>
          <w:bCs/>
          <w:i/>
          <w:iCs/>
        </w:rPr>
        <w:t>Annex 4 – GSC Governance: GSC Strategy</w:t>
      </w:r>
      <w:r w:rsidR="00442EBC">
        <w:t>.</w:t>
      </w:r>
    </w:p>
    <w:p w:rsidR="00F40642" w:rsidRDefault="00F40642" w:rsidP="00577897">
      <w:pPr>
        <w:jc w:val="both"/>
        <w:rPr>
          <w:u w:val="single"/>
        </w:rPr>
      </w:pPr>
    </w:p>
    <w:p w:rsidR="00577897" w:rsidRPr="00767947" w:rsidRDefault="00767947" w:rsidP="00767947">
      <w:pPr>
        <w:pStyle w:val="ListParagraph"/>
        <w:numPr>
          <w:ilvl w:val="0"/>
          <w:numId w:val="23"/>
        </w:numPr>
        <w:rPr>
          <w:b/>
          <w:bCs/>
        </w:rPr>
      </w:pPr>
      <w:r w:rsidRPr="00767947">
        <w:rPr>
          <w:b/>
          <w:bCs/>
        </w:rPr>
        <w:t>The SAG to commission a mid-term review of the GSC Strategy 2014-2017.</w:t>
      </w:r>
    </w:p>
    <w:p w:rsidR="00767947" w:rsidRPr="00767947" w:rsidRDefault="00767947" w:rsidP="00767947">
      <w:pPr>
        <w:pStyle w:val="ListParagraph"/>
        <w:numPr>
          <w:ilvl w:val="0"/>
          <w:numId w:val="23"/>
        </w:numPr>
        <w:rPr>
          <w:b/>
          <w:bCs/>
        </w:rPr>
      </w:pPr>
      <w:r w:rsidRPr="00767947">
        <w:rPr>
          <w:b/>
          <w:bCs/>
        </w:rPr>
        <w:t>The GSC Support Team to finalize and circulate to the SAG a revised and consolidated version of the current GSC Strategy based on the feedback from the retreat.</w:t>
      </w:r>
    </w:p>
    <w:p w:rsidR="00577897" w:rsidRDefault="00577897"/>
    <w:p w:rsidR="000018CE" w:rsidRPr="00E86816" w:rsidRDefault="000018CE" w:rsidP="000018CE">
      <w:pPr>
        <w:rPr>
          <w:rFonts w:ascii="Verdana" w:eastAsiaTheme="majorEastAsia" w:hAnsi="Verdana" w:cstheme="majorBidi"/>
          <w:bCs/>
          <w:i/>
          <w:color w:val="04314C"/>
          <w:szCs w:val="26"/>
          <w:lang w:val="en-GB"/>
        </w:rPr>
      </w:pPr>
      <w:r>
        <w:rPr>
          <w:rFonts w:ascii="Verdana" w:eastAsiaTheme="majorEastAsia" w:hAnsi="Verdana" w:cstheme="majorBidi"/>
          <w:bCs/>
          <w:i/>
          <w:color w:val="04314C"/>
          <w:szCs w:val="26"/>
          <w:lang w:val="en-GB"/>
        </w:rPr>
        <w:t>5</w:t>
      </w:r>
      <w:r w:rsidRPr="00E86816">
        <w:rPr>
          <w:rFonts w:ascii="Verdana" w:eastAsiaTheme="majorEastAsia" w:hAnsi="Verdana" w:cstheme="majorBidi"/>
          <w:bCs/>
          <w:i/>
          <w:color w:val="04314C"/>
          <w:szCs w:val="26"/>
          <w:lang w:val="en-GB"/>
        </w:rPr>
        <w:t xml:space="preserve">. GSC </w:t>
      </w:r>
      <w:r>
        <w:rPr>
          <w:rFonts w:ascii="Verdana" w:eastAsiaTheme="majorEastAsia" w:hAnsi="Verdana" w:cstheme="majorBidi"/>
          <w:bCs/>
          <w:i/>
          <w:color w:val="04314C"/>
          <w:szCs w:val="26"/>
          <w:lang w:val="en-GB"/>
        </w:rPr>
        <w:t>Governance – Part 2: GSC Bodies</w:t>
      </w:r>
    </w:p>
    <w:p w:rsidR="00577897" w:rsidRDefault="00577897" w:rsidP="00577897"/>
    <w:p w:rsidR="000018CE" w:rsidRDefault="00856C9A" w:rsidP="00856C9A">
      <w:r>
        <w:t>The main purpose of this session was to c</w:t>
      </w:r>
      <w:r w:rsidRPr="00856C9A">
        <w:t xml:space="preserve">larify the relation between </w:t>
      </w:r>
      <w:r>
        <w:t>the different GSC bodies (Cluster Lead Agencies, SAG, Working Groups, Support Team) and how they all contribute to advancing the activities of the GSC. It also aimed at identifying specific issues that need to be discussed in particular in relation to the SAG and the Support Team.</w:t>
      </w:r>
    </w:p>
    <w:p w:rsidR="00856C9A" w:rsidRDefault="00856C9A" w:rsidP="00856C9A"/>
    <w:p w:rsidR="00856C9A" w:rsidRDefault="00856C9A" w:rsidP="00C40CD1">
      <w:r>
        <w:t>The SAG members were split in</w:t>
      </w:r>
      <w:r w:rsidR="008018BF">
        <w:t>to</w:t>
      </w:r>
      <w:r>
        <w:t xml:space="preserve"> two groups and asked to represent in a flipchart what their understanding was of the different GSC Bodies and how the</w:t>
      </w:r>
      <w:r w:rsidR="008018BF">
        <w:t>y</w:t>
      </w:r>
      <w:r>
        <w:t xml:space="preserve"> relate to each other. The outputs of the group work </w:t>
      </w:r>
      <w:r w:rsidR="00C40CD1">
        <w:t>demonstrated there isn’t a fully consistent understanding amongst SAG Members of the roles of each of the GSC Bodies and how they complement each other.</w:t>
      </w:r>
    </w:p>
    <w:p w:rsidR="00C40CD1" w:rsidRDefault="00C40CD1" w:rsidP="00C40CD1"/>
    <w:p w:rsidR="00C40CD1" w:rsidRDefault="00C40CD1" w:rsidP="00C32F13">
      <w:r>
        <w:t xml:space="preserve">The groups were then asked to </w:t>
      </w:r>
      <w:r w:rsidR="00C32F13">
        <w:t xml:space="preserve">review the SAG </w:t>
      </w:r>
      <w:proofErr w:type="spellStart"/>
      <w:r w:rsidR="00C32F13">
        <w:t>ToR</w:t>
      </w:r>
      <w:proofErr w:type="spellEnd"/>
      <w:r w:rsidR="00C32F13">
        <w:t xml:space="preserve"> and suggest elements that should be changed, removed or added. They were also asked to discuss the role of the GSC Support Team. The outputs of the group work can be found in </w:t>
      </w:r>
      <w:r w:rsidR="00C32F13">
        <w:rPr>
          <w:b/>
          <w:bCs/>
          <w:i/>
          <w:iCs/>
        </w:rPr>
        <w:t>Annex 5</w:t>
      </w:r>
      <w:r w:rsidR="00C32F13" w:rsidRPr="0030307A">
        <w:rPr>
          <w:b/>
          <w:bCs/>
          <w:i/>
          <w:iCs/>
        </w:rPr>
        <w:t xml:space="preserve"> – GSC Governance: GSC </w:t>
      </w:r>
      <w:r w:rsidR="00C32F13">
        <w:rPr>
          <w:b/>
          <w:bCs/>
          <w:i/>
          <w:iCs/>
        </w:rPr>
        <w:t>SAG and Support Team</w:t>
      </w:r>
      <w:r w:rsidR="00C32F13">
        <w:t>.</w:t>
      </w:r>
    </w:p>
    <w:p w:rsidR="00FF636F" w:rsidRDefault="00FF636F" w:rsidP="00C32F13"/>
    <w:p w:rsidR="00FF636F" w:rsidRPr="00C32F13" w:rsidRDefault="00FF636F" w:rsidP="00FF636F">
      <w:r>
        <w:t>There was a final discussion on a GSC endorsement framework outlining a process by which outputs from GSC and shelter sector initiatives can be considered “endorsed” by the GSC and the use of the GSC logo and associated language.</w:t>
      </w:r>
    </w:p>
    <w:p w:rsidR="00856C9A" w:rsidRDefault="00856C9A" w:rsidP="00577897"/>
    <w:p w:rsidR="00FF636F" w:rsidRDefault="00FF636F" w:rsidP="00577897">
      <w:r>
        <w:t>Decisions:</w:t>
      </w:r>
    </w:p>
    <w:p w:rsidR="00FF636F" w:rsidRDefault="00FF636F" w:rsidP="00577897"/>
    <w:p w:rsidR="00FF636F" w:rsidRPr="00FF636F" w:rsidRDefault="00FF636F" w:rsidP="00FF636F">
      <w:pPr>
        <w:pStyle w:val="ListParagraph"/>
        <w:numPr>
          <w:ilvl w:val="0"/>
          <w:numId w:val="23"/>
        </w:numPr>
        <w:rPr>
          <w:b/>
          <w:bCs/>
        </w:rPr>
      </w:pPr>
      <w:r w:rsidRPr="00FF636F">
        <w:rPr>
          <w:b/>
          <w:bCs/>
        </w:rPr>
        <w:t xml:space="preserve">The SAG </w:t>
      </w:r>
      <w:proofErr w:type="spellStart"/>
      <w:r w:rsidRPr="00FF636F">
        <w:rPr>
          <w:b/>
          <w:bCs/>
        </w:rPr>
        <w:t>ToR</w:t>
      </w:r>
      <w:proofErr w:type="spellEnd"/>
      <w:r w:rsidRPr="00FF636F">
        <w:rPr>
          <w:b/>
          <w:bCs/>
        </w:rPr>
        <w:t xml:space="preserve"> and the draft document on Endorsement by the Global Shelter Cluster to be </w:t>
      </w:r>
      <w:r w:rsidRPr="00D6129E">
        <w:rPr>
          <w:b/>
          <w:bCs/>
        </w:rPr>
        <w:t>posted</w:t>
      </w:r>
      <w:r w:rsidRPr="00FF636F">
        <w:rPr>
          <w:b/>
          <w:bCs/>
        </w:rPr>
        <w:t xml:space="preserve"> on Google docs by cluster leads for review in track changes by SAG members.</w:t>
      </w:r>
    </w:p>
    <w:p w:rsidR="00FF636F" w:rsidRDefault="00FF636F" w:rsidP="00577897"/>
    <w:p w:rsidR="00577897" w:rsidRPr="00753ECA" w:rsidRDefault="00753ECA" w:rsidP="00577897">
      <w:pPr>
        <w:rPr>
          <w:rFonts w:ascii="Verdana" w:eastAsiaTheme="majorEastAsia" w:hAnsi="Verdana" w:cstheme="majorBidi"/>
          <w:bCs/>
          <w:i/>
          <w:color w:val="04314C"/>
          <w:szCs w:val="26"/>
          <w:lang w:val="en-GB"/>
        </w:rPr>
      </w:pPr>
      <w:r w:rsidRPr="00753ECA">
        <w:rPr>
          <w:rFonts w:ascii="Verdana" w:eastAsiaTheme="majorEastAsia" w:hAnsi="Verdana" w:cstheme="majorBidi"/>
          <w:bCs/>
          <w:i/>
          <w:color w:val="04314C"/>
          <w:szCs w:val="26"/>
          <w:lang w:val="en-GB"/>
        </w:rPr>
        <w:t>6. Plan for 2015-2016 and updates on ECHO proposal</w:t>
      </w:r>
    </w:p>
    <w:p w:rsidR="00753ECA" w:rsidRDefault="00753ECA" w:rsidP="00577897"/>
    <w:p w:rsidR="00753ECA" w:rsidRDefault="00753ECA" w:rsidP="00577897">
      <w:r>
        <w:t xml:space="preserve">The purpose of this session was to review and agree on the Plan for 2015-2016 document which constitutes the basis for the ECHO application to ERC funding in 2015. </w:t>
      </w:r>
      <w:r w:rsidR="00727566">
        <w:t>T</w:t>
      </w:r>
      <w:r>
        <w:t>he discussion focused on the ECHO application and what to prioritize/de-prioritize in case of partial funding.</w:t>
      </w:r>
      <w:r w:rsidR="00727566">
        <w:t xml:space="preserve"> This prioritization also provides an indication of which activities should be funded first in case that other additional fund is secured through the road-show to donors or other SAG initiatives. </w:t>
      </w:r>
    </w:p>
    <w:p w:rsidR="00753ECA" w:rsidRDefault="00753ECA" w:rsidP="00577897"/>
    <w:p w:rsidR="00753ECA" w:rsidRDefault="00753ECA" w:rsidP="00577897">
      <w:r>
        <w:t>Decisions:</w:t>
      </w:r>
    </w:p>
    <w:p w:rsidR="00753ECA" w:rsidRDefault="00753ECA" w:rsidP="00753ECA"/>
    <w:p w:rsidR="00727566" w:rsidRDefault="00727566" w:rsidP="00753ECA">
      <w:pPr>
        <w:pStyle w:val="ListParagraph"/>
        <w:numPr>
          <w:ilvl w:val="0"/>
          <w:numId w:val="23"/>
        </w:numPr>
        <w:rPr>
          <w:b/>
          <w:bCs/>
        </w:rPr>
      </w:pPr>
      <w:r>
        <w:rPr>
          <w:b/>
          <w:bCs/>
        </w:rPr>
        <w:t>The global Fund for Coordination should not be included in the proposal to ECHO but remains a priority to fund-raise through other channels.</w:t>
      </w:r>
    </w:p>
    <w:p w:rsidR="00753ECA" w:rsidRPr="00D6129E" w:rsidRDefault="00753ECA" w:rsidP="00753ECA">
      <w:pPr>
        <w:pStyle w:val="ListParagraph"/>
        <w:numPr>
          <w:ilvl w:val="0"/>
          <w:numId w:val="23"/>
        </w:numPr>
        <w:rPr>
          <w:b/>
          <w:bCs/>
        </w:rPr>
      </w:pPr>
      <w:r w:rsidRPr="00D6129E">
        <w:rPr>
          <w:b/>
          <w:bCs/>
        </w:rPr>
        <w:t>The elements to de-prioritize and cut from the ECHO proposal in case of partial funding are the following</w:t>
      </w:r>
      <w:r w:rsidR="00727566">
        <w:rPr>
          <w:b/>
          <w:bCs/>
        </w:rPr>
        <w:t xml:space="preserve"> in order of priority</w:t>
      </w:r>
      <w:r w:rsidRPr="00D6129E">
        <w:rPr>
          <w:b/>
          <w:bCs/>
        </w:rPr>
        <w:t xml:space="preserve">: State of Humanitarian Shelter; support to country level workshops; funding for technical meetings; translation; thematic issues; Regional Focal Points; </w:t>
      </w:r>
      <w:r w:rsidR="00C71A7C">
        <w:rPr>
          <w:b/>
          <w:bCs/>
        </w:rPr>
        <w:t xml:space="preserve">Global Focal Point for </w:t>
      </w:r>
      <w:r w:rsidRPr="00D6129E">
        <w:rPr>
          <w:b/>
          <w:bCs/>
        </w:rPr>
        <w:t xml:space="preserve">advocacy and communications; </w:t>
      </w:r>
      <w:r w:rsidR="00C71A7C">
        <w:rPr>
          <w:b/>
          <w:bCs/>
        </w:rPr>
        <w:t xml:space="preserve">Global Focal Point for </w:t>
      </w:r>
      <w:r w:rsidRPr="00D6129E">
        <w:rPr>
          <w:b/>
          <w:bCs/>
        </w:rPr>
        <w:t xml:space="preserve">Assessment/Monitoring/Evaluation. There was some preference </w:t>
      </w:r>
      <w:r w:rsidRPr="00D6129E">
        <w:rPr>
          <w:b/>
          <w:bCs/>
        </w:rPr>
        <w:lastRenderedPageBreak/>
        <w:t>expressed for a greater number of people in the Support Team with less dedication than a fewer number of people with greater dedication, as this facilitates accessing funding from other sources to sustain the position and makes it easier for agencies to contribute personnel, even if part-time, to the work of the GSC.</w:t>
      </w:r>
    </w:p>
    <w:p w:rsidR="00D6129E" w:rsidRDefault="00D6129E" w:rsidP="00D6129E">
      <w:pPr>
        <w:rPr>
          <w:rFonts w:ascii="Verdana" w:eastAsiaTheme="majorEastAsia" w:hAnsi="Verdana" w:cstheme="majorBidi"/>
          <w:bCs/>
          <w:i/>
          <w:color w:val="04314C"/>
          <w:szCs w:val="26"/>
          <w:lang w:val="en-GB"/>
        </w:rPr>
      </w:pPr>
    </w:p>
    <w:p w:rsidR="00577897" w:rsidRDefault="00D6129E" w:rsidP="00D6129E">
      <w:pPr>
        <w:rPr>
          <w:rFonts w:ascii="Verdana" w:eastAsiaTheme="majorEastAsia" w:hAnsi="Verdana" w:cstheme="majorBidi"/>
          <w:bCs/>
          <w:i/>
          <w:color w:val="04314C"/>
          <w:szCs w:val="26"/>
          <w:lang w:val="en-GB"/>
        </w:rPr>
      </w:pPr>
      <w:r>
        <w:rPr>
          <w:rFonts w:ascii="Verdana" w:eastAsiaTheme="majorEastAsia" w:hAnsi="Verdana" w:cstheme="majorBidi"/>
          <w:bCs/>
          <w:i/>
          <w:color w:val="04314C"/>
          <w:szCs w:val="26"/>
          <w:lang w:val="en-GB"/>
        </w:rPr>
        <w:t xml:space="preserve">7. </w:t>
      </w:r>
      <w:r w:rsidR="00577897" w:rsidRPr="00D6129E">
        <w:rPr>
          <w:rFonts w:ascii="Verdana" w:eastAsiaTheme="majorEastAsia" w:hAnsi="Verdana" w:cstheme="majorBidi"/>
          <w:bCs/>
          <w:i/>
          <w:color w:val="04314C"/>
          <w:szCs w:val="26"/>
          <w:lang w:val="en-GB"/>
        </w:rPr>
        <w:t>Parking Lot</w:t>
      </w:r>
    </w:p>
    <w:p w:rsidR="00D6129E" w:rsidRDefault="00D6129E" w:rsidP="00D6129E">
      <w:pPr>
        <w:rPr>
          <w:rFonts w:ascii="Verdana" w:eastAsiaTheme="majorEastAsia" w:hAnsi="Verdana" w:cstheme="majorBidi"/>
          <w:bCs/>
          <w:i/>
          <w:color w:val="04314C"/>
          <w:szCs w:val="26"/>
          <w:lang w:val="en-GB"/>
        </w:rPr>
      </w:pPr>
    </w:p>
    <w:p w:rsidR="00D6129E" w:rsidRPr="00D6129E" w:rsidRDefault="00D6129E" w:rsidP="00D6129E">
      <w:r w:rsidRPr="00D6129E">
        <w:t xml:space="preserve">Throughout the retreat, there were a number of issues raised that were noted on a Parking Lot for further discussion. These can be found in </w:t>
      </w:r>
      <w:r w:rsidRPr="00D6129E">
        <w:rPr>
          <w:b/>
          <w:bCs/>
          <w:i/>
          <w:iCs/>
        </w:rPr>
        <w:t>Annex 6 – Parking Lot</w:t>
      </w:r>
      <w:r w:rsidRPr="00D6129E">
        <w:t>.</w:t>
      </w:r>
    </w:p>
    <w:p w:rsidR="00D6129E" w:rsidRDefault="00D6129E" w:rsidP="00D6129E">
      <w:pPr>
        <w:rPr>
          <w:rFonts w:ascii="Verdana" w:eastAsiaTheme="majorEastAsia" w:hAnsi="Verdana" w:cstheme="majorBidi"/>
          <w:bCs/>
          <w:i/>
          <w:color w:val="04314C"/>
          <w:szCs w:val="26"/>
          <w:lang w:val="en-GB"/>
        </w:rPr>
      </w:pPr>
    </w:p>
    <w:p w:rsidR="00D6129E" w:rsidRPr="00D6129E" w:rsidRDefault="00D6129E" w:rsidP="00D6129E">
      <w:r w:rsidRPr="00D6129E">
        <w:t>Decisions:</w:t>
      </w:r>
    </w:p>
    <w:p w:rsidR="00D6129E" w:rsidRPr="00D6129E" w:rsidRDefault="00D6129E" w:rsidP="00D6129E">
      <w:pPr>
        <w:rPr>
          <w:b/>
          <w:bCs/>
        </w:rPr>
      </w:pPr>
    </w:p>
    <w:p w:rsidR="00D6129E" w:rsidRDefault="00D6129E" w:rsidP="00D6129E">
      <w:pPr>
        <w:pStyle w:val="ListParagraph"/>
        <w:numPr>
          <w:ilvl w:val="0"/>
          <w:numId w:val="23"/>
        </w:numPr>
        <w:rPr>
          <w:b/>
          <w:bCs/>
        </w:rPr>
      </w:pPr>
      <w:r>
        <w:rPr>
          <w:b/>
          <w:bCs/>
        </w:rPr>
        <w:t xml:space="preserve">Parking Lot issues to be reviewed by the Support Team and added to SAG meeting agenda items or followed up via email as appropriate. </w:t>
      </w:r>
    </w:p>
    <w:p w:rsidR="00D6129E" w:rsidRDefault="00D6129E" w:rsidP="00D6129E">
      <w:pPr>
        <w:rPr>
          <w:b/>
          <w:bCs/>
        </w:rPr>
      </w:pPr>
    </w:p>
    <w:p w:rsidR="000D56A2" w:rsidRDefault="000D56A2">
      <w:pPr>
        <w:spacing w:after="200" w:line="276" w:lineRule="auto"/>
      </w:pPr>
      <w:r>
        <w:br w:type="page"/>
      </w:r>
    </w:p>
    <w:p w:rsidR="000D56A2" w:rsidRDefault="00FD1C93" w:rsidP="005B4FDC">
      <w:pPr>
        <w:pStyle w:val="Heading1"/>
        <w:spacing w:before="0"/>
        <w:jc w:val="center"/>
      </w:pPr>
      <w:r>
        <w:rPr>
          <w:sz w:val="32"/>
        </w:rPr>
        <w:lastRenderedPageBreak/>
        <w:t>Annex 1</w:t>
      </w:r>
      <w:r w:rsidR="005B4FDC">
        <w:rPr>
          <w:sz w:val="32"/>
        </w:rPr>
        <w:t xml:space="preserve"> - </w:t>
      </w:r>
      <w:r w:rsidR="000D56A2">
        <w:rPr>
          <w:sz w:val="32"/>
        </w:rPr>
        <w:t>SAG Retreat</w:t>
      </w:r>
      <w:r>
        <w:rPr>
          <w:sz w:val="32"/>
        </w:rPr>
        <w:t xml:space="preserve"> Agenda</w:t>
      </w:r>
    </w:p>
    <w:p w:rsidR="000D56A2" w:rsidRDefault="000D56A2" w:rsidP="000D56A2">
      <w:pPr>
        <w:pStyle w:val="Heading3"/>
      </w:pPr>
      <w:r>
        <w:t>Background:</w:t>
      </w:r>
    </w:p>
    <w:p w:rsidR="000D56A2" w:rsidRDefault="000D56A2" w:rsidP="000D56A2">
      <w:pPr>
        <w:pStyle w:val="NoSpacing"/>
      </w:pPr>
      <w:r>
        <w:t xml:space="preserve">To enhance the ability of the GSC to meet its global responsibilities, a Strategic Advisory Group was formally established in November 2012. The participation in the SAG reflects the diverse nature of the wider GSC network, and the focus of the cluster on enhanced operational humanitarian response at country level. Additionally, the SAG membership as a whole represents the capacities and competencies dealing with the full disaster management cycle and cross-cutting issues to ensure a strategic representation of shelter and settlement topics. </w:t>
      </w:r>
    </w:p>
    <w:p w:rsidR="000D56A2" w:rsidRDefault="000D56A2" w:rsidP="000D56A2">
      <w:pPr>
        <w:pStyle w:val="Heading3"/>
      </w:pPr>
      <w:r>
        <w:t>Objectives:</w:t>
      </w:r>
    </w:p>
    <w:p w:rsidR="000D56A2" w:rsidRDefault="000D56A2" w:rsidP="000D56A2">
      <w:pPr>
        <w:pStyle w:val="NoSpacing"/>
      </w:pPr>
      <w:r>
        <w:t xml:space="preserve">Review how the SAG has been working in 2014, analyse achievements and challenges, and define the  way forward in 2015.  </w:t>
      </w:r>
    </w:p>
    <w:p w:rsidR="000D56A2" w:rsidRDefault="000D56A2" w:rsidP="000D56A2">
      <w:pPr>
        <w:pStyle w:val="Heading3"/>
        <w:rPr>
          <w:rFonts w:ascii="Verdana" w:hAnsi="Verdana"/>
          <w:b w:val="0"/>
          <w:sz w:val="22"/>
          <w:szCs w:val="22"/>
          <w:lang w:eastAsia="ja-JP"/>
        </w:rPr>
      </w:pPr>
      <w:r w:rsidRPr="00FD1C93">
        <w:rPr>
          <w:lang w:val="fr-FR"/>
        </w:rPr>
        <w:t xml:space="preserve">Venue: </w:t>
      </w:r>
      <w:r w:rsidRPr="00FD1C93">
        <w:rPr>
          <w:rFonts w:ascii="Calibri" w:eastAsia="MS Mincho" w:hAnsi="Calibri" w:cs="Times New Roman"/>
          <w:i/>
          <w:color w:val="auto"/>
          <w:lang w:val="fr-FR"/>
        </w:rPr>
        <w:t xml:space="preserve">Villa Barton, 132 Rue de Lausanne, Geneva. </w:t>
      </w:r>
      <w:r>
        <w:rPr>
          <w:rFonts w:ascii="Calibri" w:eastAsia="MS Mincho" w:hAnsi="Calibri" w:cs="Times New Roman"/>
          <w:b w:val="0"/>
          <w:i/>
          <w:color w:val="auto"/>
        </w:rPr>
        <w:t xml:space="preserve">More information </w:t>
      </w:r>
      <w:hyperlink r:id="rId9" w:history="1">
        <w:r>
          <w:rPr>
            <w:rStyle w:val="Hyperlink"/>
            <w:rFonts w:ascii="Calibri" w:hAnsi="Calibri"/>
            <w:b w:val="0"/>
            <w:i/>
          </w:rPr>
          <w:t>here</w:t>
        </w:r>
      </w:hyperlink>
      <w:r>
        <w:rPr>
          <w:rFonts w:ascii="Calibri" w:eastAsia="MS Mincho" w:hAnsi="Calibri" w:cs="Times New Roman"/>
          <w:b w:val="0"/>
          <w:i/>
          <w:color w:val="auto"/>
        </w:rPr>
        <w:t>.</w:t>
      </w:r>
    </w:p>
    <w:p w:rsidR="000D56A2" w:rsidRDefault="000D56A2" w:rsidP="000D56A2">
      <w:pPr>
        <w:pStyle w:val="Heading3"/>
      </w:pPr>
      <w:r>
        <w:t xml:space="preserve">Date:  </w:t>
      </w:r>
      <w:r>
        <w:rPr>
          <w:rFonts w:ascii="Calibri" w:eastAsia="MS Mincho" w:hAnsi="Calibri" w:cs="Times New Roman"/>
          <w:i/>
          <w:color w:val="auto"/>
        </w:rPr>
        <w:t>Geneva, 8-9 December 2014</w:t>
      </w:r>
    </w:p>
    <w:p w:rsidR="000D56A2" w:rsidRDefault="000D56A2" w:rsidP="000D56A2">
      <w:pPr>
        <w:pStyle w:val="Heading1"/>
        <w:jc w:val="center"/>
      </w:pPr>
      <w:bookmarkStart w:id="1" w:name="_Ref411001047"/>
      <w:r>
        <w:t>SUMMARY AGENDA</w:t>
      </w:r>
      <w:bookmarkEnd w:id="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3605"/>
        <w:gridCol w:w="4110"/>
      </w:tblGrid>
      <w:tr w:rsidR="000D56A2" w:rsidTr="000D56A2">
        <w:tc>
          <w:tcPr>
            <w:tcW w:w="1465" w:type="dxa"/>
            <w:tcBorders>
              <w:top w:val="single" w:sz="4" w:space="0" w:color="auto"/>
              <w:left w:val="single" w:sz="4" w:space="0" w:color="auto"/>
              <w:bottom w:val="single" w:sz="4" w:space="0" w:color="auto"/>
              <w:right w:val="single" w:sz="4" w:space="0" w:color="auto"/>
            </w:tcBorders>
            <w:shd w:val="clear" w:color="auto" w:fill="1F497D" w:themeFill="text2"/>
          </w:tcPr>
          <w:p w:rsidR="000D56A2" w:rsidRDefault="000D56A2">
            <w:pPr>
              <w:pStyle w:val="ListNumber"/>
              <w:numPr>
                <w:ilvl w:val="0"/>
                <w:numId w:val="0"/>
              </w:numPr>
              <w:tabs>
                <w:tab w:val="left" w:pos="720"/>
              </w:tabs>
              <w:spacing w:line="276" w:lineRule="auto"/>
              <w:jc w:val="center"/>
              <w:rPr>
                <w:rFonts w:ascii="Calibri" w:hAnsi="Calibri"/>
                <w:b/>
                <w:bCs/>
                <w:color w:val="FFFFFF" w:themeColor="background1"/>
                <w:sz w:val="22"/>
                <w:szCs w:val="22"/>
              </w:rPr>
            </w:pPr>
          </w:p>
        </w:tc>
        <w:tc>
          <w:tcPr>
            <w:tcW w:w="3605"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D56A2" w:rsidRDefault="000D56A2">
            <w:pPr>
              <w:pStyle w:val="ListNumber"/>
              <w:numPr>
                <w:ilvl w:val="0"/>
                <w:numId w:val="0"/>
              </w:numPr>
              <w:tabs>
                <w:tab w:val="left" w:pos="720"/>
              </w:tabs>
              <w:spacing w:line="276" w:lineRule="auto"/>
              <w:jc w:val="center"/>
              <w:rPr>
                <w:rFonts w:ascii="Calibri" w:hAnsi="Calibri"/>
                <w:b/>
                <w:bCs/>
                <w:color w:val="FFFFFF" w:themeColor="background1"/>
                <w:sz w:val="22"/>
                <w:szCs w:val="22"/>
              </w:rPr>
            </w:pPr>
            <w:r>
              <w:rPr>
                <w:rFonts w:ascii="Calibri" w:hAnsi="Calibri"/>
                <w:b/>
                <w:bCs/>
                <w:color w:val="FFFFFF" w:themeColor="background1"/>
                <w:sz w:val="22"/>
                <w:szCs w:val="22"/>
              </w:rPr>
              <w:t xml:space="preserve">December 8 </w:t>
            </w:r>
          </w:p>
        </w:tc>
        <w:tc>
          <w:tcPr>
            <w:tcW w:w="4110" w:type="dxa"/>
            <w:tcBorders>
              <w:top w:val="single" w:sz="4" w:space="0" w:color="auto"/>
              <w:left w:val="single" w:sz="4" w:space="0" w:color="auto"/>
              <w:bottom w:val="single" w:sz="4" w:space="0" w:color="auto"/>
              <w:right w:val="single" w:sz="4" w:space="0" w:color="auto"/>
            </w:tcBorders>
            <w:shd w:val="clear" w:color="auto" w:fill="1F497D" w:themeFill="text2"/>
            <w:hideMark/>
          </w:tcPr>
          <w:p w:rsidR="000D56A2" w:rsidRDefault="000D56A2">
            <w:pPr>
              <w:pStyle w:val="ListNumber"/>
              <w:numPr>
                <w:ilvl w:val="0"/>
                <w:numId w:val="0"/>
              </w:numPr>
              <w:tabs>
                <w:tab w:val="left" w:pos="720"/>
              </w:tabs>
              <w:spacing w:line="276" w:lineRule="auto"/>
              <w:jc w:val="center"/>
              <w:rPr>
                <w:rFonts w:ascii="Calibri" w:hAnsi="Calibri"/>
                <w:b/>
                <w:bCs/>
                <w:color w:val="FFFFFF" w:themeColor="background1"/>
                <w:sz w:val="22"/>
                <w:szCs w:val="22"/>
              </w:rPr>
            </w:pPr>
            <w:r>
              <w:rPr>
                <w:rFonts w:ascii="Calibri" w:hAnsi="Calibri"/>
                <w:b/>
                <w:bCs/>
                <w:color w:val="FFFFFF" w:themeColor="background1"/>
                <w:sz w:val="22"/>
                <w:szCs w:val="22"/>
              </w:rPr>
              <w:t>December 9</w:t>
            </w:r>
          </w:p>
        </w:tc>
      </w:tr>
      <w:tr w:rsidR="000D56A2" w:rsidTr="000D56A2">
        <w:trPr>
          <w:trHeight w:val="312"/>
        </w:trPr>
        <w:tc>
          <w:tcPr>
            <w:tcW w:w="146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8h30-9h00</w:t>
            </w:r>
          </w:p>
        </w:tc>
        <w:tc>
          <w:tcPr>
            <w:tcW w:w="360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Welcome coffee</w:t>
            </w: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Welcome coffee</w:t>
            </w:r>
          </w:p>
        </w:tc>
      </w:tr>
      <w:tr w:rsidR="000D56A2" w:rsidTr="000D56A2">
        <w:trPr>
          <w:trHeight w:val="312"/>
        </w:trPr>
        <w:tc>
          <w:tcPr>
            <w:tcW w:w="1465" w:type="dxa"/>
            <w:vMerge w:val="restart"/>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9h00 – 11h00</w:t>
            </w:r>
          </w:p>
        </w:tc>
        <w:tc>
          <w:tcPr>
            <w:tcW w:w="360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Welcome from GSC Coordinators </w:t>
            </w:r>
            <w:r>
              <w:rPr>
                <w:rFonts w:ascii="Calibri" w:hAnsi="Calibri"/>
                <w:sz w:val="20"/>
                <w:szCs w:val="20"/>
              </w:rPr>
              <w:t>(Shaun/Graham)</w:t>
            </w: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Recap Day 1 </w:t>
            </w:r>
            <w:r>
              <w:rPr>
                <w:rFonts w:ascii="Calibri" w:hAnsi="Calibri"/>
                <w:sz w:val="20"/>
                <w:szCs w:val="20"/>
              </w:rPr>
              <w:t>(Miguel)</w:t>
            </w:r>
          </w:p>
        </w:tc>
      </w:tr>
      <w:tr w:rsidR="000D56A2" w:rsidTr="000D56A2">
        <w:trPr>
          <w:trHeight w:val="8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56A2" w:rsidRDefault="000D56A2">
            <w:pPr>
              <w:rPr>
                <w:rFonts w:ascii="Calibri" w:eastAsia="MS Mincho" w:hAnsi="Calibri" w:cs="Times New Roman"/>
                <w:b/>
                <w:sz w:val="20"/>
                <w:szCs w:val="20"/>
                <w:lang w:eastAsia="ja-JP"/>
              </w:rPr>
            </w:pPr>
          </w:p>
        </w:tc>
        <w:tc>
          <w:tcPr>
            <w:tcW w:w="360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ind w:left="360" w:hanging="360"/>
              <w:jc w:val="left"/>
              <w:rPr>
                <w:rFonts w:ascii="Calibri" w:hAnsi="Calibri"/>
                <w:b/>
                <w:sz w:val="20"/>
                <w:szCs w:val="20"/>
              </w:rPr>
            </w:pPr>
            <w:r>
              <w:rPr>
                <w:rFonts w:ascii="Calibri" w:hAnsi="Calibri"/>
                <w:b/>
                <w:sz w:val="20"/>
                <w:szCs w:val="20"/>
              </w:rPr>
              <w:t xml:space="preserve">GSC Sustainability </w:t>
            </w:r>
            <w:r>
              <w:rPr>
                <w:rFonts w:ascii="Calibri" w:hAnsi="Calibri"/>
                <w:sz w:val="20"/>
                <w:szCs w:val="20"/>
              </w:rPr>
              <w:t>(Pablo)</w:t>
            </w:r>
          </w:p>
          <w:p w:rsidR="000D56A2" w:rsidRDefault="000D56A2" w:rsidP="000D56A2">
            <w:pPr>
              <w:pStyle w:val="ListNumber"/>
              <w:numPr>
                <w:ilvl w:val="0"/>
                <w:numId w:val="17"/>
              </w:numPr>
              <w:tabs>
                <w:tab w:val="left" w:pos="720"/>
              </w:tabs>
              <w:spacing w:line="276" w:lineRule="auto"/>
              <w:ind w:left="236" w:hanging="142"/>
              <w:jc w:val="left"/>
              <w:rPr>
                <w:rFonts w:ascii="Calibri" w:hAnsi="Calibri"/>
                <w:sz w:val="20"/>
                <w:szCs w:val="20"/>
              </w:rPr>
            </w:pPr>
            <w:r>
              <w:rPr>
                <w:rFonts w:ascii="Calibri" w:hAnsi="Calibri"/>
                <w:sz w:val="20"/>
                <w:szCs w:val="20"/>
              </w:rPr>
              <w:t>Clarify core services to be provided and corresponding core team</w:t>
            </w:r>
          </w:p>
          <w:p w:rsidR="000D56A2" w:rsidRDefault="000D56A2" w:rsidP="000D56A2">
            <w:pPr>
              <w:pStyle w:val="ListNumber"/>
              <w:numPr>
                <w:ilvl w:val="0"/>
                <w:numId w:val="17"/>
              </w:numPr>
              <w:tabs>
                <w:tab w:val="left" w:pos="720"/>
              </w:tabs>
              <w:spacing w:line="276" w:lineRule="auto"/>
              <w:ind w:left="236" w:hanging="142"/>
              <w:jc w:val="left"/>
              <w:rPr>
                <w:rFonts w:ascii="Calibri" w:hAnsi="Calibri"/>
                <w:b/>
                <w:sz w:val="20"/>
                <w:szCs w:val="20"/>
              </w:rPr>
            </w:pPr>
            <w:r>
              <w:rPr>
                <w:rFonts w:ascii="Calibri" w:hAnsi="Calibri"/>
                <w:sz w:val="20"/>
                <w:szCs w:val="20"/>
              </w:rPr>
              <w:t>Clarify commitments from GSC partners in resourcing the GSC with/without external funding</w:t>
            </w: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GSC Governance – SAG </w:t>
            </w:r>
            <w:r>
              <w:rPr>
                <w:rFonts w:ascii="Calibri" w:hAnsi="Calibri"/>
                <w:sz w:val="20"/>
                <w:szCs w:val="20"/>
              </w:rPr>
              <w:t>(Joseph)</w:t>
            </w:r>
          </w:p>
          <w:p w:rsidR="000D56A2" w:rsidRDefault="000D56A2" w:rsidP="000D56A2">
            <w:pPr>
              <w:pStyle w:val="ListNumber"/>
              <w:numPr>
                <w:ilvl w:val="0"/>
                <w:numId w:val="17"/>
              </w:numPr>
              <w:tabs>
                <w:tab w:val="left" w:pos="720"/>
              </w:tabs>
              <w:spacing w:line="276" w:lineRule="auto"/>
              <w:ind w:left="236" w:hanging="142"/>
              <w:jc w:val="left"/>
              <w:rPr>
                <w:rFonts w:ascii="Calibri" w:hAnsi="Calibri"/>
                <w:sz w:val="20"/>
                <w:szCs w:val="20"/>
              </w:rPr>
            </w:pPr>
            <w:r>
              <w:rPr>
                <w:rFonts w:ascii="Calibri" w:hAnsi="Calibri"/>
                <w:sz w:val="20"/>
                <w:szCs w:val="20"/>
              </w:rPr>
              <w:t>SAG Decision making</w:t>
            </w:r>
          </w:p>
          <w:p w:rsidR="000D56A2" w:rsidRDefault="000D56A2" w:rsidP="000D56A2">
            <w:pPr>
              <w:pStyle w:val="ListNumber"/>
              <w:numPr>
                <w:ilvl w:val="0"/>
                <w:numId w:val="17"/>
              </w:numPr>
              <w:tabs>
                <w:tab w:val="left" w:pos="720"/>
              </w:tabs>
              <w:spacing w:line="276" w:lineRule="auto"/>
              <w:ind w:left="236" w:hanging="142"/>
              <w:jc w:val="left"/>
              <w:rPr>
                <w:rFonts w:ascii="Calibri" w:hAnsi="Calibri"/>
                <w:sz w:val="20"/>
                <w:szCs w:val="20"/>
              </w:rPr>
            </w:pPr>
            <w:r>
              <w:rPr>
                <w:rFonts w:ascii="Calibri" w:hAnsi="Calibri"/>
                <w:sz w:val="20"/>
                <w:szCs w:val="20"/>
              </w:rPr>
              <w:t>Support to country level</w:t>
            </w:r>
          </w:p>
          <w:p w:rsidR="000D56A2" w:rsidRDefault="000D56A2" w:rsidP="000D56A2">
            <w:pPr>
              <w:pStyle w:val="ListNumber"/>
              <w:numPr>
                <w:ilvl w:val="0"/>
                <w:numId w:val="17"/>
              </w:numPr>
              <w:tabs>
                <w:tab w:val="left" w:pos="720"/>
              </w:tabs>
              <w:spacing w:line="276" w:lineRule="auto"/>
              <w:ind w:left="236" w:hanging="142"/>
              <w:jc w:val="left"/>
              <w:rPr>
                <w:rFonts w:ascii="Calibri" w:hAnsi="Calibri"/>
                <w:b/>
                <w:sz w:val="20"/>
                <w:szCs w:val="20"/>
              </w:rPr>
            </w:pPr>
            <w:r>
              <w:rPr>
                <w:rFonts w:ascii="Calibri" w:hAnsi="Calibri"/>
                <w:sz w:val="20"/>
                <w:szCs w:val="20"/>
              </w:rPr>
              <w:t>Liabilities</w:t>
            </w:r>
          </w:p>
        </w:tc>
      </w:tr>
      <w:tr w:rsidR="000D56A2" w:rsidTr="000D56A2">
        <w:trPr>
          <w:trHeight w:val="166"/>
        </w:trPr>
        <w:tc>
          <w:tcPr>
            <w:tcW w:w="1465" w:type="dxa"/>
            <w:tcBorders>
              <w:top w:val="single" w:sz="4" w:space="0" w:color="auto"/>
              <w:left w:val="single" w:sz="4" w:space="0" w:color="auto"/>
              <w:bottom w:val="single" w:sz="4" w:space="0" w:color="auto"/>
              <w:right w:val="single" w:sz="4" w:space="0" w:color="auto"/>
            </w:tcBorders>
            <w:shd w:val="pct15" w:color="auto" w:fill="auto"/>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11h00 - 11h15</w:t>
            </w:r>
          </w:p>
        </w:tc>
        <w:tc>
          <w:tcPr>
            <w:tcW w:w="3605" w:type="dxa"/>
            <w:tcBorders>
              <w:top w:val="single" w:sz="4" w:space="0" w:color="auto"/>
              <w:left w:val="single" w:sz="4" w:space="0" w:color="auto"/>
              <w:bottom w:val="single" w:sz="4" w:space="0" w:color="auto"/>
              <w:right w:val="single" w:sz="4" w:space="0" w:color="auto"/>
            </w:tcBorders>
            <w:shd w:val="pct15" w:color="auto" w:fill="auto"/>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Coffee break</w:t>
            </w:r>
          </w:p>
        </w:tc>
        <w:tc>
          <w:tcPr>
            <w:tcW w:w="4110" w:type="dxa"/>
            <w:tcBorders>
              <w:top w:val="single" w:sz="4" w:space="0" w:color="auto"/>
              <w:left w:val="single" w:sz="4" w:space="0" w:color="auto"/>
              <w:bottom w:val="single" w:sz="4" w:space="0" w:color="auto"/>
              <w:right w:val="single" w:sz="4" w:space="0" w:color="auto"/>
            </w:tcBorders>
            <w:shd w:val="pct15" w:color="auto" w:fill="auto"/>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Coffee break</w:t>
            </w:r>
          </w:p>
        </w:tc>
      </w:tr>
      <w:tr w:rsidR="000D56A2" w:rsidTr="000D56A2">
        <w:trPr>
          <w:trHeight w:val="1224"/>
        </w:trPr>
        <w:tc>
          <w:tcPr>
            <w:tcW w:w="146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11h15 – 12h30</w:t>
            </w:r>
          </w:p>
        </w:tc>
        <w:tc>
          <w:tcPr>
            <w:tcW w:w="360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ind w:left="360" w:hanging="360"/>
              <w:jc w:val="left"/>
              <w:rPr>
                <w:rFonts w:ascii="Calibri" w:hAnsi="Calibri"/>
                <w:b/>
                <w:sz w:val="20"/>
                <w:szCs w:val="20"/>
              </w:rPr>
            </w:pPr>
            <w:r>
              <w:rPr>
                <w:rFonts w:ascii="Calibri" w:hAnsi="Calibri"/>
                <w:b/>
                <w:sz w:val="20"/>
                <w:szCs w:val="20"/>
              </w:rPr>
              <w:t xml:space="preserve">GSC Sustainability </w:t>
            </w:r>
            <w:r>
              <w:rPr>
                <w:rFonts w:ascii="Calibri" w:hAnsi="Calibri"/>
                <w:sz w:val="20"/>
                <w:szCs w:val="20"/>
              </w:rPr>
              <w:t>(Miguel)</w:t>
            </w:r>
          </w:p>
          <w:p w:rsidR="000D56A2" w:rsidRDefault="000D56A2" w:rsidP="000D56A2">
            <w:pPr>
              <w:pStyle w:val="ListNumber"/>
              <w:numPr>
                <w:ilvl w:val="0"/>
                <w:numId w:val="17"/>
              </w:numPr>
              <w:tabs>
                <w:tab w:val="left" w:pos="720"/>
              </w:tabs>
              <w:spacing w:line="276" w:lineRule="auto"/>
              <w:ind w:left="236" w:hanging="142"/>
              <w:jc w:val="left"/>
              <w:rPr>
                <w:rFonts w:ascii="Calibri" w:hAnsi="Calibri"/>
                <w:sz w:val="20"/>
                <w:szCs w:val="20"/>
              </w:rPr>
            </w:pPr>
            <w:r>
              <w:rPr>
                <w:rFonts w:ascii="Calibri" w:hAnsi="Calibri"/>
                <w:sz w:val="20"/>
                <w:szCs w:val="20"/>
              </w:rPr>
              <w:t>Briefing on next steps on ECHO application</w:t>
            </w:r>
          </w:p>
          <w:p w:rsidR="000D56A2" w:rsidRDefault="000D56A2" w:rsidP="000D56A2">
            <w:pPr>
              <w:pStyle w:val="ListNumber"/>
              <w:numPr>
                <w:ilvl w:val="0"/>
                <w:numId w:val="17"/>
              </w:numPr>
              <w:tabs>
                <w:tab w:val="left" w:pos="720"/>
              </w:tabs>
              <w:spacing w:line="276" w:lineRule="auto"/>
              <w:ind w:left="236" w:hanging="142"/>
              <w:jc w:val="left"/>
              <w:rPr>
                <w:rFonts w:ascii="Calibri" w:hAnsi="Calibri"/>
                <w:b/>
                <w:sz w:val="20"/>
                <w:szCs w:val="20"/>
              </w:rPr>
            </w:pPr>
            <w:r>
              <w:rPr>
                <w:rFonts w:ascii="Calibri" w:hAnsi="Calibri"/>
                <w:sz w:val="20"/>
                <w:szCs w:val="20"/>
              </w:rPr>
              <w:t>Fund-raising beyond ECHO. Roadshow to donors</w:t>
            </w: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GSC Governance – Support Team </w:t>
            </w:r>
            <w:r>
              <w:rPr>
                <w:rFonts w:ascii="Calibri" w:hAnsi="Calibri"/>
                <w:sz w:val="20"/>
                <w:szCs w:val="20"/>
              </w:rPr>
              <w:t>(Martin/Jake)</w:t>
            </w:r>
          </w:p>
          <w:p w:rsidR="000D56A2" w:rsidRDefault="000D56A2" w:rsidP="000D56A2">
            <w:pPr>
              <w:pStyle w:val="ListNumber"/>
              <w:numPr>
                <w:ilvl w:val="0"/>
                <w:numId w:val="18"/>
              </w:numPr>
              <w:tabs>
                <w:tab w:val="left" w:pos="720"/>
              </w:tabs>
              <w:spacing w:line="276" w:lineRule="auto"/>
              <w:jc w:val="left"/>
              <w:rPr>
                <w:rFonts w:ascii="Calibri" w:hAnsi="Calibri"/>
                <w:sz w:val="20"/>
                <w:szCs w:val="20"/>
              </w:rPr>
            </w:pPr>
            <w:r>
              <w:rPr>
                <w:rFonts w:ascii="Calibri" w:hAnsi="Calibri"/>
                <w:sz w:val="20"/>
                <w:szCs w:val="20"/>
              </w:rPr>
              <w:t>Agency vs Cluster</w:t>
            </w:r>
          </w:p>
          <w:p w:rsidR="000D56A2" w:rsidRDefault="000D56A2" w:rsidP="000D56A2">
            <w:pPr>
              <w:pStyle w:val="ListNumber"/>
              <w:numPr>
                <w:ilvl w:val="0"/>
                <w:numId w:val="18"/>
              </w:numPr>
              <w:tabs>
                <w:tab w:val="left" w:pos="720"/>
              </w:tabs>
              <w:spacing w:line="276" w:lineRule="auto"/>
              <w:jc w:val="left"/>
              <w:rPr>
                <w:rFonts w:ascii="Calibri" w:hAnsi="Calibri"/>
                <w:sz w:val="20"/>
                <w:szCs w:val="20"/>
              </w:rPr>
            </w:pPr>
            <w:r>
              <w:rPr>
                <w:rFonts w:ascii="Calibri" w:hAnsi="Calibri"/>
                <w:sz w:val="20"/>
                <w:szCs w:val="20"/>
              </w:rPr>
              <w:t>Global vs Regional</w:t>
            </w:r>
          </w:p>
          <w:p w:rsidR="000D56A2" w:rsidRDefault="000D56A2" w:rsidP="000D56A2">
            <w:pPr>
              <w:pStyle w:val="ListNumber"/>
              <w:numPr>
                <w:ilvl w:val="0"/>
                <w:numId w:val="18"/>
              </w:numPr>
              <w:tabs>
                <w:tab w:val="left" w:pos="720"/>
              </w:tabs>
              <w:spacing w:line="276" w:lineRule="auto"/>
              <w:jc w:val="left"/>
              <w:rPr>
                <w:rFonts w:ascii="Calibri" w:hAnsi="Calibri"/>
                <w:b/>
                <w:sz w:val="18"/>
                <w:szCs w:val="20"/>
              </w:rPr>
            </w:pPr>
            <w:r>
              <w:rPr>
                <w:rFonts w:ascii="Calibri" w:hAnsi="Calibri"/>
                <w:sz w:val="20"/>
                <w:szCs w:val="20"/>
              </w:rPr>
              <w:t>Organigram / way forward</w:t>
            </w:r>
          </w:p>
        </w:tc>
      </w:tr>
      <w:tr w:rsidR="000D56A2" w:rsidTr="000D56A2">
        <w:tc>
          <w:tcPr>
            <w:tcW w:w="1465" w:type="dxa"/>
            <w:tcBorders>
              <w:top w:val="single" w:sz="4" w:space="0" w:color="auto"/>
              <w:left w:val="single" w:sz="4" w:space="0" w:color="auto"/>
              <w:bottom w:val="single" w:sz="4" w:space="0" w:color="auto"/>
              <w:right w:val="single" w:sz="4" w:space="0" w:color="auto"/>
            </w:tcBorders>
            <w:shd w:val="clear" w:color="auto" w:fill="D9D9D9"/>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12h30 – 13h30</w:t>
            </w:r>
          </w:p>
        </w:tc>
        <w:tc>
          <w:tcPr>
            <w:tcW w:w="3605" w:type="dxa"/>
            <w:tcBorders>
              <w:top w:val="single" w:sz="4" w:space="0" w:color="auto"/>
              <w:left w:val="single" w:sz="4" w:space="0" w:color="auto"/>
              <w:bottom w:val="single" w:sz="4" w:space="0" w:color="auto"/>
              <w:right w:val="single" w:sz="4" w:space="0" w:color="auto"/>
            </w:tcBorders>
            <w:shd w:val="clear" w:color="auto" w:fill="D9D9D9"/>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Lunch</w:t>
            </w:r>
          </w:p>
        </w:tc>
        <w:tc>
          <w:tcPr>
            <w:tcW w:w="4110" w:type="dxa"/>
            <w:tcBorders>
              <w:top w:val="single" w:sz="4" w:space="0" w:color="auto"/>
              <w:left w:val="single" w:sz="4" w:space="0" w:color="auto"/>
              <w:bottom w:val="single" w:sz="4" w:space="0" w:color="auto"/>
              <w:right w:val="single" w:sz="4" w:space="0" w:color="auto"/>
            </w:tcBorders>
            <w:shd w:val="clear" w:color="auto" w:fill="D9D9D9"/>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Lunch</w:t>
            </w:r>
          </w:p>
        </w:tc>
      </w:tr>
      <w:tr w:rsidR="000D56A2" w:rsidTr="000D56A2">
        <w:trPr>
          <w:trHeight w:val="979"/>
        </w:trPr>
        <w:tc>
          <w:tcPr>
            <w:tcW w:w="146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13h30 – 15h00</w:t>
            </w:r>
          </w:p>
        </w:tc>
        <w:tc>
          <w:tcPr>
            <w:tcW w:w="360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ind w:left="360" w:hanging="360"/>
              <w:jc w:val="left"/>
              <w:rPr>
                <w:rFonts w:ascii="Calibri" w:hAnsi="Calibri"/>
                <w:b/>
                <w:sz w:val="20"/>
                <w:szCs w:val="20"/>
              </w:rPr>
            </w:pPr>
            <w:r>
              <w:rPr>
                <w:rFonts w:ascii="Calibri" w:hAnsi="Calibri"/>
                <w:b/>
                <w:sz w:val="20"/>
                <w:szCs w:val="20"/>
              </w:rPr>
              <w:t xml:space="preserve">GSC Governance </w:t>
            </w:r>
            <w:r>
              <w:rPr>
                <w:rFonts w:ascii="Calibri" w:hAnsi="Calibri"/>
                <w:sz w:val="20"/>
                <w:szCs w:val="20"/>
              </w:rPr>
              <w:t>(Luca)</w:t>
            </w:r>
          </w:p>
          <w:p w:rsidR="000D56A2" w:rsidRDefault="000D56A2" w:rsidP="000D56A2">
            <w:pPr>
              <w:pStyle w:val="ListNumber"/>
              <w:numPr>
                <w:ilvl w:val="0"/>
                <w:numId w:val="17"/>
              </w:numPr>
              <w:tabs>
                <w:tab w:val="left" w:pos="720"/>
              </w:tabs>
              <w:spacing w:line="276" w:lineRule="auto"/>
              <w:ind w:left="236" w:hanging="142"/>
              <w:jc w:val="left"/>
              <w:rPr>
                <w:rFonts w:ascii="Calibri" w:hAnsi="Calibri"/>
                <w:sz w:val="20"/>
                <w:szCs w:val="20"/>
              </w:rPr>
            </w:pPr>
            <w:r>
              <w:rPr>
                <w:rFonts w:ascii="Calibri" w:hAnsi="Calibri"/>
                <w:sz w:val="20"/>
                <w:szCs w:val="20"/>
              </w:rPr>
              <w:t>A more actionable GSC Strategy. Revision, outcomes, outputs, indicators, baseline</w:t>
            </w: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Plan for 2015 - 2016 </w:t>
            </w:r>
            <w:r>
              <w:rPr>
                <w:rFonts w:ascii="Calibri" w:hAnsi="Calibri"/>
                <w:sz w:val="20"/>
                <w:szCs w:val="20"/>
              </w:rPr>
              <w:t>(Miguel)</w:t>
            </w:r>
          </w:p>
          <w:p w:rsidR="000D56A2" w:rsidRDefault="000D56A2" w:rsidP="000D56A2">
            <w:pPr>
              <w:pStyle w:val="ListNumber"/>
              <w:numPr>
                <w:ilvl w:val="0"/>
                <w:numId w:val="18"/>
              </w:numPr>
              <w:tabs>
                <w:tab w:val="left" w:pos="720"/>
              </w:tabs>
              <w:spacing w:line="276" w:lineRule="auto"/>
              <w:jc w:val="left"/>
              <w:rPr>
                <w:rFonts w:ascii="Calibri" w:hAnsi="Calibri"/>
                <w:sz w:val="20"/>
                <w:szCs w:val="20"/>
              </w:rPr>
            </w:pPr>
            <w:r>
              <w:rPr>
                <w:rFonts w:ascii="Calibri" w:hAnsi="Calibri"/>
                <w:sz w:val="20"/>
                <w:szCs w:val="20"/>
              </w:rPr>
              <w:t>Revision of the plan 2015 - 2016</w:t>
            </w:r>
          </w:p>
          <w:p w:rsidR="000D56A2" w:rsidRDefault="000D56A2" w:rsidP="000D56A2">
            <w:pPr>
              <w:pStyle w:val="ListNumber"/>
              <w:numPr>
                <w:ilvl w:val="0"/>
                <w:numId w:val="18"/>
              </w:numPr>
              <w:tabs>
                <w:tab w:val="left" w:pos="720"/>
              </w:tabs>
              <w:spacing w:line="276" w:lineRule="auto"/>
              <w:jc w:val="left"/>
              <w:rPr>
                <w:rFonts w:ascii="Calibri" w:hAnsi="Calibri"/>
                <w:b/>
                <w:sz w:val="18"/>
                <w:szCs w:val="20"/>
              </w:rPr>
            </w:pPr>
            <w:r>
              <w:rPr>
                <w:rFonts w:ascii="Calibri" w:hAnsi="Calibri"/>
                <w:sz w:val="20"/>
                <w:szCs w:val="20"/>
              </w:rPr>
              <w:t>Plan for 2015 and priorities</w:t>
            </w:r>
          </w:p>
        </w:tc>
      </w:tr>
      <w:tr w:rsidR="000D56A2" w:rsidTr="000D56A2">
        <w:tc>
          <w:tcPr>
            <w:tcW w:w="1465" w:type="dxa"/>
            <w:tcBorders>
              <w:top w:val="single" w:sz="4" w:space="0" w:color="auto"/>
              <w:left w:val="single" w:sz="4" w:space="0" w:color="auto"/>
              <w:bottom w:val="single" w:sz="4" w:space="0" w:color="auto"/>
              <w:right w:val="single" w:sz="4" w:space="0" w:color="auto"/>
            </w:tcBorders>
            <w:shd w:val="pct15" w:color="auto" w:fill="auto"/>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15h00 – 15h15</w:t>
            </w:r>
          </w:p>
        </w:tc>
        <w:tc>
          <w:tcPr>
            <w:tcW w:w="3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Coffee break</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Coffee break</w:t>
            </w:r>
          </w:p>
        </w:tc>
      </w:tr>
      <w:tr w:rsidR="000D56A2" w:rsidTr="000D56A2">
        <w:trPr>
          <w:trHeight w:val="755"/>
        </w:trPr>
        <w:tc>
          <w:tcPr>
            <w:tcW w:w="1465" w:type="dxa"/>
            <w:vMerge w:val="restart"/>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15h15 – 17h45</w:t>
            </w:r>
          </w:p>
        </w:tc>
        <w:tc>
          <w:tcPr>
            <w:tcW w:w="3605" w:type="dxa"/>
            <w:vMerge w:val="restart"/>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ind w:left="360" w:hanging="360"/>
              <w:jc w:val="left"/>
              <w:rPr>
                <w:rFonts w:ascii="Calibri" w:hAnsi="Calibri"/>
                <w:b/>
                <w:sz w:val="20"/>
                <w:szCs w:val="20"/>
              </w:rPr>
            </w:pPr>
            <w:r>
              <w:rPr>
                <w:rFonts w:ascii="Calibri" w:hAnsi="Calibri"/>
                <w:b/>
                <w:sz w:val="20"/>
                <w:szCs w:val="20"/>
              </w:rPr>
              <w:t xml:space="preserve">GSC Governance </w:t>
            </w:r>
            <w:r>
              <w:rPr>
                <w:rFonts w:ascii="Calibri" w:hAnsi="Calibri"/>
                <w:sz w:val="20"/>
                <w:szCs w:val="20"/>
              </w:rPr>
              <w:t>(Kip)</w:t>
            </w:r>
          </w:p>
          <w:p w:rsidR="000D56A2" w:rsidRDefault="000D56A2" w:rsidP="000D56A2">
            <w:pPr>
              <w:pStyle w:val="ListNumber"/>
              <w:numPr>
                <w:ilvl w:val="0"/>
                <w:numId w:val="17"/>
              </w:numPr>
              <w:tabs>
                <w:tab w:val="left" w:pos="720"/>
              </w:tabs>
              <w:spacing w:line="276" w:lineRule="auto"/>
              <w:ind w:left="236" w:hanging="142"/>
              <w:jc w:val="left"/>
              <w:rPr>
                <w:rFonts w:ascii="Calibri" w:hAnsi="Calibri"/>
                <w:sz w:val="20"/>
                <w:szCs w:val="20"/>
              </w:rPr>
            </w:pPr>
            <w:r>
              <w:rPr>
                <w:rFonts w:ascii="Calibri" w:hAnsi="Calibri"/>
                <w:sz w:val="20"/>
                <w:szCs w:val="20"/>
              </w:rPr>
              <w:t>Clarify the relation between GSC bodies. How do they all contribute to the GSC Strategy</w:t>
            </w: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Parking Lot </w:t>
            </w:r>
            <w:r>
              <w:rPr>
                <w:rFonts w:ascii="Calibri" w:hAnsi="Calibri"/>
                <w:sz w:val="20"/>
                <w:szCs w:val="20"/>
              </w:rPr>
              <w:t>(Pablo)</w:t>
            </w:r>
          </w:p>
        </w:tc>
      </w:tr>
      <w:tr w:rsidR="000D56A2" w:rsidTr="000D56A2">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56A2" w:rsidRDefault="000D56A2">
            <w:pPr>
              <w:rPr>
                <w:rFonts w:ascii="Calibri" w:eastAsia="MS Mincho" w:hAnsi="Calibri" w:cs="Times New Roman"/>
                <w:b/>
                <w:sz w:val="20"/>
                <w:szCs w:val="2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56A2" w:rsidRDefault="000D56A2">
            <w:pPr>
              <w:rPr>
                <w:rFonts w:ascii="Calibri" w:eastAsia="MS Mincho" w:hAnsi="Calibri" w:cs="Times New Roman"/>
                <w:sz w:val="20"/>
                <w:szCs w:val="20"/>
                <w:lang w:eastAsia="ja-JP"/>
              </w:rPr>
            </w:pP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Final remarks </w:t>
            </w:r>
            <w:r>
              <w:rPr>
                <w:rFonts w:ascii="Calibri" w:hAnsi="Calibri"/>
                <w:sz w:val="20"/>
                <w:szCs w:val="20"/>
              </w:rPr>
              <w:t>(Graham/Shaun)</w:t>
            </w:r>
          </w:p>
        </w:tc>
      </w:tr>
      <w:tr w:rsidR="000D56A2" w:rsidTr="000D56A2">
        <w:trPr>
          <w:trHeight w:val="120"/>
        </w:trPr>
        <w:tc>
          <w:tcPr>
            <w:tcW w:w="146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17h45 – 18h00</w:t>
            </w:r>
          </w:p>
        </w:tc>
        <w:tc>
          <w:tcPr>
            <w:tcW w:w="3605"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spacing w:line="276" w:lineRule="auto"/>
              <w:ind w:left="0"/>
              <w:jc w:val="left"/>
              <w:rPr>
                <w:rFonts w:ascii="Calibri" w:hAnsi="Calibri"/>
                <w:b/>
                <w:sz w:val="20"/>
                <w:szCs w:val="20"/>
              </w:rPr>
            </w:pPr>
            <w:r>
              <w:rPr>
                <w:rFonts w:ascii="Calibri" w:hAnsi="Calibri"/>
                <w:b/>
                <w:sz w:val="20"/>
                <w:szCs w:val="20"/>
              </w:rPr>
              <w:t xml:space="preserve">Feedback on day 1 </w:t>
            </w:r>
            <w:r>
              <w:rPr>
                <w:rFonts w:ascii="Calibri" w:hAnsi="Calibri"/>
                <w:sz w:val="20"/>
                <w:szCs w:val="20"/>
              </w:rPr>
              <w:t>(Pablo)</w:t>
            </w:r>
          </w:p>
        </w:tc>
        <w:tc>
          <w:tcPr>
            <w:tcW w:w="4110" w:type="dxa"/>
            <w:tcBorders>
              <w:top w:val="single" w:sz="4" w:space="0" w:color="auto"/>
              <w:left w:val="single" w:sz="4" w:space="0" w:color="auto"/>
              <w:bottom w:val="single" w:sz="4" w:space="0" w:color="auto"/>
              <w:right w:val="single" w:sz="4" w:space="0" w:color="auto"/>
            </w:tcBorders>
            <w:hideMark/>
          </w:tcPr>
          <w:p w:rsidR="000D56A2" w:rsidRDefault="000D56A2">
            <w:pPr>
              <w:pStyle w:val="ListNumber"/>
              <w:numPr>
                <w:ilvl w:val="0"/>
                <w:numId w:val="0"/>
              </w:numPr>
              <w:tabs>
                <w:tab w:val="left" w:pos="720"/>
              </w:tabs>
              <w:spacing w:line="276" w:lineRule="auto"/>
              <w:jc w:val="left"/>
              <w:rPr>
                <w:rFonts w:ascii="Calibri" w:hAnsi="Calibri"/>
                <w:b/>
                <w:sz w:val="20"/>
                <w:szCs w:val="20"/>
              </w:rPr>
            </w:pPr>
            <w:r>
              <w:rPr>
                <w:rFonts w:ascii="Calibri" w:hAnsi="Calibri"/>
                <w:b/>
                <w:sz w:val="20"/>
                <w:szCs w:val="20"/>
              </w:rPr>
              <w:t xml:space="preserve">Evaluation </w:t>
            </w:r>
            <w:r>
              <w:rPr>
                <w:rFonts w:ascii="Calibri" w:hAnsi="Calibri"/>
                <w:sz w:val="20"/>
                <w:szCs w:val="20"/>
              </w:rPr>
              <w:t>(Miguel)</w:t>
            </w:r>
          </w:p>
        </w:tc>
      </w:tr>
    </w:tbl>
    <w:p w:rsidR="00577897" w:rsidRDefault="00577897" w:rsidP="000D56A2"/>
    <w:p w:rsidR="00497226" w:rsidRDefault="00497226" w:rsidP="00497226">
      <w:pPr>
        <w:pStyle w:val="Heading1"/>
        <w:spacing w:before="0"/>
        <w:jc w:val="center"/>
      </w:pPr>
      <w:r w:rsidRPr="00497226">
        <w:rPr>
          <w:sz w:val="32"/>
        </w:rPr>
        <w:t>Annex 2 – GSC Sustainability: Session 1 group outputs</w:t>
      </w:r>
    </w:p>
    <w:p w:rsidR="00577897" w:rsidRPr="001759B5" w:rsidRDefault="00577897" w:rsidP="00577897"/>
    <w:p w:rsidR="00F02018" w:rsidRDefault="00F02018" w:rsidP="00F02018">
      <w:pPr>
        <w:ind w:firstLine="360"/>
        <w:rPr>
          <w:i/>
        </w:rPr>
      </w:pPr>
      <w:r w:rsidRPr="002D37D5">
        <w:rPr>
          <w:i/>
        </w:rPr>
        <w:t>Group 1</w:t>
      </w:r>
      <w:r>
        <w:rPr>
          <w:i/>
        </w:rPr>
        <w:t xml:space="preserve"> outcomes</w:t>
      </w:r>
      <w:r w:rsidR="00497226">
        <w:rPr>
          <w:i/>
        </w:rPr>
        <w:t>:</w:t>
      </w:r>
    </w:p>
    <w:p w:rsidR="00497226" w:rsidRDefault="00497226" w:rsidP="00F02018">
      <w:pPr>
        <w:ind w:firstLine="360"/>
      </w:pPr>
    </w:p>
    <w:p w:rsidR="00F02018" w:rsidRDefault="00F02018" w:rsidP="00F02018">
      <w:pPr>
        <w:pStyle w:val="ListParagraph"/>
        <w:numPr>
          <w:ilvl w:val="0"/>
          <w:numId w:val="1"/>
        </w:numPr>
      </w:pPr>
      <w:r>
        <w:t>Global cluster functions:</w:t>
      </w:r>
    </w:p>
    <w:p w:rsidR="00F02018" w:rsidRDefault="00F02018" w:rsidP="00F02018">
      <w:pPr>
        <w:pStyle w:val="ListParagraph"/>
        <w:numPr>
          <w:ilvl w:val="1"/>
          <w:numId w:val="1"/>
        </w:numPr>
      </w:pPr>
      <w:r>
        <w:t>Deploy coord</w:t>
      </w:r>
      <w:r w:rsidR="00497226">
        <w:t>ination</w:t>
      </w:r>
      <w:r>
        <w:t xml:space="preserve"> capacity [ALREADY BEING DONE ALBEIT IMPERFECTLY]</w:t>
      </w:r>
    </w:p>
    <w:p w:rsidR="00F02018" w:rsidRDefault="00497226" w:rsidP="00F02018">
      <w:pPr>
        <w:pStyle w:val="ListParagraph"/>
        <w:numPr>
          <w:ilvl w:val="1"/>
          <w:numId w:val="1"/>
        </w:numPr>
      </w:pPr>
      <w:r>
        <w:t>C</w:t>
      </w:r>
      <w:r w:rsidR="00F02018">
        <w:t>oord</w:t>
      </w:r>
      <w:r>
        <w:t>ination</w:t>
      </w:r>
      <w:r w:rsidR="00F02018">
        <w:t xml:space="preserve"> capacity building [ALREADY BEING DONE ALBEIT IMPERFECTLY]</w:t>
      </w:r>
    </w:p>
    <w:p w:rsidR="00F02018" w:rsidRDefault="00F02018" w:rsidP="00F02018">
      <w:pPr>
        <w:pStyle w:val="ListParagraph"/>
        <w:numPr>
          <w:ilvl w:val="1"/>
          <w:numId w:val="1"/>
        </w:numPr>
      </w:pPr>
      <w:r>
        <w:t>Global information management (</w:t>
      </w:r>
      <w:proofErr w:type="spellStart"/>
      <w:r>
        <w:t>ie</w:t>
      </w:r>
      <w:proofErr w:type="spellEnd"/>
      <w:r>
        <w:t xml:space="preserve"> Shelter Cluster website) [ALREADY BEING DONE ALBEIT IMPERFECTLY]</w:t>
      </w:r>
    </w:p>
    <w:p w:rsidR="00F02018" w:rsidRDefault="00F02018" w:rsidP="00F02018">
      <w:pPr>
        <w:pStyle w:val="ListParagraph"/>
        <w:numPr>
          <w:ilvl w:val="1"/>
          <w:numId w:val="1"/>
        </w:numPr>
      </w:pPr>
      <w:r>
        <w:t>Advocate for country level issues at global level [CORE FUNCTION]</w:t>
      </w:r>
    </w:p>
    <w:p w:rsidR="00F02018" w:rsidRDefault="00F02018" w:rsidP="00F02018">
      <w:pPr>
        <w:pStyle w:val="ListParagraph"/>
        <w:numPr>
          <w:ilvl w:val="1"/>
          <w:numId w:val="1"/>
        </w:numPr>
      </w:pPr>
      <w:r>
        <w:t>Advocate for global level issues [CORE FUNCTION]</w:t>
      </w:r>
    </w:p>
    <w:p w:rsidR="00F02018" w:rsidRDefault="00F02018" w:rsidP="00F02018">
      <w:pPr>
        <w:pStyle w:val="ListParagraph"/>
        <w:numPr>
          <w:ilvl w:val="1"/>
          <w:numId w:val="1"/>
        </w:numPr>
      </w:pPr>
      <w:r>
        <w:t>Increase understanding of cluster within lead agency, donors, others [CORE FUNCTION]</w:t>
      </w:r>
    </w:p>
    <w:p w:rsidR="00F02018" w:rsidRDefault="00F02018" w:rsidP="00F02018">
      <w:pPr>
        <w:pStyle w:val="ListParagraph"/>
        <w:numPr>
          <w:ilvl w:val="1"/>
          <w:numId w:val="1"/>
        </w:numPr>
      </w:pPr>
      <w:r>
        <w:t>ID priorities for shelter sector [PREFERRED FUNCTION] – not being done</w:t>
      </w:r>
    </w:p>
    <w:p w:rsidR="00F02018" w:rsidRDefault="00F02018" w:rsidP="00F02018">
      <w:pPr>
        <w:pStyle w:val="ListParagraph"/>
        <w:numPr>
          <w:ilvl w:val="1"/>
          <w:numId w:val="1"/>
        </w:numPr>
      </w:pPr>
      <w:r>
        <w:t>Monitor and ensure accountability of country level cluster to IASC responsibilities [PREFERRED FUNCTION]</w:t>
      </w:r>
    </w:p>
    <w:p w:rsidR="00F02018" w:rsidRDefault="00F02018" w:rsidP="00F02018">
      <w:pPr>
        <w:pStyle w:val="ListParagraph"/>
        <w:numPr>
          <w:ilvl w:val="0"/>
          <w:numId w:val="1"/>
        </w:numPr>
      </w:pPr>
      <w:r>
        <w:t>What SAG support team could take forward these global level functions (how many, what functions)?</w:t>
      </w:r>
    </w:p>
    <w:p w:rsidR="00F02018" w:rsidRDefault="00F02018" w:rsidP="00F02018">
      <w:pPr>
        <w:pStyle w:val="ListParagraph"/>
        <w:numPr>
          <w:ilvl w:val="1"/>
          <w:numId w:val="1"/>
        </w:numPr>
      </w:pPr>
      <w:r>
        <w:t>With current level of staffing Cluster is able to do some core stuff reasonably well, but more is ad hoc – need much more capacity</w:t>
      </w:r>
    </w:p>
    <w:p w:rsidR="00F02018" w:rsidRDefault="00F02018" w:rsidP="00F02018">
      <w:pPr>
        <w:pStyle w:val="ListParagraph"/>
        <w:numPr>
          <w:ilvl w:val="2"/>
          <w:numId w:val="1"/>
        </w:numPr>
      </w:pPr>
      <w:r>
        <w:t xml:space="preserve">Global </w:t>
      </w:r>
      <w:proofErr w:type="spellStart"/>
      <w:r>
        <w:t>coord</w:t>
      </w:r>
      <w:proofErr w:type="spellEnd"/>
      <w:r>
        <w:t xml:space="preserve"> 2</w:t>
      </w:r>
      <w:r w:rsidR="00B013F4">
        <w:t xml:space="preserve"> part-time</w:t>
      </w:r>
      <w:r>
        <w:t xml:space="preserve"> [</w:t>
      </w:r>
      <w:r w:rsidR="00B013F4">
        <w:t xml:space="preserve">LEAD </w:t>
      </w:r>
      <w:r>
        <w:t>AGENCY]</w:t>
      </w:r>
    </w:p>
    <w:p w:rsidR="00F02018" w:rsidRDefault="00F02018" w:rsidP="00F02018">
      <w:pPr>
        <w:pStyle w:val="ListParagraph"/>
        <w:numPr>
          <w:ilvl w:val="2"/>
          <w:numId w:val="1"/>
        </w:numPr>
      </w:pPr>
      <w:r>
        <w:t xml:space="preserve">Dept </w:t>
      </w:r>
      <w:proofErr w:type="spellStart"/>
      <w:r>
        <w:t>coord</w:t>
      </w:r>
      <w:proofErr w:type="spellEnd"/>
      <w:r>
        <w:t xml:space="preserve"> 2 [</w:t>
      </w:r>
      <w:r w:rsidR="00B013F4">
        <w:t xml:space="preserve">LEAD </w:t>
      </w:r>
      <w:r>
        <w:t>AGENCY]</w:t>
      </w:r>
    </w:p>
    <w:p w:rsidR="00F02018" w:rsidRDefault="00F02018" w:rsidP="00F02018">
      <w:pPr>
        <w:pStyle w:val="ListParagraph"/>
        <w:numPr>
          <w:ilvl w:val="2"/>
          <w:numId w:val="1"/>
        </w:numPr>
      </w:pPr>
      <w:r>
        <w:t xml:space="preserve">GFP </w:t>
      </w:r>
      <w:proofErr w:type="spellStart"/>
      <w:r>
        <w:t>coord</w:t>
      </w:r>
      <w:proofErr w:type="spellEnd"/>
      <w:r>
        <w:t xml:space="preserve"> 3-4 [MIXED]</w:t>
      </w:r>
    </w:p>
    <w:p w:rsidR="00F02018" w:rsidRDefault="00F02018" w:rsidP="00F02018">
      <w:pPr>
        <w:pStyle w:val="ListParagraph"/>
        <w:numPr>
          <w:ilvl w:val="2"/>
          <w:numId w:val="1"/>
        </w:numPr>
      </w:pPr>
      <w:r>
        <w:t>GFP IM 1.5 [MIXED]</w:t>
      </w:r>
    </w:p>
    <w:p w:rsidR="00F02018" w:rsidRDefault="00F02018" w:rsidP="00F02018">
      <w:pPr>
        <w:pStyle w:val="ListParagraph"/>
        <w:numPr>
          <w:ilvl w:val="2"/>
          <w:numId w:val="1"/>
        </w:numPr>
      </w:pPr>
      <w:r>
        <w:t xml:space="preserve">GFP advocacy and </w:t>
      </w:r>
      <w:proofErr w:type="spellStart"/>
      <w:r>
        <w:t>comms</w:t>
      </w:r>
      <w:proofErr w:type="spellEnd"/>
      <w:r>
        <w:t xml:space="preserve"> 1 [ECHO]</w:t>
      </w:r>
    </w:p>
    <w:p w:rsidR="00F02018" w:rsidRDefault="00F02018" w:rsidP="00F02018">
      <w:pPr>
        <w:pStyle w:val="ListParagraph"/>
        <w:numPr>
          <w:ilvl w:val="2"/>
          <w:numId w:val="1"/>
        </w:numPr>
      </w:pPr>
      <w:r>
        <w:t xml:space="preserve">GFP </w:t>
      </w:r>
      <w:proofErr w:type="spellStart"/>
      <w:r>
        <w:t>assmt</w:t>
      </w:r>
      <w:proofErr w:type="spellEnd"/>
      <w:r>
        <w:t xml:space="preserve">, </w:t>
      </w:r>
      <w:proofErr w:type="spellStart"/>
      <w:r>
        <w:t>monit</w:t>
      </w:r>
      <w:proofErr w:type="spellEnd"/>
      <w:r>
        <w:t xml:space="preserve">, </w:t>
      </w:r>
      <w:proofErr w:type="spellStart"/>
      <w:r>
        <w:t>eval</w:t>
      </w:r>
      <w:proofErr w:type="spellEnd"/>
      <w:r>
        <w:t xml:space="preserve"> 0.8 [ECHO]</w:t>
      </w:r>
    </w:p>
    <w:p w:rsidR="00F02018" w:rsidRDefault="00F02018" w:rsidP="00F02018">
      <w:pPr>
        <w:pStyle w:val="ListParagraph"/>
        <w:numPr>
          <w:ilvl w:val="2"/>
          <w:numId w:val="1"/>
        </w:numPr>
      </w:pPr>
      <w:r>
        <w:t>RFPs 3-4 [ECHO]</w:t>
      </w:r>
    </w:p>
    <w:p w:rsidR="00F02018" w:rsidRDefault="00F02018" w:rsidP="00F02018">
      <w:pPr>
        <w:pStyle w:val="ListParagraph"/>
        <w:numPr>
          <w:ilvl w:val="0"/>
          <w:numId w:val="1"/>
        </w:numPr>
      </w:pPr>
      <w:r>
        <w:t xml:space="preserve">Key point: Need formal institutional commitment to the Cluster – lack of commitment creates huge problems in terms of resources (human </w:t>
      </w:r>
      <w:r w:rsidR="00B013F4">
        <w:t>and financial), leadership, buy-</w:t>
      </w:r>
      <w:r>
        <w:t>in, clear accountability for who is obliged to do what, etc.</w:t>
      </w:r>
    </w:p>
    <w:p w:rsidR="00F02018" w:rsidRDefault="00F02018" w:rsidP="00F02018"/>
    <w:p w:rsidR="00BD6783" w:rsidRDefault="00BD6783" w:rsidP="00F02018"/>
    <w:p w:rsidR="00F02018" w:rsidRDefault="00F02018" w:rsidP="00F02018">
      <w:pPr>
        <w:ind w:firstLine="360"/>
      </w:pPr>
      <w:r w:rsidRPr="002D37D5">
        <w:rPr>
          <w:i/>
        </w:rPr>
        <w:t>Group 2</w:t>
      </w:r>
      <w:r>
        <w:rPr>
          <w:i/>
        </w:rPr>
        <w:t xml:space="preserve"> outcomes</w:t>
      </w:r>
      <w:r w:rsidR="00BD6783">
        <w:rPr>
          <w:i/>
        </w:rPr>
        <w:t>:</w:t>
      </w:r>
    </w:p>
    <w:p w:rsidR="00F02018" w:rsidRDefault="00F02018" w:rsidP="00F02018"/>
    <w:p w:rsidR="00F02018" w:rsidRDefault="00F02018" w:rsidP="00F02018">
      <w:pPr>
        <w:pStyle w:val="ListParagraph"/>
        <w:numPr>
          <w:ilvl w:val="0"/>
          <w:numId w:val="3"/>
        </w:numPr>
      </w:pPr>
      <w:r>
        <w:t>Some of the minimum items in this table are not even being done now</w:t>
      </w:r>
    </w:p>
    <w:p w:rsidR="00F02018" w:rsidRDefault="00F02018" w:rsidP="00F02018"/>
    <w:tbl>
      <w:tblPr>
        <w:tblStyle w:val="TableGrid"/>
        <w:tblW w:w="0" w:type="auto"/>
        <w:tblLook w:val="04A0" w:firstRow="1" w:lastRow="0" w:firstColumn="1" w:lastColumn="0" w:noHBand="0" w:noVBand="1"/>
      </w:tblPr>
      <w:tblGrid>
        <w:gridCol w:w="2112"/>
        <w:gridCol w:w="2112"/>
        <w:gridCol w:w="2112"/>
        <w:gridCol w:w="2112"/>
      </w:tblGrid>
      <w:tr w:rsidR="00F02018" w:rsidTr="00201CFC">
        <w:tc>
          <w:tcPr>
            <w:tcW w:w="2112" w:type="dxa"/>
          </w:tcPr>
          <w:p w:rsidR="00F02018" w:rsidRDefault="00F02018" w:rsidP="00201CFC"/>
        </w:tc>
        <w:tc>
          <w:tcPr>
            <w:tcW w:w="2112" w:type="dxa"/>
          </w:tcPr>
          <w:p w:rsidR="00F02018" w:rsidRPr="0014041E" w:rsidRDefault="00F02018" w:rsidP="00201CFC">
            <w:pPr>
              <w:jc w:val="center"/>
              <w:rPr>
                <w:b/>
              </w:rPr>
            </w:pPr>
            <w:r w:rsidRPr="0014041E">
              <w:rPr>
                <w:b/>
              </w:rPr>
              <w:t>Min</w:t>
            </w:r>
          </w:p>
        </w:tc>
        <w:tc>
          <w:tcPr>
            <w:tcW w:w="2112" w:type="dxa"/>
          </w:tcPr>
          <w:p w:rsidR="00F02018" w:rsidRPr="0014041E" w:rsidRDefault="00F02018" w:rsidP="00201CFC">
            <w:pPr>
              <w:jc w:val="center"/>
              <w:rPr>
                <w:b/>
              </w:rPr>
            </w:pPr>
            <w:r w:rsidRPr="0014041E">
              <w:rPr>
                <w:b/>
              </w:rPr>
              <w:t>Med</w:t>
            </w:r>
          </w:p>
        </w:tc>
        <w:tc>
          <w:tcPr>
            <w:tcW w:w="2112" w:type="dxa"/>
          </w:tcPr>
          <w:p w:rsidR="00F02018" w:rsidRPr="0014041E" w:rsidRDefault="00F02018" w:rsidP="00201CFC">
            <w:pPr>
              <w:jc w:val="center"/>
              <w:rPr>
                <w:b/>
              </w:rPr>
            </w:pPr>
            <w:r w:rsidRPr="0014041E">
              <w:rPr>
                <w:b/>
              </w:rPr>
              <w:t>Max</w:t>
            </w:r>
          </w:p>
        </w:tc>
      </w:tr>
      <w:tr w:rsidR="00F02018" w:rsidTr="00201CFC">
        <w:tc>
          <w:tcPr>
            <w:tcW w:w="2112" w:type="dxa"/>
          </w:tcPr>
          <w:p w:rsidR="00F02018" w:rsidRPr="0014041E" w:rsidRDefault="00F02018" w:rsidP="00201CFC">
            <w:pPr>
              <w:rPr>
                <w:i/>
              </w:rPr>
            </w:pPr>
            <w:r w:rsidRPr="0014041E">
              <w:rPr>
                <w:i/>
              </w:rPr>
              <w:t>Standards and policy</w:t>
            </w:r>
          </w:p>
        </w:tc>
        <w:tc>
          <w:tcPr>
            <w:tcW w:w="2112" w:type="dxa"/>
          </w:tcPr>
          <w:p w:rsidR="00F02018" w:rsidRDefault="00F02018" w:rsidP="00201CFC">
            <w:r>
              <w:t>Agencies define</w:t>
            </w:r>
          </w:p>
          <w:p w:rsidR="00F02018" w:rsidRDefault="00F02018" w:rsidP="00201CFC">
            <w:r>
              <w:t>who does what, what standards needed</w:t>
            </w:r>
          </w:p>
          <w:p w:rsidR="00F02018" w:rsidRDefault="00F02018" w:rsidP="00201CFC"/>
          <w:p w:rsidR="00F02018" w:rsidRDefault="00F02018" w:rsidP="00201CFC">
            <w:r>
              <w:t xml:space="preserve">Needs: 1 person </w:t>
            </w:r>
            <w:r>
              <w:lastRenderedPageBreak/>
              <w:t>disseminates on behalf of those agencies under the aegis of the cluster</w:t>
            </w:r>
          </w:p>
          <w:p w:rsidR="00F02018" w:rsidRDefault="00F02018" w:rsidP="00201CFC"/>
        </w:tc>
        <w:tc>
          <w:tcPr>
            <w:tcW w:w="2112" w:type="dxa"/>
          </w:tcPr>
          <w:p w:rsidR="00F02018" w:rsidRDefault="00F02018" w:rsidP="00201CFC">
            <w:r>
              <w:lastRenderedPageBreak/>
              <w:t xml:space="preserve">Traffic cop – keep track of initiatives and connect </w:t>
            </w:r>
            <w:proofErr w:type="spellStart"/>
            <w:r>
              <w:t>pple</w:t>
            </w:r>
            <w:proofErr w:type="spellEnd"/>
          </w:p>
          <w:p w:rsidR="00F02018" w:rsidRDefault="00F02018" w:rsidP="00201CFC"/>
          <w:p w:rsidR="00F02018" w:rsidRDefault="00F02018" w:rsidP="00201CFC">
            <w:r>
              <w:t xml:space="preserve">Needs:  2 people for development, </w:t>
            </w:r>
            <w:r>
              <w:lastRenderedPageBreak/>
              <w:t>dissemination</w:t>
            </w:r>
          </w:p>
        </w:tc>
        <w:tc>
          <w:tcPr>
            <w:tcW w:w="2112" w:type="dxa"/>
          </w:tcPr>
          <w:p w:rsidR="00F02018" w:rsidRDefault="00F02018" w:rsidP="00201CFC">
            <w:r>
              <w:lastRenderedPageBreak/>
              <w:t>Actively develop policies by engaging agencies</w:t>
            </w:r>
          </w:p>
          <w:p w:rsidR="00F02018" w:rsidRDefault="00F02018" w:rsidP="00201CFC"/>
          <w:p w:rsidR="00F02018" w:rsidRDefault="00F02018" w:rsidP="00201CFC">
            <w:r>
              <w:t>Needs: 2 people and money</w:t>
            </w:r>
          </w:p>
        </w:tc>
      </w:tr>
      <w:tr w:rsidR="00F02018" w:rsidTr="00201CFC">
        <w:tc>
          <w:tcPr>
            <w:tcW w:w="2112" w:type="dxa"/>
          </w:tcPr>
          <w:p w:rsidR="00F02018" w:rsidRPr="0014041E" w:rsidRDefault="00F02018" w:rsidP="00201CFC">
            <w:pPr>
              <w:rPr>
                <w:i/>
              </w:rPr>
            </w:pPr>
            <w:r w:rsidRPr="0014041E">
              <w:rPr>
                <w:i/>
              </w:rPr>
              <w:lastRenderedPageBreak/>
              <w:t>Building response capacity</w:t>
            </w:r>
          </w:p>
        </w:tc>
        <w:tc>
          <w:tcPr>
            <w:tcW w:w="2112" w:type="dxa"/>
          </w:tcPr>
          <w:p w:rsidR="00F02018" w:rsidRDefault="00F02018" w:rsidP="00201CFC">
            <w:r>
              <w:t>Keep overview of what trainings are out there, and it is up to agencies to develop trainings and keep people available for capacity, maybe small surge list of coordinators</w:t>
            </w:r>
          </w:p>
          <w:p w:rsidR="00F02018" w:rsidRDefault="00F02018" w:rsidP="00201CFC"/>
          <w:p w:rsidR="00F02018" w:rsidRDefault="00F02018" w:rsidP="00201CFC">
            <w:r>
              <w:t>Needs: 1 person</w:t>
            </w:r>
          </w:p>
        </w:tc>
        <w:tc>
          <w:tcPr>
            <w:tcW w:w="2112" w:type="dxa"/>
          </w:tcPr>
          <w:p w:rsidR="00F02018" w:rsidRDefault="00F02018" w:rsidP="00201CFC">
            <w:r>
              <w:t>Make sure trainers available, coordinate agencies who develop standards for trainings, surge capacity which includes people one retainer contracts</w:t>
            </w:r>
          </w:p>
          <w:p w:rsidR="00F02018" w:rsidRDefault="00F02018" w:rsidP="00201CFC"/>
          <w:p w:rsidR="00F02018" w:rsidRDefault="00F02018" w:rsidP="00201CFC">
            <w:r>
              <w:t>Needs: At least 1 person, also baseline evaluations</w:t>
            </w:r>
          </w:p>
        </w:tc>
        <w:tc>
          <w:tcPr>
            <w:tcW w:w="2112" w:type="dxa"/>
          </w:tcPr>
          <w:p w:rsidR="00F02018" w:rsidRDefault="00F02018" w:rsidP="00201CFC">
            <w:r>
              <w:t>Have list of available trainers in agencies, cluster itself able to provider trainers, actively push for training development</w:t>
            </w:r>
          </w:p>
          <w:p w:rsidR="00F02018" w:rsidRDefault="00F02018" w:rsidP="00201CFC"/>
          <w:p w:rsidR="00F02018" w:rsidRDefault="00F02018" w:rsidP="00201CFC">
            <w:r>
              <w:t xml:space="preserve">Needs: Max 4 people doing training, someone doing evaluations (baseline, real time, </w:t>
            </w:r>
            <w:proofErr w:type="spellStart"/>
            <w:r>
              <w:t>etc</w:t>
            </w:r>
            <w:proofErr w:type="spellEnd"/>
            <w:r>
              <w:t>)</w:t>
            </w:r>
          </w:p>
        </w:tc>
      </w:tr>
      <w:tr w:rsidR="00F02018" w:rsidTr="00201CFC">
        <w:tc>
          <w:tcPr>
            <w:tcW w:w="2112" w:type="dxa"/>
          </w:tcPr>
          <w:p w:rsidR="00F02018" w:rsidRPr="0014041E" w:rsidRDefault="00F02018" w:rsidP="00201CFC">
            <w:pPr>
              <w:rPr>
                <w:i/>
              </w:rPr>
            </w:pPr>
            <w:r w:rsidRPr="0014041E">
              <w:rPr>
                <w:i/>
              </w:rPr>
              <w:t>Operational support</w:t>
            </w:r>
          </w:p>
        </w:tc>
        <w:tc>
          <w:tcPr>
            <w:tcW w:w="2112" w:type="dxa"/>
          </w:tcPr>
          <w:p w:rsidR="00F02018" w:rsidRDefault="00F02018" w:rsidP="00201CFC">
            <w:r>
              <w:t>Minimum advocacy and representation only</w:t>
            </w:r>
          </w:p>
          <w:p w:rsidR="00F02018" w:rsidRDefault="00F02018" w:rsidP="00201CFC"/>
          <w:p w:rsidR="00F02018" w:rsidRDefault="00F02018" w:rsidP="00201CFC">
            <w:r>
              <w:t xml:space="preserve">Needs: 1 person global </w:t>
            </w:r>
          </w:p>
        </w:tc>
        <w:tc>
          <w:tcPr>
            <w:tcW w:w="2112" w:type="dxa"/>
          </w:tcPr>
          <w:p w:rsidR="00F02018" w:rsidRDefault="00F02018" w:rsidP="00201CFC">
            <w:r>
              <w:t>Coordinating and interacting other agency assessments?</w:t>
            </w:r>
          </w:p>
          <w:p w:rsidR="00F02018" w:rsidRDefault="00F02018" w:rsidP="00201CFC">
            <w:r>
              <w:t xml:space="preserve">Defining strategy </w:t>
            </w:r>
          </w:p>
          <w:p w:rsidR="00F02018" w:rsidRDefault="00F02018" w:rsidP="00201CFC">
            <w:r>
              <w:t>Establishing baseline</w:t>
            </w:r>
          </w:p>
          <w:p w:rsidR="00F02018" w:rsidRDefault="00F02018" w:rsidP="00201CFC"/>
          <w:p w:rsidR="00F02018" w:rsidRDefault="00F02018" w:rsidP="00201CFC">
            <w:r>
              <w:t xml:space="preserve">Needs: 2.5 people for advocacy and coordination (.5 does evaluations) </w:t>
            </w:r>
          </w:p>
        </w:tc>
        <w:tc>
          <w:tcPr>
            <w:tcW w:w="2112" w:type="dxa"/>
          </w:tcPr>
          <w:p w:rsidR="00F02018" w:rsidRDefault="00F02018" w:rsidP="00201CFC">
            <w:r>
              <w:t xml:space="preserve">Deployed team with special assessments, </w:t>
            </w:r>
            <w:proofErr w:type="spellStart"/>
            <w:r>
              <w:t>govt</w:t>
            </w:r>
            <w:proofErr w:type="spellEnd"/>
            <w:r>
              <w:t xml:space="preserve"> liaison, repeat max building response capacity (box above)</w:t>
            </w:r>
          </w:p>
        </w:tc>
      </w:tr>
    </w:tbl>
    <w:p w:rsidR="00F02018" w:rsidRDefault="00F02018" w:rsidP="00F02018"/>
    <w:p w:rsidR="00F02018" w:rsidRDefault="00F02018" w:rsidP="00F02018"/>
    <w:p w:rsidR="00577897" w:rsidRPr="00B7493E" w:rsidRDefault="00577897" w:rsidP="00577897">
      <w:pPr>
        <w:rPr>
          <w:b/>
        </w:rPr>
      </w:pPr>
    </w:p>
    <w:p w:rsidR="00646E42" w:rsidRDefault="00646E42">
      <w:pPr>
        <w:spacing w:after="200" w:line="276" w:lineRule="auto"/>
      </w:pPr>
      <w:r>
        <w:br w:type="page"/>
      </w:r>
    </w:p>
    <w:p w:rsidR="00577897" w:rsidRDefault="00577897" w:rsidP="00577897"/>
    <w:p w:rsidR="00646E42" w:rsidRDefault="00646E42" w:rsidP="00646E42"/>
    <w:p w:rsidR="00646E42" w:rsidRDefault="00646E42" w:rsidP="00646E42"/>
    <w:p w:rsidR="00577897" w:rsidRDefault="00577897" w:rsidP="00577897"/>
    <w:p w:rsidR="00646E42" w:rsidRDefault="00577897" w:rsidP="00646E42">
      <w:pPr>
        <w:pStyle w:val="Heading1"/>
        <w:spacing w:before="0"/>
        <w:jc w:val="center"/>
      </w:pPr>
      <w:r>
        <w:t xml:space="preserve"> </w:t>
      </w:r>
      <w:r w:rsidR="00646E42" w:rsidRPr="00646E42">
        <w:rPr>
          <w:sz w:val="32"/>
        </w:rPr>
        <w:t>Annex 3 – GSC Sustainability: issues raised and discussed</w:t>
      </w:r>
    </w:p>
    <w:p w:rsidR="00577897" w:rsidRDefault="00577897" w:rsidP="00577897"/>
    <w:p w:rsidR="00882EC7" w:rsidRDefault="00B8743A" w:rsidP="00B8743A">
      <w:pPr>
        <w:pStyle w:val="ListParagraph"/>
        <w:numPr>
          <w:ilvl w:val="1"/>
          <w:numId w:val="22"/>
        </w:numPr>
      </w:pPr>
      <w:r>
        <w:t xml:space="preserve">The </w:t>
      </w:r>
      <w:r w:rsidR="00882EC7">
        <w:t>ECHO grant</w:t>
      </w:r>
      <w:r>
        <w:t xml:space="preserve"> has been the only </w:t>
      </w:r>
      <w:r w:rsidR="00882EC7">
        <w:t>grant at</w:t>
      </w:r>
      <w:r w:rsidR="00136F29">
        <w:t xml:space="preserve"> the</w:t>
      </w:r>
      <w:r w:rsidR="00882EC7">
        <w:t xml:space="preserve"> global level</w:t>
      </w:r>
      <w:r w:rsidR="00316085">
        <w:t xml:space="preserve"> received by the Global Shelter Cluster to date.</w:t>
      </w:r>
      <w:r w:rsidR="00136F29">
        <w:t xml:space="preserve"> Even if there is a second phase of this grant in 2015-</w:t>
      </w:r>
      <w:r w:rsidR="002C3641">
        <w:t>2016</w:t>
      </w:r>
      <w:r w:rsidR="00136F29">
        <w:t>, it is unlikely big grants like this will constitute a sustainable funding avenue.</w:t>
      </w:r>
    </w:p>
    <w:p w:rsidR="00882EC7" w:rsidRDefault="00882EC7" w:rsidP="00136F29">
      <w:pPr>
        <w:pStyle w:val="ListParagraph"/>
        <w:numPr>
          <w:ilvl w:val="1"/>
          <w:numId w:val="22"/>
        </w:numPr>
      </w:pPr>
      <w:r>
        <w:t xml:space="preserve">Donors are hesitant to </w:t>
      </w:r>
      <w:r w:rsidR="00136F29">
        <w:t>fund clusters</w:t>
      </w:r>
      <w:r>
        <w:t xml:space="preserve"> because they argue cluster funding should come from agencies and be mainstreamed</w:t>
      </w:r>
      <w:r w:rsidR="00136F29">
        <w:t>.</w:t>
      </w:r>
    </w:p>
    <w:p w:rsidR="00882EC7" w:rsidRDefault="00136F29" w:rsidP="00136F29">
      <w:pPr>
        <w:pStyle w:val="ListParagraph"/>
        <w:numPr>
          <w:ilvl w:val="1"/>
          <w:numId w:val="22"/>
        </w:numPr>
      </w:pPr>
      <w:r>
        <w:t>It remains unclear w</w:t>
      </w:r>
      <w:r w:rsidR="00882EC7">
        <w:t>ho can fundrai</w:t>
      </w:r>
      <w:r>
        <w:t>se on behalf of shelter cluster, the GSC Lead Agencies? SAG agencies? All GSC participating agencies?</w:t>
      </w:r>
    </w:p>
    <w:p w:rsidR="00882EC7" w:rsidRDefault="00882EC7" w:rsidP="00136F29">
      <w:pPr>
        <w:pStyle w:val="ListParagraph"/>
        <w:numPr>
          <w:ilvl w:val="1"/>
          <w:numId w:val="22"/>
        </w:numPr>
      </w:pPr>
      <w:r>
        <w:t>Agencies that take</w:t>
      </w:r>
      <w:r w:rsidR="00136F29">
        <w:t xml:space="preserve"> the</w:t>
      </w:r>
      <w:r>
        <w:t xml:space="preserve"> lead of </w:t>
      </w:r>
      <w:r w:rsidR="00136F29">
        <w:t xml:space="preserve">the </w:t>
      </w:r>
      <w:r>
        <w:t xml:space="preserve">cluster </w:t>
      </w:r>
      <w:r w:rsidR="00136F29">
        <w:t>at the</w:t>
      </w:r>
      <w:r>
        <w:t xml:space="preserve"> country</w:t>
      </w:r>
      <w:r w:rsidR="00136F29">
        <w:t xml:space="preserve"> level </w:t>
      </w:r>
      <w:r>
        <w:t>get more cash</w:t>
      </w:r>
      <w:r w:rsidR="00136F29">
        <w:t xml:space="preserve"> for their shelter programs</w:t>
      </w:r>
      <w:r>
        <w:t xml:space="preserve"> often</w:t>
      </w:r>
      <w:r w:rsidR="00136F29">
        <w:t>.</w:t>
      </w:r>
    </w:p>
    <w:p w:rsidR="00882EC7" w:rsidRDefault="00882EC7" w:rsidP="00882EC7">
      <w:pPr>
        <w:pStyle w:val="ListParagraph"/>
        <w:numPr>
          <w:ilvl w:val="1"/>
          <w:numId w:val="22"/>
        </w:numPr>
      </w:pPr>
      <w:r>
        <w:t>There are diff</w:t>
      </w:r>
      <w:r w:rsidR="00136F29">
        <w:t>erent kind of</w:t>
      </w:r>
      <w:r>
        <w:t xml:space="preserve"> contributions – financial, in kind, etc. </w:t>
      </w:r>
    </w:p>
    <w:p w:rsidR="00882EC7" w:rsidRDefault="00882EC7" w:rsidP="00882EC7">
      <w:pPr>
        <w:pStyle w:val="ListParagraph"/>
        <w:numPr>
          <w:ilvl w:val="1"/>
          <w:numId w:val="22"/>
        </w:numPr>
      </w:pPr>
      <w:r>
        <w:t xml:space="preserve">In country organization of cluster is good and quite functional, how </w:t>
      </w:r>
      <w:r w:rsidR="00136F29">
        <w:t xml:space="preserve">to </w:t>
      </w:r>
      <w:r>
        <w:t>echo that at the global level</w:t>
      </w:r>
      <w:r w:rsidR="00136F29">
        <w:t>.</w:t>
      </w:r>
    </w:p>
    <w:p w:rsidR="00882EC7" w:rsidRDefault="00136F29" w:rsidP="00882EC7">
      <w:pPr>
        <w:pStyle w:val="ListParagraph"/>
        <w:numPr>
          <w:ilvl w:val="1"/>
          <w:numId w:val="22"/>
        </w:numPr>
      </w:pPr>
      <w:r>
        <w:t>It is unclear whether</w:t>
      </w:r>
      <w:r w:rsidR="00882EC7">
        <w:t xml:space="preserve"> there will be ECHO funding next year</w:t>
      </w:r>
      <w:r>
        <w:t>.</w:t>
      </w:r>
    </w:p>
    <w:p w:rsidR="00882EC7" w:rsidRDefault="00882EC7" w:rsidP="00136F29">
      <w:pPr>
        <w:pStyle w:val="ListParagraph"/>
        <w:numPr>
          <w:ilvl w:val="1"/>
          <w:numId w:val="22"/>
        </w:numPr>
      </w:pPr>
      <w:r>
        <w:t>Need some kind of collective responsibility re</w:t>
      </w:r>
      <w:r w:rsidR="00136F29">
        <w:t>garding</w:t>
      </w:r>
      <w:r>
        <w:t xml:space="preserve"> resourc</w:t>
      </w:r>
      <w:r w:rsidR="00136F29">
        <w:t>ing of the Global Shelter Cluster</w:t>
      </w:r>
      <w:r>
        <w:t xml:space="preserve"> – will be stronger in fundraising if cluster is organized together and speaks with one voice –</w:t>
      </w:r>
      <w:r w:rsidR="00136F29">
        <w:t xml:space="preserve"> help to hold donors to account.</w:t>
      </w:r>
    </w:p>
    <w:p w:rsidR="00882EC7" w:rsidRDefault="00882EC7" w:rsidP="00136F29">
      <w:pPr>
        <w:pStyle w:val="ListParagraph"/>
        <w:numPr>
          <w:ilvl w:val="1"/>
          <w:numId w:val="22"/>
        </w:numPr>
      </w:pPr>
      <w:r>
        <w:t xml:space="preserve">Donors do not burden share – all of them say individually that they’re funding someone else, not shelter – they are not coordinating to see what the big gaps are and shifting their </w:t>
      </w:r>
      <w:r w:rsidR="00136F29">
        <w:t>funds</w:t>
      </w:r>
      <w:r>
        <w:t xml:space="preserve"> accordingly</w:t>
      </w:r>
      <w:r w:rsidR="00136F29">
        <w:t>.</w:t>
      </w:r>
    </w:p>
    <w:p w:rsidR="00882EC7" w:rsidRDefault="00882EC7" w:rsidP="00882EC7">
      <w:pPr>
        <w:pStyle w:val="ListParagraph"/>
        <w:numPr>
          <w:ilvl w:val="1"/>
          <w:numId w:val="22"/>
        </w:numPr>
      </w:pPr>
      <w:r>
        <w:t>IN SUMMARY there are 4 ways to fund the global cluster:</w:t>
      </w:r>
    </w:p>
    <w:p w:rsidR="00882EC7" w:rsidRDefault="00882EC7" w:rsidP="00882EC7">
      <w:pPr>
        <w:pStyle w:val="ListParagraph"/>
        <w:numPr>
          <w:ilvl w:val="2"/>
          <w:numId w:val="22"/>
        </w:numPr>
      </w:pPr>
      <w:r>
        <w:t>cluster leads contributing</w:t>
      </w:r>
    </w:p>
    <w:p w:rsidR="00882EC7" w:rsidRDefault="00882EC7" w:rsidP="00882EC7">
      <w:pPr>
        <w:pStyle w:val="ListParagraph"/>
        <w:numPr>
          <w:ilvl w:val="2"/>
          <w:numId w:val="22"/>
        </w:numPr>
      </w:pPr>
      <w:r>
        <w:t xml:space="preserve">institutional funding (ECHO, </w:t>
      </w:r>
      <w:proofErr w:type="spellStart"/>
      <w:r>
        <w:t>etc</w:t>
      </w:r>
      <w:proofErr w:type="spellEnd"/>
      <w:r>
        <w:t>)</w:t>
      </w:r>
    </w:p>
    <w:p w:rsidR="00882EC7" w:rsidRDefault="00882EC7" w:rsidP="00136F29">
      <w:pPr>
        <w:pStyle w:val="ListParagraph"/>
        <w:numPr>
          <w:ilvl w:val="2"/>
          <w:numId w:val="22"/>
        </w:numPr>
      </w:pPr>
      <w:r>
        <w:t xml:space="preserve">all agencies contributing cash (less likely that agencies will directly fund </w:t>
      </w:r>
      <w:r w:rsidR="00136F29">
        <w:t>the GSC Lead Agencies</w:t>
      </w:r>
      <w:r>
        <w:t>)</w:t>
      </w:r>
    </w:p>
    <w:p w:rsidR="00882EC7" w:rsidRDefault="00882EC7" w:rsidP="00882EC7">
      <w:pPr>
        <w:pStyle w:val="ListParagraph"/>
        <w:numPr>
          <w:ilvl w:val="2"/>
          <w:numId w:val="22"/>
        </w:numPr>
      </w:pPr>
      <w:r>
        <w:t xml:space="preserve">all agencies contributing in kind </w:t>
      </w:r>
    </w:p>
    <w:p w:rsidR="00577897" w:rsidRDefault="00577897"/>
    <w:p w:rsidR="003A6B40" w:rsidRDefault="003A6B40">
      <w:pPr>
        <w:spacing w:after="200" w:line="276" w:lineRule="auto"/>
      </w:pPr>
      <w:r>
        <w:br w:type="page"/>
      </w:r>
    </w:p>
    <w:p w:rsidR="00242C40" w:rsidRDefault="00242C40" w:rsidP="00242C40">
      <w:pPr>
        <w:spacing w:after="200" w:line="276" w:lineRule="auto"/>
      </w:pPr>
    </w:p>
    <w:p w:rsidR="00442EBC" w:rsidRDefault="00442EBC" w:rsidP="00442EBC">
      <w:pPr>
        <w:pStyle w:val="Heading1"/>
        <w:spacing w:before="0"/>
        <w:jc w:val="center"/>
        <w:rPr>
          <w:sz w:val="32"/>
        </w:rPr>
      </w:pPr>
      <w:r w:rsidRPr="00442EBC">
        <w:rPr>
          <w:sz w:val="32"/>
        </w:rPr>
        <w:t>Annex 4 – GSC Governance: GSC Strategy</w:t>
      </w:r>
    </w:p>
    <w:p w:rsidR="00442EBC" w:rsidRDefault="00442EBC" w:rsidP="00442EBC"/>
    <w:p w:rsidR="0030307A" w:rsidRPr="0030307A" w:rsidRDefault="0030307A" w:rsidP="0030307A">
      <w:pPr>
        <w:rPr>
          <w:lang w:val="en-GB"/>
        </w:rPr>
      </w:pPr>
      <w:r w:rsidRPr="0030307A">
        <w:rPr>
          <w:b/>
          <w:bCs/>
          <w:u w:val="single"/>
        </w:rPr>
        <w:t>Strategic aim 1</w:t>
      </w:r>
      <w:r w:rsidRPr="0030307A">
        <w:t>: Responsive and flexible support to country level shelter coordination mechanisms</w:t>
      </w:r>
    </w:p>
    <w:p w:rsidR="0030307A" w:rsidRPr="0030307A" w:rsidRDefault="0030307A" w:rsidP="0030307A">
      <w:pPr>
        <w:rPr>
          <w:lang w:val="en-GB"/>
        </w:rPr>
      </w:pPr>
      <w:r w:rsidRPr="0030307A">
        <w:rPr>
          <w:b/>
          <w:bCs/>
          <w:u w:val="single"/>
        </w:rPr>
        <w:t>Outcomes</w:t>
      </w:r>
      <w:r w:rsidRPr="0030307A">
        <w:t>:</w:t>
      </w:r>
    </w:p>
    <w:p w:rsidR="0030307A" w:rsidRPr="0030307A" w:rsidRDefault="0030307A" w:rsidP="0030307A">
      <w:pPr>
        <w:rPr>
          <w:lang w:val="en-GB"/>
        </w:rPr>
      </w:pPr>
      <w:r w:rsidRPr="0030307A">
        <w:t xml:space="preserve">1. Right </w:t>
      </w:r>
      <w:r w:rsidRPr="0030307A">
        <w:rPr>
          <w:b/>
          <w:bCs/>
        </w:rPr>
        <w:t>People</w:t>
      </w:r>
      <w:r w:rsidRPr="0030307A">
        <w:t xml:space="preserve"> are available in the right place at the right time:</w:t>
      </w:r>
    </w:p>
    <w:p w:rsidR="0030307A" w:rsidRPr="0030307A" w:rsidRDefault="0030307A" w:rsidP="0030307A">
      <w:pPr>
        <w:rPr>
          <w:lang w:val="en-GB"/>
        </w:rPr>
      </w:pPr>
      <w:r w:rsidRPr="0030307A">
        <w:tab/>
        <w:t>a.       Surge capacity system exists(1.1)</w:t>
      </w:r>
    </w:p>
    <w:p w:rsidR="0030307A" w:rsidRPr="0030307A" w:rsidRDefault="0030307A" w:rsidP="0030307A">
      <w:pPr>
        <w:rPr>
          <w:lang w:val="en-GB"/>
        </w:rPr>
      </w:pPr>
      <w:r w:rsidRPr="0030307A">
        <w:tab/>
        <w:t>b.      Technical expertise is available (1.2)</w:t>
      </w:r>
    </w:p>
    <w:p w:rsidR="0030307A" w:rsidRPr="0030307A" w:rsidRDefault="0030307A" w:rsidP="0030307A">
      <w:pPr>
        <w:rPr>
          <w:lang w:val="en-GB"/>
        </w:rPr>
      </w:pPr>
      <w:r w:rsidRPr="0030307A">
        <w:tab/>
        <w:t>c.       Timely Remote technical support is provided (1.4)</w:t>
      </w:r>
    </w:p>
    <w:p w:rsidR="0030307A" w:rsidRPr="0030307A" w:rsidRDefault="0030307A" w:rsidP="0030307A">
      <w:pPr>
        <w:rPr>
          <w:lang w:val="en-GB"/>
        </w:rPr>
      </w:pPr>
      <w:r w:rsidRPr="0030307A">
        <w:tab/>
        <w:t>d.      Human resource cap</w:t>
      </w:r>
      <w:r>
        <w:t>a</w:t>
      </w:r>
      <w:r w:rsidRPr="0030307A">
        <w:t xml:space="preserve">city is developed through Learning support </w:t>
      </w:r>
      <w:r>
        <w:t xml:space="preserve">and evaluation </w:t>
      </w:r>
      <w:r w:rsidRPr="0030307A">
        <w:t>(1.7)</w:t>
      </w:r>
    </w:p>
    <w:p w:rsidR="0030307A" w:rsidRPr="0030307A" w:rsidRDefault="0030307A" w:rsidP="0030307A">
      <w:pPr>
        <w:rPr>
          <w:lang w:val="en-GB"/>
        </w:rPr>
      </w:pPr>
      <w:r w:rsidRPr="0030307A">
        <w:t xml:space="preserve">2. Suitable </w:t>
      </w:r>
      <w:r w:rsidRPr="0030307A">
        <w:rPr>
          <w:b/>
          <w:bCs/>
        </w:rPr>
        <w:t>Tools and processes</w:t>
      </w:r>
      <w:r w:rsidRPr="0030307A">
        <w:t xml:space="preserve"> exist to ensure effective field level coordination</w:t>
      </w:r>
    </w:p>
    <w:p w:rsidR="0030307A" w:rsidRPr="0030307A" w:rsidRDefault="0030307A" w:rsidP="0030307A">
      <w:pPr>
        <w:rPr>
          <w:lang w:val="en-GB"/>
        </w:rPr>
      </w:pPr>
      <w:r w:rsidRPr="0030307A">
        <w:tab/>
        <w:t>a.       Assessments and project cycle tools exist and are used (1.5)</w:t>
      </w:r>
    </w:p>
    <w:p w:rsidR="0030307A" w:rsidRPr="0030307A" w:rsidRDefault="0030307A" w:rsidP="0030307A">
      <w:pPr>
        <w:rPr>
          <w:lang w:val="en-GB"/>
        </w:rPr>
      </w:pPr>
      <w:r w:rsidRPr="0030307A">
        <w:tab/>
        <w:t>b.      Access to pooled is facilitated (1.6)</w:t>
      </w:r>
    </w:p>
    <w:p w:rsidR="0030307A" w:rsidRPr="0030307A" w:rsidRDefault="0030307A" w:rsidP="0030307A">
      <w:pPr>
        <w:rPr>
          <w:lang w:val="en-GB"/>
        </w:rPr>
      </w:pPr>
      <w:r w:rsidRPr="0030307A">
        <w:t>3. </w:t>
      </w:r>
      <w:r w:rsidRPr="0030307A">
        <w:rPr>
          <w:b/>
          <w:bCs/>
        </w:rPr>
        <w:t>Engagement</w:t>
      </w:r>
      <w:r w:rsidRPr="0030307A">
        <w:t xml:space="preserve"> of relevant stakeholders within responses</w:t>
      </w:r>
    </w:p>
    <w:p w:rsidR="0030307A" w:rsidRPr="0030307A" w:rsidRDefault="0030307A" w:rsidP="0030307A">
      <w:pPr>
        <w:rPr>
          <w:lang w:val="en-GB"/>
        </w:rPr>
      </w:pPr>
      <w:r w:rsidRPr="0030307A">
        <w:tab/>
        <w:t>a. Participation of national and local actors (1.8)</w:t>
      </w:r>
    </w:p>
    <w:p w:rsidR="0030307A" w:rsidRPr="0030307A" w:rsidRDefault="0030307A" w:rsidP="0030307A">
      <w:pPr>
        <w:rPr>
          <w:lang w:val="en-GB"/>
        </w:rPr>
      </w:pPr>
      <w:r w:rsidRPr="0030307A">
        <w:tab/>
        <w:t xml:space="preserve">b. </w:t>
      </w:r>
      <w:proofErr w:type="spellStart"/>
      <w:r w:rsidRPr="0030307A">
        <w:t>Successul</w:t>
      </w:r>
      <w:proofErr w:type="spellEnd"/>
      <w:r w:rsidRPr="0030307A">
        <w:t xml:space="preserve"> transition to early recovery (1.9)</w:t>
      </w:r>
    </w:p>
    <w:p w:rsidR="00442EBC" w:rsidRDefault="00442EBC" w:rsidP="00442EBC">
      <w:pPr>
        <w:rPr>
          <w:lang w:val="en-GB"/>
        </w:rPr>
      </w:pPr>
    </w:p>
    <w:p w:rsidR="0030307A" w:rsidRDefault="0030307A" w:rsidP="00442EBC">
      <w:pPr>
        <w:rPr>
          <w:lang w:val="en-GB"/>
        </w:rPr>
      </w:pPr>
    </w:p>
    <w:p w:rsidR="0030307A" w:rsidRPr="0030307A" w:rsidRDefault="0030307A" w:rsidP="0030307A">
      <w:pPr>
        <w:rPr>
          <w:lang w:val="en-GB"/>
        </w:rPr>
      </w:pPr>
      <w:r w:rsidRPr="0030307A">
        <w:rPr>
          <w:b/>
          <w:bCs/>
          <w:u w:val="single"/>
        </w:rPr>
        <w:t>Strategic aim 2</w:t>
      </w:r>
      <w:r w:rsidRPr="0030307A">
        <w:t xml:space="preserve">: an effective and </w:t>
      </w:r>
      <w:proofErr w:type="spellStart"/>
      <w:r w:rsidRPr="0030307A">
        <w:t>well functioning</w:t>
      </w:r>
      <w:proofErr w:type="spellEnd"/>
      <w:r w:rsidRPr="0030307A">
        <w:t xml:space="preserve"> GSC </w:t>
      </w:r>
    </w:p>
    <w:p w:rsidR="0030307A" w:rsidRPr="0030307A" w:rsidRDefault="0030307A" w:rsidP="0030307A">
      <w:pPr>
        <w:rPr>
          <w:lang w:val="en-GB"/>
        </w:rPr>
      </w:pPr>
      <w:r w:rsidRPr="0030307A">
        <w:rPr>
          <w:b/>
          <w:bCs/>
          <w:u w:val="single"/>
        </w:rPr>
        <w:t>Outcomes:</w:t>
      </w:r>
    </w:p>
    <w:p w:rsidR="0030307A" w:rsidRPr="0030307A" w:rsidRDefault="0030307A" w:rsidP="0030307A">
      <w:pPr>
        <w:rPr>
          <w:lang w:val="en-GB"/>
        </w:rPr>
      </w:pPr>
      <w:r w:rsidRPr="0030307A">
        <w:t xml:space="preserve">1. A </w:t>
      </w:r>
      <w:r w:rsidRPr="0030307A">
        <w:rPr>
          <w:b/>
          <w:bCs/>
        </w:rPr>
        <w:t>partnership</w:t>
      </w:r>
      <w:r w:rsidRPr="0030307A">
        <w:t xml:space="preserve"> platform:</w:t>
      </w:r>
    </w:p>
    <w:p w:rsidR="00670FBF" w:rsidRPr="0030307A" w:rsidRDefault="008830FC" w:rsidP="0030307A">
      <w:pPr>
        <w:numPr>
          <w:ilvl w:val="1"/>
          <w:numId w:val="24"/>
        </w:numPr>
        <w:rPr>
          <w:lang w:val="en-GB"/>
        </w:rPr>
      </w:pPr>
      <w:r w:rsidRPr="0030307A">
        <w:t>Inclusive, broad GSC with increased participation (2.1)</w:t>
      </w:r>
    </w:p>
    <w:p w:rsidR="00670FBF" w:rsidRPr="0030307A" w:rsidRDefault="008830FC" w:rsidP="0030307A">
      <w:pPr>
        <w:numPr>
          <w:ilvl w:val="1"/>
          <w:numId w:val="24"/>
        </w:numPr>
        <w:rPr>
          <w:lang w:val="en-GB"/>
        </w:rPr>
      </w:pPr>
      <w:r w:rsidRPr="0030307A">
        <w:t>Effective and accountable governance and mgmt. structures (2.2)</w:t>
      </w:r>
    </w:p>
    <w:p w:rsidR="00670FBF" w:rsidRPr="0030307A" w:rsidRDefault="008830FC" w:rsidP="0030307A">
      <w:pPr>
        <w:numPr>
          <w:ilvl w:val="1"/>
          <w:numId w:val="24"/>
        </w:numPr>
        <w:rPr>
          <w:lang w:val="en-GB"/>
        </w:rPr>
      </w:pPr>
      <w:r w:rsidRPr="0030307A">
        <w:t>Enhanced partnership to promote complementarity and resource pooling (2.9)</w:t>
      </w:r>
    </w:p>
    <w:p w:rsidR="00670FBF" w:rsidRPr="0030307A" w:rsidRDefault="008830FC" w:rsidP="0030307A">
      <w:pPr>
        <w:numPr>
          <w:ilvl w:val="1"/>
          <w:numId w:val="24"/>
        </w:numPr>
        <w:rPr>
          <w:lang w:val="en-GB"/>
        </w:rPr>
      </w:pPr>
      <w:r w:rsidRPr="0030307A">
        <w:t xml:space="preserve">Increased professionalization through partnerships with private sector, academia, </w:t>
      </w:r>
      <w:proofErr w:type="spellStart"/>
      <w:r w:rsidRPr="0030307A">
        <w:t>etc</w:t>
      </w:r>
      <w:proofErr w:type="spellEnd"/>
      <w:r w:rsidRPr="0030307A">
        <w:t xml:space="preserve"> (3.9)</w:t>
      </w:r>
    </w:p>
    <w:p w:rsidR="0030307A" w:rsidRPr="0030307A" w:rsidRDefault="0030307A" w:rsidP="0030307A">
      <w:pPr>
        <w:rPr>
          <w:lang w:val="en-GB"/>
        </w:rPr>
      </w:pPr>
      <w:r w:rsidRPr="0030307A">
        <w:t xml:space="preserve">2. A </w:t>
      </w:r>
      <w:r w:rsidRPr="0030307A">
        <w:rPr>
          <w:b/>
          <w:bCs/>
        </w:rPr>
        <w:t>technical</w:t>
      </w:r>
      <w:r w:rsidRPr="0030307A">
        <w:t xml:space="preserve"> platform:</w:t>
      </w:r>
    </w:p>
    <w:p w:rsidR="00670FBF" w:rsidRPr="0030307A" w:rsidRDefault="008830FC" w:rsidP="0030307A">
      <w:pPr>
        <w:numPr>
          <w:ilvl w:val="1"/>
          <w:numId w:val="25"/>
        </w:numPr>
        <w:rPr>
          <w:lang w:val="en-GB"/>
        </w:rPr>
      </w:pPr>
      <w:r w:rsidRPr="0030307A">
        <w:t>An innovation culture – technical and programmatic (2.3)</w:t>
      </w:r>
    </w:p>
    <w:p w:rsidR="00670FBF" w:rsidRPr="0030307A" w:rsidRDefault="008830FC" w:rsidP="0030307A">
      <w:pPr>
        <w:numPr>
          <w:ilvl w:val="1"/>
          <w:numId w:val="25"/>
        </w:numPr>
        <w:rPr>
          <w:lang w:val="en-GB"/>
        </w:rPr>
      </w:pPr>
      <w:r w:rsidRPr="0030307A">
        <w:t>Consistency in tech standards, specs, reporting, indicators, policies (2.4)</w:t>
      </w:r>
    </w:p>
    <w:p w:rsidR="0030307A" w:rsidRPr="0030307A" w:rsidRDefault="0030307A" w:rsidP="0030307A">
      <w:pPr>
        <w:rPr>
          <w:lang w:val="en-GB"/>
        </w:rPr>
      </w:pPr>
      <w:r w:rsidRPr="0030307A">
        <w:t xml:space="preserve">3. A </w:t>
      </w:r>
      <w:r w:rsidRPr="0030307A">
        <w:rPr>
          <w:b/>
          <w:bCs/>
        </w:rPr>
        <w:t>knowledge</w:t>
      </w:r>
      <w:r w:rsidRPr="0030307A">
        <w:t xml:space="preserve"> platform:</w:t>
      </w:r>
    </w:p>
    <w:p w:rsidR="00670FBF" w:rsidRPr="0030307A" w:rsidRDefault="008830FC" w:rsidP="0030307A">
      <w:pPr>
        <w:numPr>
          <w:ilvl w:val="1"/>
          <w:numId w:val="26"/>
        </w:numPr>
        <w:rPr>
          <w:lang w:val="en-GB"/>
        </w:rPr>
      </w:pPr>
      <w:r w:rsidRPr="0030307A">
        <w:t>The primary shelter humanitarian hub (2.5)</w:t>
      </w:r>
    </w:p>
    <w:p w:rsidR="00670FBF" w:rsidRPr="0030307A" w:rsidRDefault="008830FC" w:rsidP="0030307A">
      <w:pPr>
        <w:numPr>
          <w:ilvl w:val="1"/>
          <w:numId w:val="26"/>
        </w:numPr>
        <w:rPr>
          <w:lang w:val="en-GB"/>
        </w:rPr>
      </w:pPr>
      <w:r w:rsidRPr="0030307A">
        <w:t>Cohesive training and capacity building initiatives (2.6)</w:t>
      </w:r>
    </w:p>
    <w:p w:rsidR="00670FBF" w:rsidRPr="0030307A" w:rsidRDefault="008830FC" w:rsidP="0030307A">
      <w:pPr>
        <w:numPr>
          <w:ilvl w:val="1"/>
          <w:numId w:val="26"/>
        </w:numPr>
        <w:rPr>
          <w:lang w:val="en-GB"/>
        </w:rPr>
      </w:pPr>
      <w:r w:rsidRPr="0030307A">
        <w:t>Common understanding of shelter response capacity (2.7)</w:t>
      </w:r>
    </w:p>
    <w:p w:rsidR="0030307A" w:rsidRDefault="0030307A" w:rsidP="00442EBC">
      <w:pPr>
        <w:rPr>
          <w:lang w:val="en-GB"/>
        </w:rPr>
      </w:pPr>
    </w:p>
    <w:p w:rsidR="0030307A" w:rsidRDefault="0030307A" w:rsidP="00442EBC">
      <w:pPr>
        <w:rPr>
          <w:lang w:val="en-GB"/>
        </w:rPr>
      </w:pPr>
    </w:p>
    <w:p w:rsidR="0030307A" w:rsidRPr="0030307A" w:rsidRDefault="0030307A" w:rsidP="0030307A">
      <w:pPr>
        <w:rPr>
          <w:lang w:val="en-GB"/>
        </w:rPr>
      </w:pPr>
      <w:r w:rsidRPr="0030307A">
        <w:rPr>
          <w:b/>
          <w:bCs/>
          <w:u w:val="single"/>
          <w:lang w:val="en-GB"/>
        </w:rPr>
        <w:t>Strategic Aim 3</w:t>
      </w:r>
      <w:r w:rsidRPr="0030307A">
        <w:rPr>
          <w:lang w:val="en-GB"/>
        </w:rPr>
        <w:t>: increased recognition of the shelter and settlement actors as an essential component of the humanitarian response though enhanced advocacy and communication :</w:t>
      </w:r>
    </w:p>
    <w:p w:rsidR="0030307A" w:rsidRPr="0030307A" w:rsidRDefault="0030307A" w:rsidP="0030307A">
      <w:pPr>
        <w:rPr>
          <w:lang w:val="en-GB"/>
        </w:rPr>
      </w:pPr>
      <w:r w:rsidRPr="0030307A">
        <w:rPr>
          <w:lang w:val="en-GB"/>
        </w:rPr>
        <w:t> </w:t>
      </w:r>
    </w:p>
    <w:p w:rsidR="0030307A" w:rsidRPr="0030307A" w:rsidRDefault="0030307A" w:rsidP="0030307A">
      <w:pPr>
        <w:rPr>
          <w:lang w:val="en-GB"/>
        </w:rPr>
      </w:pPr>
      <w:r w:rsidRPr="0030307A">
        <w:rPr>
          <w:b/>
          <w:bCs/>
          <w:u w:val="single"/>
          <w:lang w:val="en-GB"/>
        </w:rPr>
        <w:t>Outcomes:</w:t>
      </w:r>
    </w:p>
    <w:p w:rsidR="0030307A" w:rsidRPr="0030307A" w:rsidRDefault="0030307A" w:rsidP="0030307A">
      <w:pPr>
        <w:rPr>
          <w:lang w:val="en-GB"/>
        </w:rPr>
      </w:pPr>
      <w:r w:rsidRPr="0030307A">
        <w:rPr>
          <w:lang w:val="en-GB"/>
        </w:rPr>
        <w:t>1. Improve access of Shelter Cluster partners to appropriate resources for shelter activities:</w:t>
      </w:r>
    </w:p>
    <w:p w:rsidR="00670FBF" w:rsidRPr="0030307A" w:rsidRDefault="008830FC" w:rsidP="0030307A">
      <w:pPr>
        <w:numPr>
          <w:ilvl w:val="1"/>
          <w:numId w:val="27"/>
        </w:numPr>
        <w:rPr>
          <w:lang w:val="en-GB"/>
        </w:rPr>
      </w:pPr>
      <w:r w:rsidRPr="0030307A">
        <w:rPr>
          <w:lang w:val="en-GB"/>
        </w:rPr>
        <w:t xml:space="preserve">Consistent, predictable donor base for shelter coordination and response (3.2) </w:t>
      </w:r>
    </w:p>
    <w:p w:rsidR="0030307A" w:rsidRPr="0030307A" w:rsidRDefault="0030307A" w:rsidP="0030307A">
      <w:pPr>
        <w:rPr>
          <w:lang w:val="en-GB"/>
        </w:rPr>
      </w:pPr>
      <w:r w:rsidRPr="0030307A">
        <w:rPr>
          <w:lang w:val="en-GB"/>
        </w:rPr>
        <w:t>2. Increase coordination between shelter actors on the national and international level</w:t>
      </w:r>
      <w:r w:rsidRPr="0030307A">
        <w:t>:</w:t>
      </w:r>
    </w:p>
    <w:p w:rsidR="00670FBF" w:rsidRPr="0030307A" w:rsidRDefault="008830FC" w:rsidP="0030307A">
      <w:pPr>
        <w:numPr>
          <w:ilvl w:val="1"/>
          <w:numId w:val="28"/>
        </w:numPr>
        <w:rPr>
          <w:lang w:val="en-GB"/>
        </w:rPr>
      </w:pPr>
      <w:r w:rsidRPr="0030307A">
        <w:rPr>
          <w:lang w:val="en-GB"/>
        </w:rPr>
        <w:lastRenderedPageBreak/>
        <w:t>Wider acceptance of settlement approaches (3.5)</w:t>
      </w:r>
    </w:p>
    <w:p w:rsidR="00670FBF" w:rsidRPr="0030307A" w:rsidRDefault="008830FC" w:rsidP="0030307A">
      <w:pPr>
        <w:numPr>
          <w:ilvl w:val="1"/>
          <w:numId w:val="28"/>
        </w:numPr>
        <w:rPr>
          <w:lang w:val="en-GB"/>
        </w:rPr>
      </w:pPr>
      <w:r w:rsidRPr="0030307A">
        <w:rPr>
          <w:lang w:val="en-GB"/>
        </w:rPr>
        <w:t>Increased integration of shelter response (3.6)</w:t>
      </w:r>
    </w:p>
    <w:p w:rsidR="00670FBF" w:rsidRPr="0030307A" w:rsidRDefault="008830FC" w:rsidP="0030307A">
      <w:pPr>
        <w:numPr>
          <w:ilvl w:val="1"/>
          <w:numId w:val="28"/>
        </w:numPr>
        <w:rPr>
          <w:lang w:val="en-GB"/>
        </w:rPr>
      </w:pPr>
      <w:r w:rsidRPr="0030307A">
        <w:rPr>
          <w:lang w:val="en-GB"/>
        </w:rPr>
        <w:t>Better understanding among humanitarian actors of role and scope of shelter sector on NFIs (3.7)</w:t>
      </w:r>
    </w:p>
    <w:p w:rsidR="0030307A" w:rsidRPr="0030307A" w:rsidRDefault="0030307A" w:rsidP="0030307A">
      <w:pPr>
        <w:rPr>
          <w:lang w:val="en-GB"/>
        </w:rPr>
      </w:pPr>
      <w:r w:rsidRPr="0030307A">
        <w:rPr>
          <w:lang w:val="en-GB"/>
        </w:rPr>
        <w:t>3. Increase transparency and accountability of Shelter Cluster activities and shelter actors:</w:t>
      </w:r>
    </w:p>
    <w:p w:rsidR="00670FBF" w:rsidRPr="0030307A" w:rsidRDefault="008830FC" w:rsidP="0030307A">
      <w:pPr>
        <w:numPr>
          <w:ilvl w:val="1"/>
          <w:numId w:val="29"/>
        </w:numPr>
        <w:rPr>
          <w:lang w:val="en-GB"/>
        </w:rPr>
      </w:pPr>
      <w:r w:rsidRPr="0030307A">
        <w:rPr>
          <w:lang w:val="en-GB"/>
        </w:rPr>
        <w:t>Raised profile and understanding of sector, leading to less funding gaps in responses (3.1)</w:t>
      </w:r>
    </w:p>
    <w:p w:rsidR="00670FBF" w:rsidRPr="0030307A" w:rsidRDefault="008830FC" w:rsidP="0030307A">
      <w:pPr>
        <w:numPr>
          <w:ilvl w:val="1"/>
          <w:numId w:val="29"/>
        </w:numPr>
        <w:rPr>
          <w:lang w:val="en-GB"/>
        </w:rPr>
      </w:pPr>
      <w:r w:rsidRPr="0030307A">
        <w:rPr>
          <w:lang w:val="en-GB"/>
        </w:rPr>
        <w:t>Public communication and targeting on shelter issues (3.3)</w:t>
      </w:r>
    </w:p>
    <w:p w:rsidR="00670FBF" w:rsidRPr="0030307A" w:rsidRDefault="008830FC" w:rsidP="0030307A">
      <w:pPr>
        <w:numPr>
          <w:ilvl w:val="1"/>
          <w:numId w:val="29"/>
        </w:numPr>
        <w:rPr>
          <w:lang w:val="en-GB"/>
        </w:rPr>
      </w:pPr>
      <w:r w:rsidRPr="0030307A">
        <w:rPr>
          <w:lang w:val="en-GB"/>
        </w:rPr>
        <w:t>Consistent and accurate understanding/messaging of shelter sector capacity and needs (3.4)</w:t>
      </w:r>
    </w:p>
    <w:p w:rsidR="00670FBF" w:rsidRPr="0030307A" w:rsidRDefault="008830FC" w:rsidP="0030307A">
      <w:pPr>
        <w:numPr>
          <w:ilvl w:val="1"/>
          <w:numId w:val="29"/>
        </w:numPr>
        <w:rPr>
          <w:lang w:val="en-GB"/>
        </w:rPr>
      </w:pPr>
      <w:r w:rsidRPr="0030307A">
        <w:rPr>
          <w:lang w:val="en-GB"/>
        </w:rPr>
        <w:t>Better LRRD (3.8)</w:t>
      </w:r>
    </w:p>
    <w:p w:rsidR="0030307A" w:rsidRDefault="0030307A" w:rsidP="00442EBC">
      <w:pPr>
        <w:rPr>
          <w:lang w:val="en-GB"/>
        </w:rPr>
      </w:pPr>
    </w:p>
    <w:p w:rsidR="00B95B51" w:rsidRDefault="00B95B51">
      <w:pPr>
        <w:spacing w:after="200" w:line="276" w:lineRule="auto"/>
        <w:rPr>
          <w:lang w:val="en-GB"/>
        </w:rPr>
      </w:pPr>
      <w:r>
        <w:rPr>
          <w:lang w:val="en-GB"/>
        </w:rPr>
        <w:br w:type="page"/>
      </w:r>
    </w:p>
    <w:p w:rsidR="00C40CD1" w:rsidRPr="00C40CD1" w:rsidRDefault="00C40CD1" w:rsidP="00C40CD1">
      <w:pPr>
        <w:spacing w:after="200" w:line="276" w:lineRule="auto"/>
        <w:rPr>
          <w:lang w:val="en-GB"/>
        </w:rPr>
      </w:pPr>
    </w:p>
    <w:p w:rsidR="00C40CD1" w:rsidRDefault="00B95B51" w:rsidP="00B95B51">
      <w:pPr>
        <w:pStyle w:val="Heading1"/>
        <w:spacing w:before="0"/>
        <w:jc w:val="center"/>
        <w:rPr>
          <w:sz w:val="32"/>
        </w:rPr>
      </w:pPr>
      <w:r>
        <w:rPr>
          <w:sz w:val="32"/>
        </w:rPr>
        <w:t>Annex 5</w:t>
      </w:r>
      <w:r w:rsidRPr="00442EBC">
        <w:rPr>
          <w:sz w:val="32"/>
        </w:rPr>
        <w:t xml:space="preserve"> – GSC Governance: GSC </w:t>
      </w:r>
      <w:r>
        <w:rPr>
          <w:sz w:val="32"/>
        </w:rPr>
        <w:t>SAG and Support Team</w:t>
      </w:r>
    </w:p>
    <w:p w:rsidR="00B95B51" w:rsidRDefault="00B95B51" w:rsidP="00B95B51"/>
    <w:p w:rsidR="00B95B51" w:rsidRPr="00B95B51" w:rsidRDefault="00B95B51" w:rsidP="00B95B51">
      <w:pPr>
        <w:rPr>
          <w:b/>
          <w:bCs/>
        </w:rPr>
      </w:pPr>
      <w:r w:rsidRPr="00B95B51">
        <w:rPr>
          <w:b/>
          <w:bCs/>
        </w:rPr>
        <w:t>SAG</w:t>
      </w:r>
    </w:p>
    <w:p w:rsidR="00B95B51" w:rsidRDefault="00B95B51" w:rsidP="00B95B51"/>
    <w:p w:rsidR="00B95B51" w:rsidRDefault="00B95B51" w:rsidP="00B95B51">
      <w:r>
        <w:t>Group 1:</w:t>
      </w:r>
    </w:p>
    <w:p w:rsidR="00B95B51" w:rsidRDefault="00B95B51" w:rsidP="00B95B51">
      <w:r>
        <w:t>Change – SAG criteria, needs clarity, election process needed.</w:t>
      </w:r>
    </w:p>
    <w:p w:rsidR="00B95B51" w:rsidRDefault="00B95B51" w:rsidP="00B95B51">
      <w:r>
        <w:t xml:space="preserve">Remove – SAG support of country level clusters. Contingency planning and preparedness. </w:t>
      </w:r>
    </w:p>
    <w:p w:rsidR="00B95B51" w:rsidRDefault="00B95B51" w:rsidP="00B95B51">
      <w:r>
        <w:t>Add – Increased focus and clarity around advocacy.</w:t>
      </w:r>
    </w:p>
    <w:p w:rsidR="00B95B51" w:rsidRDefault="00B95B51" w:rsidP="00B95B51"/>
    <w:p w:rsidR="00B95B51" w:rsidRDefault="00B95B51" w:rsidP="00B95B51">
      <w:r>
        <w:t>Group 2:</w:t>
      </w:r>
    </w:p>
    <w:p w:rsidR="00B95B51" w:rsidRDefault="00B95B51" w:rsidP="00B95B51">
      <w:r>
        <w:t xml:space="preserve">Change – Clarity of whether to support operations, SAG does not have enough time. Promoting and ‘inform’/advisory function not a </w:t>
      </w:r>
      <w:r w:rsidRPr="000D3EC9">
        <w:rPr>
          <w:u w:val="single"/>
        </w:rPr>
        <w:t>doing</w:t>
      </w:r>
      <w:r>
        <w:t xml:space="preserve"> role. 10 days is not enough time for SAG members to commit. The wording should change to a ‘minimum’ of 10 days.</w:t>
      </w:r>
    </w:p>
    <w:p w:rsidR="00B95B51" w:rsidRDefault="00B95B51" w:rsidP="00B95B51">
      <w:r>
        <w:t>Notes:</w:t>
      </w:r>
    </w:p>
    <w:p w:rsidR="00B95B51" w:rsidRDefault="00B95B51" w:rsidP="00B95B51">
      <w:pPr>
        <w:pStyle w:val="ListParagraph"/>
        <w:numPr>
          <w:ilvl w:val="0"/>
          <w:numId w:val="10"/>
        </w:numPr>
        <w:spacing w:after="200" w:line="276" w:lineRule="auto"/>
      </w:pPr>
      <w:r>
        <w:t>What is needed to be accountable?</w:t>
      </w:r>
    </w:p>
    <w:p w:rsidR="00B95B51" w:rsidRDefault="00B95B51" w:rsidP="00B95B51">
      <w:pPr>
        <w:pStyle w:val="ListParagraph"/>
        <w:numPr>
          <w:ilvl w:val="0"/>
          <w:numId w:val="10"/>
        </w:numPr>
        <w:spacing w:after="200" w:line="276" w:lineRule="auto"/>
      </w:pPr>
      <w:r>
        <w:t>SAG should be output orientated.</w:t>
      </w:r>
    </w:p>
    <w:p w:rsidR="00B95B51" w:rsidRDefault="00B95B51" w:rsidP="00B95B51">
      <w:pPr>
        <w:pStyle w:val="ListParagraph"/>
        <w:numPr>
          <w:ilvl w:val="0"/>
          <w:numId w:val="10"/>
        </w:numPr>
        <w:spacing w:after="200" w:line="276" w:lineRule="auto"/>
      </w:pPr>
      <w:r>
        <w:t>Not a mission making body.</w:t>
      </w:r>
    </w:p>
    <w:p w:rsidR="00B95B51" w:rsidRDefault="00B95B51" w:rsidP="00B95B51">
      <w:pPr>
        <w:pStyle w:val="ListParagraph"/>
        <w:numPr>
          <w:ilvl w:val="0"/>
          <w:numId w:val="10"/>
        </w:numPr>
        <w:spacing w:after="200" w:line="276" w:lineRule="auto"/>
      </w:pPr>
      <w:r>
        <w:t>Too much fear from agencies to make a commitment.</w:t>
      </w:r>
    </w:p>
    <w:p w:rsidR="00B95B51" w:rsidRDefault="00B95B51" w:rsidP="00B95B51">
      <w:pPr>
        <w:pStyle w:val="ListParagraph"/>
        <w:numPr>
          <w:ilvl w:val="0"/>
          <w:numId w:val="10"/>
        </w:numPr>
        <w:spacing w:after="200" w:line="276" w:lineRule="auto"/>
      </w:pPr>
      <w:r>
        <w:t>Structure process more. Create a running checklist. There needs to be more commitment from agencies i.e. committing to discussions/calls. Bi-lateral engagement before meetings will create better outcomes.</w:t>
      </w:r>
    </w:p>
    <w:p w:rsidR="00B95B51" w:rsidRDefault="00B95B51" w:rsidP="00B95B51">
      <w:pPr>
        <w:pStyle w:val="ListParagraph"/>
        <w:numPr>
          <w:ilvl w:val="0"/>
          <w:numId w:val="10"/>
        </w:numPr>
        <w:spacing w:after="200" w:line="276" w:lineRule="auto"/>
      </w:pPr>
      <w:r>
        <w:t xml:space="preserve">Review/clarify </w:t>
      </w:r>
      <w:proofErr w:type="spellStart"/>
      <w:r>
        <w:t>ToR</w:t>
      </w:r>
      <w:proofErr w:type="spellEnd"/>
      <w:r>
        <w:t xml:space="preserve"> of SAG. By the next meeting identify the </w:t>
      </w:r>
      <w:proofErr w:type="spellStart"/>
      <w:r>
        <w:t>ToR</w:t>
      </w:r>
      <w:proofErr w:type="spellEnd"/>
      <w:r>
        <w:t xml:space="preserve"> of the support team. </w:t>
      </w:r>
    </w:p>
    <w:p w:rsidR="00B95B51" w:rsidRDefault="00B95B51" w:rsidP="00B95B51">
      <w:pPr>
        <w:pStyle w:val="ListParagraph"/>
        <w:numPr>
          <w:ilvl w:val="0"/>
          <w:numId w:val="10"/>
        </w:numPr>
        <w:spacing w:after="200" w:line="276" w:lineRule="auto"/>
      </w:pPr>
      <w:r>
        <w:t>SAG meetings talk a lot about governance. SAG needs to be more output and activity focused. How do we move on to be more strategic and support operations in the field?</w:t>
      </w:r>
    </w:p>
    <w:p w:rsidR="00B95B51" w:rsidRDefault="00B95B51" w:rsidP="00B95B51">
      <w:pPr>
        <w:pStyle w:val="ListParagraph"/>
        <w:numPr>
          <w:ilvl w:val="0"/>
          <w:numId w:val="10"/>
        </w:numPr>
        <w:spacing w:after="200" w:line="276" w:lineRule="auto"/>
      </w:pPr>
      <w:r>
        <w:t>At meetings SAG should be making decisions. Administrative conversations should be kept to emails.</w:t>
      </w:r>
    </w:p>
    <w:p w:rsidR="00B95B51" w:rsidRDefault="00B95B51" w:rsidP="00B95B51">
      <w:pPr>
        <w:rPr>
          <w:b/>
          <w:bCs/>
        </w:rPr>
      </w:pPr>
      <w:r w:rsidRPr="00B95B51">
        <w:rPr>
          <w:b/>
          <w:bCs/>
        </w:rPr>
        <w:t>Support Team</w:t>
      </w:r>
    </w:p>
    <w:p w:rsidR="00FF636F" w:rsidRDefault="00FF636F" w:rsidP="00B95B51">
      <w:pPr>
        <w:rPr>
          <w:b/>
          <w:bCs/>
        </w:rPr>
      </w:pPr>
      <w:r w:rsidRPr="00FF636F">
        <w:t>Notes</w:t>
      </w:r>
      <w:r>
        <w:rPr>
          <w:b/>
          <w:bCs/>
        </w:rPr>
        <w:t>:</w:t>
      </w:r>
    </w:p>
    <w:p w:rsidR="00FF636F" w:rsidRDefault="00FF636F" w:rsidP="00FF636F">
      <w:pPr>
        <w:pStyle w:val="ListParagraph"/>
        <w:numPr>
          <w:ilvl w:val="0"/>
          <w:numId w:val="11"/>
        </w:numPr>
        <w:spacing w:after="200" w:line="276" w:lineRule="auto"/>
      </w:pPr>
      <w:r>
        <w:t>Development and dissemination of new policies.</w:t>
      </w:r>
    </w:p>
    <w:p w:rsidR="00FF636F" w:rsidRDefault="00FF636F" w:rsidP="00FF636F">
      <w:pPr>
        <w:pStyle w:val="ListParagraph"/>
        <w:numPr>
          <w:ilvl w:val="0"/>
          <w:numId w:val="11"/>
        </w:numPr>
        <w:spacing w:after="200" w:line="276" w:lineRule="auto"/>
      </w:pPr>
      <w:r>
        <w:t xml:space="preserve">Representation – rules of engagement. Cluster co-leads have authority to represent cluster. However, agencies sometimes have differing opinions. </w:t>
      </w:r>
    </w:p>
    <w:p w:rsidR="00FF636F" w:rsidRPr="00793E4D" w:rsidRDefault="00FF636F" w:rsidP="00FF636F">
      <w:pPr>
        <w:pStyle w:val="ListParagraph"/>
        <w:numPr>
          <w:ilvl w:val="0"/>
          <w:numId w:val="11"/>
        </w:numPr>
        <w:spacing w:after="200" w:line="276" w:lineRule="auto"/>
        <w:rPr>
          <w:b/>
        </w:rPr>
      </w:pPr>
      <w:r>
        <w:t xml:space="preserve">Need to develop a mechanism for other than co-leads to represent the Cluster, whereby other SAG members can talk on behalf of the Cluster. Rapid mechanism for SAG agreement – </w:t>
      </w:r>
      <w:r w:rsidRPr="00793E4D">
        <w:rPr>
          <w:b/>
        </w:rPr>
        <w:t>talk about it in the next SAG meeting.</w:t>
      </w:r>
    </w:p>
    <w:p w:rsidR="00FF636F" w:rsidRDefault="00FF636F" w:rsidP="00FF636F">
      <w:pPr>
        <w:pStyle w:val="ListParagraph"/>
        <w:numPr>
          <w:ilvl w:val="0"/>
          <w:numId w:val="11"/>
        </w:numPr>
        <w:spacing w:after="200" w:line="276" w:lineRule="auto"/>
      </w:pPr>
      <w:r>
        <w:t>Lead agencies have a role to support the country Cluster.</w:t>
      </w:r>
    </w:p>
    <w:p w:rsidR="00FF636F" w:rsidRDefault="00FF636F" w:rsidP="00FF636F">
      <w:pPr>
        <w:pStyle w:val="ListParagraph"/>
        <w:numPr>
          <w:ilvl w:val="0"/>
          <w:numId w:val="11"/>
        </w:numPr>
        <w:spacing w:after="200" w:line="276" w:lineRule="auto"/>
      </w:pPr>
      <w:r>
        <w:t>The priority is the country level. There is a need to be much more transparent. Can co-leadership be extended?</w:t>
      </w:r>
    </w:p>
    <w:p w:rsidR="00FF636F" w:rsidRDefault="00FF636F" w:rsidP="00FF636F">
      <w:pPr>
        <w:pStyle w:val="ListParagraph"/>
        <w:numPr>
          <w:ilvl w:val="0"/>
          <w:numId w:val="11"/>
        </w:numPr>
        <w:spacing w:after="200" w:line="276" w:lineRule="auto"/>
      </w:pPr>
      <w:r>
        <w:lastRenderedPageBreak/>
        <w:t>Normal SAG meetings play role of overseeing of how national clusters are working. There is a need to address issues that are not transparent – Forum.</w:t>
      </w:r>
    </w:p>
    <w:p w:rsidR="00FF636F" w:rsidRDefault="00FF636F" w:rsidP="00FF636F">
      <w:pPr>
        <w:pStyle w:val="ListParagraph"/>
        <w:numPr>
          <w:ilvl w:val="0"/>
          <w:numId w:val="11"/>
        </w:numPr>
        <w:spacing w:after="200" w:line="276" w:lineRule="auto"/>
      </w:pPr>
      <w:r>
        <w:t>As long as we have a support team we should support any lead in any country even if it is not IFRC or UNHCR.</w:t>
      </w:r>
    </w:p>
    <w:p w:rsidR="00FF636F" w:rsidRDefault="00FF636F" w:rsidP="00FF636F">
      <w:pPr>
        <w:pStyle w:val="ListParagraph"/>
        <w:numPr>
          <w:ilvl w:val="0"/>
          <w:numId w:val="11"/>
        </w:numPr>
        <w:spacing w:after="200" w:line="276" w:lineRule="auto"/>
      </w:pPr>
      <w:r>
        <w:t xml:space="preserve">What are the </w:t>
      </w:r>
      <w:proofErr w:type="spellStart"/>
      <w:r>
        <w:t>ToRs</w:t>
      </w:r>
      <w:proofErr w:type="spellEnd"/>
      <w:r>
        <w:t xml:space="preserve"> for Co-leads. Discuss at next SAG meeting. Summarize SAG meeting co-lead role and reporting structure. </w:t>
      </w:r>
    </w:p>
    <w:p w:rsidR="00D6129E" w:rsidRDefault="00D6129E">
      <w:pPr>
        <w:spacing w:after="200" w:line="276" w:lineRule="auto"/>
        <w:rPr>
          <w:b/>
          <w:bCs/>
        </w:rPr>
      </w:pPr>
      <w:r>
        <w:rPr>
          <w:b/>
          <w:bCs/>
        </w:rPr>
        <w:br w:type="page"/>
      </w:r>
    </w:p>
    <w:p w:rsidR="00FF636F" w:rsidRDefault="00FF636F" w:rsidP="00B95B51">
      <w:pPr>
        <w:rPr>
          <w:b/>
          <w:bCs/>
        </w:rPr>
      </w:pPr>
    </w:p>
    <w:p w:rsidR="00D6129E" w:rsidRDefault="00D6129E" w:rsidP="00B95B51">
      <w:pPr>
        <w:rPr>
          <w:b/>
          <w:bCs/>
        </w:rPr>
      </w:pPr>
    </w:p>
    <w:p w:rsidR="00D6129E" w:rsidRDefault="00D6129E" w:rsidP="00D6129E">
      <w:pPr>
        <w:pStyle w:val="Heading1"/>
        <w:spacing w:before="0"/>
        <w:jc w:val="center"/>
        <w:rPr>
          <w:sz w:val="32"/>
        </w:rPr>
      </w:pPr>
      <w:r>
        <w:rPr>
          <w:sz w:val="32"/>
        </w:rPr>
        <w:t>Annex 6</w:t>
      </w:r>
      <w:r w:rsidRPr="00442EBC">
        <w:rPr>
          <w:sz w:val="32"/>
        </w:rPr>
        <w:t xml:space="preserve"> – </w:t>
      </w:r>
      <w:r>
        <w:rPr>
          <w:sz w:val="32"/>
        </w:rPr>
        <w:t>Parking Lot</w:t>
      </w:r>
    </w:p>
    <w:p w:rsidR="00D6129E" w:rsidRDefault="00D6129E" w:rsidP="00D6129E"/>
    <w:p w:rsidR="00D6129E" w:rsidRDefault="00D6129E" w:rsidP="00D6129E">
      <w:pPr>
        <w:pStyle w:val="ListParagraph"/>
        <w:numPr>
          <w:ilvl w:val="0"/>
          <w:numId w:val="14"/>
        </w:numPr>
        <w:spacing w:after="200" w:line="276" w:lineRule="auto"/>
      </w:pPr>
      <w:r>
        <w:t xml:space="preserve">Accountability framework of GSC. Review of existing documents. The accountability working group will have a look at it. </w:t>
      </w:r>
    </w:p>
    <w:p w:rsidR="00D6129E" w:rsidRDefault="00D6129E" w:rsidP="00D6129E">
      <w:pPr>
        <w:pStyle w:val="ListParagraph"/>
        <w:numPr>
          <w:ilvl w:val="0"/>
          <w:numId w:val="14"/>
        </w:numPr>
        <w:spacing w:after="200" w:line="276" w:lineRule="auto"/>
      </w:pPr>
      <w:r>
        <w:t>Support to coordination teams: Working groups; Remote Support; Global Focal Points.</w:t>
      </w:r>
    </w:p>
    <w:p w:rsidR="00D6129E" w:rsidRDefault="00D6129E" w:rsidP="00D6129E">
      <w:pPr>
        <w:pStyle w:val="ListParagraph"/>
        <w:numPr>
          <w:ilvl w:val="0"/>
          <w:numId w:val="14"/>
        </w:numPr>
        <w:spacing w:after="200" w:line="276" w:lineRule="auto"/>
      </w:pPr>
      <w:r>
        <w:t>Briefing note for SCT members on potential support available.</w:t>
      </w:r>
    </w:p>
    <w:p w:rsidR="00D6129E" w:rsidRDefault="00D6129E" w:rsidP="00D6129E">
      <w:pPr>
        <w:pStyle w:val="ListParagraph"/>
        <w:numPr>
          <w:ilvl w:val="0"/>
          <w:numId w:val="14"/>
        </w:numPr>
        <w:spacing w:after="200" w:line="276" w:lineRule="auto"/>
      </w:pPr>
      <w:r>
        <w:t xml:space="preserve">RACI matrix to be introduced in the next SAG meeting. </w:t>
      </w:r>
    </w:p>
    <w:p w:rsidR="00D6129E" w:rsidRPr="00E32397" w:rsidRDefault="00D6129E" w:rsidP="00D6129E">
      <w:pPr>
        <w:pStyle w:val="ListParagraph"/>
        <w:numPr>
          <w:ilvl w:val="0"/>
          <w:numId w:val="14"/>
        </w:numPr>
        <w:spacing w:after="200" w:line="276" w:lineRule="auto"/>
      </w:pPr>
      <w:r w:rsidRPr="00E32397">
        <w:t>Two pager on accountability to be written by Joseph and Luca</w:t>
      </w:r>
    </w:p>
    <w:p w:rsidR="00D6129E" w:rsidRDefault="00D6129E" w:rsidP="00D6129E">
      <w:pPr>
        <w:ind w:left="360"/>
      </w:pPr>
      <w:r>
        <w:t>List of issues: Rolling Agenda – country level issues/feedback.</w:t>
      </w:r>
    </w:p>
    <w:p w:rsidR="00D6129E" w:rsidRDefault="00D6129E" w:rsidP="00D6129E">
      <w:pPr>
        <w:pStyle w:val="ListParagraph"/>
        <w:numPr>
          <w:ilvl w:val="0"/>
          <w:numId w:val="15"/>
        </w:numPr>
        <w:spacing w:after="200" w:line="276" w:lineRule="auto"/>
      </w:pPr>
      <w:r>
        <w:t>Strategy monitoring.</w:t>
      </w:r>
    </w:p>
    <w:p w:rsidR="00D6129E" w:rsidRDefault="00D6129E" w:rsidP="00D6129E">
      <w:pPr>
        <w:pStyle w:val="ListParagraph"/>
        <w:numPr>
          <w:ilvl w:val="0"/>
          <w:numId w:val="15"/>
        </w:numPr>
        <w:spacing w:after="200" w:line="276" w:lineRule="auto"/>
      </w:pPr>
      <w:r>
        <w:t>Oversight of working group.</w:t>
      </w:r>
    </w:p>
    <w:p w:rsidR="00D6129E" w:rsidRDefault="00D6129E" w:rsidP="00D6129E">
      <w:pPr>
        <w:pStyle w:val="ListParagraph"/>
        <w:numPr>
          <w:ilvl w:val="0"/>
          <w:numId w:val="15"/>
        </w:numPr>
        <w:spacing w:after="200" w:line="276" w:lineRule="auto"/>
      </w:pPr>
      <w:r>
        <w:t>Send out monthly rolling agenda invite.</w:t>
      </w:r>
    </w:p>
    <w:p w:rsidR="00D6129E" w:rsidRDefault="00D6129E" w:rsidP="00D6129E">
      <w:pPr>
        <w:pStyle w:val="ListParagraph"/>
        <w:numPr>
          <w:ilvl w:val="0"/>
          <w:numId w:val="15"/>
        </w:numPr>
        <w:spacing w:after="200" w:line="276" w:lineRule="auto"/>
      </w:pPr>
      <w:r>
        <w:t>Donor updates/opportunities.</w:t>
      </w:r>
    </w:p>
    <w:p w:rsidR="00D6129E" w:rsidRDefault="00D6129E" w:rsidP="00D6129E">
      <w:pPr>
        <w:pStyle w:val="ListParagraph"/>
        <w:numPr>
          <w:ilvl w:val="0"/>
          <w:numId w:val="15"/>
        </w:numPr>
        <w:spacing w:after="200" w:line="276" w:lineRule="auto"/>
      </w:pPr>
      <w:r>
        <w:t>Meeting for one hour, once a month. Create a calendar for meetings.</w:t>
      </w:r>
    </w:p>
    <w:p w:rsidR="00D6129E" w:rsidRDefault="00D6129E" w:rsidP="00D6129E">
      <w:pPr>
        <w:pStyle w:val="ListParagraph"/>
        <w:numPr>
          <w:ilvl w:val="0"/>
          <w:numId w:val="15"/>
        </w:numPr>
        <w:spacing w:after="200" w:line="276" w:lineRule="auto"/>
      </w:pPr>
      <w:r>
        <w:t>Talking points/advocacy (not part of rolling agenda).</w:t>
      </w:r>
    </w:p>
    <w:p w:rsidR="00D6129E" w:rsidRDefault="00D6129E" w:rsidP="00D6129E">
      <w:pPr>
        <w:pStyle w:val="ListParagraph"/>
        <w:numPr>
          <w:ilvl w:val="0"/>
          <w:numId w:val="15"/>
        </w:numPr>
        <w:spacing w:after="200" w:line="276" w:lineRule="auto"/>
      </w:pPr>
      <w:r>
        <w:t xml:space="preserve">Co-leads </w:t>
      </w:r>
      <w:proofErr w:type="spellStart"/>
      <w:r>
        <w:t>ToR</w:t>
      </w:r>
      <w:proofErr w:type="spellEnd"/>
      <w:r>
        <w:t xml:space="preserve"> support team.</w:t>
      </w:r>
    </w:p>
    <w:p w:rsidR="00D6129E" w:rsidRDefault="00D6129E" w:rsidP="00D6129E">
      <w:pPr>
        <w:pStyle w:val="ListParagraph"/>
        <w:numPr>
          <w:ilvl w:val="0"/>
          <w:numId w:val="15"/>
        </w:numPr>
        <w:spacing w:after="200" w:line="276" w:lineRule="auto"/>
      </w:pPr>
      <w:r>
        <w:t>IASC-WG, GCOG: Flag items by email.</w:t>
      </w:r>
    </w:p>
    <w:p w:rsidR="00D6129E" w:rsidRDefault="00D6129E" w:rsidP="00D6129E">
      <w:pPr>
        <w:pStyle w:val="ListParagraph"/>
        <w:numPr>
          <w:ilvl w:val="0"/>
          <w:numId w:val="15"/>
        </w:numPr>
        <w:spacing w:after="200" w:line="276" w:lineRule="auto"/>
      </w:pPr>
      <w:r>
        <w:t>WHS.</w:t>
      </w:r>
    </w:p>
    <w:p w:rsidR="00D6129E" w:rsidRDefault="00D6129E" w:rsidP="00D6129E">
      <w:pPr>
        <w:pStyle w:val="ListParagraph"/>
        <w:numPr>
          <w:ilvl w:val="0"/>
          <w:numId w:val="15"/>
        </w:numPr>
        <w:spacing w:after="200" w:line="276" w:lineRule="auto"/>
      </w:pPr>
      <w:r>
        <w:t xml:space="preserve">HFA2, MDG2, HABITAT2. </w:t>
      </w:r>
    </w:p>
    <w:p w:rsidR="00D6129E" w:rsidRDefault="00D6129E" w:rsidP="00D6129E">
      <w:pPr>
        <w:pStyle w:val="ListParagraph"/>
        <w:numPr>
          <w:ilvl w:val="0"/>
          <w:numId w:val="15"/>
        </w:numPr>
        <w:spacing w:after="200" w:line="276" w:lineRule="auto"/>
      </w:pPr>
      <w:r>
        <w:t>Merged Clusters: Structure of Clusters. No process – Ad Hoc.</w:t>
      </w:r>
    </w:p>
    <w:p w:rsidR="00D6129E" w:rsidRDefault="00D6129E" w:rsidP="00D6129E">
      <w:pPr>
        <w:pStyle w:val="ListParagraph"/>
        <w:numPr>
          <w:ilvl w:val="0"/>
          <w:numId w:val="15"/>
        </w:numPr>
        <w:spacing w:after="200" w:line="276" w:lineRule="auto"/>
      </w:pPr>
      <w:r>
        <w:t>GFDRR</w:t>
      </w:r>
    </w:p>
    <w:p w:rsidR="00D6129E" w:rsidRDefault="00D6129E" w:rsidP="00D6129E">
      <w:pPr>
        <w:pStyle w:val="ListParagraph"/>
        <w:numPr>
          <w:ilvl w:val="0"/>
          <w:numId w:val="15"/>
        </w:numPr>
        <w:spacing w:after="200" w:line="276" w:lineRule="auto"/>
      </w:pPr>
      <w:r>
        <w:t xml:space="preserve">Natural Disaster Vs Conflict: Shelter research tends to get focused on high profile natural disasters. More thought should be given to shelter in conflict. There is a need for literature and best practices. </w:t>
      </w:r>
    </w:p>
    <w:p w:rsidR="00D6129E" w:rsidRDefault="00D6129E" w:rsidP="00D6129E">
      <w:pPr>
        <w:pStyle w:val="ListParagraph"/>
        <w:numPr>
          <w:ilvl w:val="0"/>
          <w:numId w:val="15"/>
        </w:numPr>
        <w:spacing w:after="200" w:line="276" w:lineRule="auto"/>
      </w:pPr>
      <w:r>
        <w:t>Mandate can impede action. Should the Global Shelter Cluster take action? Where does SAG’s involvement place them? Options for bi-lateral discussion by SAG members?</w:t>
      </w:r>
    </w:p>
    <w:p w:rsidR="00D6129E" w:rsidRPr="00B95B51" w:rsidRDefault="00D6129E" w:rsidP="00B95B51">
      <w:pPr>
        <w:rPr>
          <w:b/>
          <w:bCs/>
        </w:rPr>
      </w:pPr>
    </w:p>
    <w:sectPr w:rsidR="00D6129E" w:rsidRPr="00B95B51" w:rsidSect="000D56A2">
      <w:headerReference w:type="default" r:id="rId10"/>
      <w:pgSz w:w="12240" w:h="15840"/>
      <w:pgMar w:top="1418" w:right="1418"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D3" w:rsidRDefault="003C50D3" w:rsidP="00577897">
      <w:r>
        <w:separator/>
      </w:r>
    </w:p>
  </w:endnote>
  <w:endnote w:type="continuationSeparator" w:id="0">
    <w:p w:rsidR="003C50D3" w:rsidRDefault="003C50D3" w:rsidP="0057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D3" w:rsidRDefault="003C50D3" w:rsidP="00577897">
      <w:r>
        <w:separator/>
      </w:r>
    </w:p>
  </w:footnote>
  <w:footnote w:type="continuationSeparator" w:id="0">
    <w:p w:rsidR="003C50D3" w:rsidRDefault="003C50D3" w:rsidP="00577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935" w:rsidRPr="001171B8" w:rsidRDefault="00BA6935" w:rsidP="00BA6935">
    <w:pPr>
      <w:pStyle w:val="Header"/>
      <w:ind w:firstLine="567"/>
      <w:rPr>
        <w:rFonts w:ascii="Verdana" w:hAnsi="Verdana"/>
        <w:sz w:val="14"/>
        <w:szCs w:val="14"/>
      </w:rPr>
    </w:pPr>
    <w:r w:rsidRPr="005C324F">
      <w:rPr>
        <w:rFonts w:ascii="Verdana" w:hAnsi="Verdana"/>
        <w:b/>
        <w:noProof/>
        <w:color w:val="7F1416"/>
        <w:sz w:val="16"/>
        <w:szCs w:val="16"/>
        <w:lang w:val="en-GB" w:eastAsia="en-GB"/>
      </w:rPr>
      <w:drawing>
        <wp:anchor distT="0" distB="0" distL="114300" distR="114300" simplePos="0" relativeHeight="251659264" behindDoc="0" locked="0" layoutInCell="1" allowOverlap="1" wp14:anchorId="5D83D68C" wp14:editId="25CAB29F">
          <wp:simplePos x="0" y="0"/>
          <wp:positionH relativeFrom="margin">
            <wp:align>left</wp:align>
          </wp:positionH>
          <wp:positionV relativeFrom="paragraph">
            <wp:posOffset>20320</wp:posOffset>
          </wp:positionV>
          <wp:extent cx="318135" cy="279400"/>
          <wp:effectExtent l="0" t="0" r="5715" b="6350"/>
          <wp:wrapSquare wrapText="right"/>
          <wp:docPr id="2" name="Picture 2"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24F">
      <w:rPr>
        <w:rFonts w:ascii="Verdana" w:hAnsi="Verdana"/>
        <w:b/>
        <w:color w:val="7F1416"/>
        <w:sz w:val="16"/>
        <w:szCs w:val="16"/>
      </w:rPr>
      <w:t>Global Shelter Cluster</w:t>
    </w:r>
  </w:p>
  <w:p w:rsidR="00BA6935" w:rsidRPr="005C324F" w:rsidRDefault="00BA6935" w:rsidP="00BA6935">
    <w:pPr>
      <w:pStyle w:val="Header"/>
      <w:ind w:firstLine="567"/>
      <w:rPr>
        <w:rFonts w:ascii="Verdana" w:hAnsi="Verdana"/>
        <w:color w:val="7F1416"/>
        <w:sz w:val="12"/>
        <w:szCs w:val="12"/>
      </w:rPr>
    </w:pPr>
    <w:r w:rsidRPr="005C324F">
      <w:rPr>
        <w:rFonts w:ascii="Verdana" w:hAnsi="Verdana"/>
        <w:color w:val="7F1416"/>
        <w:sz w:val="12"/>
        <w:szCs w:val="12"/>
      </w:rPr>
      <w:t>ShelterCluster.org</w:t>
    </w:r>
  </w:p>
  <w:p w:rsidR="00BA6935" w:rsidRPr="005C324F" w:rsidRDefault="00BA6935" w:rsidP="00BA6935">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13C75A4"/>
    <w:lvl w:ilvl="0">
      <w:start w:val="1"/>
      <w:numFmt w:val="decimal"/>
      <w:pStyle w:val="ListNumber"/>
      <w:lvlText w:val="%1."/>
      <w:lvlJc w:val="left"/>
      <w:pPr>
        <w:tabs>
          <w:tab w:val="num" w:pos="360"/>
        </w:tabs>
        <w:ind w:left="360" w:hanging="360"/>
      </w:pPr>
    </w:lvl>
  </w:abstractNum>
  <w:abstractNum w:abstractNumId="1">
    <w:nsid w:val="03BE45CB"/>
    <w:multiLevelType w:val="hybridMultilevel"/>
    <w:tmpl w:val="5F1C4A16"/>
    <w:lvl w:ilvl="0" w:tplc="F6E8C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90D21"/>
    <w:multiLevelType w:val="hybridMultilevel"/>
    <w:tmpl w:val="AD96E0F2"/>
    <w:lvl w:ilvl="0" w:tplc="AEDE2D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D272CB"/>
    <w:multiLevelType w:val="hybridMultilevel"/>
    <w:tmpl w:val="53BE3602"/>
    <w:lvl w:ilvl="0" w:tplc="EDBA9B7C">
      <w:numFmt w:val="bullet"/>
      <w:lvlText w:val="-"/>
      <w:lvlJc w:val="left"/>
      <w:pPr>
        <w:ind w:left="720" w:hanging="360"/>
      </w:pPr>
      <w:rPr>
        <w:rFonts w:ascii="Calibri" w:eastAsia="MS Mincho"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98620D"/>
    <w:multiLevelType w:val="hybridMultilevel"/>
    <w:tmpl w:val="B8507064"/>
    <w:lvl w:ilvl="0" w:tplc="4170DF3C">
      <w:start w:val="1"/>
      <w:numFmt w:val="lowerLetter"/>
      <w:lvlText w:val="%1."/>
      <w:lvlJc w:val="left"/>
      <w:pPr>
        <w:tabs>
          <w:tab w:val="num" w:pos="720"/>
        </w:tabs>
        <w:ind w:left="720" w:hanging="360"/>
      </w:pPr>
    </w:lvl>
    <w:lvl w:ilvl="1" w:tplc="AB3CBAB4">
      <w:start w:val="1"/>
      <w:numFmt w:val="lowerLetter"/>
      <w:lvlText w:val="%2."/>
      <w:lvlJc w:val="left"/>
      <w:pPr>
        <w:tabs>
          <w:tab w:val="num" w:pos="1440"/>
        </w:tabs>
        <w:ind w:left="1440" w:hanging="360"/>
      </w:pPr>
    </w:lvl>
    <w:lvl w:ilvl="2" w:tplc="332A1BFE" w:tentative="1">
      <w:start w:val="1"/>
      <w:numFmt w:val="lowerLetter"/>
      <w:lvlText w:val="%3."/>
      <w:lvlJc w:val="left"/>
      <w:pPr>
        <w:tabs>
          <w:tab w:val="num" w:pos="2160"/>
        </w:tabs>
        <w:ind w:left="2160" w:hanging="360"/>
      </w:pPr>
    </w:lvl>
    <w:lvl w:ilvl="3" w:tplc="6706B54C" w:tentative="1">
      <w:start w:val="1"/>
      <w:numFmt w:val="lowerLetter"/>
      <w:lvlText w:val="%4."/>
      <w:lvlJc w:val="left"/>
      <w:pPr>
        <w:tabs>
          <w:tab w:val="num" w:pos="2880"/>
        </w:tabs>
        <w:ind w:left="2880" w:hanging="360"/>
      </w:pPr>
    </w:lvl>
    <w:lvl w:ilvl="4" w:tplc="AD38F196" w:tentative="1">
      <w:start w:val="1"/>
      <w:numFmt w:val="lowerLetter"/>
      <w:lvlText w:val="%5."/>
      <w:lvlJc w:val="left"/>
      <w:pPr>
        <w:tabs>
          <w:tab w:val="num" w:pos="3600"/>
        </w:tabs>
        <w:ind w:left="3600" w:hanging="360"/>
      </w:pPr>
    </w:lvl>
    <w:lvl w:ilvl="5" w:tplc="96DC1A10" w:tentative="1">
      <w:start w:val="1"/>
      <w:numFmt w:val="lowerLetter"/>
      <w:lvlText w:val="%6."/>
      <w:lvlJc w:val="left"/>
      <w:pPr>
        <w:tabs>
          <w:tab w:val="num" w:pos="4320"/>
        </w:tabs>
        <w:ind w:left="4320" w:hanging="360"/>
      </w:pPr>
    </w:lvl>
    <w:lvl w:ilvl="6" w:tplc="242892EC" w:tentative="1">
      <w:start w:val="1"/>
      <w:numFmt w:val="lowerLetter"/>
      <w:lvlText w:val="%7."/>
      <w:lvlJc w:val="left"/>
      <w:pPr>
        <w:tabs>
          <w:tab w:val="num" w:pos="5040"/>
        </w:tabs>
        <w:ind w:left="5040" w:hanging="360"/>
      </w:pPr>
    </w:lvl>
    <w:lvl w:ilvl="7" w:tplc="F6AA775A" w:tentative="1">
      <w:start w:val="1"/>
      <w:numFmt w:val="lowerLetter"/>
      <w:lvlText w:val="%8."/>
      <w:lvlJc w:val="left"/>
      <w:pPr>
        <w:tabs>
          <w:tab w:val="num" w:pos="5760"/>
        </w:tabs>
        <w:ind w:left="5760" w:hanging="360"/>
      </w:pPr>
    </w:lvl>
    <w:lvl w:ilvl="8" w:tplc="17D6CD3C" w:tentative="1">
      <w:start w:val="1"/>
      <w:numFmt w:val="lowerLetter"/>
      <w:lvlText w:val="%9."/>
      <w:lvlJc w:val="left"/>
      <w:pPr>
        <w:tabs>
          <w:tab w:val="num" w:pos="6480"/>
        </w:tabs>
        <w:ind w:left="6480" w:hanging="360"/>
      </w:pPr>
    </w:lvl>
  </w:abstractNum>
  <w:abstractNum w:abstractNumId="5">
    <w:nsid w:val="1AD20FA1"/>
    <w:multiLevelType w:val="hybridMultilevel"/>
    <w:tmpl w:val="B1D6FEE4"/>
    <w:lvl w:ilvl="0" w:tplc="7AAED854">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151A51"/>
    <w:multiLevelType w:val="hybridMultilevel"/>
    <w:tmpl w:val="83C6CB0E"/>
    <w:lvl w:ilvl="0" w:tplc="F6E8C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23118"/>
    <w:multiLevelType w:val="hybridMultilevel"/>
    <w:tmpl w:val="6734C6FC"/>
    <w:lvl w:ilvl="0" w:tplc="F6E8C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B630C"/>
    <w:multiLevelType w:val="hybridMultilevel"/>
    <w:tmpl w:val="2452BF68"/>
    <w:lvl w:ilvl="0" w:tplc="A3B60E92">
      <w:start w:val="1"/>
      <w:numFmt w:val="lowerLetter"/>
      <w:lvlText w:val="%1."/>
      <w:lvlJc w:val="left"/>
      <w:pPr>
        <w:tabs>
          <w:tab w:val="num" w:pos="720"/>
        </w:tabs>
        <w:ind w:left="720" w:hanging="360"/>
      </w:pPr>
    </w:lvl>
    <w:lvl w:ilvl="1" w:tplc="5EEAC79E">
      <w:start w:val="1"/>
      <w:numFmt w:val="lowerLetter"/>
      <w:lvlText w:val="%2."/>
      <w:lvlJc w:val="left"/>
      <w:pPr>
        <w:tabs>
          <w:tab w:val="num" w:pos="1440"/>
        </w:tabs>
        <w:ind w:left="1440" w:hanging="360"/>
      </w:pPr>
    </w:lvl>
    <w:lvl w:ilvl="2" w:tplc="ABF8FC96" w:tentative="1">
      <w:start w:val="1"/>
      <w:numFmt w:val="lowerLetter"/>
      <w:lvlText w:val="%3."/>
      <w:lvlJc w:val="left"/>
      <w:pPr>
        <w:tabs>
          <w:tab w:val="num" w:pos="2160"/>
        </w:tabs>
        <w:ind w:left="2160" w:hanging="360"/>
      </w:pPr>
    </w:lvl>
    <w:lvl w:ilvl="3" w:tplc="AA784D2A" w:tentative="1">
      <w:start w:val="1"/>
      <w:numFmt w:val="lowerLetter"/>
      <w:lvlText w:val="%4."/>
      <w:lvlJc w:val="left"/>
      <w:pPr>
        <w:tabs>
          <w:tab w:val="num" w:pos="2880"/>
        </w:tabs>
        <w:ind w:left="2880" w:hanging="360"/>
      </w:pPr>
    </w:lvl>
    <w:lvl w:ilvl="4" w:tplc="CCFA47F4" w:tentative="1">
      <w:start w:val="1"/>
      <w:numFmt w:val="lowerLetter"/>
      <w:lvlText w:val="%5."/>
      <w:lvlJc w:val="left"/>
      <w:pPr>
        <w:tabs>
          <w:tab w:val="num" w:pos="3600"/>
        </w:tabs>
        <w:ind w:left="3600" w:hanging="360"/>
      </w:pPr>
    </w:lvl>
    <w:lvl w:ilvl="5" w:tplc="DCE6E578" w:tentative="1">
      <w:start w:val="1"/>
      <w:numFmt w:val="lowerLetter"/>
      <w:lvlText w:val="%6."/>
      <w:lvlJc w:val="left"/>
      <w:pPr>
        <w:tabs>
          <w:tab w:val="num" w:pos="4320"/>
        </w:tabs>
        <w:ind w:left="4320" w:hanging="360"/>
      </w:pPr>
    </w:lvl>
    <w:lvl w:ilvl="6" w:tplc="BF522D60" w:tentative="1">
      <w:start w:val="1"/>
      <w:numFmt w:val="lowerLetter"/>
      <w:lvlText w:val="%7."/>
      <w:lvlJc w:val="left"/>
      <w:pPr>
        <w:tabs>
          <w:tab w:val="num" w:pos="5040"/>
        </w:tabs>
        <w:ind w:left="5040" w:hanging="360"/>
      </w:pPr>
    </w:lvl>
    <w:lvl w:ilvl="7" w:tplc="1B2E13BE" w:tentative="1">
      <w:start w:val="1"/>
      <w:numFmt w:val="lowerLetter"/>
      <w:lvlText w:val="%8."/>
      <w:lvlJc w:val="left"/>
      <w:pPr>
        <w:tabs>
          <w:tab w:val="num" w:pos="5760"/>
        </w:tabs>
        <w:ind w:left="5760" w:hanging="360"/>
      </w:pPr>
    </w:lvl>
    <w:lvl w:ilvl="8" w:tplc="DACE8C0E" w:tentative="1">
      <w:start w:val="1"/>
      <w:numFmt w:val="lowerLetter"/>
      <w:lvlText w:val="%9."/>
      <w:lvlJc w:val="left"/>
      <w:pPr>
        <w:tabs>
          <w:tab w:val="num" w:pos="6480"/>
        </w:tabs>
        <w:ind w:left="6480" w:hanging="360"/>
      </w:pPr>
    </w:lvl>
  </w:abstractNum>
  <w:abstractNum w:abstractNumId="9">
    <w:nsid w:val="28A20625"/>
    <w:multiLevelType w:val="hybridMultilevel"/>
    <w:tmpl w:val="B8E6F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F7576"/>
    <w:multiLevelType w:val="hybridMultilevel"/>
    <w:tmpl w:val="0DF48874"/>
    <w:lvl w:ilvl="0" w:tplc="5F4E8EFE">
      <w:start w:val="1"/>
      <w:numFmt w:val="lowerLetter"/>
      <w:lvlText w:val="%1."/>
      <w:lvlJc w:val="left"/>
      <w:pPr>
        <w:tabs>
          <w:tab w:val="num" w:pos="720"/>
        </w:tabs>
        <w:ind w:left="720" w:hanging="360"/>
      </w:pPr>
    </w:lvl>
    <w:lvl w:ilvl="1" w:tplc="27B6BEE4">
      <w:start w:val="1"/>
      <w:numFmt w:val="lowerLetter"/>
      <w:lvlText w:val="%2."/>
      <w:lvlJc w:val="left"/>
      <w:pPr>
        <w:tabs>
          <w:tab w:val="num" w:pos="1440"/>
        </w:tabs>
        <w:ind w:left="1440" w:hanging="360"/>
      </w:pPr>
    </w:lvl>
    <w:lvl w:ilvl="2" w:tplc="C1A4248C" w:tentative="1">
      <w:start w:val="1"/>
      <w:numFmt w:val="lowerLetter"/>
      <w:lvlText w:val="%3."/>
      <w:lvlJc w:val="left"/>
      <w:pPr>
        <w:tabs>
          <w:tab w:val="num" w:pos="2160"/>
        </w:tabs>
        <w:ind w:left="2160" w:hanging="360"/>
      </w:pPr>
    </w:lvl>
    <w:lvl w:ilvl="3" w:tplc="5D167DF8" w:tentative="1">
      <w:start w:val="1"/>
      <w:numFmt w:val="lowerLetter"/>
      <w:lvlText w:val="%4."/>
      <w:lvlJc w:val="left"/>
      <w:pPr>
        <w:tabs>
          <w:tab w:val="num" w:pos="2880"/>
        </w:tabs>
        <w:ind w:left="2880" w:hanging="360"/>
      </w:pPr>
    </w:lvl>
    <w:lvl w:ilvl="4" w:tplc="13981E72" w:tentative="1">
      <w:start w:val="1"/>
      <w:numFmt w:val="lowerLetter"/>
      <w:lvlText w:val="%5."/>
      <w:lvlJc w:val="left"/>
      <w:pPr>
        <w:tabs>
          <w:tab w:val="num" w:pos="3600"/>
        </w:tabs>
        <w:ind w:left="3600" w:hanging="360"/>
      </w:pPr>
    </w:lvl>
    <w:lvl w:ilvl="5" w:tplc="6D1C56F8" w:tentative="1">
      <w:start w:val="1"/>
      <w:numFmt w:val="lowerLetter"/>
      <w:lvlText w:val="%6."/>
      <w:lvlJc w:val="left"/>
      <w:pPr>
        <w:tabs>
          <w:tab w:val="num" w:pos="4320"/>
        </w:tabs>
        <w:ind w:left="4320" w:hanging="360"/>
      </w:pPr>
    </w:lvl>
    <w:lvl w:ilvl="6" w:tplc="D16CA06A" w:tentative="1">
      <w:start w:val="1"/>
      <w:numFmt w:val="lowerLetter"/>
      <w:lvlText w:val="%7."/>
      <w:lvlJc w:val="left"/>
      <w:pPr>
        <w:tabs>
          <w:tab w:val="num" w:pos="5040"/>
        </w:tabs>
        <w:ind w:left="5040" w:hanging="360"/>
      </w:pPr>
    </w:lvl>
    <w:lvl w:ilvl="7" w:tplc="8F4E17FE" w:tentative="1">
      <w:start w:val="1"/>
      <w:numFmt w:val="lowerLetter"/>
      <w:lvlText w:val="%8."/>
      <w:lvlJc w:val="left"/>
      <w:pPr>
        <w:tabs>
          <w:tab w:val="num" w:pos="5760"/>
        </w:tabs>
        <w:ind w:left="5760" w:hanging="360"/>
      </w:pPr>
    </w:lvl>
    <w:lvl w:ilvl="8" w:tplc="B1881A96" w:tentative="1">
      <w:start w:val="1"/>
      <w:numFmt w:val="lowerLetter"/>
      <w:lvlText w:val="%9."/>
      <w:lvlJc w:val="left"/>
      <w:pPr>
        <w:tabs>
          <w:tab w:val="num" w:pos="6480"/>
        </w:tabs>
        <w:ind w:left="6480" w:hanging="360"/>
      </w:pPr>
    </w:lvl>
  </w:abstractNum>
  <w:abstractNum w:abstractNumId="11">
    <w:nsid w:val="2B105038"/>
    <w:multiLevelType w:val="hybridMultilevel"/>
    <w:tmpl w:val="6FEE9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57B76"/>
    <w:multiLevelType w:val="hybridMultilevel"/>
    <w:tmpl w:val="587AC8E2"/>
    <w:lvl w:ilvl="0" w:tplc="F6E8C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66C2C"/>
    <w:multiLevelType w:val="hybridMultilevel"/>
    <w:tmpl w:val="98FC70D2"/>
    <w:lvl w:ilvl="0" w:tplc="EDBA9B7C">
      <w:numFmt w:val="bullet"/>
      <w:lvlText w:val="-"/>
      <w:lvlJc w:val="left"/>
      <w:pPr>
        <w:ind w:left="720" w:hanging="360"/>
      </w:pPr>
      <w:rPr>
        <w:rFonts w:ascii="Calibri" w:eastAsia="MS Mincho" w:hAnsi="Calibri" w:cs="Calibri" w:hint="default"/>
        <w:sz w:val="20"/>
      </w:rPr>
    </w:lvl>
    <w:lvl w:ilvl="1" w:tplc="08090001">
      <w:start w:val="1"/>
      <w:numFmt w:val="bullet"/>
      <w:lvlText w:val=""/>
      <w:lvlJc w:val="left"/>
      <w:pPr>
        <w:ind w:left="1440" w:hanging="360"/>
      </w:pPr>
      <w:rPr>
        <w:rFonts w:ascii="Symbol" w:hAnsi="Symbol" w:hint="default"/>
      </w:rPr>
    </w:lvl>
    <w:lvl w:ilvl="2" w:tplc="EDBA9B7C">
      <w:numFmt w:val="bullet"/>
      <w:lvlText w:val="-"/>
      <w:lvlJc w:val="left"/>
      <w:pPr>
        <w:ind w:left="2160" w:hanging="360"/>
      </w:pPr>
      <w:rPr>
        <w:rFonts w:ascii="Calibri" w:eastAsia="MS Mincho" w:hAnsi="Calibri" w:cs="Calibri" w:hint="default"/>
        <w:sz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0A3AAF"/>
    <w:multiLevelType w:val="hybridMultilevel"/>
    <w:tmpl w:val="22F6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954E3"/>
    <w:multiLevelType w:val="hybridMultilevel"/>
    <w:tmpl w:val="010EEA94"/>
    <w:lvl w:ilvl="0" w:tplc="F6E8C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46969"/>
    <w:multiLevelType w:val="hybridMultilevel"/>
    <w:tmpl w:val="57280520"/>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83F1EF1"/>
    <w:multiLevelType w:val="hybridMultilevel"/>
    <w:tmpl w:val="83D6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3380C"/>
    <w:multiLevelType w:val="hybridMultilevel"/>
    <w:tmpl w:val="42D8B2DC"/>
    <w:lvl w:ilvl="0" w:tplc="E7FC6F90">
      <w:start w:val="2"/>
      <w:numFmt w:val="bullet"/>
      <w:lvlText w:val="-"/>
      <w:lvlJc w:val="left"/>
      <w:pPr>
        <w:ind w:left="1080" w:hanging="360"/>
      </w:pPr>
      <w:rPr>
        <w:rFonts w:ascii="Calibri" w:eastAsia="MS Mincho" w:hAnsi="Calibri" w:cs="Times New Roman"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nsid w:val="64513407"/>
    <w:multiLevelType w:val="hybridMultilevel"/>
    <w:tmpl w:val="0EBA4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03A21"/>
    <w:multiLevelType w:val="hybridMultilevel"/>
    <w:tmpl w:val="093EF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8C3B0A"/>
    <w:multiLevelType w:val="hybridMultilevel"/>
    <w:tmpl w:val="61D24E56"/>
    <w:lvl w:ilvl="0" w:tplc="1B8E58D6">
      <w:numFmt w:val="bullet"/>
      <w:lvlText w:val="-"/>
      <w:lvlJc w:val="left"/>
      <w:pPr>
        <w:ind w:left="720" w:hanging="360"/>
      </w:pPr>
      <w:rPr>
        <w:rFonts w:ascii="Calibri" w:eastAsia="MS Mincho"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C04275E"/>
    <w:multiLevelType w:val="hybridMultilevel"/>
    <w:tmpl w:val="15B2C994"/>
    <w:lvl w:ilvl="0" w:tplc="EBC20B40">
      <w:start w:val="1"/>
      <w:numFmt w:val="lowerLetter"/>
      <w:lvlText w:val="%1."/>
      <w:lvlJc w:val="left"/>
      <w:pPr>
        <w:tabs>
          <w:tab w:val="num" w:pos="720"/>
        </w:tabs>
        <w:ind w:left="720" w:hanging="360"/>
      </w:pPr>
    </w:lvl>
    <w:lvl w:ilvl="1" w:tplc="E2FC9864">
      <w:start w:val="1"/>
      <w:numFmt w:val="lowerLetter"/>
      <w:lvlText w:val="%2."/>
      <w:lvlJc w:val="left"/>
      <w:pPr>
        <w:tabs>
          <w:tab w:val="num" w:pos="1440"/>
        </w:tabs>
        <w:ind w:left="1440" w:hanging="360"/>
      </w:pPr>
    </w:lvl>
    <w:lvl w:ilvl="2" w:tplc="D73A6DEC" w:tentative="1">
      <w:start w:val="1"/>
      <w:numFmt w:val="lowerLetter"/>
      <w:lvlText w:val="%3."/>
      <w:lvlJc w:val="left"/>
      <w:pPr>
        <w:tabs>
          <w:tab w:val="num" w:pos="2160"/>
        </w:tabs>
        <w:ind w:left="2160" w:hanging="360"/>
      </w:pPr>
    </w:lvl>
    <w:lvl w:ilvl="3" w:tplc="5184B6AE" w:tentative="1">
      <w:start w:val="1"/>
      <w:numFmt w:val="lowerLetter"/>
      <w:lvlText w:val="%4."/>
      <w:lvlJc w:val="left"/>
      <w:pPr>
        <w:tabs>
          <w:tab w:val="num" w:pos="2880"/>
        </w:tabs>
        <w:ind w:left="2880" w:hanging="360"/>
      </w:pPr>
    </w:lvl>
    <w:lvl w:ilvl="4" w:tplc="CFEADA02" w:tentative="1">
      <w:start w:val="1"/>
      <w:numFmt w:val="lowerLetter"/>
      <w:lvlText w:val="%5."/>
      <w:lvlJc w:val="left"/>
      <w:pPr>
        <w:tabs>
          <w:tab w:val="num" w:pos="3600"/>
        </w:tabs>
        <w:ind w:left="3600" w:hanging="360"/>
      </w:pPr>
    </w:lvl>
    <w:lvl w:ilvl="5" w:tplc="F65AA430" w:tentative="1">
      <w:start w:val="1"/>
      <w:numFmt w:val="lowerLetter"/>
      <w:lvlText w:val="%6."/>
      <w:lvlJc w:val="left"/>
      <w:pPr>
        <w:tabs>
          <w:tab w:val="num" w:pos="4320"/>
        </w:tabs>
        <w:ind w:left="4320" w:hanging="360"/>
      </w:pPr>
    </w:lvl>
    <w:lvl w:ilvl="6" w:tplc="3EA6C0E8" w:tentative="1">
      <w:start w:val="1"/>
      <w:numFmt w:val="lowerLetter"/>
      <w:lvlText w:val="%7."/>
      <w:lvlJc w:val="left"/>
      <w:pPr>
        <w:tabs>
          <w:tab w:val="num" w:pos="5040"/>
        </w:tabs>
        <w:ind w:left="5040" w:hanging="360"/>
      </w:pPr>
    </w:lvl>
    <w:lvl w:ilvl="7" w:tplc="067C06A2" w:tentative="1">
      <w:start w:val="1"/>
      <w:numFmt w:val="lowerLetter"/>
      <w:lvlText w:val="%8."/>
      <w:lvlJc w:val="left"/>
      <w:pPr>
        <w:tabs>
          <w:tab w:val="num" w:pos="5760"/>
        </w:tabs>
        <w:ind w:left="5760" w:hanging="360"/>
      </w:pPr>
    </w:lvl>
    <w:lvl w:ilvl="8" w:tplc="DBFAA0F6" w:tentative="1">
      <w:start w:val="1"/>
      <w:numFmt w:val="lowerLetter"/>
      <w:lvlText w:val="%9."/>
      <w:lvlJc w:val="left"/>
      <w:pPr>
        <w:tabs>
          <w:tab w:val="num" w:pos="6480"/>
        </w:tabs>
        <w:ind w:left="6480" w:hanging="360"/>
      </w:pPr>
    </w:lvl>
  </w:abstractNum>
  <w:abstractNum w:abstractNumId="23">
    <w:nsid w:val="6E503F4A"/>
    <w:multiLevelType w:val="hybridMultilevel"/>
    <w:tmpl w:val="5686D998"/>
    <w:lvl w:ilvl="0" w:tplc="45D42E2C">
      <w:start w:val="1"/>
      <w:numFmt w:val="lowerLetter"/>
      <w:lvlText w:val="%1."/>
      <w:lvlJc w:val="left"/>
      <w:pPr>
        <w:tabs>
          <w:tab w:val="num" w:pos="720"/>
        </w:tabs>
        <w:ind w:left="720" w:hanging="360"/>
      </w:pPr>
    </w:lvl>
    <w:lvl w:ilvl="1" w:tplc="97BEEE64">
      <w:start w:val="1"/>
      <w:numFmt w:val="lowerLetter"/>
      <w:lvlText w:val="%2."/>
      <w:lvlJc w:val="left"/>
      <w:pPr>
        <w:tabs>
          <w:tab w:val="num" w:pos="1440"/>
        </w:tabs>
        <w:ind w:left="1440" w:hanging="360"/>
      </w:pPr>
    </w:lvl>
    <w:lvl w:ilvl="2" w:tplc="FEF6DF20" w:tentative="1">
      <w:start w:val="1"/>
      <w:numFmt w:val="lowerLetter"/>
      <w:lvlText w:val="%3."/>
      <w:lvlJc w:val="left"/>
      <w:pPr>
        <w:tabs>
          <w:tab w:val="num" w:pos="2160"/>
        </w:tabs>
        <w:ind w:left="2160" w:hanging="360"/>
      </w:pPr>
    </w:lvl>
    <w:lvl w:ilvl="3" w:tplc="800EF660" w:tentative="1">
      <w:start w:val="1"/>
      <w:numFmt w:val="lowerLetter"/>
      <w:lvlText w:val="%4."/>
      <w:lvlJc w:val="left"/>
      <w:pPr>
        <w:tabs>
          <w:tab w:val="num" w:pos="2880"/>
        </w:tabs>
        <w:ind w:left="2880" w:hanging="360"/>
      </w:pPr>
    </w:lvl>
    <w:lvl w:ilvl="4" w:tplc="770C94DC" w:tentative="1">
      <w:start w:val="1"/>
      <w:numFmt w:val="lowerLetter"/>
      <w:lvlText w:val="%5."/>
      <w:lvlJc w:val="left"/>
      <w:pPr>
        <w:tabs>
          <w:tab w:val="num" w:pos="3600"/>
        </w:tabs>
        <w:ind w:left="3600" w:hanging="360"/>
      </w:pPr>
    </w:lvl>
    <w:lvl w:ilvl="5" w:tplc="4120CE94" w:tentative="1">
      <w:start w:val="1"/>
      <w:numFmt w:val="lowerLetter"/>
      <w:lvlText w:val="%6."/>
      <w:lvlJc w:val="left"/>
      <w:pPr>
        <w:tabs>
          <w:tab w:val="num" w:pos="4320"/>
        </w:tabs>
        <w:ind w:left="4320" w:hanging="360"/>
      </w:pPr>
    </w:lvl>
    <w:lvl w:ilvl="6" w:tplc="836A21B0" w:tentative="1">
      <w:start w:val="1"/>
      <w:numFmt w:val="lowerLetter"/>
      <w:lvlText w:val="%7."/>
      <w:lvlJc w:val="left"/>
      <w:pPr>
        <w:tabs>
          <w:tab w:val="num" w:pos="5040"/>
        </w:tabs>
        <w:ind w:left="5040" w:hanging="360"/>
      </w:pPr>
    </w:lvl>
    <w:lvl w:ilvl="7" w:tplc="B1DA761A" w:tentative="1">
      <w:start w:val="1"/>
      <w:numFmt w:val="lowerLetter"/>
      <w:lvlText w:val="%8."/>
      <w:lvlJc w:val="left"/>
      <w:pPr>
        <w:tabs>
          <w:tab w:val="num" w:pos="5760"/>
        </w:tabs>
        <w:ind w:left="5760" w:hanging="360"/>
      </w:pPr>
    </w:lvl>
    <w:lvl w:ilvl="8" w:tplc="5D0CF1EE" w:tentative="1">
      <w:start w:val="1"/>
      <w:numFmt w:val="lowerLetter"/>
      <w:lvlText w:val="%9."/>
      <w:lvlJc w:val="left"/>
      <w:pPr>
        <w:tabs>
          <w:tab w:val="num" w:pos="6480"/>
        </w:tabs>
        <w:ind w:left="6480" w:hanging="360"/>
      </w:pPr>
    </w:lvl>
  </w:abstractNum>
  <w:abstractNum w:abstractNumId="24">
    <w:nsid w:val="71115634"/>
    <w:multiLevelType w:val="hybridMultilevel"/>
    <w:tmpl w:val="CA4E8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E18D6"/>
    <w:multiLevelType w:val="hybridMultilevel"/>
    <w:tmpl w:val="F6D0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F87FBD"/>
    <w:multiLevelType w:val="hybridMultilevel"/>
    <w:tmpl w:val="89363E88"/>
    <w:lvl w:ilvl="0" w:tplc="32F8C398">
      <w:start w:val="1"/>
      <w:numFmt w:val="lowerLetter"/>
      <w:lvlText w:val="%1."/>
      <w:lvlJc w:val="left"/>
      <w:pPr>
        <w:tabs>
          <w:tab w:val="num" w:pos="720"/>
        </w:tabs>
        <w:ind w:left="720" w:hanging="360"/>
      </w:pPr>
    </w:lvl>
    <w:lvl w:ilvl="1" w:tplc="51F0CC1A">
      <w:start w:val="1"/>
      <w:numFmt w:val="lowerLetter"/>
      <w:lvlText w:val="%2."/>
      <w:lvlJc w:val="left"/>
      <w:pPr>
        <w:tabs>
          <w:tab w:val="num" w:pos="1440"/>
        </w:tabs>
        <w:ind w:left="1440" w:hanging="360"/>
      </w:pPr>
    </w:lvl>
    <w:lvl w:ilvl="2" w:tplc="B168863A" w:tentative="1">
      <w:start w:val="1"/>
      <w:numFmt w:val="lowerLetter"/>
      <w:lvlText w:val="%3."/>
      <w:lvlJc w:val="left"/>
      <w:pPr>
        <w:tabs>
          <w:tab w:val="num" w:pos="2160"/>
        </w:tabs>
        <w:ind w:left="2160" w:hanging="360"/>
      </w:pPr>
    </w:lvl>
    <w:lvl w:ilvl="3" w:tplc="F176F8B2" w:tentative="1">
      <w:start w:val="1"/>
      <w:numFmt w:val="lowerLetter"/>
      <w:lvlText w:val="%4."/>
      <w:lvlJc w:val="left"/>
      <w:pPr>
        <w:tabs>
          <w:tab w:val="num" w:pos="2880"/>
        </w:tabs>
        <w:ind w:left="2880" w:hanging="360"/>
      </w:pPr>
    </w:lvl>
    <w:lvl w:ilvl="4" w:tplc="5C88336C" w:tentative="1">
      <w:start w:val="1"/>
      <w:numFmt w:val="lowerLetter"/>
      <w:lvlText w:val="%5."/>
      <w:lvlJc w:val="left"/>
      <w:pPr>
        <w:tabs>
          <w:tab w:val="num" w:pos="3600"/>
        </w:tabs>
        <w:ind w:left="3600" w:hanging="360"/>
      </w:pPr>
    </w:lvl>
    <w:lvl w:ilvl="5" w:tplc="33ACA850" w:tentative="1">
      <w:start w:val="1"/>
      <w:numFmt w:val="lowerLetter"/>
      <w:lvlText w:val="%6."/>
      <w:lvlJc w:val="left"/>
      <w:pPr>
        <w:tabs>
          <w:tab w:val="num" w:pos="4320"/>
        </w:tabs>
        <w:ind w:left="4320" w:hanging="360"/>
      </w:pPr>
    </w:lvl>
    <w:lvl w:ilvl="6" w:tplc="A29A7AE2" w:tentative="1">
      <w:start w:val="1"/>
      <w:numFmt w:val="lowerLetter"/>
      <w:lvlText w:val="%7."/>
      <w:lvlJc w:val="left"/>
      <w:pPr>
        <w:tabs>
          <w:tab w:val="num" w:pos="5040"/>
        </w:tabs>
        <w:ind w:left="5040" w:hanging="360"/>
      </w:pPr>
    </w:lvl>
    <w:lvl w:ilvl="7" w:tplc="A7E6B47C" w:tentative="1">
      <w:start w:val="1"/>
      <w:numFmt w:val="lowerLetter"/>
      <w:lvlText w:val="%8."/>
      <w:lvlJc w:val="left"/>
      <w:pPr>
        <w:tabs>
          <w:tab w:val="num" w:pos="5760"/>
        </w:tabs>
        <w:ind w:left="5760" w:hanging="360"/>
      </w:pPr>
    </w:lvl>
    <w:lvl w:ilvl="8" w:tplc="6ACA5768" w:tentative="1">
      <w:start w:val="1"/>
      <w:numFmt w:val="lowerLetter"/>
      <w:lvlText w:val="%9."/>
      <w:lvlJc w:val="left"/>
      <w:pPr>
        <w:tabs>
          <w:tab w:val="num" w:pos="6480"/>
        </w:tabs>
        <w:ind w:left="6480" w:hanging="360"/>
      </w:pPr>
    </w:lvl>
  </w:abstractNum>
  <w:abstractNum w:abstractNumId="27">
    <w:nsid w:val="7B2457B7"/>
    <w:multiLevelType w:val="hybridMultilevel"/>
    <w:tmpl w:val="0BC4B51C"/>
    <w:lvl w:ilvl="0" w:tplc="CB9005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5"/>
  </w:num>
  <w:num w:numId="3">
    <w:abstractNumId w:val="17"/>
  </w:num>
  <w:num w:numId="4">
    <w:abstractNumId w:val="19"/>
  </w:num>
  <w:num w:numId="5">
    <w:abstractNumId w:val="11"/>
  </w:num>
  <w:num w:numId="6">
    <w:abstractNumId w:val="20"/>
  </w:num>
  <w:num w:numId="7">
    <w:abstractNumId w:val="16"/>
  </w:num>
  <w:num w:numId="8">
    <w:abstractNumId w:val="2"/>
  </w:num>
  <w:num w:numId="9">
    <w:abstractNumId w:val="27"/>
  </w:num>
  <w:num w:numId="10">
    <w:abstractNumId w:val="14"/>
  </w:num>
  <w:num w:numId="11">
    <w:abstractNumId w:val="12"/>
  </w:num>
  <w:num w:numId="12">
    <w:abstractNumId w:val="1"/>
  </w:num>
  <w:num w:numId="13">
    <w:abstractNumId w:val="7"/>
  </w:num>
  <w:num w:numId="14">
    <w:abstractNumId w:val="6"/>
  </w:num>
  <w:num w:numId="15">
    <w:abstractNumId w:val="15"/>
  </w:num>
  <w:num w:numId="16">
    <w:abstractNumId w:val="0"/>
    <w:lvlOverride w:ilvl="0">
      <w:startOverride w:val="1"/>
    </w:lvlOverride>
  </w:num>
  <w:num w:numId="17">
    <w:abstractNumId w:val="18"/>
  </w:num>
  <w:num w:numId="18">
    <w:abstractNumId w:val="21"/>
  </w:num>
  <w:num w:numId="19">
    <w:abstractNumId w:val="0"/>
  </w:num>
  <w:num w:numId="20">
    <w:abstractNumId w:val="5"/>
  </w:num>
  <w:num w:numId="21">
    <w:abstractNumId w:val="3"/>
  </w:num>
  <w:num w:numId="22">
    <w:abstractNumId w:val="13"/>
  </w:num>
  <w:num w:numId="23">
    <w:abstractNumId w:val="9"/>
  </w:num>
  <w:num w:numId="24">
    <w:abstractNumId w:val="4"/>
  </w:num>
  <w:num w:numId="25">
    <w:abstractNumId w:val="26"/>
  </w:num>
  <w:num w:numId="26">
    <w:abstractNumId w:val="8"/>
  </w:num>
  <w:num w:numId="27">
    <w:abstractNumId w:val="23"/>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897"/>
    <w:rsid w:val="000018CE"/>
    <w:rsid w:val="00016FA9"/>
    <w:rsid w:val="00023624"/>
    <w:rsid w:val="000D12E3"/>
    <w:rsid w:val="000D56A2"/>
    <w:rsid w:val="00136F29"/>
    <w:rsid w:val="001E6D8F"/>
    <w:rsid w:val="001F5F6C"/>
    <w:rsid w:val="00242C40"/>
    <w:rsid w:val="002C3641"/>
    <w:rsid w:val="0030307A"/>
    <w:rsid w:val="00316085"/>
    <w:rsid w:val="003A6B40"/>
    <w:rsid w:val="003C50D3"/>
    <w:rsid w:val="00442EBC"/>
    <w:rsid w:val="00497226"/>
    <w:rsid w:val="004D1BA2"/>
    <w:rsid w:val="004E0F0B"/>
    <w:rsid w:val="004F4CE9"/>
    <w:rsid w:val="00570164"/>
    <w:rsid w:val="00577897"/>
    <w:rsid w:val="005B4FDC"/>
    <w:rsid w:val="005D4177"/>
    <w:rsid w:val="00646E42"/>
    <w:rsid w:val="00670FBF"/>
    <w:rsid w:val="006B5D5F"/>
    <w:rsid w:val="00727566"/>
    <w:rsid w:val="00753ECA"/>
    <w:rsid w:val="00767947"/>
    <w:rsid w:val="00797EF4"/>
    <w:rsid w:val="007B1BD5"/>
    <w:rsid w:val="008018BF"/>
    <w:rsid w:val="008256F5"/>
    <w:rsid w:val="00853DA8"/>
    <w:rsid w:val="00856C9A"/>
    <w:rsid w:val="00882EC7"/>
    <w:rsid w:val="008830FC"/>
    <w:rsid w:val="009028DD"/>
    <w:rsid w:val="00920208"/>
    <w:rsid w:val="00926323"/>
    <w:rsid w:val="00A22C8D"/>
    <w:rsid w:val="00AC3FF2"/>
    <w:rsid w:val="00AE59E4"/>
    <w:rsid w:val="00B013F4"/>
    <w:rsid w:val="00B017C6"/>
    <w:rsid w:val="00B37655"/>
    <w:rsid w:val="00B8743A"/>
    <w:rsid w:val="00B92DD0"/>
    <w:rsid w:val="00B95B51"/>
    <w:rsid w:val="00BA6935"/>
    <w:rsid w:val="00BD6783"/>
    <w:rsid w:val="00C32F13"/>
    <w:rsid w:val="00C40CD1"/>
    <w:rsid w:val="00C71A7C"/>
    <w:rsid w:val="00C7720D"/>
    <w:rsid w:val="00D45E85"/>
    <w:rsid w:val="00D6129E"/>
    <w:rsid w:val="00DC61CF"/>
    <w:rsid w:val="00E32397"/>
    <w:rsid w:val="00E86816"/>
    <w:rsid w:val="00EB5EDB"/>
    <w:rsid w:val="00EE4D57"/>
    <w:rsid w:val="00F02018"/>
    <w:rsid w:val="00F40642"/>
    <w:rsid w:val="00FD1C93"/>
    <w:rsid w:val="00FF0240"/>
    <w:rsid w:val="00FF63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97"/>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57789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789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56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897"/>
    <w:pPr>
      <w:tabs>
        <w:tab w:val="center" w:pos="4320"/>
        <w:tab w:val="right" w:pos="8640"/>
      </w:tabs>
    </w:pPr>
  </w:style>
  <w:style w:type="character" w:customStyle="1" w:styleId="HeaderChar">
    <w:name w:val="Header Char"/>
    <w:basedOn w:val="DefaultParagraphFont"/>
    <w:link w:val="Header"/>
    <w:uiPriority w:val="99"/>
    <w:rsid w:val="00577897"/>
    <w:rPr>
      <w:rFonts w:eastAsiaTheme="minorEastAsia"/>
      <w:sz w:val="24"/>
      <w:szCs w:val="24"/>
      <w:lang w:val="en-US"/>
    </w:rPr>
  </w:style>
  <w:style w:type="paragraph" w:styleId="ListParagraph">
    <w:name w:val="List Paragraph"/>
    <w:basedOn w:val="Normal"/>
    <w:uiPriority w:val="34"/>
    <w:qFormat/>
    <w:rsid w:val="00577897"/>
    <w:pPr>
      <w:ind w:left="720"/>
      <w:contextualSpacing/>
    </w:pPr>
  </w:style>
  <w:style w:type="table" w:styleId="TableGrid">
    <w:name w:val="Table Grid"/>
    <w:basedOn w:val="TableNormal"/>
    <w:uiPriority w:val="59"/>
    <w:rsid w:val="0057789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789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577897"/>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577897"/>
    <w:pPr>
      <w:tabs>
        <w:tab w:val="center" w:pos="4513"/>
        <w:tab w:val="right" w:pos="9026"/>
      </w:tabs>
    </w:pPr>
  </w:style>
  <w:style w:type="character" w:customStyle="1" w:styleId="FooterChar">
    <w:name w:val="Footer Char"/>
    <w:basedOn w:val="DefaultParagraphFont"/>
    <w:link w:val="Footer"/>
    <w:uiPriority w:val="99"/>
    <w:rsid w:val="00577897"/>
    <w:rPr>
      <w:rFonts w:eastAsiaTheme="minorEastAsia"/>
      <w:sz w:val="24"/>
      <w:szCs w:val="24"/>
      <w:lang w:val="en-US"/>
    </w:rPr>
  </w:style>
  <w:style w:type="paragraph" w:styleId="Title">
    <w:name w:val="Title"/>
    <w:basedOn w:val="Normal"/>
    <w:next w:val="Normal"/>
    <w:link w:val="TitleChar"/>
    <w:uiPriority w:val="10"/>
    <w:qFormat/>
    <w:rsid w:val="00BA6935"/>
    <w:pPr>
      <w:spacing w:after="200" w:line="276" w:lineRule="auto"/>
    </w:pPr>
    <w:rPr>
      <w:rFonts w:ascii="Verdana" w:hAnsi="Verdana"/>
      <w:b/>
      <w:color w:val="04314C"/>
      <w:sz w:val="44"/>
      <w:szCs w:val="44"/>
      <w:lang w:val="en-GB"/>
    </w:rPr>
  </w:style>
  <w:style w:type="character" w:customStyle="1" w:styleId="TitleChar">
    <w:name w:val="Title Char"/>
    <w:basedOn w:val="DefaultParagraphFont"/>
    <w:link w:val="Title"/>
    <w:uiPriority w:val="10"/>
    <w:rsid w:val="00BA6935"/>
    <w:rPr>
      <w:rFonts w:ascii="Verdana" w:eastAsiaTheme="minorEastAsia" w:hAnsi="Verdana"/>
      <w:b/>
      <w:color w:val="04314C"/>
      <w:sz w:val="44"/>
      <w:szCs w:val="44"/>
      <w:lang w:val="en-GB"/>
    </w:rPr>
  </w:style>
  <w:style w:type="character" w:customStyle="1" w:styleId="Heading3Char">
    <w:name w:val="Heading 3 Char"/>
    <w:basedOn w:val="DefaultParagraphFont"/>
    <w:link w:val="Heading3"/>
    <w:uiPriority w:val="9"/>
    <w:rsid w:val="000D56A2"/>
    <w:rPr>
      <w:rFonts w:asciiTheme="majorHAnsi" w:eastAsiaTheme="majorEastAsia" w:hAnsiTheme="majorHAnsi" w:cstheme="majorBidi"/>
      <w:b/>
      <w:bCs/>
      <w:color w:val="4F81BD" w:themeColor="accent1"/>
      <w:sz w:val="24"/>
      <w:szCs w:val="24"/>
      <w:lang w:val="en-US"/>
    </w:rPr>
  </w:style>
  <w:style w:type="character" w:styleId="Hyperlink">
    <w:name w:val="Hyperlink"/>
    <w:basedOn w:val="DefaultParagraphFont"/>
    <w:uiPriority w:val="99"/>
    <w:semiHidden/>
    <w:unhideWhenUsed/>
    <w:rsid w:val="000D56A2"/>
    <w:rPr>
      <w:color w:val="0000FF" w:themeColor="hyperlink"/>
      <w:u w:val="single"/>
    </w:rPr>
  </w:style>
  <w:style w:type="paragraph" w:styleId="ListNumber">
    <w:name w:val="List Number"/>
    <w:basedOn w:val="Normal"/>
    <w:unhideWhenUsed/>
    <w:rsid w:val="000D56A2"/>
    <w:pPr>
      <w:numPr>
        <w:numId w:val="16"/>
      </w:numPr>
      <w:jc w:val="both"/>
    </w:pPr>
    <w:rPr>
      <w:rFonts w:ascii="Times New Roman" w:eastAsia="MS Mincho" w:hAnsi="Times New Roman" w:cs="Times New Roman"/>
      <w:lang w:val="en-GB" w:eastAsia="ja-JP"/>
    </w:rPr>
  </w:style>
  <w:style w:type="paragraph" w:styleId="NoSpacing">
    <w:name w:val="No Spacing"/>
    <w:uiPriority w:val="1"/>
    <w:qFormat/>
    <w:rsid w:val="000D56A2"/>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EB5EDB"/>
    <w:rPr>
      <w:sz w:val="16"/>
      <w:szCs w:val="16"/>
    </w:rPr>
  </w:style>
  <w:style w:type="paragraph" w:styleId="CommentText">
    <w:name w:val="annotation text"/>
    <w:basedOn w:val="Normal"/>
    <w:link w:val="CommentTextChar"/>
    <w:uiPriority w:val="99"/>
    <w:semiHidden/>
    <w:unhideWhenUsed/>
    <w:rsid w:val="00EB5EDB"/>
    <w:rPr>
      <w:sz w:val="20"/>
      <w:szCs w:val="20"/>
    </w:rPr>
  </w:style>
  <w:style w:type="character" w:customStyle="1" w:styleId="CommentTextChar">
    <w:name w:val="Comment Text Char"/>
    <w:basedOn w:val="DefaultParagraphFont"/>
    <w:link w:val="CommentText"/>
    <w:uiPriority w:val="99"/>
    <w:semiHidden/>
    <w:rsid w:val="00EB5ED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B5EDB"/>
    <w:rPr>
      <w:b/>
      <w:bCs/>
    </w:rPr>
  </w:style>
  <w:style w:type="character" w:customStyle="1" w:styleId="CommentSubjectChar">
    <w:name w:val="Comment Subject Char"/>
    <w:basedOn w:val="CommentTextChar"/>
    <w:link w:val="CommentSubject"/>
    <w:uiPriority w:val="99"/>
    <w:semiHidden/>
    <w:rsid w:val="00EB5EDB"/>
    <w:rPr>
      <w:rFonts w:eastAsiaTheme="minorEastAsia"/>
      <w:b/>
      <w:bCs/>
      <w:sz w:val="20"/>
      <w:szCs w:val="20"/>
      <w:lang w:val="en-US"/>
    </w:rPr>
  </w:style>
  <w:style w:type="paragraph" w:styleId="BalloonText">
    <w:name w:val="Balloon Text"/>
    <w:basedOn w:val="Normal"/>
    <w:link w:val="BalloonTextChar"/>
    <w:uiPriority w:val="99"/>
    <w:semiHidden/>
    <w:unhideWhenUsed/>
    <w:rsid w:val="00EB5EDB"/>
    <w:rPr>
      <w:rFonts w:ascii="Tahoma" w:hAnsi="Tahoma" w:cs="Tahoma"/>
      <w:sz w:val="16"/>
      <w:szCs w:val="16"/>
    </w:rPr>
  </w:style>
  <w:style w:type="character" w:customStyle="1" w:styleId="BalloonTextChar">
    <w:name w:val="Balloon Text Char"/>
    <w:basedOn w:val="DefaultParagraphFont"/>
    <w:link w:val="BalloonText"/>
    <w:uiPriority w:val="99"/>
    <w:semiHidden/>
    <w:rsid w:val="00EB5EDB"/>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897"/>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57789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789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56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897"/>
    <w:pPr>
      <w:tabs>
        <w:tab w:val="center" w:pos="4320"/>
        <w:tab w:val="right" w:pos="8640"/>
      </w:tabs>
    </w:pPr>
  </w:style>
  <w:style w:type="character" w:customStyle="1" w:styleId="HeaderChar">
    <w:name w:val="Header Char"/>
    <w:basedOn w:val="DefaultParagraphFont"/>
    <w:link w:val="Header"/>
    <w:uiPriority w:val="99"/>
    <w:rsid w:val="00577897"/>
    <w:rPr>
      <w:rFonts w:eastAsiaTheme="minorEastAsia"/>
      <w:sz w:val="24"/>
      <w:szCs w:val="24"/>
      <w:lang w:val="en-US"/>
    </w:rPr>
  </w:style>
  <w:style w:type="paragraph" w:styleId="ListParagraph">
    <w:name w:val="List Paragraph"/>
    <w:basedOn w:val="Normal"/>
    <w:uiPriority w:val="34"/>
    <w:qFormat/>
    <w:rsid w:val="00577897"/>
    <w:pPr>
      <w:ind w:left="720"/>
      <w:contextualSpacing/>
    </w:pPr>
  </w:style>
  <w:style w:type="table" w:styleId="TableGrid">
    <w:name w:val="Table Grid"/>
    <w:basedOn w:val="TableNormal"/>
    <w:uiPriority w:val="59"/>
    <w:rsid w:val="0057789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789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577897"/>
    <w:rPr>
      <w:rFonts w:asciiTheme="majorHAnsi" w:eastAsiaTheme="majorEastAsia" w:hAnsiTheme="majorHAnsi" w:cstheme="majorBidi"/>
      <w:b/>
      <w:bCs/>
      <w:color w:val="4F81BD" w:themeColor="accent1"/>
      <w:sz w:val="26"/>
      <w:szCs w:val="26"/>
      <w:lang w:val="en-US"/>
    </w:rPr>
  </w:style>
  <w:style w:type="paragraph" w:styleId="Footer">
    <w:name w:val="footer"/>
    <w:basedOn w:val="Normal"/>
    <w:link w:val="FooterChar"/>
    <w:uiPriority w:val="99"/>
    <w:unhideWhenUsed/>
    <w:rsid w:val="00577897"/>
    <w:pPr>
      <w:tabs>
        <w:tab w:val="center" w:pos="4513"/>
        <w:tab w:val="right" w:pos="9026"/>
      </w:tabs>
    </w:pPr>
  </w:style>
  <w:style w:type="character" w:customStyle="1" w:styleId="FooterChar">
    <w:name w:val="Footer Char"/>
    <w:basedOn w:val="DefaultParagraphFont"/>
    <w:link w:val="Footer"/>
    <w:uiPriority w:val="99"/>
    <w:rsid w:val="00577897"/>
    <w:rPr>
      <w:rFonts w:eastAsiaTheme="minorEastAsia"/>
      <w:sz w:val="24"/>
      <w:szCs w:val="24"/>
      <w:lang w:val="en-US"/>
    </w:rPr>
  </w:style>
  <w:style w:type="paragraph" w:styleId="Title">
    <w:name w:val="Title"/>
    <w:basedOn w:val="Normal"/>
    <w:next w:val="Normal"/>
    <w:link w:val="TitleChar"/>
    <w:uiPriority w:val="10"/>
    <w:qFormat/>
    <w:rsid w:val="00BA6935"/>
    <w:pPr>
      <w:spacing w:after="200" w:line="276" w:lineRule="auto"/>
    </w:pPr>
    <w:rPr>
      <w:rFonts w:ascii="Verdana" w:hAnsi="Verdana"/>
      <w:b/>
      <w:color w:val="04314C"/>
      <w:sz w:val="44"/>
      <w:szCs w:val="44"/>
      <w:lang w:val="en-GB"/>
    </w:rPr>
  </w:style>
  <w:style w:type="character" w:customStyle="1" w:styleId="TitleChar">
    <w:name w:val="Title Char"/>
    <w:basedOn w:val="DefaultParagraphFont"/>
    <w:link w:val="Title"/>
    <w:uiPriority w:val="10"/>
    <w:rsid w:val="00BA6935"/>
    <w:rPr>
      <w:rFonts w:ascii="Verdana" w:eastAsiaTheme="minorEastAsia" w:hAnsi="Verdana"/>
      <w:b/>
      <w:color w:val="04314C"/>
      <w:sz w:val="44"/>
      <w:szCs w:val="44"/>
      <w:lang w:val="en-GB"/>
    </w:rPr>
  </w:style>
  <w:style w:type="character" w:customStyle="1" w:styleId="Heading3Char">
    <w:name w:val="Heading 3 Char"/>
    <w:basedOn w:val="DefaultParagraphFont"/>
    <w:link w:val="Heading3"/>
    <w:uiPriority w:val="9"/>
    <w:rsid w:val="000D56A2"/>
    <w:rPr>
      <w:rFonts w:asciiTheme="majorHAnsi" w:eastAsiaTheme="majorEastAsia" w:hAnsiTheme="majorHAnsi" w:cstheme="majorBidi"/>
      <w:b/>
      <w:bCs/>
      <w:color w:val="4F81BD" w:themeColor="accent1"/>
      <w:sz w:val="24"/>
      <w:szCs w:val="24"/>
      <w:lang w:val="en-US"/>
    </w:rPr>
  </w:style>
  <w:style w:type="character" w:styleId="Hyperlink">
    <w:name w:val="Hyperlink"/>
    <w:basedOn w:val="DefaultParagraphFont"/>
    <w:uiPriority w:val="99"/>
    <w:semiHidden/>
    <w:unhideWhenUsed/>
    <w:rsid w:val="000D56A2"/>
    <w:rPr>
      <w:color w:val="0000FF" w:themeColor="hyperlink"/>
      <w:u w:val="single"/>
    </w:rPr>
  </w:style>
  <w:style w:type="paragraph" w:styleId="ListNumber">
    <w:name w:val="List Number"/>
    <w:basedOn w:val="Normal"/>
    <w:unhideWhenUsed/>
    <w:rsid w:val="000D56A2"/>
    <w:pPr>
      <w:numPr>
        <w:numId w:val="16"/>
      </w:numPr>
      <w:jc w:val="both"/>
    </w:pPr>
    <w:rPr>
      <w:rFonts w:ascii="Times New Roman" w:eastAsia="MS Mincho" w:hAnsi="Times New Roman" w:cs="Times New Roman"/>
      <w:lang w:val="en-GB" w:eastAsia="ja-JP"/>
    </w:rPr>
  </w:style>
  <w:style w:type="paragraph" w:styleId="NoSpacing">
    <w:name w:val="No Spacing"/>
    <w:uiPriority w:val="1"/>
    <w:qFormat/>
    <w:rsid w:val="000D56A2"/>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EB5EDB"/>
    <w:rPr>
      <w:sz w:val="16"/>
      <w:szCs w:val="16"/>
    </w:rPr>
  </w:style>
  <w:style w:type="paragraph" w:styleId="CommentText">
    <w:name w:val="annotation text"/>
    <w:basedOn w:val="Normal"/>
    <w:link w:val="CommentTextChar"/>
    <w:uiPriority w:val="99"/>
    <w:semiHidden/>
    <w:unhideWhenUsed/>
    <w:rsid w:val="00EB5EDB"/>
    <w:rPr>
      <w:sz w:val="20"/>
      <w:szCs w:val="20"/>
    </w:rPr>
  </w:style>
  <w:style w:type="character" w:customStyle="1" w:styleId="CommentTextChar">
    <w:name w:val="Comment Text Char"/>
    <w:basedOn w:val="DefaultParagraphFont"/>
    <w:link w:val="CommentText"/>
    <w:uiPriority w:val="99"/>
    <w:semiHidden/>
    <w:rsid w:val="00EB5ED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B5EDB"/>
    <w:rPr>
      <w:b/>
      <w:bCs/>
    </w:rPr>
  </w:style>
  <w:style w:type="character" w:customStyle="1" w:styleId="CommentSubjectChar">
    <w:name w:val="Comment Subject Char"/>
    <w:basedOn w:val="CommentTextChar"/>
    <w:link w:val="CommentSubject"/>
    <w:uiPriority w:val="99"/>
    <w:semiHidden/>
    <w:rsid w:val="00EB5EDB"/>
    <w:rPr>
      <w:rFonts w:eastAsiaTheme="minorEastAsia"/>
      <w:b/>
      <w:bCs/>
      <w:sz w:val="20"/>
      <w:szCs w:val="20"/>
      <w:lang w:val="en-US"/>
    </w:rPr>
  </w:style>
  <w:style w:type="paragraph" w:styleId="BalloonText">
    <w:name w:val="Balloon Text"/>
    <w:basedOn w:val="Normal"/>
    <w:link w:val="BalloonTextChar"/>
    <w:uiPriority w:val="99"/>
    <w:semiHidden/>
    <w:unhideWhenUsed/>
    <w:rsid w:val="00EB5EDB"/>
    <w:rPr>
      <w:rFonts w:ascii="Tahoma" w:hAnsi="Tahoma" w:cs="Tahoma"/>
      <w:sz w:val="16"/>
      <w:szCs w:val="16"/>
    </w:rPr>
  </w:style>
  <w:style w:type="character" w:customStyle="1" w:styleId="BalloonTextChar">
    <w:name w:val="Balloon Text Char"/>
    <w:basedOn w:val="DefaultParagraphFont"/>
    <w:link w:val="BalloonText"/>
    <w:uiPriority w:val="99"/>
    <w:semiHidden/>
    <w:rsid w:val="00EB5EDB"/>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02380">
      <w:bodyDiv w:val="1"/>
      <w:marLeft w:val="0"/>
      <w:marRight w:val="0"/>
      <w:marTop w:val="0"/>
      <w:marBottom w:val="0"/>
      <w:divBdr>
        <w:top w:val="none" w:sz="0" w:space="0" w:color="auto"/>
        <w:left w:val="none" w:sz="0" w:space="0" w:color="auto"/>
        <w:bottom w:val="none" w:sz="0" w:space="0" w:color="auto"/>
        <w:right w:val="none" w:sz="0" w:space="0" w:color="auto"/>
      </w:divBdr>
    </w:div>
    <w:div w:id="296886167">
      <w:bodyDiv w:val="1"/>
      <w:marLeft w:val="0"/>
      <w:marRight w:val="0"/>
      <w:marTop w:val="0"/>
      <w:marBottom w:val="0"/>
      <w:divBdr>
        <w:top w:val="none" w:sz="0" w:space="0" w:color="auto"/>
        <w:left w:val="none" w:sz="0" w:space="0" w:color="auto"/>
        <w:bottom w:val="none" w:sz="0" w:space="0" w:color="auto"/>
        <w:right w:val="none" w:sz="0" w:space="0" w:color="auto"/>
      </w:divBdr>
    </w:div>
    <w:div w:id="453140149">
      <w:bodyDiv w:val="1"/>
      <w:marLeft w:val="0"/>
      <w:marRight w:val="0"/>
      <w:marTop w:val="0"/>
      <w:marBottom w:val="0"/>
      <w:divBdr>
        <w:top w:val="none" w:sz="0" w:space="0" w:color="auto"/>
        <w:left w:val="none" w:sz="0" w:space="0" w:color="auto"/>
        <w:bottom w:val="none" w:sz="0" w:space="0" w:color="auto"/>
        <w:right w:val="none" w:sz="0" w:space="0" w:color="auto"/>
      </w:divBdr>
    </w:div>
    <w:div w:id="1429691915">
      <w:bodyDiv w:val="1"/>
      <w:marLeft w:val="0"/>
      <w:marRight w:val="0"/>
      <w:marTop w:val="0"/>
      <w:marBottom w:val="0"/>
      <w:divBdr>
        <w:top w:val="none" w:sz="0" w:space="0" w:color="auto"/>
        <w:left w:val="none" w:sz="0" w:space="0" w:color="auto"/>
        <w:bottom w:val="none" w:sz="0" w:space="0" w:color="auto"/>
        <w:right w:val="none" w:sz="0" w:space="0" w:color="auto"/>
      </w:divBdr>
      <w:divsChild>
        <w:div w:id="2123918307">
          <w:marLeft w:val="1267"/>
          <w:marRight w:val="0"/>
          <w:marTop w:val="0"/>
          <w:marBottom w:val="0"/>
          <w:divBdr>
            <w:top w:val="none" w:sz="0" w:space="0" w:color="auto"/>
            <w:left w:val="none" w:sz="0" w:space="0" w:color="auto"/>
            <w:bottom w:val="none" w:sz="0" w:space="0" w:color="auto"/>
            <w:right w:val="none" w:sz="0" w:space="0" w:color="auto"/>
          </w:divBdr>
        </w:div>
        <w:div w:id="349071881">
          <w:marLeft w:val="1267"/>
          <w:marRight w:val="0"/>
          <w:marTop w:val="0"/>
          <w:marBottom w:val="0"/>
          <w:divBdr>
            <w:top w:val="none" w:sz="0" w:space="0" w:color="auto"/>
            <w:left w:val="none" w:sz="0" w:space="0" w:color="auto"/>
            <w:bottom w:val="none" w:sz="0" w:space="0" w:color="auto"/>
            <w:right w:val="none" w:sz="0" w:space="0" w:color="auto"/>
          </w:divBdr>
        </w:div>
        <w:div w:id="2000383918">
          <w:marLeft w:val="1267"/>
          <w:marRight w:val="0"/>
          <w:marTop w:val="0"/>
          <w:marBottom w:val="0"/>
          <w:divBdr>
            <w:top w:val="none" w:sz="0" w:space="0" w:color="auto"/>
            <w:left w:val="none" w:sz="0" w:space="0" w:color="auto"/>
            <w:bottom w:val="none" w:sz="0" w:space="0" w:color="auto"/>
            <w:right w:val="none" w:sz="0" w:space="0" w:color="auto"/>
          </w:divBdr>
        </w:div>
        <w:div w:id="1948199422">
          <w:marLeft w:val="1267"/>
          <w:marRight w:val="0"/>
          <w:marTop w:val="0"/>
          <w:marBottom w:val="0"/>
          <w:divBdr>
            <w:top w:val="none" w:sz="0" w:space="0" w:color="auto"/>
            <w:left w:val="none" w:sz="0" w:space="0" w:color="auto"/>
            <w:bottom w:val="none" w:sz="0" w:space="0" w:color="auto"/>
            <w:right w:val="none" w:sz="0" w:space="0" w:color="auto"/>
          </w:divBdr>
        </w:div>
        <w:div w:id="930744343">
          <w:marLeft w:val="1267"/>
          <w:marRight w:val="0"/>
          <w:marTop w:val="0"/>
          <w:marBottom w:val="0"/>
          <w:divBdr>
            <w:top w:val="none" w:sz="0" w:space="0" w:color="auto"/>
            <w:left w:val="none" w:sz="0" w:space="0" w:color="auto"/>
            <w:bottom w:val="none" w:sz="0" w:space="0" w:color="auto"/>
            <w:right w:val="none" w:sz="0" w:space="0" w:color="auto"/>
          </w:divBdr>
        </w:div>
        <w:div w:id="1163856517">
          <w:marLeft w:val="1267"/>
          <w:marRight w:val="0"/>
          <w:marTop w:val="0"/>
          <w:marBottom w:val="0"/>
          <w:divBdr>
            <w:top w:val="none" w:sz="0" w:space="0" w:color="auto"/>
            <w:left w:val="none" w:sz="0" w:space="0" w:color="auto"/>
            <w:bottom w:val="none" w:sz="0" w:space="0" w:color="auto"/>
            <w:right w:val="none" w:sz="0" w:space="0" w:color="auto"/>
          </w:divBdr>
        </w:div>
        <w:div w:id="1964535256">
          <w:marLeft w:val="1267"/>
          <w:marRight w:val="0"/>
          <w:marTop w:val="0"/>
          <w:marBottom w:val="0"/>
          <w:divBdr>
            <w:top w:val="none" w:sz="0" w:space="0" w:color="auto"/>
            <w:left w:val="none" w:sz="0" w:space="0" w:color="auto"/>
            <w:bottom w:val="none" w:sz="0" w:space="0" w:color="auto"/>
            <w:right w:val="none" w:sz="0" w:space="0" w:color="auto"/>
          </w:divBdr>
        </w:div>
        <w:div w:id="1013991465">
          <w:marLeft w:val="1267"/>
          <w:marRight w:val="0"/>
          <w:marTop w:val="0"/>
          <w:marBottom w:val="0"/>
          <w:divBdr>
            <w:top w:val="none" w:sz="0" w:space="0" w:color="auto"/>
            <w:left w:val="none" w:sz="0" w:space="0" w:color="auto"/>
            <w:bottom w:val="none" w:sz="0" w:space="0" w:color="auto"/>
            <w:right w:val="none" w:sz="0" w:space="0" w:color="auto"/>
          </w:divBdr>
        </w:div>
        <w:div w:id="1058094210">
          <w:marLeft w:val="1267"/>
          <w:marRight w:val="0"/>
          <w:marTop w:val="0"/>
          <w:marBottom w:val="0"/>
          <w:divBdr>
            <w:top w:val="none" w:sz="0" w:space="0" w:color="auto"/>
            <w:left w:val="none" w:sz="0" w:space="0" w:color="auto"/>
            <w:bottom w:val="none" w:sz="0" w:space="0" w:color="auto"/>
            <w:right w:val="none" w:sz="0" w:space="0" w:color="auto"/>
          </w:divBdr>
        </w:div>
      </w:divsChild>
    </w:div>
    <w:div w:id="2081171621">
      <w:bodyDiv w:val="1"/>
      <w:marLeft w:val="0"/>
      <w:marRight w:val="0"/>
      <w:marTop w:val="0"/>
      <w:marBottom w:val="0"/>
      <w:divBdr>
        <w:top w:val="none" w:sz="0" w:space="0" w:color="auto"/>
        <w:left w:val="none" w:sz="0" w:space="0" w:color="auto"/>
        <w:bottom w:val="none" w:sz="0" w:space="0" w:color="auto"/>
        <w:right w:val="none" w:sz="0" w:space="0" w:color="auto"/>
      </w:divBdr>
      <w:divsChild>
        <w:div w:id="442843827">
          <w:marLeft w:val="1267"/>
          <w:marRight w:val="0"/>
          <w:marTop w:val="0"/>
          <w:marBottom w:val="0"/>
          <w:divBdr>
            <w:top w:val="none" w:sz="0" w:space="0" w:color="auto"/>
            <w:left w:val="none" w:sz="0" w:space="0" w:color="auto"/>
            <w:bottom w:val="none" w:sz="0" w:space="0" w:color="auto"/>
            <w:right w:val="none" w:sz="0" w:space="0" w:color="auto"/>
          </w:divBdr>
        </w:div>
        <w:div w:id="1474642800">
          <w:marLeft w:val="1267"/>
          <w:marRight w:val="0"/>
          <w:marTop w:val="0"/>
          <w:marBottom w:val="0"/>
          <w:divBdr>
            <w:top w:val="none" w:sz="0" w:space="0" w:color="auto"/>
            <w:left w:val="none" w:sz="0" w:space="0" w:color="auto"/>
            <w:bottom w:val="none" w:sz="0" w:space="0" w:color="auto"/>
            <w:right w:val="none" w:sz="0" w:space="0" w:color="auto"/>
          </w:divBdr>
        </w:div>
        <w:div w:id="235171593">
          <w:marLeft w:val="1267"/>
          <w:marRight w:val="0"/>
          <w:marTop w:val="0"/>
          <w:marBottom w:val="0"/>
          <w:divBdr>
            <w:top w:val="none" w:sz="0" w:space="0" w:color="auto"/>
            <w:left w:val="none" w:sz="0" w:space="0" w:color="auto"/>
            <w:bottom w:val="none" w:sz="0" w:space="0" w:color="auto"/>
            <w:right w:val="none" w:sz="0" w:space="0" w:color="auto"/>
          </w:divBdr>
        </w:div>
        <w:div w:id="810639741">
          <w:marLeft w:val="1267"/>
          <w:marRight w:val="0"/>
          <w:marTop w:val="0"/>
          <w:marBottom w:val="0"/>
          <w:divBdr>
            <w:top w:val="none" w:sz="0" w:space="0" w:color="auto"/>
            <w:left w:val="none" w:sz="0" w:space="0" w:color="auto"/>
            <w:bottom w:val="none" w:sz="0" w:space="0" w:color="auto"/>
            <w:right w:val="none" w:sz="0" w:space="0" w:color="auto"/>
          </w:divBdr>
        </w:div>
        <w:div w:id="299919133">
          <w:marLeft w:val="1267"/>
          <w:marRight w:val="0"/>
          <w:marTop w:val="0"/>
          <w:marBottom w:val="0"/>
          <w:divBdr>
            <w:top w:val="none" w:sz="0" w:space="0" w:color="auto"/>
            <w:left w:val="none" w:sz="0" w:space="0" w:color="auto"/>
            <w:bottom w:val="none" w:sz="0" w:space="0" w:color="auto"/>
            <w:right w:val="none" w:sz="0" w:space="0" w:color="auto"/>
          </w:divBdr>
        </w:div>
        <w:div w:id="1339500911">
          <w:marLeft w:val="1267"/>
          <w:marRight w:val="0"/>
          <w:marTop w:val="0"/>
          <w:marBottom w:val="0"/>
          <w:divBdr>
            <w:top w:val="none" w:sz="0" w:space="0" w:color="auto"/>
            <w:left w:val="none" w:sz="0" w:space="0" w:color="auto"/>
            <w:bottom w:val="none" w:sz="0" w:space="0" w:color="auto"/>
            <w:right w:val="none" w:sz="0" w:space="0" w:color="auto"/>
          </w:divBdr>
        </w:div>
        <w:div w:id="701397552">
          <w:marLeft w:val="1267"/>
          <w:marRight w:val="0"/>
          <w:marTop w:val="0"/>
          <w:marBottom w:val="0"/>
          <w:divBdr>
            <w:top w:val="none" w:sz="0" w:space="0" w:color="auto"/>
            <w:left w:val="none" w:sz="0" w:space="0" w:color="auto"/>
            <w:bottom w:val="none" w:sz="0" w:space="0" w:color="auto"/>
            <w:right w:val="none" w:sz="0" w:space="0" w:color="auto"/>
          </w:divBdr>
        </w:div>
        <w:div w:id="62459668">
          <w:marLeft w:val="1267"/>
          <w:marRight w:val="0"/>
          <w:marTop w:val="0"/>
          <w:marBottom w:val="0"/>
          <w:divBdr>
            <w:top w:val="none" w:sz="0" w:space="0" w:color="auto"/>
            <w:left w:val="none" w:sz="0" w:space="0" w:color="auto"/>
            <w:bottom w:val="none" w:sz="0" w:space="0" w:color="auto"/>
            <w:right w:val="none" w:sz="0" w:space="0" w:color="auto"/>
          </w:divBdr>
        </w:div>
      </w:divsChild>
    </w:div>
    <w:div w:id="211027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raduateinstitute.ch/fr/home/executive/masters_executive/advocacy/information_3/facilities_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B0D6C-E49E-4FCF-89E5-2F50E9C7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3368</Words>
  <Characters>19200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ASHMORE Joseph</dc:creator>
  <cp:lastModifiedBy>Pablo MEDINA</cp:lastModifiedBy>
  <cp:revision>2</cp:revision>
  <dcterms:created xsi:type="dcterms:W3CDTF">2015-04-10T13:53:00Z</dcterms:created>
  <dcterms:modified xsi:type="dcterms:W3CDTF">2015-04-10T13:53:00Z</dcterms:modified>
</cp:coreProperties>
</file>