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5C2A8" w14:textId="77777777" w:rsidR="002B7A27" w:rsidRDefault="002B7A27" w:rsidP="002B7A27">
      <w:pPr>
        <w:pStyle w:val="GeneralHeading1"/>
        <w:jc w:val="center"/>
        <w:rPr>
          <w:sz w:val="24"/>
        </w:rPr>
      </w:pPr>
      <w:bookmarkStart w:id="0" w:name="DocumentBody"/>
      <w:bookmarkEnd w:id="0"/>
      <w:r>
        <w:rPr>
          <w:sz w:val="24"/>
        </w:rPr>
        <w:t xml:space="preserve">Housing, Land and Property Mapping Project </w:t>
      </w:r>
    </w:p>
    <w:p w14:paraId="0E59A43D" w14:textId="42FE1226" w:rsidR="002B7A27" w:rsidRDefault="002B7A27" w:rsidP="002B7A27">
      <w:pPr>
        <w:pStyle w:val="GeneralHeading1"/>
        <w:jc w:val="center"/>
        <w:rPr>
          <w:sz w:val="24"/>
        </w:rPr>
      </w:pPr>
      <w:r>
        <w:rPr>
          <w:sz w:val="24"/>
        </w:rPr>
        <w:t>Indonesia</w:t>
      </w:r>
    </w:p>
    <w:p w14:paraId="1FFE7FA5" w14:textId="77777777" w:rsidR="002B7A27" w:rsidRDefault="002B7A27" w:rsidP="002B7A27"/>
    <w:p w14:paraId="01739B5C" w14:textId="77777777" w:rsidR="002B7A27" w:rsidRPr="00E01A31" w:rsidRDefault="002B7A27" w:rsidP="002B7A27">
      <w:pPr>
        <w:rPr>
          <w:b/>
          <w:sz w:val="22"/>
          <w:szCs w:val="22"/>
        </w:rPr>
      </w:pPr>
      <w:r w:rsidRPr="00E01A31">
        <w:rPr>
          <w:b/>
          <w:sz w:val="22"/>
          <w:szCs w:val="22"/>
        </w:rPr>
        <w:t>Background</w:t>
      </w:r>
    </w:p>
    <w:p w14:paraId="4B1BD7A9" w14:textId="77777777" w:rsidR="002B7A27" w:rsidRDefault="002B7A27" w:rsidP="002B7A27">
      <w:r>
        <w:t>The following fact sheet and research memo have been developed to provide quick and key information of the legal and procedural context relating to Housing, Land and Property (HLP) within the target country. They are intended to inform programming and emergency responses, especially those involving shelter interventions. A rapid understanding of the tenure landscape in each country context can assist in delivering stronger and more equitable responses, however these documents are not intended to be legal advice.</w:t>
      </w:r>
    </w:p>
    <w:p w14:paraId="062D53ED" w14:textId="77777777" w:rsidR="002B7A27" w:rsidRDefault="002B7A27" w:rsidP="002B7A27">
      <w:r>
        <w:t>The HLP mapping project has been undertaken by Allens lawyers, using templates developed by the Australian Red Cross (ARC) and the International Federation of the Red Cross and Red Crescent Societies (IFRC). All of the research has gone through a verification process with in country lawyers and/or country experts.</w:t>
      </w:r>
    </w:p>
    <w:p w14:paraId="13F96EC3" w14:textId="77777777" w:rsidR="002B7A27" w:rsidRDefault="002B7A27" w:rsidP="002B7A27"/>
    <w:p w14:paraId="631AE323" w14:textId="77777777" w:rsidR="002B7A27" w:rsidRPr="00E01A31" w:rsidRDefault="002B7A27" w:rsidP="002B7A27">
      <w:pPr>
        <w:rPr>
          <w:b/>
          <w:sz w:val="22"/>
          <w:szCs w:val="22"/>
        </w:rPr>
      </w:pPr>
      <w:r w:rsidRPr="00E01A31">
        <w:rPr>
          <w:b/>
          <w:sz w:val="22"/>
          <w:szCs w:val="22"/>
        </w:rPr>
        <w:t>Document Change Management</w:t>
      </w:r>
    </w:p>
    <w:p w14:paraId="1988ADAD" w14:textId="77777777" w:rsidR="002B7A27" w:rsidRDefault="002B7A27" w:rsidP="002B7A27">
      <w:r>
        <w:t>These documents are intended to be used and updated as necessary to ensure that they are always providing the most current and relevant information.  We would appreciate ongoing feedback and updates from those working in country, in response or preparedness.</w:t>
      </w:r>
    </w:p>
    <w:p w14:paraId="2B7B9845" w14:textId="77777777" w:rsidR="002B7A27" w:rsidRDefault="002B7A27" w:rsidP="002B7A27">
      <w:r>
        <w:t xml:space="preserve">If you would like to make any changes to the document, please submit to the document manager Leeanne Marshall via the below table. </w:t>
      </w:r>
    </w:p>
    <w:p w14:paraId="3F8D616A" w14:textId="77777777" w:rsidR="002B7A27" w:rsidRDefault="002B7A27" w:rsidP="002B7A27"/>
    <w:tbl>
      <w:tblPr>
        <w:tblStyle w:val="TableGrid"/>
        <w:tblW w:w="5050" w:type="pct"/>
        <w:tblLook w:val="04A0" w:firstRow="1" w:lastRow="0" w:firstColumn="1" w:lastColumn="0" w:noHBand="0" w:noVBand="1"/>
      </w:tblPr>
      <w:tblGrid>
        <w:gridCol w:w="1655"/>
        <w:gridCol w:w="2649"/>
        <w:gridCol w:w="4374"/>
        <w:gridCol w:w="990"/>
      </w:tblGrid>
      <w:tr w:rsidR="002B7A27" w:rsidRPr="002B7A27" w14:paraId="1B4E33DB" w14:textId="77777777" w:rsidTr="002B7A27">
        <w:trPr>
          <w:trHeight w:val="20"/>
        </w:trPr>
        <w:tc>
          <w:tcPr>
            <w:tcW w:w="856" w:type="pct"/>
            <w:tcBorders>
              <w:top w:val="single" w:sz="4" w:space="0" w:color="auto"/>
              <w:left w:val="single" w:sz="4" w:space="0" w:color="auto"/>
              <w:bottom w:val="single" w:sz="4" w:space="0" w:color="auto"/>
              <w:right w:val="single" w:sz="4" w:space="0" w:color="auto"/>
            </w:tcBorders>
            <w:hideMark/>
          </w:tcPr>
          <w:p w14:paraId="2DDEEAE3" w14:textId="77777777" w:rsidR="002B7A27" w:rsidRPr="00EE5A6D" w:rsidRDefault="002B7A27">
            <w:pPr>
              <w:rPr>
                <w:rFonts w:eastAsia="Times New Roman" w:cs="Times New Roman"/>
                <w:b/>
                <w:sz w:val="20"/>
                <w:szCs w:val="20"/>
                <w:lang w:eastAsia="en-AU"/>
              </w:rPr>
            </w:pPr>
            <w:r w:rsidRPr="00EE5A6D">
              <w:rPr>
                <w:b/>
                <w:sz w:val="20"/>
                <w:szCs w:val="20"/>
              </w:rPr>
              <w:t>Title</w:t>
            </w:r>
          </w:p>
        </w:tc>
        <w:tc>
          <w:tcPr>
            <w:tcW w:w="4144" w:type="pct"/>
            <w:gridSpan w:val="3"/>
            <w:tcBorders>
              <w:top w:val="single" w:sz="4" w:space="0" w:color="auto"/>
              <w:left w:val="single" w:sz="4" w:space="0" w:color="auto"/>
              <w:bottom w:val="single" w:sz="4" w:space="0" w:color="auto"/>
              <w:right w:val="single" w:sz="4" w:space="0" w:color="auto"/>
            </w:tcBorders>
            <w:hideMark/>
          </w:tcPr>
          <w:p w14:paraId="5BE5D5F6" w14:textId="4E5834F2" w:rsidR="002B7A27" w:rsidRPr="00EE5A6D" w:rsidRDefault="002B7A27">
            <w:pPr>
              <w:rPr>
                <w:rFonts w:eastAsia="Times New Roman" w:cs="Times New Roman"/>
                <w:sz w:val="20"/>
                <w:szCs w:val="20"/>
                <w:lang w:eastAsia="en-AU"/>
              </w:rPr>
            </w:pPr>
            <w:r w:rsidRPr="00EE5A6D">
              <w:rPr>
                <w:sz w:val="20"/>
                <w:szCs w:val="20"/>
              </w:rPr>
              <w:t>Indonesia HLP Profile</w:t>
            </w:r>
          </w:p>
        </w:tc>
      </w:tr>
      <w:tr w:rsidR="002B7A27" w:rsidRPr="002B7A27" w14:paraId="124BB776" w14:textId="77777777" w:rsidTr="002B7A27">
        <w:trPr>
          <w:trHeight w:val="20"/>
        </w:trPr>
        <w:tc>
          <w:tcPr>
            <w:tcW w:w="856" w:type="pct"/>
            <w:tcBorders>
              <w:top w:val="single" w:sz="4" w:space="0" w:color="auto"/>
              <w:left w:val="single" w:sz="4" w:space="0" w:color="auto"/>
              <w:bottom w:val="single" w:sz="4" w:space="0" w:color="auto"/>
              <w:right w:val="single" w:sz="4" w:space="0" w:color="auto"/>
            </w:tcBorders>
            <w:hideMark/>
          </w:tcPr>
          <w:p w14:paraId="22282B35" w14:textId="77777777" w:rsidR="002B7A27" w:rsidRPr="00EE5A6D" w:rsidRDefault="002B7A27">
            <w:pPr>
              <w:rPr>
                <w:rFonts w:eastAsia="Times New Roman" w:cs="Times New Roman"/>
                <w:b/>
                <w:sz w:val="20"/>
                <w:szCs w:val="20"/>
                <w:lang w:eastAsia="en-AU"/>
              </w:rPr>
            </w:pPr>
            <w:r w:rsidRPr="00EE5A6D">
              <w:rPr>
                <w:b/>
                <w:sz w:val="20"/>
                <w:szCs w:val="20"/>
              </w:rPr>
              <w:t>Description</w:t>
            </w:r>
          </w:p>
        </w:tc>
        <w:tc>
          <w:tcPr>
            <w:tcW w:w="4144" w:type="pct"/>
            <w:gridSpan w:val="3"/>
            <w:tcBorders>
              <w:top w:val="single" w:sz="4" w:space="0" w:color="auto"/>
              <w:left w:val="single" w:sz="4" w:space="0" w:color="auto"/>
              <w:bottom w:val="single" w:sz="4" w:space="0" w:color="auto"/>
              <w:right w:val="single" w:sz="4" w:space="0" w:color="auto"/>
            </w:tcBorders>
            <w:hideMark/>
          </w:tcPr>
          <w:p w14:paraId="7A0E5123" w14:textId="77777777" w:rsidR="002B7A27" w:rsidRPr="00EE5A6D" w:rsidRDefault="002B7A27">
            <w:pPr>
              <w:rPr>
                <w:rFonts w:eastAsia="Times New Roman" w:cs="Times New Roman"/>
                <w:sz w:val="20"/>
                <w:szCs w:val="20"/>
                <w:lang w:eastAsia="en-AU"/>
              </w:rPr>
            </w:pPr>
            <w:r w:rsidRPr="00EE5A6D">
              <w:rPr>
                <w:sz w:val="20"/>
                <w:szCs w:val="20"/>
              </w:rPr>
              <w:t>Fact Sheet and Research Memo</w:t>
            </w:r>
          </w:p>
        </w:tc>
      </w:tr>
      <w:tr w:rsidR="002B7A27" w:rsidRPr="002B7A27" w14:paraId="70D6D84E" w14:textId="77777777" w:rsidTr="002B7A27">
        <w:trPr>
          <w:trHeight w:val="20"/>
        </w:trPr>
        <w:tc>
          <w:tcPr>
            <w:tcW w:w="856" w:type="pct"/>
            <w:tcBorders>
              <w:top w:val="single" w:sz="4" w:space="0" w:color="auto"/>
              <w:left w:val="single" w:sz="4" w:space="0" w:color="auto"/>
              <w:bottom w:val="single" w:sz="4" w:space="0" w:color="auto"/>
              <w:right w:val="single" w:sz="4" w:space="0" w:color="auto"/>
            </w:tcBorders>
            <w:hideMark/>
          </w:tcPr>
          <w:p w14:paraId="7DC9D433" w14:textId="77777777" w:rsidR="002B7A27" w:rsidRPr="00EE5A6D" w:rsidRDefault="002B7A27">
            <w:pPr>
              <w:rPr>
                <w:rFonts w:eastAsia="Times New Roman" w:cs="Times New Roman"/>
                <w:b/>
                <w:sz w:val="20"/>
                <w:szCs w:val="20"/>
                <w:lang w:eastAsia="en-AU"/>
              </w:rPr>
            </w:pPr>
            <w:r w:rsidRPr="00EE5A6D">
              <w:rPr>
                <w:b/>
                <w:sz w:val="20"/>
                <w:szCs w:val="20"/>
              </w:rPr>
              <w:t>Created By</w:t>
            </w:r>
          </w:p>
        </w:tc>
        <w:tc>
          <w:tcPr>
            <w:tcW w:w="4144" w:type="pct"/>
            <w:gridSpan w:val="3"/>
            <w:tcBorders>
              <w:top w:val="single" w:sz="4" w:space="0" w:color="auto"/>
              <w:left w:val="single" w:sz="4" w:space="0" w:color="auto"/>
              <w:bottom w:val="single" w:sz="4" w:space="0" w:color="auto"/>
              <w:right w:val="single" w:sz="4" w:space="0" w:color="auto"/>
            </w:tcBorders>
            <w:hideMark/>
          </w:tcPr>
          <w:p w14:paraId="42DE9A6B" w14:textId="77777777" w:rsidR="002B7A27" w:rsidRPr="00EE5A6D" w:rsidRDefault="002B7A27">
            <w:pPr>
              <w:rPr>
                <w:rFonts w:eastAsia="Times New Roman" w:cs="Times New Roman"/>
                <w:sz w:val="20"/>
                <w:szCs w:val="20"/>
                <w:lang w:eastAsia="en-AU"/>
              </w:rPr>
            </w:pPr>
            <w:r w:rsidRPr="00EE5A6D">
              <w:rPr>
                <w:sz w:val="20"/>
                <w:szCs w:val="20"/>
              </w:rPr>
              <w:t>Allens Lawyers, Australian Red Cross, IFRC</w:t>
            </w:r>
          </w:p>
        </w:tc>
      </w:tr>
      <w:tr w:rsidR="002B7A27" w14:paraId="58DE9CF6" w14:textId="77777777" w:rsidTr="002B7A27">
        <w:trPr>
          <w:trHeight w:val="20"/>
        </w:trPr>
        <w:tc>
          <w:tcPr>
            <w:tcW w:w="856" w:type="pct"/>
            <w:tcBorders>
              <w:top w:val="single" w:sz="4" w:space="0" w:color="auto"/>
              <w:left w:val="single" w:sz="4" w:space="0" w:color="auto"/>
              <w:bottom w:val="single" w:sz="4" w:space="0" w:color="auto"/>
              <w:right w:val="single" w:sz="4" w:space="0" w:color="auto"/>
            </w:tcBorders>
            <w:hideMark/>
          </w:tcPr>
          <w:p w14:paraId="7D351594" w14:textId="77777777" w:rsidR="002B7A27" w:rsidRPr="00EE5A6D" w:rsidRDefault="002B7A27">
            <w:pPr>
              <w:rPr>
                <w:rFonts w:eastAsia="Times New Roman" w:cs="Times New Roman"/>
                <w:b/>
                <w:sz w:val="20"/>
                <w:szCs w:val="20"/>
                <w:lang w:eastAsia="en-AU"/>
              </w:rPr>
            </w:pPr>
            <w:r w:rsidRPr="00EE5A6D">
              <w:rPr>
                <w:b/>
                <w:sz w:val="20"/>
                <w:szCs w:val="20"/>
              </w:rPr>
              <w:t>Date Created</w:t>
            </w:r>
          </w:p>
        </w:tc>
        <w:tc>
          <w:tcPr>
            <w:tcW w:w="4144" w:type="pct"/>
            <w:gridSpan w:val="3"/>
            <w:tcBorders>
              <w:top w:val="single" w:sz="4" w:space="0" w:color="auto"/>
              <w:left w:val="single" w:sz="4" w:space="0" w:color="auto"/>
              <w:bottom w:val="single" w:sz="4" w:space="0" w:color="auto"/>
              <w:right w:val="single" w:sz="4" w:space="0" w:color="auto"/>
            </w:tcBorders>
            <w:hideMark/>
          </w:tcPr>
          <w:p w14:paraId="7889C885" w14:textId="77777777" w:rsidR="002B7A27" w:rsidRPr="00EE5A6D" w:rsidRDefault="002B7A27">
            <w:pPr>
              <w:rPr>
                <w:rFonts w:eastAsia="Times New Roman" w:cs="Times New Roman"/>
                <w:sz w:val="20"/>
                <w:szCs w:val="20"/>
                <w:lang w:eastAsia="en-AU"/>
              </w:rPr>
            </w:pPr>
            <w:r w:rsidRPr="00EE5A6D">
              <w:rPr>
                <w:sz w:val="20"/>
                <w:szCs w:val="20"/>
              </w:rPr>
              <w:t>May 2018</w:t>
            </w:r>
          </w:p>
        </w:tc>
      </w:tr>
      <w:tr w:rsidR="002B7A27" w:rsidRPr="002B7A27" w14:paraId="4DA66F87" w14:textId="77777777" w:rsidTr="002B7A27">
        <w:trPr>
          <w:trHeight w:val="20"/>
        </w:trPr>
        <w:tc>
          <w:tcPr>
            <w:tcW w:w="856" w:type="pct"/>
            <w:tcBorders>
              <w:top w:val="single" w:sz="4" w:space="0" w:color="auto"/>
              <w:left w:val="single" w:sz="4" w:space="0" w:color="auto"/>
              <w:bottom w:val="single" w:sz="4" w:space="0" w:color="auto"/>
              <w:right w:val="single" w:sz="4" w:space="0" w:color="auto"/>
            </w:tcBorders>
            <w:hideMark/>
          </w:tcPr>
          <w:p w14:paraId="6F3872F0" w14:textId="77777777" w:rsidR="002B7A27" w:rsidRPr="00EE5A6D" w:rsidRDefault="002B7A27">
            <w:pPr>
              <w:rPr>
                <w:rFonts w:eastAsia="Times New Roman" w:cs="Times New Roman"/>
                <w:b/>
                <w:sz w:val="20"/>
                <w:szCs w:val="20"/>
                <w:lang w:eastAsia="en-AU"/>
              </w:rPr>
            </w:pPr>
            <w:r w:rsidRPr="00EE5A6D">
              <w:rPr>
                <w:b/>
                <w:sz w:val="20"/>
                <w:szCs w:val="20"/>
              </w:rPr>
              <w:t>Maintained by</w:t>
            </w:r>
          </w:p>
        </w:tc>
        <w:tc>
          <w:tcPr>
            <w:tcW w:w="4144" w:type="pct"/>
            <w:gridSpan w:val="3"/>
            <w:tcBorders>
              <w:top w:val="single" w:sz="4" w:space="0" w:color="auto"/>
              <w:left w:val="single" w:sz="4" w:space="0" w:color="auto"/>
              <w:bottom w:val="single" w:sz="4" w:space="0" w:color="auto"/>
              <w:right w:val="single" w:sz="4" w:space="0" w:color="auto"/>
            </w:tcBorders>
            <w:hideMark/>
          </w:tcPr>
          <w:p w14:paraId="639E5EC4" w14:textId="77777777" w:rsidR="002B7A27" w:rsidRPr="00EE5A6D" w:rsidRDefault="002B7A27">
            <w:pPr>
              <w:rPr>
                <w:rFonts w:eastAsia="Times New Roman" w:cs="Times New Roman"/>
                <w:sz w:val="20"/>
                <w:szCs w:val="20"/>
                <w:lang w:eastAsia="en-AU"/>
              </w:rPr>
            </w:pPr>
            <w:r w:rsidRPr="00EE5A6D">
              <w:rPr>
                <w:sz w:val="20"/>
                <w:szCs w:val="20"/>
              </w:rPr>
              <w:t xml:space="preserve">Leeanne Marshall </w:t>
            </w:r>
            <w:hyperlink r:id="rId9" w:history="1">
              <w:r w:rsidRPr="00EE5A6D">
                <w:rPr>
                  <w:rStyle w:val="Hyperlink"/>
                  <w:sz w:val="20"/>
                  <w:szCs w:val="20"/>
                </w:rPr>
                <w:t>lemarshall@redcross.org.au</w:t>
              </w:r>
            </w:hyperlink>
            <w:r w:rsidRPr="00EE5A6D">
              <w:rPr>
                <w:sz w:val="20"/>
                <w:szCs w:val="20"/>
              </w:rPr>
              <w:t xml:space="preserve">   </w:t>
            </w:r>
          </w:p>
        </w:tc>
      </w:tr>
      <w:tr w:rsidR="002B7A27" w14:paraId="59E2F964" w14:textId="77777777" w:rsidTr="002B7A27">
        <w:trPr>
          <w:trHeight w:val="20"/>
        </w:trPr>
        <w:tc>
          <w:tcPr>
            <w:tcW w:w="856" w:type="pct"/>
            <w:tcBorders>
              <w:top w:val="single" w:sz="4" w:space="0" w:color="auto"/>
              <w:left w:val="single" w:sz="4" w:space="0" w:color="auto"/>
              <w:bottom w:val="single" w:sz="4" w:space="0" w:color="auto"/>
              <w:right w:val="single" w:sz="4" w:space="0" w:color="auto"/>
            </w:tcBorders>
            <w:hideMark/>
          </w:tcPr>
          <w:p w14:paraId="05115E38" w14:textId="77777777" w:rsidR="002B7A27" w:rsidRPr="00EE5A6D" w:rsidRDefault="002B7A27">
            <w:pPr>
              <w:rPr>
                <w:rFonts w:eastAsia="Times New Roman" w:cs="Times New Roman"/>
                <w:b/>
                <w:sz w:val="20"/>
                <w:szCs w:val="20"/>
                <w:lang w:eastAsia="en-AU"/>
              </w:rPr>
            </w:pPr>
            <w:r w:rsidRPr="00EE5A6D">
              <w:rPr>
                <w:b/>
                <w:sz w:val="20"/>
                <w:szCs w:val="20"/>
              </w:rPr>
              <w:t>Date</w:t>
            </w:r>
          </w:p>
        </w:tc>
        <w:tc>
          <w:tcPr>
            <w:tcW w:w="1370" w:type="pct"/>
            <w:tcBorders>
              <w:top w:val="single" w:sz="4" w:space="0" w:color="auto"/>
              <w:left w:val="single" w:sz="4" w:space="0" w:color="auto"/>
              <w:bottom w:val="single" w:sz="4" w:space="0" w:color="auto"/>
              <w:right w:val="single" w:sz="4" w:space="0" w:color="auto"/>
            </w:tcBorders>
            <w:hideMark/>
          </w:tcPr>
          <w:p w14:paraId="06584B76" w14:textId="77777777" w:rsidR="002B7A27" w:rsidRPr="00EE5A6D" w:rsidRDefault="002B7A27">
            <w:pPr>
              <w:rPr>
                <w:b/>
                <w:sz w:val="20"/>
                <w:szCs w:val="20"/>
              </w:rPr>
            </w:pPr>
            <w:r w:rsidRPr="00EE5A6D">
              <w:rPr>
                <w:b/>
                <w:sz w:val="20"/>
                <w:szCs w:val="20"/>
              </w:rPr>
              <w:t>Submitted by</w:t>
            </w:r>
          </w:p>
          <w:p w14:paraId="04539B6D" w14:textId="77777777" w:rsidR="002B7A27" w:rsidRPr="00EE5A6D" w:rsidRDefault="002B7A27">
            <w:pPr>
              <w:rPr>
                <w:rFonts w:eastAsia="Times New Roman" w:cs="Times New Roman"/>
                <w:sz w:val="20"/>
                <w:szCs w:val="20"/>
                <w:lang w:eastAsia="en-AU"/>
              </w:rPr>
            </w:pPr>
            <w:r w:rsidRPr="00EE5A6D">
              <w:rPr>
                <w:sz w:val="20"/>
                <w:szCs w:val="20"/>
              </w:rPr>
              <w:t>(name, organisation, email)</w:t>
            </w:r>
          </w:p>
        </w:tc>
        <w:tc>
          <w:tcPr>
            <w:tcW w:w="2262" w:type="pct"/>
            <w:tcBorders>
              <w:top w:val="single" w:sz="4" w:space="0" w:color="auto"/>
              <w:left w:val="single" w:sz="4" w:space="0" w:color="auto"/>
              <w:bottom w:val="single" w:sz="4" w:space="0" w:color="auto"/>
              <w:right w:val="single" w:sz="4" w:space="0" w:color="auto"/>
            </w:tcBorders>
            <w:hideMark/>
          </w:tcPr>
          <w:p w14:paraId="167E68DC" w14:textId="77777777" w:rsidR="002B7A27" w:rsidRPr="00EE5A6D" w:rsidRDefault="002B7A27">
            <w:pPr>
              <w:rPr>
                <w:b/>
                <w:sz w:val="20"/>
                <w:szCs w:val="20"/>
              </w:rPr>
            </w:pPr>
            <w:r w:rsidRPr="00EE5A6D">
              <w:rPr>
                <w:b/>
                <w:sz w:val="20"/>
                <w:szCs w:val="20"/>
              </w:rPr>
              <w:t>Suggested amendments</w:t>
            </w:r>
          </w:p>
          <w:p w14:paraId="0A89859C" w14:textId="77777777" w:rsidR="002B7A27" w:rsidRPr="00EE5A6D" w:rsidRDefault="002B7A27">
            <w:pPr>
              <w:rPr>
                <w:rFonts w:eastAsia="Times New Roman" w:cs="Times New Roman"/>
                <w:sz w:val="20"/>
                <w:szCs w:val="20"/>
                <w:lang w:eastAsia="en-AU"/>
              </w:rPr>
            </w:pPr>
            <w:r w:rsidRPr="00EE5A6D">
              <w:rPr>
                <w:sz w:val="20"/>
                <w:szCs w:val="20"/>
              </w:rPr>
              <w:t>(please indicate section, paragraph, page as needed)</w:t>
            </w:r>
          </w:p>
        </w:tc>
        <w:tc>
          <w:tcPr>
            <w:tcW w:w="512" w:type="pct"/>
            <w:tcBorders>
              <w:top w:val="single" w:sz="4" w:space="0" w:color="auto"/>
              <w:left w:val="single" w:sz="4" w:space="0" w:color="auto"/>
              <w:bottom w:val="single" w:sz="4" w:space="0" w:color="auto"/>
              <w:right w:val="single" w:sz="4" w:space="0" w:color="auto"/>
            </w:tcBorders>
            <w:hideMark/>
          </w:tcPr>
          <w:p w14:paraId="58D7624D" w14:textId="77777777" w:rsidR="002B7A27" w:rsidRPr="00EE5A6D" w:rsidRDefault="002B7A27">
            <w:pPr>
              <w:rPr>
                <w:rFonts w:eastAsia="Times New Roman" w:cs="Times New Roman"/>
                <w:b/>
                <w:sz w:val="20"/>
                <w:szCs w:val="20"/>
                <w:lang w:eastAsia="en-AU"/>
              </w:rPr>
            </w:pPr>
            <w:r w:rsidRPr="00EE5A6D">
              <w:rPr>
                <w:b/>
                <w:sz w:val="20"/>
                <w:szCs w:val="20"/>
              </w:rPr>
              <w:t>Sta</w:t>
            </w:r>
            <w:bookmarkStart w:id="1" w:name="_GoBack"/>
            <w:bookmarkEnd w:id="1"/>
            <w:r w:rsidRPr="00EE5A6D">
              <w:rPr>
                <w:b/>
                <w:sz w:val="20"/>
                <w:szCs w:val="20"/>
              </w:rPr>
              <w:t>tus</w:t>
            </w:r>
          </w:p>
        </w:tc>
      </w:tr>
      <w:tr w:rsidR="002B7A27" w14:paraId="6AB45A16" w14:textId="77777777" w:rsidTr="002B7A27">
        <w:trPr>
          <w:trHeight w:val="20"/>
        </w:trPr>
        <w:tc>
          <w:tcPr>
            <w:tcW w:w="856" w:type="pct"/>
            <w:tcBorders>
              <w:top w:val="single" w:sz="4" w:space="0" w:color="auto"/>
              <w:left w:val="single" w:sz="4" w:space="0" w:color="auto"/>
              <w:bottom w:val="single" w:sz="4" w:space="0" w:color="auto"/>
              <w:right w:val="single" w:sz="4" w:space="0" w:color="auto"/>
            </w:tcBorders>
          </w:tcPr>
          <w:p w14:paraId="73864DDD" w14:textId="77777777" w:rsidR="002B7A27" w:rsidRDefault="002B7A27">
            <w:pPr>
              <w:rPr>
                <w:rFonts w:eastAsia="Times New Roman" w:cs="Times New Roman"/>
                <w:lang w:eastAsia="en-AU"/>
              </w:rPr>
            </w:pPr>
          </w:p>
        </w:tc>
        <w:tc>
          <w:tcPr>
            <w:tcW w:w="1370" w:type="pct"/>
            <w:tcBorders>
              <w:top w:val="single" w:sz="4" w:space="0" w:color="auto"/>
              <w:left w:val="single" w:sz="4" w:space="0" w:color="auto"/>
              <w:bottom w:val="single" w:sz="4" w:space="0" w:color="auto"/>
              <w:right w:val="single" w:sz="4" w:space="0" w:color="auto"/>
            </w:tcBorders>
          </w:tcPr>
          <w:p w14:paraId="0265FDA4" w14:textId="77777777" w:rsidR="002B7A27" w:rsidRDefault="002B7A27">
            <w:pPr>
              <w:rPr>
                <w:rFonts w:eastAsia="Times New Roman" w:cs="Times New Roman"/>
                <w:lang w:eastAsia="en-AU"/>
              </w:rPr>
            </w:pPr>
          </w:p>
        </w:tc>
        <w:tc>
          <w:tcPr>
            <w:tcW w:w="2262" w:type="pct"/>
            <w:tcBorders>
              <w:top w:val="single" w:sz="4" w:space="0" w:color="auto"/>
              <w:left w:val="single" w:sz="4" w:space="0" w:color="auto"/>
              <w:bottom w:val="single" w:sz="4" w:space="0" w:color="auto"/>
              <w:right w:val="single" w:sz="4" w:space="0" w:color="auto"/>
            </w:tcBorders>
          </w:tcPr>
          <w:p w14:paraId="1DC034B4" w14:textId="77777777" w:rsidR="002B7A27" w:rsidRDefault="002B7A27">
            <w:pPr>
              <w:rPr>
                <w:rFonts w:eastAsia="Times New Roman" w:cs="Times New Roman"/>
                <w:lang w:eastAsia="en-AU"/>
              </w:rPr>
            </w:pPr>
          </w:p>
        </w:tc>
        <w:tc>
          <w:tcPr>
            <w:tcW w:w="512" w:type="pct"/>
            <w:tcBorders>
              <w:top w:val="single" w:sz="4" w:space="0" w:color="auto"/>
              <w:left w:val="single" w:sz="4" w:space="0" w:color="auto"/>
              <w:bottom w:val="single" w:sz="4" w:space="0" w:color="auto"/>
              <w:right w:val="single" w:sz="4" w:space="0" w:color="auto"/>
            </w:tcBorders>
          </w:tcPr>
          <w:p w14:paraId="71B292BD" w14:textId="77777777" w:rsidR="002B7A27" w:rsidRDefault="002B7A27">
            <w:pPr>
              <w:rPr>
                <w:rFonts w:eastAsia="Times New Roman" w:cs="Times New Roman"/>
                <w:lang w:eastAsia="en-AU"/>
              </w:rPr>
            </w:pPr>
          </w:p>
        </w:tc>
      </w:tr>
      <w:tr w:rsidR="002B7A27" w14:paraId="5EF96DEF" w14:textId="77777777" w:rsidTr="002B7A27">
        <w:trPr>
          <w:trHeight w:val="20"/>
        </w:trPr>
        <w:tc>
          <w:tcPr>
            <w:tcW w:w="856" w:type="pct"/>
            <w:tcBorders>
              <w:top w:val="single" w:sz="4" w:space="0" w:color="auto"/>
              <w:left w:val="single" w:sz="4" w:space="0" w:color="auto"/>
              <w:bottom w:val="single" w:sz="4" w:space="0" w:color="auto"/>
              <w:right w:val="single" w:sz="4" w:space="0" w:color="auto"/>
            </w:tcBorders>
          </w:tcPr>
          <w:p w14:paraId="23F100BE" w14:textId="77777777" w:rsidR="002B7A27" w:rsidRDefault="002B7A27">
            <w:pPr>
              <w:rPr>
                <w:rFonts w:eastAsia="Times New Roman" w:cs="Times New Roman"/>
                <w:lang w:eastAsia="en-AU"/>
              </w:rPr>
            </w:pPr>
          </w:p>
        </w:tc>
        <w:tc>
          <w:tcPr>
            <w:tcW w:w="1370" w:type="pct"/>
            <w:tcBorders>
              <w:top w:val="single" w:sz="4" w:space="0" w:color="auto"/>
              <w:left w:val="single" w:sz="4" w:space="0" w:color="auto"/>
              <w:bottom w:val="single" w:sz="4" w:space="0" w:color="auto"/>
              <w:right w:val="single" w:sz="4" w:space="0" w:color="auto"/>
            </w:tcBorders>
          </w:tcPr>
          <w:p w14:paraId="6FB65170" w14:textId="77777777" w:rsidR="002B7A27" w:rsidRDefault="002B7A27">
            <w:pPr>
              <w:rPr>
                <w:rFonts w:eastAsia="Times New Roman" w:cs="Times New Roman"/>
                <w:lang w:eastAsia="en-AU"/>
              </w:rPr>
            </w:pPr>
          </w:p>
        </w:tc>
        <w:tc>
          <w:tcPr>
            <w:tcW w:w="2262" w:type="pct"/>
            <w:tcBorders>
              <w:top w:val="single" w:sz="4" w:space="0" w:color="auto"/>
              <w:left w:val="single" w:sz="4" w:space="0" w:color="auto"/>
              <w:bottom w:val="single" w:sz="4" w:space="0" w:color="auto"/>
              <w:right w:val="single" w:sz="4" w:space="0" w:color="auto"/>
            </w:tcBorders>
          </w:tcPr>
          <w:p w14:paraId="405F1C6A" w14:textId="77777777" w:rsidR="002B7A27" w:rsidRDefault="002B7A27">
            <w:pPr>
              <w:rPr>
                <w:rFonts w:eastAsia="Times New Roman" w:cs="Times New Roman"/>
                <w:lang w:eastAsia="en-AU"/>
              </w:rPr>
            </w:pPr>
          </w:p>
        </w:tc>
        <w:tc>
          <w:tcPr>
            <w:tcW w:w="512" w:type="pct"/>
            <w:tcBorders>
              <w:top w:val="single" w:sz="4" w:space="0" w:color="auto"/>
              <w:left w:val="single" w:sz="4" w:space="0" w:color="auto"/>
              <w:bottom w:val="single" w:sz="4" w:space="0" w:color="auto"/>
              <w:right w:val="single" w:sz="4" w:space="0" w:color="auto"/>
            </w:tcBorders>
          </w:tcPr>
          <w:p w14:paraId="1BD1E98C" w14:textId="77777777" w:rsidR="002B7A27" w:rsidRDefault="002B7A27">
            <w:pPr>
              <w:rPr>
                <w:rFonts w:eastAsia="Times New Roman" w:cs="Times New Roman"/>
                <w:lang w:eastAsia="en-AU"/>
              </w:rPr>
            </w:pPr>
          </w:p>
        </w:tc>
      </w:tr>
      <w:tr w:rsidR="002B7A27" w14:paraId="43A40B69" w14:textId="77777777" w:rsidTr="002B7A27">
        <w:trPr>
          <w:trHeight w:val="20"/>
        </w:trPr>
        <w:tc>
          <w:tcPr>
            <w:tcW w:w="856" w:type="pct"/>
            <w:tcBorders>
              <w:top w:val="single" w:sz="4" w:space="0" w:color="auto"/>
              <w:left w:val="single" w:sz="4" w:space="0" w:color="auto"/>
              <w:bottom w:val="single" w:sz="4" w:space="0" w:color="auto"/>
              <w:right w:val="single" w:sz="4" w:space="0" w:color="auto"/>
            </w:tcBorders>
          </w:tcPr>
          <w:p w14:paraId="21FB4E01" w14:textId="77777777" w:rsidR="002B7A27" w:rsidRDefault="002B7A27">
            <w:pPr>
              <w:rPr>
                <w:rFonts w:eastAsia="Times New Roman" w:cs="Times New Roman"/>
                <w:lang w:eastAsia="en-AU"/>
              </w:rPr>
            </w:pPr>
          </w:p>
        </w:tc>
        <w:tc>
          <w:tcPr>
            <w:tcW w:w="1370" w:type="pct"/>
            <w:tcBorders>
              <w:top w:val="single" w:sz="4" w:space="0" w:color="auto"/>
              <w:left w:val="single" w:sz="4" w:space="0" w:color="auto"/>
              <w:bottom w:val="single" w:sz="4" w:space="0" w:color="auto"/>
              <w:right w:val="single" w:sz="4" w:space="0" w:color="auto"/>
            </w:tcBorders>
          </w:tcPr>
          <w:p w14:paraId="40EC5095" w14:textId="77777777" w:rsidR="002B7A27" w:rsidRDefault="002B7A27">
            <w:pPr>
              <w:rPr>
                <w:rFonts w:eastAsia="Times New Roman" w:cs="Times New Roman"/>
                <w:lang w:eastAsia="en-AU"/>
              </w:rPr>
            </w:pPr>
          </w:p>
        </w:tc>
        <w:tc>
          <w:tcPr>
            <w:tcW w:w="2262" w:type="pct"/>
            <w:tcBorders>
              <w:top w:val="single" w:sz="4" w:space="0" w:color="auto"/>
              <w:left w:val="single" w:sz="4" w:space="0" w:color="auto"/>
              <w:bottom w:val="single" w:sz="4" w:space="0" w:color="auto"/>
              <w:right w:val="single" w:sz="4" w:space="0" w:color="auto"/>
            </w:tcBorders>
          </w:tcPr>
          <w:p w14:paraId="44DC4443" w14:textId="77777777" w:rsidR="002B7A27" w:rsidRDefault="002B7A27">
            <w:pPr>
              <w:rPr>
                <w:rFonts w:eastAsia="Times New Roman" w:cs="Times New Roman"/>
                <w:lang w:eastAsia="en-AU"/>
              </w:rPr>
            </w:pPr>
          </w:p>
        </w:tc>
        <w:tc>
          <w:tcPr>
            <w:tcW w:w="512" w:type="pct"/>
            <w:tcBorders>
              <w:top w:val="single" w:sz="4" w:space="0" w:color="auto"/>
              <w:left w:val="single" w:sz="4" w:space="0" w:color="auto"/>
              <w:bottom w:val="single" w:sz="4" w:space="0" w:color="auto"/>
              <w:right w:val="single" w:sz="4" w:space="0" w:color="auto"/>
            </w:tcBorders>
          </w:tcPr>
          <w:p w14:paraId="513399E7" w14:textId="77777777" w:rsidR="002B7A27" w:rsidRDefault="002B7A27">
            <w:pPr>
              <w:rPr>
                <w:rFonts w:eastAsia="Times New Roman" w:cs="Times New Roman"/>
                <w:lang w:eastAsia="en-AU"/>
              </w:rPr>
            </w:pPr>
          </w:p>
        </w:tc>
      </w:tr>
      <w:tr w:rsidR="002B7A27" w14:paraId="4C45884A" w14:textId="77777777" w:rsidTr="002B7A27">
        <w:trPr>
          <w:trHeight w:val="20"/>
        </w:trPr>
        <w:tc>
          <w:tcPr>
            <w:tcW w:w="856" w:type="pct"/>
            <w:tcBorders>
              <w:top w:val="single" w:sz="4" w:space="0" w:color="auto"/>
              <w:left w:val="single" w:sz="4" w:space="0" w:color="auto"/>
              <w:bottom w:val="single" w:sz="4" w:space="0" w:color="auto"/>
              <w:right w:val="single" w:sz="4" w:space="0" w:color="auto"/>
            </w:tcBorders>
          </w:tcPr>
          <w:p w14:paraId="0756827B" w14:textId="77777777" w:rsidR="002B7A27" w:rsidRDefault="002B7A27">
            <w:pPr>
              <w:rPr>
                <w:rFonts w:eastAsia="Times New Roman" w:cs="Times New Roman"/>
                <w:lang w:eastAsia="en-AU"/>
              </w:rPr>
            </w:pPr>
          </w:p>
        </w:tc>
        <w:tc>
          <w:tcPr>
            <w:tcW w:w="1370" w:type="pct"/>
            <w:tcBorders>
              <w:top w:val="single" w:sz="4" w:space="0" w:color="auto"/>
              <w:left w:val="single" w:sz="4" w:space="0" w:color="auto"/>
              <w:bottom w:val="single" w:sz="4" w:space="0" w:color="auto"/>
              <w:right w:val="single" w:sz="4" w:space="0" w:color="auto"/>
            </w:tcBorders>
          </w:tcPr>
          <w:p w14:paraId="1CD8592A" w14:textId="77777777" w:rsidR="002B7A27" w:rsidRDefault="002B7A27">
            <w:pPr>
              <w:rPr>
                <w:rFonts w:eastAsia="Times New Roman" w:cs="Times New Roman"/>
                <w:lang w:eastAsia="en-AU"/>
              </w:rPr>
            </w:pPr>
          </w:p>
        </w:tc>
        <w:tc>
          <w:tcPr>
            <w:tcW w:w="2262" w:type="pct"/>
            <w:tcBorders>
              <w:top w:val="single" w:sz="4" w:space="0" w:color="auto"/>
              <w:left w:val="single" w:sz="4" w:space="0" w:color="auto"/>
              <w:bottom w:val="single" w:sz="4" w:space="0" w:color="auto"/>
              <w:right w:val="single" w:sz="4" w:space="0" w:color="auto"/>
            </w:tcBorders>
          </w:tcPr>
          <w:p w14:paraId="32E167BE" w14:textId="77777777" w:rsidR="002B7A27" w:rsidRDefault="002B7A27">
            <w:pPr>
              <w:rPr>
                <w:rFonts w:eastAsia="Times New Roman" w:cs="Times New Roman"/>
                <w:lang w:eastAsia="en-AU"/>
              </w:rPr>
            </w:pPr>
          </w:p>
        </w:tc>
        <w:tc>
          <w:tcPr>
            <w:tcW w:w="512" w:type="pct"/>
            <w:tcBorders>
              <w:top w:val="single" w:sz="4" w:space="0" w:color="auto"/>
              <w:left w:val="single" w:sz="4" w:space="0" w:color="auto"/>
              <w:bottom w:val="single" w:sz="4" w:space="0" w:color="auto"/>
              <w:right w:val="single" w:sz="4" w:space="0" w:color="auto"/>
            </w:tcBorders>
          </w:tcPr>
          <w:p w14:paraId="0C55A271" w14:textId="77777777" w:rsidR="002B7A27" w:rsidRDefault="002B7A27">
            <w:pPr>
              <w:rPr>
                <w:rFonts w:eastAsia="Times New Roman" w:cs="Times New Roman"/>
                <w:lang w:eastAsia="en-AU"/>
              </w:rPr>
            </w:pPr>
          </w:p>
        </w:tc>
      </w:tr>
      <w:tr w:rsidR="002B7A27" w14:paraId="529C6A4C" w14:textId="77777777" w:rsidTr="002B7A27">
        <w:trPr>
          <w:trHeight w:val="20"/>
        </w:trPr>
        <w:tc>
          <w:tcPr>
            <w:tcW w:w="856" w:type="pct"/>
            <w:tcBorders>
              <w:top w:val="single" w:sz="4" w:space="0" w:color="auto"/>
              <w:left w:val="single" w:sz="4" w:space="0" w:color="auto"/>
              <w:bottom w:val="single" w:sz="4" w:space="0" w:color="auto"/>
              <w:right w:val="single" w:sz="4" w:space="0" w:color="auto"/>
            </w:tcBorders>
          </w:tcPr>
          <w:p w14:paraId="228A646A" w14:textId="77777777" w:rsidR="002B7A27" w:rsidRDefault="002B7A27">
            <w:pPr>
              <w:rPr>
                <w:rFonts w:eastAsia="Times New Roman" w:cs="Times New Roman"/>
                <w:lang w:eastAsia="en-AU"/>
              </w:rPr>
            </w:pPr>
          </w:p>
        </w:tc>
        <w:tc>
          <w:tcPr>
            <w:tcW w:w="1370" w:type="pct"/>
            <w:tcBorders>
              <w:top w:val="single" w:sz="4" w:space="0" w:color="auto"/>
              <w:left w:val="single" w:sz="4" w:space="0" w:color="auto"/>
              <w:bottom w:val="single" w:sz="4" w:space="0" w:color="auto"/>
              <w:right w:val="single" w:sz="4" w:space="0" w:color="auto"/>
            </w:tcBorders>
          </w:tcPr>
          <w:p w14:paraId="323AEEB5" w14:textId="77777777" w:rsidR="002B7A27" w:rsidRDefault="002B7A27">
            <w:pPr>
              <w:rPr>
                <w:rFonts w:eastAsia="Times New Roman" w:cs="Times New Roman"/>
                <w:lang w:eastAsia="en-AU"/>
              </w:rPr>
            </w:pPr>
          </w:p>
        </w:tc>
        <w:tc>
          <w:tcPr>
            <w:tcW w:w="2262" w:type="pct"/>
            <w:tcBorders>
              <w:top w:val="single" w:sz="4" w:space="0" w:color="auto"/>
              <w:left w:val="single" w:sz="4" w:space="0" w:color="auto"/>
              <w:bottom w:val="single" w:sz="4" w:space="0" w:color="auto"/>
              <w:right w:val="single" w:sz="4" w:space="0" w:color="auto"/>
            </w:tcBorders>
          </w:tcPr>
          <w:p w14:paraId="19E45213" w14:textId="77777777" w:rsidR="002B7A27" w:rsidRDefault="002B7A27">
            <w:pPr>
              <w:rPr>
                <w:rFonts w:eastAsia="Times New Roman" w:cs="Times New Roman"/>
                <w:lang w:eastAsia="en-AU"/>
              </w:rPr>
            </w:pPr>
          </w:p>
        </w:tc>
        <w:tc>
          <w:tcPr>
            <w:tcW w:w="512" w:type="pct"/>
            <w:tcBorders>
              <w:top w:val="single" w:sz="4" w:space="0" w:color="auto"/>
              <w:left w:val="single" w:sz="4" w:space="0" w:color="auto"/>
              <w:bottom w:val="single" w:sz="4" w:space="0" w:color="auto"/>
              <w:right w:val="single" w:sz="4" w:space="0" w:color="auto"/>
            </w:tcBorders>
          </w:tcPr>
          <w:p w14:paraId="672D5ED8" w14:textId="77777777" w:rsidR="002B7A27" w:rsidRDefault="002B7A27">
            <w:pPr>
              <w:rPr>
                <w:rFonts w:eastAsia="Times New Roman" w:cs="Times New Roman"/>
                <w:lang w:eastAsia="en-AU"/>
              </w:rPr>
            </w:pPr>
          </w:p>
        </w:tc>
      </w:tr>
      <w:tr w:rsidR="002B7A27" w14:paraId="15FD192D" w14:textId="77777777" w:rsidTr="002B7A27">
        <w:trPr>
          <w:trHeight w:val="20"/>
        </w:trPr>
        <w:tc>
          <w:tcPr>
            <w:tcW w:w="856" w:type="pct"/>
            <w:tcBorders>
              <w:top w:val="single" w:sz="4" w:space="0" w:color="auto"/>
              <w:left w:val="single" w:sz="4" w:space="0" w:color="auto"/>
              <w:bottom w:val="single" w:sz="4" w:space="0" w:color="auto"/>
              <w:right w:val="single" w:sz="4" w:space="0" w:color="auto"/>
            </w:tcBorders>
          </w:tcPr>
          <w:p w14:paraId="55A6B9AE" w14:textId="77777777" w:rsidR="002B7A27" w:rsidRDefault="002B7A27">
            <w:pPr>
              <w:rPr>
                <w:rFonts w:eastAsia="Times New Roman" w:cs="Times New Roman"/>
                <w:lang w:eastAsia="en-AU"/>
              </w:rPr>
            </w:pPr>
          </w:p>
        </w:tc>
        <w:tc>
          <w:tcPr>
            <w:tcW w:w="1370" w:type="pct"/>
            <w:tcBorders>
              <w:top w:val="single" w:sz="4" w:space="0" w:color="auto"/>
              <w:left w:val="single" w:sz="4" w:space="0" w:color="auto"/>
              <w:bottom w:val="single" w:sz="4" w:space="0" w:color="auto"/>
              <w:right w:val="single" w:sz="4" w:space="0" w:color="auto"/>
            </w:tcBorders>
          </w:tcPr>
          <w:p w14:paraId="782E1A67" w14:textId="77777777" w:rsidR="002B7A27" w:rsidRDefault="002B7A27">
            <w:pPr>
              <w:rPr>
                <w:rFonts w:eastAsia="Times New Roman" w:cs="Times New Roman"/>
                <w:lang w:eastAsia="en-AU"/>
              </w:rPr>
            </w:pPr>
          </w:p>
        </w:tc>
        <w:tc>
          <w:tcPr>
            <w:tcW w:w="2262" w:type="pct"/>
            <w:tcBorders>
              <w:top w:val="single" w:sz="4" w:space="0" w:color="auto"/>
              <w:left w:val="single" w:sz="4" w:space="0" w:color="auto"/>
              <w:bottom w:val="single" w:sz="4" w:space="0" w:color="auto"/>
              <w:right w:val="single" w:sz="4" w:space="0" w:color="auto"/>
            </w:tcBorders>
          </w:tcPr>
          <w:p w14:paraId="1BB7EB97" w14:textId="77777777" w:rsidR="002B7A27" w:rsidRDefault="002B7A27">
            <w:pPr>
              <w:rPr>
                <w:rFonts w:eastAsia="Times New Roman" w:cs="Times New Roman"/>
                <w:lang w:eastAsia="en-AU"/>
              </w:rPr>
            </w:pPr>
          </w:p>
        </w:tc>
        <w:tc>
          <w:tcPr>
            <w:tcW w:w="512" w:type="pct"/>
            <w:tcBorders>
              <w:top w:val="single" w:sz="4" w:space="0" w:color="auto"/>
              <w:left w:val="single" w:sz="4" w:space="0" w:color="auto"/>
              <w:bottom w:val="single" w:sz="4" w:space="0" w:color="auto"/>
              <w:right w:val="single" w:sz="4" w:space="0" w:color="auto"/>
            </w:tcBorders>
          </w:tcPr>
          <w:p w14:paraId="79D5B13B" w14:textId="77777777" w:rsidR="002B7A27" w:rsidRDefault="002B7A27">
            <w:pPr>
              <w:rPr>
                <w:rFonts w:eastAsia="Times New Roman" w:cs="Times New Roman"/>
                <w:lang w:eastAsia="en-AU"/>
              </w:rPr>
            </w:pPr>
          </w:p>
        </w:tc>
      </w:tr>
      <w:tr w:rsidR="002B7A27" w14:paraId="244A9739" w14:textId="77777777" w:rsidTr="002B7A27">
        <w:trPr>
          <w:trHeight w:val="20"/>
        </w:trPr>
        <w:tc>
          <w:tcPr>
            <w:tcW w:w="856" w:type="pct"/>
            <w:tcBorders>
              <w:top w:val="single" w:sz="4" w:space="0" w:color="auto"/>
              <w:left w:val="single" w:sz="4" w:space="0" w:color="auto"/>
              <w:bottom w:val="single" w:sz="4" w:space="0" w:color="auto"/>
              <w:right w:val="single" w:sz="4" w:space="0" w:color="auto"/>
            </w:tcBorders>
          </w:tcPr>
          <w:p w14:paraId="29BB86AD" w14:textId="77777777" w:rsidR="002B7A27" w:rsidRDefault="002B7A27">
            <w:pPr>
              <w:rPr>
                <w:rFonts w:eastAsia="Times New Roman" w:cs="Times New Roman"/>
                <w:lang w:eastAsia="en-AU"/>
              </w:rPr>
            </w:pPr>
          </w:p>
        </w:tc>
        <w:tc>
          <w:tcPr>
            <w:tcW w:w="1370" w:type="pct"/>
            <w:tcBorders>
              <w:top w:val="single" w:sz="4" w:space="0" w:color="auto"/>
              <w:left w:val="single" w:sz="4" w:space="0" w:color="auto"/>
              <w:bottom w:val="single" w:sz="4" w:space="0" w:color="auto"/>
              <w:right w:val="single" w:sz="4" w:space="0" w:color="auto"/>
            </w:tcBorders>
          </w:tcPr>
          <w:p w14:paraId="1A2A5E96" w14:textId="77777777" w:rsidR="002B7A27" w:rsidRDefault="002B7A27">
            <w:pPr>
              <w:rPr>
                <w:rFonts w:eastAsia="Times New Roman" w:cs="Times New Roman"/>
                <w:lang w:eastAsia="en-AU"/>
              </w:rPr>
            </w:pPr>
          </w:p>
        </w:tc>
        <w:tc>
          <w:tcPr>
            <w:tcW w:w="2262" w:type="pct"/>
            <w:tcBorders>
              <w:top w:val="single" w:sz="4" w:space="0" w:color="auto"/>
              <w:left w:val="single" w:sz="4" w:space="0" w:color="auto"/>
              <w:bottom w:val="single" w:sz="4" w:space="0" w:color="auto"/>
              <w:right w:val="single" w:sz="4" w:space="0" w:color="auto"/>
            </w:tcBorders>
          </w:tcPr>
          <w:p w14:paraId="667B5BC2" w14:textId="77777777" w:rsidR="002B7A27" w:rsidRDefault="002B7A27">
            <w:pPr>
              <w:rPr>
                <w:rFonts w:eastAsia="Times New Roman" w:cs="Times New Roman"/>
                <w:lang w:eastAsia="en-AU"/>
              </w:rPr>
            </w:pPr>
          </w:p>
        </w:tc>
        <w:tc>
          <w:tcPr>
            <w:tcW w:w="512" w:type="pct"/>
            <w:tcBorders>
              <w:top w:val="single" w:sz="4" w:space="0" w:color="auto"/>
              <w:left w:val="single" w:sz="4" w:space="0" w:color="auto"/>
              <w:bottom w:val="single" w:sz="4" w:space="0" w:color="auto"/>
              <w:right w:val="single" w:sz="4" w:space="0" w:color="auto"/>
            </w:tcBorders>
          </w:tcPr>
          <w:p w14:paraId="257C1551" w14:textId="77777777" w:rsidR="002B7A27" w:rsidRDefault="002B7A27">
            <w:pPr>
              <w:rPr>
                <w:rFonts w:eastAsia="Times New Roman" w:cs="Times New Roman"/>
                <w:lang w:eastAsia="en-AU"/>
              </w:rPr>
            </w:pPr>
          </w:p>
        </w:tc>
      </w:tr>
    </w:tbl>
    <w:p w14:paraId="2B2CECE7" w14:textId="77777777" w:rsidR="00542009" w:rsidRPr="00D76FED" w:rsidRDefault="00542009" w:rsidP="00542009">
      <w:pPr>
        <w:pStyle w:val="GeneralHeading1"/>
        <w:jc w:val="center"/>
        <w:rPr>
          <w:sz w:val="24"/>
        </w:rPr>
      </w:pPr>
      <w:r w:rsidRPr="00D76FED">
        <w:rPr>
          <w:sz w:val="24"/>
        </w:rPr>
        <w:lastRenderedPageBreak/>
        <w:t>Housing, Land and Property Law</w:t>
      </w:r>
      <w:r>
        <w:rPr>
          <w:sz w:val="24"/>
        </w:rPr>
        <w:t xml:space="preserve"> in Indonesia</w:t>
      </w:r>
    </w:p>
    <w:p w14:paraId="75891722" w14:textId="3900924C" w:rsidR="00542009" w:rsidRPr="00826D50" w:rsidRDefault="00826D50" w:rsidP="00826D50">
      <w:pPr>
        <w:rPr>
          <w:b/>
          <w:sz w:val="22"/>
        </w:rPr>
      </w:pPr>
      <w:bookmarkStart w:id="2" w:name="_Toc512946022"/>
      <w:r w:rsidRPr="00826D50">
        <w:rPr>
          <w:b/>
          <w:sz w:val="22"/>
        </w:rPr>
        <w:t>1</w:t>
      </w:r>
      <w:r w:rsidRPr="00EE5A6D">
        <w:rPr>
          <w:b/>
          <w:sz w:val="22"/>
          <w:szCs w:val="22"/>
        </w:rPr>
        <w:tab/>
      </w:r>
      <w:r w:rsidR="00542009" w:rsidRPr="00EE5A6D">
        <w:rPr>
          <w:b/>
          <w:sz w:val="22"/>
          <w:szCs w:val="22"/>
        </w:rPr>
        <w:t>Key laws and actors</w:t>
      </w:r>
      <w:bookmarkEnd w:id="2"/>
    </w:p>
    <w:tbl>
      <w:tblPr>
        <w:tblStyle w:val="TableGrid"/>
        <w:tblW w:w="0" w:type="auto"/>
        <w:tblInd w:w="108" w:type="dxa"/>
        <w:tblLook w:val="04A0" w:firstRow="1" w:lastRow="0" w:firstColumn="1" w:lastColumn="0" w:noHBand="0" w:noVBand="1"/>
      </w:tblPr>
      <w:tblGrid>
        <w:gridCol w:w="1560"/>
        <w:gridCol w:w="7904"/>
      </w:tblGrid>
      <w:tr w:rsidR="00542009" w:rsidRPr="00542009" w14:paraId="6E693F1F" w14:textId="77777777" w:rsidTr="00542009">
        <w:tc>
          <w:tcPr>
            <w:tcW w:w="1560" w:type="dxa"/>
            <w:shd w:val="clear" w:color="auto" w:fill="auto"/>
          </w:tcPr>
          <w:p w14:paraId="27495C8D" w14:textId="303013B0" w:rsidR="00542009" w:rsidRPr="00B43DBC" w:rsidRDefault="00A31281" w:rsidP="00B43DBC">
            <w:pPr>
              <w:rPr>
                <w:sz w:val="20"/>
              </w:rPr>
            </w:pPr>
            <w:hyperlink w:anchor="Laws" w:history="1">
              <w:bookmarkStart w:id="3" w:name="_Toc512946023"/>
              <w:r w:rsidR="00542009" w:rsidRPr="00B43DBC">
                <w:rPr>
                  <w:rStyle w:val="Hyperlink"/>
                  <w:sz w:val="20"/>
                </w:rPr>
                <w:t>Laws</w:t>
              </w:r>
              <w:bookmarkEnd w:id="3"/>
            </w:hyperlink>
          </w:p>
        </w:tc>
        <w:tc>
          <w:tcPr>
            <w:tcW w:w="7904" w:type="dxa"/>
          </w:tcPr>
          <w:p w14:paraId="447067F6" w14:textId="77777777" w:rsidR="00542009" w:rsidRPr="00B02534" w:rsidRDefault="00542009" w:rsidP="00542009">
            <w:pPr>
              <w:spacing w:line="276" w:lineRule="auto"/>
              <w:rPr>
                <w:sz w:val="20"/>
                <w:szCs w:val="20"/>
              </w:rPr>
            </w:pPr>
            <w:r w:rsidRPr="00B02534">
              <w:rPr>
                <w:sz w:val="20"/>
                <w:szCs w:val="20"/>
              </w:rPr>
              <w:t xml:space="preserve">The three key pieces of legislation governing housing, land, building and planning in Indonesia are: </w:t>
            </w:r>
            <w:hyperlink r:id="rId10" w:history="1">
              <w:r w:rsidRPr="00B02534">
                <w:rPr>
                  <w:rStyle w:val="Hyperlink"/>
                  <w:sz w:val="20"/>
                  <w:szCs w:val="20"/>
                </w:rPr>
                <w:t>Act No. 5 of 1960 concerning Basic Regulations on Agrarian Principles</w:t>
              </w:r>
            </w:hyperlink>
            <w:r w:rsidRPr="00B02534">
              <w:rPr>
                <w:sz w:val="20"/>
                <w:szCs w:val="20"/>
              </w:rPr>
              <w:t xml:space="preserve"> (the </w:t>
            </w:r>
            <w:r w:rsidRPr="00B02534">
              <w:rPr>
                <w:b/>
                <w:i/>
                <w:sz w:val="20"/>
                <w:szCs w:val="20"/>
              </w:rPr>
              <w:t>Agrarian Law</w:t>
            </w:r>
            <w:r w:rsidRPr="00B02534">
              <w:rPr>
                <w:sz w:val="20"/>
                <w:szCs w:val="20"/>
              </w:rPr>
              <w:t>) which governs non-forest land</w:t>
            </w:r>
            <w:r w:rsidRPr="00B02534">
              <w:rPr>
                <w:sz w:val="20"/>
                <w:szCs w:val="20"/>
                <w:lang w:val="en-GB"/>
              </w:rPr>
              <w:t xml:space="preserve">; </w:t>
            </w:r>
            <w:hyperlink r:id="rId11" w:history="1">
              <w:r w:rsidRPr="00B02534">
                <w:rPr>
                  <w:rStyle w:val="Hyperlink"/>
                  <w:sz w:val="20"/>
                  <w:szCs w:val="20"/>
                </w:rPr>
                <w:t>Act No. 41 of 1999 on Forestry Affairs</w:t>
              </w:r>
            </w:hyperlink>
            <w:r w:rsidRPr="00B02534">
              <w:rPr>
                <w:sz w:val="20"/>
                <w:szCs w:val="20"/>
              </w:rPr>
              <w:t xml:space="preserve"> (the </w:t>
            </w:r>
            <w:r w:rsidRPr="00B02534">
              <w:rPr>
                <w:b/>
                <w:i/>
                <w:sz w:val="20"/>
                <w:szCs w:val="20"/>
              </w:rPr>
              <w:t>Forestry Law</w:t>
            </w:r>
            <w:r w:rsidRPr="00B02534">
              <w:rPr>
                <w:sz w:val="20"/>
                <w:szCs w:val="20"/>
              </w:rPr>
              <w:t>) which governs forest land</w:t>
            </w:r>
            <w:r w:rsidRPr="00B02534">
              <w:rPr>
                <w:sz w:val="20"/>
                <w:szCs w:val="20"/>
                <w:lang w:val="en-GB"/>
              </w:rPr>
              <w:t xml:space="preserve">; and </w:t>
            </w:r>
            <w:hyperlink r:id="rId12" w:history="1">
              <w:r w:rsidRPr="00B02534">
                <w:rPr>
                  <w:rStyle w:val="Hyperlink"/>
                  <w:sz w:val="20"/>
                  <w:szCs w:val="20"/>
                </w:rPr>
                <w:t>Act No. 26 of 2007 concerning Spatial Management</w:t>
              </w:r>
            </w:hyperlink>
            <w:r w:rsidRPr="00B02534">
              <w:rPr>
                <w:sz w:val="20"/>
                <w:szCs w:val="20"/>
                <w:lang w:val="en-GB"/>
              </w:rPr>
              <w:t xml:space="preserve"> which governs planning.</w:t>
            </w:r>
          </w:p>
          <w:p w14:paraId="275120EF" w14:textId="77777777" w:rsidR="00542009" w:rsidRPr="00B02534" w:rsidRDefault="00542009" w:rsidP="00542009">
            <w:pPr>
              <w:spacing w:line="276" w:lineRule="auto"/>
              <w:rPr>
                <w:sz w:val="20"/>
                <w:szCs w:val="20"/>
              </w:rPr>
            </w:pPr>
            <w:r w:rsidRPr="00B02534">
              <w:rPr>
                <w:sz w:val="20"/>
                <w:szCs w:val="20"/>
              </w:rPr>
              <w:t>These laws rely on a vast body of implementing regulations. The sheer size of this body of regulations means both that there is a high degree of uncertainty in the law, and that the law is highly malleable and is susceptible to being interpreted and implemented by authorities to favour State or private interests.</w:t>
            </w:r>
          </w:p>
        </w:tc>
      </w:tr>
      <w:tr w:rsidR="00542009" w:rsidRPr="00542009" w14:paraId="3ED31AA9" w14:textId="77777777" w:rsidTr="00542009">
        <w:tc>
          <w:tcPr>
            <w:tcW w:w="1560" w:type="dxa"/>
            <w:shd w:val="clear" w:color="auto" w:fill="auto"/>
          </w:tcPr>
          <w:p w14:paraId="56A78158" w14:textId="187E9F85" w:rsidR="00542009" w:rsidRPr="00B43DBC" w:rsidRDefault="00A31281" w:rsidP="00B43DBC">
            <w:pPr>
              <w:rPr>
                <w:sz w:val="20"/>
              </w:rPr>
            </w:pPr>
            <w:hyperlink w:anchor="MainGovernmentActors" w:history="1">
              <w:bookmarkStart w:id="4" w:name="_Toc512946024"/>
              <w:r w:rsidR="00542009" w:rsidRPr="00B43DBC">
                <w:rPr>
                  <w:rStyle w:val="Hyperlink"/>
                  <w:sz w:val="20"/>
                </w:rPr>
                <w:t>Key government actors</w:t>
              </w:r>
              <w:bookmarkEnd w:id="4"/>
            </w:hyperlink>
          </w:p>
        </w:tc>
        <w:tc>
          <w:tcPr>
            <w:tcW w:w="7904" w:type="dxa"/>
          </w:tcPr>
          <w:p w14:paraId="7319FB2F" w14:textId="77777777" w:rsidR="00542009" w:rsidRPr="00B02534" w:rsidRDefault="00542009" w:rsidP="00542009">
            <w:pPr>
              <w:spacing w:line="276" w:lineRule="auto"/>
              <w:rPr>
                <w:sz w:val="20"/>
                <w:szCs w:val="20"/>
              </w:rPr>
            </w:pPr>
            <w:r w:rsidRPr="00B02534">
              <w:rPr>
                <w:sz w:val="20"/>
                <w:szCs w:val="20"/>
              </w:rPr>
              <w:t>The National Land Agency (</w:t>
            </w:r>
            <w:r w:rsidRPr="00B02534">
              <w:rPr>
                <w:i/>
                <w:sz w:val="20"/>
                <w:szCs w:val="20"/>
              </w:rPr>
              <w:t>Badan Pertanahan Nasional</w:t>
            </w:r>
            <w:r w:rsidRPr="00B02534">
              <w:rPr>
                <w:sz w:val="20"/>
                <w:szCs w:val="20"/>
              </w:rPr>
              <w:t xml:space="preserve"> or BPN) is responsible for administering non-forest land. The NLA has offices at the national, provincial, regency and city levels of government.</w:t>
            </w:r>
          </w:p>
          <w:p w14:paraId="46C641B2" w14:textId="77777777" w:rsidR="00542009" w:rsidRPr="00B02534" w:rsidRDefault="00542009" w:rsidP="00542009">
            <w:pPr>
              <w:spacing w:line="276" w:lineRule="auto"/>
              <w:rPr>
                <w:sz w:val="20"/>
                <w:szCs w:val="20"/>
              </w:rPr>
            </w:pPr>
            <w:r w:rsidRPr="00B02534">
              <w:rPr>
                <w:sz w:val="20"/>
                <w:szCs w:val="20"/>
              </w:rPr>
              <w:t>Responsibility for administering forest land is shared between the Ministry of Environment and Forestry (</w:t>
            </w:r>
            <w:r w:rsidRPr="00B02534">
              <w:rPr>
                <w:i/>
                <w:sz w:val="20"/>
                <w:szCs w:val="20"/>
              </w:rPr>
              <w:t>Kementerian Lingkungan Hidup dan Kehutanan</w:t>
            </w:r>
            <w:r w:rsidRPr="00B02534">
              <w:rPr>
                <w:sz w:val="20"/>
                <w:szCs w:val="20"/>
              </w:rPr>
              <w:t>), national parks authorities and local governments (ie, regency, city or sub-district governments).</w:t>
            </w:r>
          </w:p>
        </w:tc>
      </w:tr>
      <w:tr w:rsidR="00542009" w:rsidRPr="00542009" w14:paraId="4E2FBD31" w14:textId="77777777" w:rsidTr="00542009">
        <w:trPr>
          <w:trHeight w:val="70"/>
        </w:trPr>
        <w:tc>
          <w:tcPr>
            <w:tcW w:w="1560" w:type="dxa"/>
            <w:shd w:val="clear" w:color="auto" w:fill="auto"/>
          </w:tcPr>
          <w:p w14:paraId="43B2ACCC" w14:textId="0B4B06D1" w:rsidR="00542009" w:rsidRPr="00B43DBC" w:rsidRDefault="00A31281" w:rsidP="00B43DBC">
            <w:pPr>
              <w:rPr>
                <w:sz w:val="20"/>
              </w:rPr>
            </w:pPr>
            <w:hyperlink w:anchor="ShelterCluster" w:history="1">
              <w:bookmarkStart w:id="5" w:name="_Toc512946025"/>
              <w:r w:rsidR="00542009" w:rsidRPr="00B43DBC">
                <w:rPr>
                  <w:rStyle w:val="Hyperlink"/>
                  <w:sz w:val="20"/>
                </w:rPr>
                <w:t>Shelter cluster</w:t>
              </w:r>
              <w:bookmarkEnd w:id="5"/>
            </w:hyperlink>
          </w:p>
        </w:tc>
        <w:tc>
          <w:tcPr>
            <w:tcW w:w="7904" w:type="dxa"/>
          </w:tcPr>
          <w:p w14:paraId="389BDB10" w14:textId="77777777" w:rsidR="00542009" w:rsidRPr="00B02534" w:rsidRDefault="00542009" w:rsidP="00542009">
            <w:pPr>
              <w:spacing w:before="0" w:line="276" w:lineRule="auto"/>
              <w:rPr>
                <w:sz w:val="20"/>
                <w:szCs w:val="20"/>
              </w:rPr>
            </w:pPr>
            <w:r w:rsidRPr="00B02534">
              <w:rPr>
                <w:sz w:val="20"/>
                <w:szCs w:val="20"/>
              </w:rPr>
              <w:t>There is no active shelter cluster in country. However, the shelter cluster has previously been activated for the 2006 Yogyakarta Earthquake, the 2009 West Java Earthquake and the 2009 West Sumatra Earthquake.</w:t>
            </w:r>
          </w:p>
        </w:tc>
      </w:tr>
    </w:tbl>
    <w:p w14:paraId="1871B879" w14:textId="0580E798" w:rsidR="00542009" w:rsidRPr="00EE5A6D" w:rsidRDefault="00826D50" w:rsidP="00826D50">
      <w:pPr>
        <w:rPr>
          <w:b/>
          <w:sz w:val="22"/>
          <w:szCs w:val="22"/>
        </w:rPr>
      </w:pPr>
      <w:r w:rsidRPr="00EE5A6D">
        <w:rPr>
          <w:b/>
          <w:sz w:val="22"/>
          <w:szCs w:val="22"/>
        </w:rPr>
        <w:t>2</w:t>
      </w:r>
      <w:r w:rsidRPr="00EE5A6D">
        <w:rPr>
          <w:b/>
          <w:sz w:val="22"/>
          <w:szCs w:val="22"/>
        </w:rPr>
        <w:tab/>
      </w:r>
      <w:hyperlink w:anchor="CommonTenureTypes" w:history="1">
        <w:bookmarkStart w:id="6" w:name="_Toc512946026"/>
        <w:r w:rsidR="00542009" w:rsidRPr="00EE5A6D">
          <w:rPr>
            <w:rStyle w:val="Hyperlink"/>
            <w:b/>
            <w:color w:val="auto"/>
            <w:sz w:val="22"/>
            <w:szCs w:val="22"/>
            <w:u w:val="none"/>
          </w:rPr>
          <w:t>Common types of tenure</w:t>
        </w:r>
        <w:bookmarkEnd w:id="6"/>
      </w:hyperlink>
    </w:p>
    <w:tbl>
      <w:tblPr>
        <w:tblStyle w:val="TableGrid1"/>
        <w:tblW w:w="0" w:type="auto"/>
        <w:tblInd w:w="108" w:type="dxa"/>
        <w:tblLook w:val="04A0" w:firstRow="1" w:lastRow="0" w:firstColumn="1" w:lastColumn="0" w:noHBand="0" w:noVBand="1"/>
      </w:tblPr>
      <w:tblGrid>
        <w:gridCol w:w="1261"/>
        <w:gridCol w:w="1291"/>
        <w:gridCol w:w="6912"/>
      </w:tblGrid>
      <w:tr w:rsidR="00542009" w:rsidRPr="001A3C8D" w14:paraId="114602A5" w14:textId="77777777" w:rsidTr="00542009">
        <w:tc>
          <w:tcPr>
            <w:tcW w:w="1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tcPr>
          <w:p w14:paraId="5DBEBD9E" w14:textId="77777777" w:rsidR="00542009" w:rsidRPr="001A3C8D" w:rsidRDefault="00542009" w:rsidP="00542009">
            <w:pPr>
              <w:spacing w:line="276" w:lineRule="auto"/>
              <w:rPr>
                <w:rFonts w:cs="Arial"/>
                <w:b/>
              </w:rPr>
            </w:pPr>
            <w:r w:rsidRPr="001A3C8D">
              <w:rPr>
                <w:rFonts w:cs="Arial"/>
                <w:b/>
              </w:rPr>
              <w:t>Tenure type</w:t>
            </w:r>
          </w:p>
        </w:tc>
        <w:tc>
          <w:tcPr>
            <w:tcW w:w="1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tcPr>
          <w:p w14:paraId="797D310F" w14:textId="77777777" w:rsidR="00542009" w:rsidRPr="001A3C8D" w:rsidRDefault="00542009" w:rsidP="00542009">
            <w:pPr>
              <w:spacing w:line="276" w:lineRule="auto"/>
              <w:rPr>
                <w:b/>
              </w:rPr>
            </w:pPr>
            <w:r w:rsidRPr="001A3C8D">
              <w:rPr>
                <w:b/>
              </w:rPr>
              <w:t>Registered Interest</w:t>
            </w:r>
          </w:p>
        </w:tc>
        <w:tc>
          <w:tcPr>
            <w:tcW w:w="69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tcPr>
          <w:p w14:paraId="52D00469" w14:textId="77777777" w:rsidR="00542009" w:rsidRPr="001A3C8D" w:rsidRDefault="00542009" w:rsidP="00542009">
            <w:pPr>
              <w:spacing w:line="276" w:lineRule="auto"/>
              <w:rPr>
                <w:b/>
              </w:rPr>
            </w:pPr>
            <w:r w:rsidRPr="001A3C8D">
              <w:rPr>
                <w:b/>
              </w:rPr>
              <w:t>Description</w:t>
            </w:r>
          </w:p>
        </w:tc>
      </w:tr>
      <w:tr w:rsidR="00542009" w:rsidRPr="00542009" w14:paraId="3C746745" w14:textId="77777777" w:rsidTr="00542009">
        <w:tc>
          <w:tcPr>
            <w:tcW w:w="1261" w:type="dxa"/>
            <w:tcBorders>
              <w:top w:val="single" w:sz="4" w:space="0" w:color="FFFFFF" w:themeColor="background1"/>
            </w:tcBorders>
            <w:shd w:val="clear" w:color="auto" w:fill="FFFFFF" w:themeFill="background1"/>
          </w:tcPr>
          <w:p w14:paraId="45E026E5" w14:textId="39A2F20E" w:rsidR="00542009" w:rsidRPr="00B43DBC" w:rsidRDefault="00A31281" w:rsidP="00B43DBC">
            <w:hyperlink w:anchor="HakMilik" w:history="1">
              <w:r w:rsidR="00542009" w:rsidRPr="00B43DBC">
                <w:rPr>
                  <w:rStyle w:val="Hyperlink"/>
                </w:rPr>
                <w:t>Hak milik</w:t>
              </w:r>
            </w:hyperlink>
          </w:p>
        </w:tc>
        <w:tc>
          <w:tcPr>
            <w:tcW w:w="1291" w:type="dxa"/>
            <w:tcBorders>
              <w:top w:val="single" w:sz="4" w:space="0" w:color="FFFFFF" w:themeColor="background1"/>
            </w:tcBorders>
            <w:shd w:val="clear" w:color="auto" w:fill="FFFFFF" w:themeFill="background1"/>
          </w:tcPr>
          <w:p w14:paraId="4340E673" w14:textId="77777777" w:rsidR="00542009" w:rsidRPr="00542009" w:rsidRDefault="00542009" w:rsidP="00542009">
            <w:pPr>
              <w:spacing w:line="276" w:lineRule="auto"/>
              <w:rPr>
                <w:rFonts w:cs="Arial"/>
              </w:rPr>
            </w:pPr>
            <w:r w:rsidRPr="00542009">
              <w:rPr>
                <w:rFonts w:cs="Arial"/>
              </w:rPr>
              <w:t>Yes</w:t>
            </w:r>
          </w:p>
        </w:tc>
        <w:tc>
          <w:tcPr>
            <w:tcW w:w="6912" w:type="dxa"/>
            <w:tcBorders>
              <w:top w:val="single" w:sz="4" w:space="0" w:color="FFFFFF" w:themeColor="background1"/>
            </w:tcBorders>
            <w:shd w:val="clear" w:color="auto" w:fill="FFFFFF" w:themeFill="background1"/>
          </w:tcPr>
          <w:p w14:paraId="2BD599A7" w14:textId="77777777" w:rsidR="00542009" w:rsidRPr="00542009" w:rsidRDefault="00542009" w:rsidP="00542009">
            <w:pPr>
              <w:spacing w:line="276" w:lineRule="auto"/>
              <w:rPr>
                <w:rFonts w:cs="Arial"/>
                <w:i/>
              </w:rPr>
            </w:pPr>
            <w:r w:rsidRPr="00542009">
              <w:rPr>
                <w:rFonts w:cs="Arial"/>
              </w:rPr>
              <w:t>Equivalent to freehold ownership; only available to Indonesians.</w:t>
            </w:r>
          </w:p>
        </w:tc>
      </w:tr>
      <w:tr w:rsidR="00542009" w:rsidRPr="00542009" w14:paraId="0C8FB3BA" w14:textId="77777777" w:rsidTr="00542009">
        <w:tc>
          <w:tcPr>
            <w:tcW w:w="1261" w:type="dxa"/>
            <w:shd w:val="clear" w:color="auto" w:fill="FFFFFF" w:themeFill="background1"/>
          </w:tcPr>
          <w:p w14:paraId="58AAA678" w14:textId="3AE8D81F" w:rsidR="00542009" w:rsidRPr="00B43DBC" w:rsidRDefault="00A31281" w:rsidP="00B43DBC">
            <w:hyperlink w:anchor="HakGunaBangunan" w:history="1">
              <w:r w:rsidR="00542009" w:rsidRPr="00B43DBC">
                <w:rPr>
                  <w:rStyle w:val="Hyperlink"/>
                </w:rPr>
                <w:t>Hak guna-bangunan</w:t>
              </w:r>
            </w:hyperlink>
          </w:p>
        </w:tc>
        <w:tc>
          <w:tcPr>
            <w:tcW w:w="1291" w:type="dxa"/>
            <w:shd w:val="clear" w:color="auto" w:fill="FFFFFF" w:themeFill="background1"/>
          </w:tcPr>
          <w:p w14:paraId="25C132B8" w14:textId="77777777" w:rsidR="00542009" w:rsidRPr="00542009" w:rsidRDefault="00542009" w:rsidP="00542009">
            <w:pPr>
              <w:spacing w:line="276" w:lineRule="auto"/>
              <w:rPr>
                <w:rFonts w:cs="Arial"/>
              </w:rPr>
            </w:pPr>
            <w:r w:rsidRPr="00542009">
              <w:rPr>
                <w:rFonts w:cs="Arial"/>
              </w:rPr>
              <w:t>Yes</w:t>
            </w:r>
          </w:p>
        </w:tc>
        <w:tc>
          <w:tcPr>
            <w:tcW w:w="6912" w:type="dxa"/>
            <w:shd w:val="clear" w:color="auto" w:fill="FFFFFF" w:themeFill="background1"/>
          </w:tcPr>
          <w:p w14:paraId="7FC3909C" w14:textId="77777777" w:rsidR="00542009" w:rsidRPr="00542009" w:rsidRDefault="00542009" w:rsidP="00542009">
            <w:pPr>
              <w:spacing w:line="276" w:lineRule="auto"/>
              <w:rPr>
                <w:rFonts w:cs="Arial"/>
                <w:i/>
              </w:rPr>
            </w:pPr>
            <w:r w:rsidRPr="00542009">
              <w:rPr>
                <w:rFonts w:cs="Arial"/>
              </w:rPr>
              <w:t>A right to construct and own buildings on another person's land; only available to Indonesians.</w:t>
            </w:r>
          </w:p>
        </w:tc>
      </w:tr>
      <w:tr w:rsidR="00542009" w:rsidRPr="00542009" w14:paraId="3CFA1DDF" w14:textId="77777777" w:rsidTr="00542009">
        <w:tc>
          <w:tcPr>
            <w:tcW w:w="1261" w:type="dxa"/>
            <w:shd w:val="clear" w:color="auto" w:fill="FFFFFF" w:themeFill="background1"/>
          </w:tcPr>
          <w:p w14:paraId="7FEE8E34" w14:textId="1EB67825" w:rsidR="00542009" w:rsidRPr="00B43DBC" w:rsidRDefault="00A31281" w:rsidP="00B43DBC">
            <w:hyperlink w:anchor="HakGunaUsaha" w:history="1">
              <w:r w:rsidR="00542009" w:rsidRPr="00B43DBC">
                <w:rPr>
                  <w:rStyle w:val="Hyperlink"/>
                </w:rPr>
                <w:t>Hak guna-usaha</w:t>
              </w:r>
            </w:hyperlink>
          </w:p>
        </w:tc>
        <w:tc>
          <w:tcPr>
            <w:tcW w:w="1291" w:type="dxa"/>
            <w:shd w:val="clear" w:color="auto" w:fill="FFFFFF" w:themeFill="background1"/>
          </w:tcPr>
          <w:p w14:paraId="7DD26476" w14:textId="77777777" w:rsidR="00542009" w:rsidRPr="00542009" w:rsidRDefault="00542009" w:rsidP="00542009">
            <w:pPr>
              <w:spacing w:line="276" w:lineRule="auto"/>
            </w:pPr>
            <w:r w:rsidRPr="00542009">
              <w:t>Yes</w:t>
            </w:r>
          </w:p>
        </w:tc>
        <w:tc>
          <w:tcPr>
            <w:tcW w:w="6912" w:type="dxa"/>
            <w:shd w:val="clear" w:color="auto" w:fill="FFFFFF" w:themeFill="background1"/>
          </w:tcPr>
          <w:p w14:paraId="0B650193" w14:textId="77777777" w:rsidR="00542009" w:rsidRPr="00542009" w:rsidRDefault="00542009" w:rsidP="00542009">
            <w:pPr>
              <w:spacing w:line="276" w:lineRule="auto"/>
            </w:pPr>
            <w:r w:rsidRPr="00542009">
              <w:t>A right to use State land for agriculture or animal husbandry; only available to Indonesians.</w:t>
            </w:r>
          </w:p>
        </w:tc>
      </w:tr>
      <w:tr w:rsidR="00542009" w:rsidRPr="00542009" w14:paraId="1F00A1E9" w14:textId="77777777" w:rsidTr="00542009">
        <w:tc>
          <w:tcPr>
            <w:tcW w:w="1261" w:type="dxa"/>
            <w:shd w:val="clear" w:color="auto" w:fill="FFFFFF" w:themeFill="background1"/>
          </w:tcPr>
          <w:p w14:paraId="6258DA10" w14:textId="02467EF3" w:rsidR="00542009" w:rsidRPr="00B43DBC" w:rsidRDefault="00A31281" w:rsidP="00B43DBC">
            <w:hyperlink w:anchor="HakPakai" w:history="1">
              <w:r w:rsidR="00542009" w:rsidRPr="00B43DBC">
                <w:rPr>
                  <w:rStyle w:val="Hyperlink"/>
                </w:rPr>
                <w:t>Hak pakai</w:t>
              </w:r>
            </w:hyperlink>
          </w:p>
        </w:tc>
        <w:tc>
          <w:tcPr>
            <w:tcW w:w="1291" w:type="dxa"/>
            <w:shd w:val="clear" w:color="auto" w:fill="FFFFFF" w:themeFill="background1"/>
          </w:tcPr>
          <w:p w14:paraId="05B280CA" w14:textId="77777777" w:rsidR="00542009" w:rsidRPr="00542009" w:rsidRDefault="00542009" w:rsidP="00542009">
            <w:pPr>
              <w:spacing w:line="276" w:lineRule="auto"/>
            </w:pPr>
            <w:r w:rsidRPr="00542009">
              <w:t>Yes</w:t>
            </w:r>
          </w:p>
        </w:tc>
        <w:tc>
          <w:tcPr>
            <w:tcW w:w="6912" w:type="dxa"/>
            <w:shd w:val="clear" w:color="auto" w:fill="FFFFFF" w:themeFill="background1"/>
          </w:tcPr>
          <w:p w14:paraId="2C038B38" w14:textId="77777777" w:rsidR="00542009" w:rsidRPr="00542009" w:rsidRDefault="00542009" w:rsidP="00542009">
            <w:pPr>
              <w:spacing w:line="276" w:lineRule="auto"/>
            </w:pPr>
            <w:r w:rsidRPr="00542009">
              <w:t>A right to use another person's land for a specific, agreed purpose.</w:t>
            </w:r>
          </w:p>
        </w:tc>
      </w:tr>
      <w:tr w:rsidR="00542009" w:rsidRPr="00542009" w14:paraId="74BD50B2" w14:textId="77777777" w:rsidTr="00542009">
        <w:tc>
          <w:tcPr>
            <w:tcW w:w="1261" w:type="dxa"/>
            <w:shd w:val="clear" w:color="auto" w:fill="FFFFFF" w:themeFill="background1"/>
          </w:tcPr>
          <w:p w14:paraId="765034D1" w14:textId="32CF545A" w:rsidR="00542009" w:rsidRPr="00B43DBC" w:rsidRDefault="00A31281" w:rsidP="00B43DBC">
            <w:hyperlink w:anchor="HakSewa" w:history="1">
              <w:r w:rsidR="00542009" w:rsidRPr="00B43DBC">
                <w:rPr>
                  <w:rStyle w:val="Hyperlink"/>
                </w:rPr>
                <w:t>Hak sewa</w:t>
              </w:r>
            </w:hyperlink>
          </w:p>
        </w:tc>
        <w:tc>
          <w:tcPr>
            <w:tcW w:w="1291" w:type="dxa"/>
            <w:shd w:val="clear" w:color="auto" w:fill="FFFFFF" w:themeFill="background1"/>
          </w:tcPr>
          <w:p w14:paraId="7E073992" w14:textId="77777777" w:rsidR="00542009" w:rsidRPr="00542009" w:rsidRDefault="00542009" w:rsidP="00542009">
            <w:pPr>
              <w:spacing w:line="276" w:lineRule="auto"/>
            </w:pPr>
            <w:r w:rsidRPr="00542009">
              <w:t>No</w:t>
            </w:r>
          </w:p>
        </w:tc>
        <w:tc>
          <w:tcPr>
            <w:tcW w:w="6912" w:type="dxa"/>
            <w:shd w:val="clear" w:color="auto" w:fill="FFFFFF" w:themeFill="background1"/>
          </w:tcPr>
          <w:p w14:paraId="76389BC8" w14:textId="77777777" w:rsidR="00542009" w:rsidRPr="00542009" w:rsidRDefault="00542009" w:rsidP="00542009">
            <w:pPr>
              <w:spacing w:line="276" w:lineRule="auto"/>
            </w:pPr>
            <w:r w:rsidRPr="00542009">
              <w:t>A lease of a building.</w:t>
            </w:r>
          </w:p>
        </w:tc>
      </w:tr>
      <w:tr w:rsidR="00542009" w:rsidRPr="00542009" w14:paraId="1FFB7CF2" w14:textId="77777777" w:rsidTr="00542009">
        <w:tc>
          <w:tcPr>
            <w:tcW w:w="1261" w:type="dxa"/>
            <w:shd w:val="clear" w:color="auto" w:fill="FFFFFF" w:themeFill="background1"/>
          </w:tcPr>
          <w:p w14:paraId="1DCDC569" w14:textId="5D8DD18D" w:rsidR="00542009" w:rsidRPr="00B43DBC" w:rsidRDefault="00A31281" w:rsidP="00B43DBC">
            <w:hyperlink w:anchor="ForestPermits" w:history="1">
              <w:r w:rsidR="00542009" w:rsidRPr="00B43DBC">
                <w:rPr>
                  <w:rStyle w:val="Hyperlink"/>
                </w:rPr>
                <w:t>Forest permits</w:t>
              </w:r>
            </w:hyperlink>
          </w:p>
        </w:tc>
        <w:tc>
          <w:tcPr>
            <w:tcW w:w="1291" w:type="dxa"/>
            <w:shd w:val="clear" w:color="auto" w:fill="FFFFFF" w:themeFill="background1"/>
          </w:tcPr>
          <w:p w14:paraId="7A1B13A6" w14:textId="77777777" w:rsidR="00542009" w:rsidRPr="00542009" w:rsidRDefault="00542009" w:rsidP="00542009">
            <w:pPr>
              <w:spacing w:line="276" w:lineRule="auto"/>
            </w:pPr>
            <w:r w:rsidRPr="00542009">
              <w:t>Yes</w:t>
            </w:r>
          </w:p>
        </w:tc>
        <w:tc>
          <w:tcPr>
            <w:tcW w:w="6912" w:type="dxa"/>
            <w:shd w:val="clear" w:color="auto" w:fill="FFFFFF" w:themeFill="background1"/>
          </w:tcPr>
          <w:p w14:paraId="7BCDC495" w14:textId="77777777" w:rsidR="00542009" w:rsidRPr="00542009" w:rsidRDefault="00542009" w:rsidP="00542009">
            <w:pPr>
              <w:spacing w:line="276" w:lineRule="auto"/>
            </w:pPr>
            <w:r w:rsidRPr="00542009">
              <w:t>Permits available to persons living on or near forest land allowing them to establish timber plantations on or to harvest products from the forest.</w:t>
            </w:r>
          </w:p>
        </w:tc>
      </w:tr>
      <w:tr w:rsidR="00542009" w:rsidRPr="00542009" w14:paraId="31753F36" w14:textId="77777777" w:rsidTr="00542009">
        <w:tc>
          <w:tcPr>
            <w:tcW w:w="1261" w:type="dxa"/>
            <w:shd w:val="clear" w:color="auto" w:fill="FFFFFF" w:themeFill="background1"/>
          </w:tcPr>
          <w:p w14:paraId="0DF50A49" w14:textId="4293A786" w:rsidR="00542009" w:rsidRPr="00B43DBC" w:rsidRDefault="00A31281" w:rsidP="00B43DBC">
            <w:hyperlink w:anchor="CustomaryTenure" w:history="1">
              <w:r w:rsidR="00542009" w:rsidRPr="00B43DBC">
                <w:rPr>
                  <w:rStyle w:val="Hyperlink"/>
                </w:rPr>
                <w:t>Customary tenure</w:t>
              </w:r>
            </w:hyperlink>
          </w:p>
        </w:tc>
        <w:tc>
          <w:tcPr>
            <w:tcW w:w="1291" w:type="dxa"/>
            <w:shd w:val="clear" w:color="auto" w:fill="FFFFFF" w:themeFill="background1"/>
          </w:tcPr>
          <w:p w14:paraId="0C98591B" w14:textId="77777777" w:rsidR="00542009" w:rsidRPr="00542009" w:rsidRDefault="00542009" w:rsidP="00542009">
            <w:pPr>
              <w:spacing w:line="276" w:lineRule="auto"/>
            </w:pPr>
            <w:r w:rsidRPr="00542009">
              <w:t>Possible but unlikely</w:t>
            </w:r>
          </w:p>
        </w:tc>
        <w:tc>
          <w:tcPr>
            <w:tcW w:w="6912" w:type="dxa"/>
            <w:shd w:val="clear" w:color="auto" w:fill="FFFFFF" w:themeFill="background1"/>
          </w:tcPr>
          <w:p w14:paraId="4B9F1855" w14:textId="77777777" w:rsidR="00542009" w:rsidRPr="00542009" w:rsidRDefault="00542009" w:rsidP="00542009">
            <w:pPr>
              <w:spacing w:line="276" w:lineRule="auto"/>
            </w:pPr>
            <w:r w:rsidRPr="00542009">
              <w:t xml:space="preserve">Tenure of an indigenous group living on its ancestral land over which it has traditional ownership rights under customary law; referred to as </w:t>
            </w:r>
            <w:r w:rsidRPr="00542009">
              <w:rPr>
                <w:i/>
              </w:rPr>
              <w:t>hak ulayat</w:t>
            </w:r>
            <w:r w:rsidRPr="00542009">
              <w:t xml:space="preserve">; overlaps with </w:t>
            </w:r>
            <w:r w:rsidRPr="00542009">
              <w:rPr>
                <w:i/>
              </w:rPr>
              <w:t>girik</w:t>
            </w:r>
            <w:r w:rsidRPr="00542009">
              <w:t xml:space="preserve"> title.</w:t>
            </w:r>
          </w:p>
        </w:tc>
      </w:tr>
      <w:tr w:rsidR="00542009" w:rsidRPr="00542009" w14:paraId="4AB7759C" w14:textId="77777777" w:rsidTr="00542009">
        <w:tc>
          <w:tcPr>
            <w:tcW w:w="1261" w:type="dxa"/>
            <w:shd w:val="clear" w:color="auto" w:fill="FFFFFF" w:themeFill="background1"/>
          </w:tcPr>
          <w:p w14:paraId="7A06B548" w14:textId="4D22D74C" w:rsidR="00542009" w:rsidRPr="00B43DBC" w:rsidRDefault="00A31281" w:rsidP="00B43DBC">
            <w:hyperlink w:anchor="GirikTitle" w:history="1">
              <w:r w:rsidR="00542009" w:rsidRPr="00B43DBC">
                <w:rPr>
                  <w:rStyle w:val="Hyperlink"/>
                </w:rPr>
                <w:t>Girik title</w:t>
              </w:r>
            </w:hyperlink>
          </w:p>
        </w:tc>
        <w:tc>
          <w:tcPr>
            <w:tcW w:w="1291" w:type="dxa"/>
            <w:shd w:val="clear" w:color="auto" w:fill="FFFFFF" w:themeFill="background1"/>
          </w:tcPr>
          <w:p w14:paraId="6E6593F9" w14:textId="77777777" w:rsidR="00542009" w:rsidRPr="00542009" w:rsidRDefault="00542009" w:rsidP="00542009">
            <w:pPr>
              <w:spacing w:line="276" w:lineRule="auto"/>
            </w:pPr>
            <w:r w:rsidRPr="00542009">
              <w:t>No</w:t>
            </w:r>
          </w:p>
        </w:tc>
        <w:tc>
          <w:tcPr>
            <w:tcW w:w="6912" w:type="dxa"/>
            <w:shd w:val="clear" w:color="auto" w:fill="FFFFFF" w:themeFill="background1"/>
          </w:tcPr>
          <w:p w14:paraId="49EAAB39" w14:textId="77777777" w:rsidR="00542009" w:rsidRPr="00542009" w:rsidRDefault="00542009" w:rsidP="00542009">
            <w:pPr>
              <w:spacing w:line="276" w:lineRule="auto"/>
            </w:pPr>
            <w:r w:rsidRPr="00542009">
              <w:t>Ownership of customary land when evidenced by payment of land tax; may be held by customary owners or by other persons who have acquired ownership via informal conveyancing with customary owners; legally recognised and reasonably secure.</w:t>
            </w:r>
          </w:p>
        </w:tc>
      </w:tr>
      <w:tr w:rsidR="00542009" w:rsidRPr="00542009" w14:paraId="7CBA6D3B" w14:textId="77777777" w:rsidTr="00542009">
        <w:tc>
          <w:tcPr>
            <w:tcW w:w="1261" w:type="dxa"/>
            <w:shd w:val="clear" w:color="auto" w:fill="FFFFFF" w:themeFill="background1"/>
          </w:tcPr>
          <w:p w14:paraId="7B27BB95" w14:textId="1E1C07EF" w:rsidR="00542009" w:rsidRPr="00B43DBC" w:rsidRDefault="00A31281" w:rsidP="00B43DBC">
            <w:hyperlink w:anchor="GirikTitleOrGarapanRights" w:history="1">
              <w:r w:rsidR="00542009" w:rsidRPr="00B43DBC">
                <w:rPr>
                  <w:rStyle w:val="Hyperlink"/>
                </w:rPr>
                <w:t>Garapan rights</w:t>
              </w:r>
            </w:hyperlink>
          </w:p>
        </w:tc>
        <w:tc>
          <w:tcPr>
            <w:tcW w:w="1291" w:type="dxa"/>
            <w:shd w:val="clear" w:color="auto" w:fill="FFFFFF" w:themeFill="background1"/>
          </w:tcPr>
          <w:p w14:paraId="3E544222" w14:textId="77777777" w:rsidR="00542009" w:rsidRPr="00542009" w:rsidRDefault="00542009" w:rsidP="00542009">
            <w:pPr>
              <w:spacing w:line="276" w:lineRule="auto"/>
            </w:pPr>
            <w:r w:rsidRPr="00542009">
              <w:t>No</w:t>
            </w:r>
          </w:p>
        </w:tc>
        <w:tc>
          <w:tcPr>
            <w:tcW w:w="6912" w:type="dxa"/>
            <w:shd w:val="clear" w:color="auto" w:fill="FFFFFF" w:themeFill="background1"/>
          </w:tcPr>
          <w:p w14:paraId="4179E7B2" w14:textId="77777777" w:rsidR="00542009" w:rsidRPr="00542009" w:rsidRDefault="00542009" w:rsidP="00542009">
            <w:pPr>
              <w:spacing w:line="276" w:lineRule="auto"/>
            </w:pPr>
            <w:r w:rsidRPr="00542009">
              <w:t xml:space="preserve">Rights to use customary land held by persons who are not the customary owners; acquired via informal conveyancing with customary owners; legal status is unclear as </w:t>
            </w:r>
            <w:r w:rsidRPr="00542009">
              <w:rPr>
                <w:i/>
              </w:rPr>
              <w:t>garapan</w:t>
            </w:r>
            <w:r w:rsidRPr="00542009">
              <w:t xml:space="preserve"> may not be recognised by government.</w:t>
            </w:r>
          </w:p>
        </w:tc>
      </w:tr>
    </w:tbl>
    <w:p w14:paraId="16FD5AE9" w14:textId="77777777" w:rsidR="00542009" w:rsidRPr="00BD6A16" w:rsidRDefault="00542009" w:rsidP="00542009">
      <w:r w:rsidRPr="00BD6A16">
        <w:t>Land registration is not widespread in Indonesia, with only 30% of non-forest land being registered. Informal conveyancing (ie, undocumented</w:t>
      </w:r>
      <w:r>
        <w:t xml:space="preserve"> or incorrectly</w:t>
      </w:r>
      <w:r w:rsidRPr="00BD6A16">
        <w:t xml:space="preserve"> documented transactions) is extremely common, </w:t>
      </w:r>
      <w:r w:rsidRPr="00BD6A16">
        <w:lastRenderedPageBreak/>
        <w:t>both in relation to registered an</w:t>
      </w:r>
      <w:r>
        <w:t>d</w:t>
      </w:r>
      <w:r w:rsidRPr="00BD6A16">
        <w:t xml:space="preserve"> unregistered land. Further, unlike in many other countries, title documents are </w:t>
      </w:r>
      <w:r w:rsidRPr="00AA6F97">
        <w:rPr>
          <w:i/>
        </w:rPr>
        <w:t>not</w:t>
      </w:r>
      <w:r w:rsidRPr="00BD6A16">
        <w:t xml:space="preserve"> conclusive proof of land rights.</w:t>
      </w:r>
    </w:p>
    <w:p w14:paraId="10955478" w14:textId="77777777" w:rsidR="00542009" w:rsidRDefault="00542009" w:rsidP="00542009">
      <w:pPr>
        <w:rPr>
          <w:bCs/>
          <w:iCs/>
        </w:rPr>
      </w:pPr>
      <w:r w:rsidRPr="00BD6A16">
        <w:t>Due to these factors, the Indonesian governmen</w:t>
      </w:r>
      <w:r>
        <w:t>t permits</w:t>
      </w:r>
      <w:r w:rsidRPr="00BD6A16">
        <w:t xml:space="preserve"> land </w:t>
      </w:r>
      <w:r w:rsidRPr="00BD6A16">
        <w:rPr>
          <w:lang w:val="en-GB"/>
        </w:rPr>
        <w:t xml:space="preserve">tax receipts and/or unregistered deeds </w:t>
      </w:r>
      <w:r>
        <w:rPr>
          <w:lang w:val="en-GB"/>
        </w:rPr>
        <w:t>to</w:t>
      </w:r>
      <w:r w:rsidRPr="00BD6A16">
        <w:rPr>
          <w:lang w:val="en-GB"/>
        </w:rPr>
        <w:t xml:space="preserve"> be used to prove ownership of land. </w:t>
      </w:r>
      <w:r w:rsidRPr="00BD6A16">
        <w:rPr>
          <w:bCs/>
          <w:iCs/>
          <w:lang w:val="en-GB"/>
        </w:rPr>
        <w:t xml:space="preserve">There are several Indonesian terms for land tax receipts, depending on the type of land tax paid. Some of the </w:t>
      </w:r>
      <w:r>
        <w:rPr>
          <w:bCs/>
          <w:iCs/>
          <w:lang w:val="en-GB"/>
        </w:rPr>
        <w:t xml:space="preserve">commonly-used </w:t>
      </w:r>
      <w:r w:rsidRPr="00BD6A16">
        <w:rPr>
          <w:bCs/>
          <w:iCs/>
          <w:lang w:val="en-GB"/>
        </w:rPr>
        <w:t xml:space="preserve">terms are: </w:t>
      </w:r>
      <w:r w:rsidRPr="00BD6A16">
        <w:rPr>
          <w:bCs/>
          <w:i/>
          <w:iCs/>
        </w:rPr>
        <w:t>Petuk Pajak Bumi</w:t>
      </w:r>
      <w:r w:rsidRPr="00BD6A16">
        <w:rPr>
          <w:bCs/>
          <w:iCs/>
        </w:rPr>
        <w:t xml:space="preserve">, </w:t>
      </w:r>
      <w:r w:rsidRPr="00BD6A16">
        <w:rPr>
          <w:bCs/>
          <w:i/>
          <w:iCs/>
        </w:rPr>
        <w:t>Landrente</w:t>
      </w:r>
      <w:r w:rsidRPr="00BD6A16">
        <w:rPr>
          <w:bCs/>
          <w:iCs/>
        </w:rPr>
        <w:t xml:space="preserve">, </w:t>
      </w:r>
      <w:r w:rsidRPr="00BD6A16">
        <w:rPr>
          <w:bCs/>
          <w:i/>
          <w:iCs/>
        </w:rPr>
        <w:t>girik, pipil</w:t>
      </w:r>
      <w:r w:rsidRPr="00BD6A16">
        <w:rPr>
          <w:bCs/>
          <w:iCs/>
        </w:rPr>
        <w:t xml:space="preserve">, </w:t>
      </w:r>
      <w:r w:rsidRPr="00BD6A16">
        <w:rPr>
          <w:bCs/>
          <w:i/>
          <w:iCs/>
        </w:rPr>
        <w:t>Pethok D</w:t>
      </w:r>
      <w:r w:rsidRPr="00BD6A16">
        <w:rPr>
          <w:bCs/>
          <w:iCs/>
        </w:rPr>
        <w:t>,</w:t>
      </w:r>
      <w:r w:rsidRPr="00BD6A16">
        <w:rPr>
          <w:bCs/>
          <w:i/>
          <w:iCs/>
        </w:rPr>
        <w:t xml:space="preserve"> Letter C or ketitir</w:t>
      </w:r>
      <w:r w:rsidRPr="00BD6A16">
        <w:rPr>
          <w:bCs/>
          <w:iCs/>
        </w:rPr>
        <w:t>.</w:t>
      </w:r>
    </w:p>
    <w:p w14:paraId="754C55DF" w14:textId="0CEB8C95" w:rsidR="00542009" w:rsidRPr="00826D50" w:rsidRDefault="00826D50" w:rsidP="00826D50">
      <w:pPr>
        <w:rPr>
          <w:b/>
          <w:sz w:val="22"/>
        </w:rPr>
      </w:pPr>
      <w:r w:rsidRPr="00826D50">
        <w:rPr>
          <w:b/>
          <w:sz w:val="22"/>
        </w:rPr>
        <w:t>3</w:t>
      </w:r>
      <w:r w:rsidRPr="00826D50">
        <w:rPr>
          <w:b/>
          <w:sz w:val="22"/>
        </w:rPr>
        <w:tab/>
      </w:r>
      <w:hyperlink w:anchor="SecurityofTenure" w:history="1">
        <w:bookmarkStart w:id="7" w:name="_Toc512946027"/>
        <w:r w:rsidR="00542009" w:rsidRPr="00826D50">
          <w:rPr>
            <w:rStyle w:val="Hyperlink"/>
            <w:b/>
            <w:color w:val="auto"/>
            <w:sz w:val="22"/>
            <w:u w:val="none"/>
          </w:rPr>
          <w:t>Security of tenure of vulnerable groups</w:t>
        </w:r>
        <w:bookmarkEnd w:id="7"/>
      </w:hyperlink>
    </w:p>
    <w:tbl>
      <w:tblPr>
        <w:tblStyle w:val="TableGrid"/>
        <w:tblW w:w="0" w:type="auto"/>
        <w:tblInd w:w="108" w:type="dxa"/>
        <w:tblLook w:val="04A0" w:firstRow="1" w:lastRow="0" w:firstColumn="1" w:lastColumn="0" w:noHBand="0" w:noVBand="1"/>
      </w:tblPr>
      <w:tblGrid>
        <w:gridCol w:w="1560"/>
        <w:gridCol w:w="7904"/>
      </w:tblGrid>
      <w:tr w:rsidR="00542009" w:rsidRPr="00D64FDE" w14:paraId="19AB0E48" w14:textId="77777777" w:rsidTr="00542009">
        <w:tc>
          <w:tcPr>
            <w:tcW w:w="1560" w:type="dxa"/>
            <w:shd w:val="clear" w:color="auto" w:fill="auto"/>
          </w:tcPr>
          <w:p w14:paraId="0C872FF8" w14:textId="75CA4AFB" w:rsidR="00542009" w:rsidRPr="00B43DBC" w:rsidRDefault="00A31281" w:rsidP="00B43DBC">
            <w:pPr>
              <w:rPr>
                <w:sz w:val="20"/>
              </w:rPr>
            </w:pPr>
            <w:hyperlink w:anchor="CustomaryLandholders" w:history="1">
              <w:bookmarkStart w:id="8" w:name="_Toc512946028"/>
              <w:r w:rsidR="00542009" w:rsidRPr="00B43DBC">
                <w:rPr>
                  <w:rStyle w:val="Hyperlink"/>
                  <w:sz w:val="20"/>
                </w:rPr>
                <w:t>Customary landholders</w:t>
              </w:r>
              <w:bookmarkEnd w:id="8"/>
            </w:hyperlink>
          </w:p>
        </w:tc>
        <w:tc>
          <w:tcPr>
            <w:tcW w:w="7904" w:type="dxa"/>
            <w:shd w:val="clear" w:color="auto" w:fill="auto"/>
          </w:tcPr>
          <w:p w14:paraId="3947FC69" w14:textId="77777777" w:rsidR="00542009" w:rsidRPr="00D64FDE" w:rsidRDefault="00542009" w:rsidP="00542009">
            <w:pPr>
              <w:spacing w:line="276" w:lineRule="auto"/>
              <w:rPr>
                <w:sz w:val="20"/>
              </w:rPr>
            </w:pPr>
            <w:r w:rsidRPr="00D64FDE">
              <w:rPr>
                <w:sz w:val="20"/>
              </w:rPr>
              <w:t>Customary land is legally recognised and, since 2016, can be registered. Historically, however, customary ownership of land has not been adequately protected and the State has appropriated customary land for State or private use without adequate consultation or compensation. Many customary owners are dispossessed of their land.</w:t>
            </w:r>
          </w:p>
        </w:tc>
      </w:tr>
      <w:tr w:rsidR="00542009" w:rsidRPr="00D64FDE" w14:paraId="785F6031" w14:textId="77777777" w:rsidTr="00542009">
        <w:tc>
          <w:tcPr>
            <w:tcW w:w="1560" w:type="dxa"/>
            <w:shd w:val="clear" w:color="auto" w:fill="auto"/>
          </w:tcPr>
          <w:p w14:paraId="524F943B" w14:textId="2678ED1F" w:rsidR="00542009" w:rsidRPr="00B43DBC" w:rsidRDefault="00A31281" w:rsidP="00B43DBC">
            <w:pPr>
              <w:rPr>
                <w:sz w:val="20"/>
              </w:rPr>
            </w:pPr>
            <w:hyperlink w:anchor="Women" w:history="1">
              <w:bookmarkStart w:id="9" w:name="_Toc512946029"/>
              <w:r w:rsidR="00542009" w:rsidRPr="00B43DBC">
                <w:rPr>
                  <w:rStyle w:val="Hyperlink"/>
                  <w:sz w:val="20"/>
                </w:rPr>
                <w:t>Women</w:t>
              </w:r>
              <w:bookmarkEnd w:id="9"/>
            </w:hyperlink>
          </w:p>
        </w:tc>
        <w:tc>
          <w:tcPr>
            <w:tcW w:w="7904" w:type="dxa"/>
            <w:shd w:val="clear" w:color="auto" w:fill="auto"/>
          </w:tcPr>
          <w:p w14:paraId="51F67E7D" w14:textId="77777777" w:rsidR="00542009" w:rsidRPr="00D64FDE" w:rsidRDefault="00542009" w:rsidP="00542009">
            <w:pPr>
              <w:spacing w:line="276" w:lineRule="auto"/>
              <w:rPr>
                <w:sz w:val="20"/>
              </w:rPr>
            </w:pPr>
            <w:r w:rsidRPr="00D64FDE">
              <w:rPr>
                <w:sz w:val="20"/>
              </w:rPr>
              <w:t xml:space="preserve">Indonesian law provides that men and women have equal rights to acquire property. However, in practice, women are half as likely to have sole ownership of land as men. Patrilineal inheritance of land is widely practiced in relation to customary land. </w:t>
            </w:r>
          </w:p>
        </w:tc>
      </w:tr>
      <w:tr w:rsidR="00542009" w:rsidRPr="00D64FDE" w14:paraId="3EC0B14F" w14:textId="77777777" w:rsidTr="00542009">
        <w:tc>
          <w:tcPr>
            <w:tcW w:w="1560" w:type="dxa"/>
            <w:shd w:val="clear" w:color="auto" w:fill="auto"/>
          </w:tcPr>
          <w:p w14:paraId="7DFA2F62" w14:textId="440E2F2F" w:rsidR="00542009" w:rsidRPr="00B43DBC" w:rsidRDefault="00A31281" w:rsidP="00B43DBC">
            <w:pPr>
              <w:rPr>
                <w:sz w:val="20"/>
              </w:rPr>
            </w:pPr>
            <w:hyperlink w:anchor="MinorityGroups" w:history="1">
              <w:bookmarkStart w:id="10" w:name="_Toc512946030"/>
              <w:r w:rsidR="00542009" w:rsidRPr="00B43DBC">
                <w:rPr>
                  <w:rStyle w:val="Hyperlink"/>
                  <w:sz w:val="20"/>
                </w:rPr>
                <w:t>Minority groups</w:t>
              </w:r>
              <w:bookmarkEnd w:id="10"/>
            </w:hyperlink>
          </w:p>
        </w:tc>
        <w:tc>
          <w:tcPr>
            <w:tcW w:w="7904" w:type="dxa"/>
            <w:shd w:val="clear" w:color="auto" w:fill="auto"/>
          </w:tcPr>
          <w:p w14:paraId="01F8BEE9" w14:textId="77777777" w:rsidR="00542009" w:rsidRPr="00D64FDE" w:rsidRDefault="00542009" w:rsidP="00542009">
            <w:pPr>
              <w:spacing w:line="276" w:lineRule="auto"/>
              <w:rPr>
                <w:sz w:val="20"/>
              </w:rPr>
            </w:pPr>
            <w:r w:rsidRPr="00D64FDE">
              <w:rPr>
                <w:sz w:val="20"/>
              </w:rPr>
              <w:t xml:space="preserve">Non-Indonesian citizens are unable to hold </w:t>
            </w:r>
            <w:r w:rsidRPr="00D64FDE">
              <w:rPr>
                <w:i/>
                <w:sz w:val="20"/>
              </w:rPr>
              <w:t>hak milik</w:t>
            </w:r>
            <w:r w:rsidRPr="00D64FDE">
              <w:rPr>
                <w:sz w:val="20"/>
              </w:rPr>
              <w:t xml:space="preserve">, </w:t>
            </w:r>
            <w:r w:rsidRPr="00D64FDE">
              <w:rPr>
                <w:i/>
                <w:sz w:val="20"/>
              </w:rPr>
              <w:t>hak guna-bangunan</w:t>
            </w:r>
            <w:r w:rsidRPr="00D64FDE">
              <w:rPr>
                <w:sz w:val="20"/>
              </w:rPr>
              <w:t xml:space="preserve">, and </w:t>
            </w:r>
            <w:r w:rsidRPr="00D64FDE">
              <w:rPr>
                <w:i/>
                <w:sz w:val="20"/>
              </w:rPr>
              <w:t>hak guna-usaha</w:t>
            </w:r>
            <w:r w:rsidRPr="00D64FDE">
              <w:rPr>
                <w:sz w:val="20"/>
              </w:rPr>
              <w:t xml:space="preserve"> titles, which are three of the most secure forms of tenure. There have been recent instances of local Land Offices refusing to register land to Chinese-Indonesians on the basis of their ethnicity.</w:t>
            </w:r>
          </w:p>
        </w:tc>
      </w:tr>
      <w:tr w:rsidR="00542009" w:rsidRPr="00D64FDE" w14:paraId="119F4432" w14:textId="77777777" w:rsidTr="00542009">
        <w:tc>
          <w:tcPr>
            <w:tcW w:w="1560" w:type="dxa"/>
            <w:shd w:val="clear" w:color="auto" w:fill="auto"/>
          </w:tcPr>
          <w:p w14:paraId="015EF42E" w14:textId="5704B8FB" w:rsidR="00542009" w:rsidRPr="00B43DBC" w:rsidRDefault="00A31281" w:rsidP="00B43DBC">
            <w:pPr>
              <w:rPr>
                <w:sz w:val="20"/>
              </w:rPr>
            </w:pPr>
            <w:hyperlink w:anchor="InformalSettlements" w:history="1">
              <w:bookmarkStart w:id="11" w:name="_Toc512946031"/>
              <w:r w:rsidR="00542009" w:rsidRPr="00B43DBC">
                <w:rPr>
                  <w:rStyle w:val="Hyperlink"/>
                  <w:sz w:val="20"/>
                </w:rPr>
                <w:t>Informal settlements</w:t>
              </w:r>
              <w:bookmarkEnd w:id="11"/>
            </w:hyperlink>
          </w:p>
        </w:tc>
        <w:tc>
          <w:tcPr>
            <w:tcW w:w="7904" w:type="dxa"/>
            <w:shd w:val="clear" w:color="auto" w:fill="auto"/>
          </w:tcPr>
          <w:p w14:paraId="32CA2FF9" w14:textId="77777777" w:rsidR="00542009" w:rsidRPr="00D64FDE" w:rsidRDefault="00542009" w:rsidP="00542009">
            <w:pPr>
              <w:spacing w:line="276" w:lineRule="auto"/>
              <w:rPr>
                <w:sz w:val="20"/>
              </w:rPr>
            </w:pPr>
            <w:r w:rsidRPr="00D64FDE">
              <w:rPr>
                <w:sz w:val="20"/>
              </w:rPr>
              <w:t xml:space="preserve">The term </w:t>
            </w:r>
            <w:r w:rsidRPr="00D64FDE">
              <w:rPr>
                <w:i/>
                <w:sz w:val="20"/>
              </w:rPr>
              <w:t>kampung</w:t>
            </w:r>
            <w:r w:rsidRPr="00D64FDE">
              <w:rPr>
                <w:sz w:val="20"/>
              </w:rPr>
              <w:t xml:space="preserve"> is sometimes used to refer to informal settlements, however it is a broader term which refers to poor neighbourhoods generally. Security of tenure may vary significantly within a single </w:t>
            </w:r>
            <w:r w:rsidRPr="00D64FDE">
              <w:rPr>
                <w:i/>
                <w:sz w:val="20"/>
              </w:rPr>
              <w:t>kampung</w:t>
            </w:r>
            <w:r w:rsidRPr="00D64FDE">
              <w:rPr>
                <w:sz w:val="20"/>
              </w:rPr>
              <w:t xml:space="preserve">, with some residents having secure forms of tenure (registered interests or </w:t>
            </w:r>
            <w:r w:rsidRPr="00D64FDE">
              <w:rPr>
                <w:i/>
                <w:sz w:val="20"/>
              </w:rPr>
              <w:t>girik</w:t>
            </w:r>
            <w:r w:rsidRPr="00D64FDE">
              <w:rPr>
                <w:sz w:val="20"/>
              </w:rPr>
              <w:t>), and others having less secure forms of tenure (</w:t>
            </w:r>
            <w:r w:rsidRPr="00D64FDE">
              <w:rPr>
                <w:i/>
                <w:sz w:val="20"/>
              </w:rPr>
              <w:t>garapan</w:t>
            </w:r>
            <w:r w:rsidRPr="00D64FDE">
              <w:rPr>
                <w:sz w:val="20"/>
              </w:rPr>
              <w:t xml:space="preserve"> or squatting).</w:t>
            </w:r>
          </w:p>
        </w:tc>
      </w:tr>
      <w:tr w:rsidR="00542009" w:rsidRPr="00D64FDE" w14:paraId="7A761EF4" w14:textId="77777777" w:rsidTr="00542009">
        <w:tc>
          <w:tcPr>
            <w:tcW w:w="1560" w:type="dxa"/>
            <w:shd w:val="clear" w:color="auto" w:fill="auto"/>
          </w:tcPr>
          <w:p w14:paraId="2607DDE3" w14:textId="1310B506" w:rsidR="00542009" w:rsidRPr="00B43DBC" w:rsidRDefault="00A31281" w:rsidP="00B43DBC">
            <w:pPr>
              <w:rPr>
                <w:sz w:val="20"/>
              </w:rPr>
            </w:pPr>
            <w:hyperlink w:anchor="LandlessPeople" w:history="1">
              <w:bookmarkStart w:id="12" w:name="_Toc512946032"/>
              <w:r w:rsidR="00542009" w:rsidRPr="00B43DBC">
                <w:rPr>
                  <w:rStyle w:val="Hyperlink"/>
                  <w:sz w:val="20"/>
                </w:rPr>
                <w:t>Landless people</w:t>
              </w:r>
              <w:bookmarkEnd w:id="12"/>
            </w:hyperlink>
          </w:p>
        </w:tc>
        <w:tc>
          <w:tcPr>
            <w:tcW w:w="7904" w:type="dxa"/>
            <w:shd w:val="clear" w:color="auto" w:fill="auto"/>
          </w:tcPr>
          <w:p w14:paraId="16D813A3" w14:textId="77777777" w:rsidR="00542009" w:rsidRPr="00D64FDE" w:rsidRDefault="00542009" w:rsidP="00542009">
            <w:pPr>
              <w:spacing w:line="276" w:lineRule="auto"/>
              <w:rPr>
                <w:sz w:val="20"/>
              </w:rPr>
            </w:pPr>
            <w:r w:rsidRPr="00D64FDE">
              <w:rPr>
                <w:sz w:val="20"/>
              </w:rPr>
              <w:t xml:space="preserve">The principle of adverse possession does not exist in Indonesian law. However, the customary principle of </w:t>
            </w:r>
            <w:r w:rsidRPr="00D64FDE">
              <w:rPr>
                <w:i/>
                <w:sz w:val="20"/>
              </w:rPr>
              <w:t>rechtsverwerking</w:t>
            </w:r>
            <w:r w:rsidRPr="00D64FDE">
              <w:rPr>
                <w:sz w:val="20"/>
              </w:rPr>
              <w:t xml:space="preserve"> may permit a landless group to lawfully remain on another group's customary land if the land is vacant and the group's leader has granted permission.</w:t>
            </w:r>
          </w:p>
        </w:tc>
      </w:tr>
    </w:tbl>
    <w:p w14:paraId="208E6AD2" w14:textId="77777777" w:rsidR="00542009" w:rsidRPr="007C185C" w:rsidRDefault="00542009" w:rsidP="00542009">
      <w:pPr>
        <w:pStyle w:val="AllensHeading1"/>
        <w:numPr>
          <w:ilvl w:val="0"/>
          <w:numId w:val="0"/>
        </w:numPr>
        <w:ind w:left="709"/>
        <w:rPr>
          <w:sz w:val="6"/>
        </w:rPr>
      </w:pPr>
    </w:p>
    <w:p w14:paraId="12A4B2DD" w14:textId="2F096452" w:rsidR="00542009" w:rsidRPr="00826D50" w:rsidRDefault="00826D50" w:rsidP="00826D50">
      <w:pPr>
        <w:rPr>
          <w:b/>
          <w:sz w:val="22"/>
        </w:rPr>
      </w:pPr>
      <w:r w:rsidRPr="00826D50">
        <w:rPr>
          <w:b/>
          <w:sz w:val="22"/>
        </w:rPr>
        <w:t>4</w:t>
      </w:r>
      <w:r w:rsidRPr="00826D50">
        <w:rPr>
          <w:b/>
          <w:sz w:val="22"/>
        </w:rPr>
        <w:tab/>
      </w:r>
      <w:hyperlink w:anchor="EvictionExpropriationRelocation" w:history="1">
        <w:bookmarkStart w:id="13" w:name="_Toc512946033"/>
        <w:r w:rsidR="00542009" w:rsidRPr="00826D50">
          <w:rPr>
            <w:rStyle w:val="Hyperlink"/>
            <w:b/>
            <w:color w:val="auto"/>
            <w:sz w:val="22"/>
            <w:u w:val="none"/>
          </w:rPr>
          <w:t>Eviction, expropriation and relocation</w:t>
        </w:r>
        <w:bookmarkEnd w:id="13"/>
      </w:hyperlink>
    </w:p>
    <w:tbl>
      <w:tblPr>
        <w:tblStyle w:val="TableGrid"/>
        <w:tblW w:w="0" w:type="auto"/>
        <w:tblInd w:w="108" w:type="dxa"/>
        <w:tblLook w:val="04A0" w:firstRow="1" w:lastRow="0" w:firstColumn="1" w:lastColumn="0" w:noHBand="0" w:noVBand="1"/>
      </w:tblPr>
      <w:tblGrid>
        <w:gridCol w:w="1560"/>
        <w:gridCol w:w="7904"/>
      </w:tblGrid>
      <w:tr w:rsidR="00542009" w:rsidRPr="00D64FDE" w14:paraId="23F70E38" w14:textId="77777777" w:rsidTr="00542009">
        <w:tc>
          <w:tcPr>
            <w:tcW w:w="1560" w:type="dxa"/>
            <w:shd w:val="clear" w:color="auto" w:fill="auto"/>
          </w:tcPr>
          <w:p w14:paraId="536E8114" w14:textId="2E476A1A" w:rsidR="00542009" w:rsidRPr="00B43DBC" w:rsidRDefault="00A31281" w:rsidP="00B43DBC">
            <w:pPr>
              <w:rPr>
                <w:sz w:val="20"/>
              </w:rPr>
            </w:pPr>
            <w:hyperlink w:anchor="Evictions" w:history="1">
              <w:bookmarkStart w:id="14" w:name="_Toc512946034"/>
              <w:r w:rsidR="00542009" w:rsidRPr="00B43DBC">
                <w:rPr>
                  <w:rStyle w:val="Hyperlink"/>
                  <w:sz w:val="20"/>
                </w:rPr>
                <w:t>Eviction</w:t>
              </w:r>
              <w:bookmarkEnd w:id="14"/>
            </w:hyperlink>
          </w:p>
        </w:tc>
        <w:tc>
          <w:tcPr>
            <w:tcW w:w="7904" w:type="dxa"/>
            <w:shd w:val="clear" w:color="auto" w:fill="auto"/>
          </w:tcPr>
          <w:p w14:paraId="515AD054" w14:textId="77777777" w:rsidR="00542009" w:rsidRPr="00D64FDE" w:rsidRDefault="00542009" w:rsidP="00542009">
            <w:pPr>
              <w:spacing w:line="276" w:lineRule="auto"/>
              <w:rPr>
                <w:sz w:val="20"/>
              </w:rPr>
            </w:pPr>
            <w:r w:rsidRPr="00D64FDE">
              <w:rPr>
                <w:sz w:val="20"/>
              </w:rPr>
              <w:t>Forced evictions are authorised under a myriad of provincial and municipal laws, and are widespread all over Indonesia. There are generally no legal requirements to provide compensation, however compensation may be provided on an ad hoc basis.</w:t>
            </w:r>
          </w:p>
        </w:tc>
      </w:tr>
      <w:tr w:rsidR="00542009" w:rsidRPr="00D64FDE" w14:paraId="736E4AE3" w14:textId="77777777" w:rsidTr="00542009">
        <w:tc>
          <w:tcPr>
            <w:tcW w:w="1560" w:type="dxa"/>
            <w:shd w:val="clear" w:color="auto" w:fill="auto"/>
          </w:tcPr>
          <w:p w14:paraId="57E93CCE" w14:textId="30B22D2D" w:rsidR="00542009" w:rsidRPr="00B43DBC" w:rsidRDefault="00A31281" w:rsidP="00B43DBC">
            <w:pPr>
              <w:rPr>
                <w:sz w:val="20"/>
              </w:rPr>
            </w:pPr>
            <w:hyperlink w:anchor="Expropriation" w:history="1">
              <w:bookmarkStart w:id="15" w:name="_Toc512946035"/>
              <w:r w:rsidR="00542009" w:rsidRPr="00B43DBC">
                <w:rPr>
                  <w:rStyle w:val="Hyperlink"/>
                  <w:sz w:val="20"/>
                </w:rPr>
                <w:t>Expropriation</w:t>
              </w:r>
              <w:bookmarkEnd w:id="15"/>
            </w:hyperlink>
          </w:p>
        </w:tc>
        <w:tc>
          <w:tcPr>
            <w:tcW w:w="7904" w:type="dxa"/>
            <w:shd w:val="clear" w:color="auto" w:fill="auto"/>
          </w:tcPr>
          <w:p w14:paraId="29CE8919" w14:textId="77777777" w:rsidR="00542009" w:rsidRPr="00D64FDE" w:rsidRDefault="00542009" w:rsidP="00542009">
            <w:pPr>
              <w:spacing w:line="276" w:lineRule="auto"/>
              <w:rPr>
                <w:sz w:val="20"/>
              </w:rPr>
            </w:pPr>
            <w:r w:rsidRPr="00D64FDE">
              <w:rPr>
                <w:i/>
                <w:sz w:val="20"/>
              </w:rPr>
              <w:t>Law No. 24 of 2007 concerning Disaster Management</w:t>
            </w:r>
            <w:r w:rsidRPr="00D64FDE">
              <w:rPr>
                <w:sz w:val="20"/>
              </w:rPr>
              <w:t xml:space="preserve"> (the </w:t>
            </w:r>
            <w:r w:rsidRPr="00D64FDE">
              <w:rPr>
                <w:b/>
                <w:i/>
                <w:sz w:val="20"/>
              </w:rPr>
              <w:t>Disaster Management Law</w:t>
            </w:r>
            <w:r w:rsidRPr="00D64FDE">
              <w:rPr>
                <w:sz w:val="20"/>
              </w:rPr>
              <w:t xml:space="preserve">) provides the Indonesian government with a broad power to expropriate land as part of disaster management. Compensation must be provided, but the </w:t>
            </w:r>
            <w:r w:rsidRPr="00D64FDE">
              <w:rPr>
                <w:i/>
                <w:sz w:val="20"/>
              </w:rPr>
              <w:t>Disaster Management Law</w:t>
            </w:r>
            <w:r w:rsidRPr="00D64FDE">
              <w:rPr>
                <w:sz w:val="20"/>
              </w:rPr>
              <w:t xml:space="preserve"> does not specify how compensation is assessed or provided.</w:t>
            </w:r>
          </w:p>
        </w:tc>
      </w:tr>
      <w:tr w:rsidR="00542009" w:rsidRPr="00D64FDE" w14:paraId="0481DDB6" w14:textId="77777777" w:rsidTr="00542009">
        <w:tc>
          <w:tcPr>
            <w:tcW w:w="1560" w:type="dxa"/>
            <w:shd w:val="clear" w:color="auto" w:fill="auto"/>
          </w:tcPr>
          <w:p w14:paraId="693BD941" w14:textId="7EDBC686" w:rsidR="00542009" w:rsidRPr="00B43DBC" w:rsidRDefault="00A31281" w:rsidP="00B43DBC">
            <w:pPr>
              <w:rPr>
                <w:sz w:val="20"/>
              </w:rPr>
            </w:pPr>
            <w:hyperlink w:anchor="Relocation" w:history="1">
              <w:r w:rsidR="00542009" w:rsidRPr="00B43DBC">
                <w:rPr>
                  <w:rStyle w:val="Hyperlink"/>
                  <w:sz w:val="20"/>
                </w:rPr>
                <w:t>Relocation</w:t>
              </w:r>
            </w:hyperlink>
          </w:p>
        </w:tc>
        <w:tc>
          <w:tcPr>
            <w:tcW w:w="7904" w:type="dxa"/>
            <w:shd w:val="clear" w:color="auto" w:fill="auto"/>
          </w:tcPr>
          <w:p w14:paraId="380A76F1" w14:textId="77777777" w:rsidR="00542009" w:rsidRPr="00D64FDE" w:rsidRDefault="00542009" w:rsidP="00542009">
            <w:pPr>
              <w:spacing w:line="276" w:lineRule="auto"/>
              <w:rPr>
                <w:sz w:val="20"/>
              </w:rPr>
            </w:pPr>
            <w:r w:rsidRPr="00D64FDE">
              <w:rPr>
                <w:bCs/>
                <w:iCs/>
                <w:sz w:val="20"/>
                <w:lang w:val="en-GB"/>
              </w:rPr>
              <w:t xml:space="preserve">The </w:t>
            </w:r>
            <w:r w:rsidRPr="00D64FDE">
              <w:rPr>
                <w:bCs/>
                <w:i/>
                <w:iCs/>
                <w:sz w:val="20"/>
                <w:lang w:val="en-GB"/>
              </w:rPr>
              <w:t>Disaster Management Law</w:t>
            </w:r>
            <w:r w:rsidRPr="00D64FDE">
              <w:rPr>
                <w:bCs/>
                <w:iCs/>
                <w:sz w:val="20"/>
                <w:lang w:val="en-GB"/>
              </w:rPr>
              <w:t xml:space="preserve"> provides that the government may designate an area as unfit for habitation due to an unacceptably high risk of natural disaster. This may provide a basis for forcibly evicting and/or relocating persons living in a designated area.</w:t>
            </w:r>
          </w:p>
        </w:tc>
      </w:tr>
    </w:tbl>
    <w:p w14:paraId="19B2A708" w14:textId="77777777" w:rsidR="006F7EF2" w:rsidRDefault="006F7EF2" w:rsidP="00A34579">
      <w:pPr>
        <w:widowControl w:val="0"/>
        <w:rPr>
          <w:rFonts w:cs="Arial"/>
          <w:lang w:val="en-GB"/>
        </w:rPr>
      </w:pPr>
    </w:p>
    <w:p w14:paraId="0168043D" w14:textId="77777777" w:rsidR="00D64FDE" w:rsidRPr="00542009" w:rsidRDefault="00D64FDE" w:rsidP="00A34579">
      <w:pPr>
        <w:widowControl w:val="0"/>
        <w:rPr>
          <w:rFonts w:cs="Arial"/>
          <w:lang w:val="en-GB"/>
        </w:rPr>
        <w:sectPr w:rsidR="00D64FDE" w:rsidRPr="00542009" w:rsidSect="00806007">
          <w:headerReference w:type="default" r:id="rId13"/>
          <w:headerReference w:type="first" r:id="rId14"/>
          <w:pgSz w:w="11907" w:h="16839"/>
          <w:pgMar w:top="1701" w:right="1134" w:bottom="1134" w:left="1417" w:header="680" w:footer="567" w:gutter="0"/>
          <w:cols w:space="708"/>
          <w:titlePg/>
          <w:docGrid w:linePitch="360"/>
        </w:sectPr>
      </w:pPr>
    </w:p>
    <w:tbl>
      <w:tblPr>
        <w:tblW w:w="0" w:type="auto"/>
        <w:jc w:val="right"/>
        <w:tblLayout w:type="fixed"/>
        <w:tblCellMar>
          <w:left w:w="0" w:type="dxa"/>
          <w:right w:w="0" w:type="dxa"/>
        </w:tblCellMar>
        <w:tblLook w:val="0000" w:firstRow="0" w:lastRow="0" w:firstColumn="0" w:lastColumn="0" w:noHBand="0" w:noVBand="0"/>
      </w:tblPr>
      <w:tblGrid>
        <w:gridCol w:w="9072"/>
      </w:tblGrid>
      <w:tr w:rsidR="00A61E96" w:rsidRPr="00E6097F" w14:paraId="42FEA342" w14:textId="77777777" w:rsidTr="00865E57">
        <w:trPr>
          <w:trHeight w:hRule="exact" w:val="3538"/>
          <w:jc w:val="right"/>
        </w:trPr>
        <w:tc>
          <w:tcPr>
            <w:tcW w:w="9072" w:type="dxa"/>
            <w:shd w:val="solid" w:color="FFFFFF" w:fill="FFFFFF"/>
            <w:vAlign w:val="bottom"/>
          </w:tcPr>
          <w:p w14:paraId="1C249897" w14:textId="77777777" w:rsidR="00A61E96" w:rsidRPr="00560D86" w:rsidRDefault="00A61E96" w:rsidP="00865E57">
            <w:pPr>
              <w:spacing w:before="120"/>
              <w:jc w:val="center"/>
              <w:rPr>
                <w:rFonts w:cs="Arial"/>
              </w:rPr>
            </w:pPr>
            <w:bookmarkStart w:id="16" w:name="AgreementParties"/>
            <w:bookmarkEnd w:id="16"/>
          </w:p>
        </w:tc>
      </w:tr>
      <w:tr w:rsidR="00A61E96" w:rsidRPr="00E6097F" w14:paraId="4BAA7BCF" w14:textId="77777777" w:rsidTr="00865E57">
        <w:trPr>
          <w:trHeight w:hRule="exact" w:val="2126"/>
          <w:jc w:val="right"/>
        </w:trPr>
        <w:tc>
          <w:tcPr>
            <w:tcW w:w="9072" w:type="dxa"/>
            <w:vAlign w:val="bottom"/>
          </w:tcPr>
          <w:p w14:paraId="3DCA02FA" w14:textId="77777777" w:rsidR="00A61E96" w:rsidRDefault="00A61E96" w:rsidP="00865E57">
            <w:pPr>
              <w:pStyle w:val="Title"/>
              <w:jc w:val="center"/>
              <w:rPr>
                <w:b/>
                <w:bCs/>
              </w:rPr>
            </w:pPr>
            <w:bookmarkStart w:id="17" w:name="AgreementTitle"/>
            <w:bookmarkEnd w:id="17"/>
            <w:r>
              <w:rPr>
                <w:b/>
                <w:bCs/>
              </w:rPr>
              <w:t>Disaster Law Housing, Land and</w:t>
            </w:r>
          </w:p>
          <w:p w14:paraId="09E10F29" w14:textId="77777777" w:rsidR="00A61E96" w:rsidRDefault="00A61E96" w:rsidP="00865E57">
            <w:pPr>
              <w:pStyle w:val="Title"/>
              <w:jc w:val="center"/>
              <w:rPr>
                <w:b/>
                <w:bCs/>
              </w:rPr>
            </w:pPr>
            <w:r w:rsidRPr="00F92C8D">
              <w:rPr>
                <w:b/>
                <w:bCs/>
              </w:rPr>
              <w:t>Property Mapping Project</w:t>
            </w:r>
          </w:p>
          <w:p w14:paraId="1A0F3F4F" w14:textId="77777777" w:rsidR="00A61E96" w:rsidRPr="005D6E30" w:rsidRDefault="00A61E96" w:rsidP="00865E57">
            <w:pPr>
              <w:pStyle w:val="Title"/>
              <w:jc w:val="center"/>
              <w:rPr>
                <w:b/>
                <w:bCs/>
              </w:rPr>
            </w:pPr>
          </w:p>
          <w:p w14:paraId="55FC8201" w14:textId="77777777" w:rsidR="00A61E96" w:rsidRDefault="00A61E96" w:rsidP="00865E57">
            <w:pPr>
              <w:pStyle w:val="Title"/>
              <w:jc w:val="center"/>
              <w:rPr>
                <w:b/>
                <w:bCs/>
              </w:rPr>
            </w:pPr>
            <w:r w:rsidRPr="00B53ACC">
              <w:t>Indonesia</w:t>
            </w:r>
          </w:p>
          <w:p w14:paraId="53144511" w14:textId="77777777" w:rsidR="00A61E96" w:rsidRPr="00C53540" w:rsidRDefault="00A61E96" w:rsidP="00865E57">
            <w:pPr>
              <w:pStyle w:val="Title"/>
              <w:rPr>
                <w:szCs w:val="32"/>
              </w:rPr>
            </w:pPr>
          </w:p>
        </w:tc>
      </w:tr>
      <w:tr w:rsidR="00A61E96" w:rsidRPr="00E6097F" w14:paraId="0A206C05" w14:textId="77777777" w:rsidTr="00865E57">
        <w:trPr>
          <w:trHeight w:val="414"/>
          <w:jc w:val="right"/>
        </w:trPr>
        <w:tc>
          <w:tcPr>
            <w:tcW w:w="9072" w:type="dxa"/>
          </w:tcPr>
          <w:p w14:paraId="665C9DD9" w14:textId="77777777" w:rsidR="00A61E96" w:rsidRPr="00E6097F" w:rsidRDefault="00A61E96" w:rsidP="00865E57">
            <w:pPr>
              <w:jc w:val="center"/>
              <w:rPr>
                <w:rFonts w:cs="Arial"/>
              </w:rPr>
            </w:pPr>
            <w:bookmarkStart w:id="18" w:name="AgreementTransaction"/>
            <w:bookmarkEnd w:id="18"/>
          </w:p>
        </w:tc>
      </w:tr>
      <w:tr w:rsidR="00A61E96" w:rsidRPr="00E6097F" w14:paraId="6717EC94" w14:textId="77777777" w:rsidTr="00865E57">
        <w:trPr>
          <w:trHeight w:val="3856"/>
          <w:jc w:val="right"/>
        </w:trPr>
        <w:tc>
          <w:tcPr>
            <w:tcW w:w="9072" w:type="dxa"/>
            <w:vAlign w:val="bottom"/>
          </w:tcPr>
          <w:p w14:paraId="18DCBBA8" w14:textId="77777777" w:rsidR="00A61E96" w:rsidRPr="00197A4A" w:rsidRDefault="00A61E96" w:rsidP="00865E57">
            <w:pPr>
              <w:rPr>
                <w:rFonts w:cs="Arial"/>
                <w:sz w:val="18"/>
                <w:szCs w:val="18"/>
              </w:rPr>
            </w:pPr>
            <w:bookmarkStart w:id="19" w:name="AgreementWatermark"/>
            <w:bookmarkEnd w:id="19"/>
          </w:p>
        </w:tc>
      </w:tr>
      <w:tr w:rsidR="00A61E96" w:rsidRPr="00E6097F" w14:paraId="5A6FF185" w14:textId="77777777" w:rsidTr="00865E57">
        <w:trPr>
          <w:trHeight w:val="3674"/>
          <w:jc w:val="right"/>
        </w:trPr>
        <w:tc>
          <w:tcPr>
            <w:tcW w:w="9072" w:type="dxa"/>
            <w:vAlign w:val="bottom"/>
          </w:tcPr>
          <w:p w14:paraId="1BDBCDB9" w14:textId="77777777" w:rsidR="00A61E96" w:rsidRPr="00E6097F" w:rsidRDefault="00A61E96" w:rsidP="00865E57">
            <w:pPr>
              <w:pStyle w:val="BodyText"/>
              <w:rPr>
                <w:rFonts w:cs="Arial"/>
                <w:sz w:val="12"/>
              </w:rPr>
            </w:pPr>
          </w:p>
        </w:tc>
      </w:tr>
    </w:tbl>
    <w:p w14:paraId="6859EAC2" w14:textId="77777777" w:rsidR="00D64FDE" w:rsidRDefault="00D64FDE" w:rsidP="001D40A6">
      <w:pPr>
        <w:pStyle w:val="ContentsHeading"/>
      </w:pPr>
    </w:p>
    <w:p w14:paraId="4729E6B0" w14:textId="77777777" w:rsidR="00826D50" w:rsidRDefault="006F7EF2" w:rsidP="00B43DBC">
      <w:pPr>
        <w:pStyle w:val="ContentsHeading"/>
        <w:rPr>
          <w:noProof/>
        </w:rPr>
      </w:pPr>
      <w:r w:rsidRPr="00C53540">
        <w:lastRenderedPageBreak/>
        <w:t>Contents</w:t>
      </w:r>
      <w:r>
        <w:rPr>
          <w:rFonts w:ascii="Arial Bold" w:hAnsi="Arial Bold"/>
        </w:rPr>
        <w:fldChar w:fldCharType="begin"/>
      </w:r>
      <w:r>
        <w:instrText xml:space="preserve"> TOC \h \z \t "Schedule 1,2,Schedule Heading,1,Allens Heading 1,1,Allens Heading 2,2" </w:instrText>
      </w:r>
      <w:r>
        <w:rPr>
          <w:rFonts w:ascii="Arial Bold" w:hAnsi="Arial Bold"/>
        </w:rPr>
        <w:fldChar w:fldCharType="separate"/>
      </w:r>
    </w:p>
    <w:p w14:paraId="2D83DA49" w14:textId="77777777" w:rsidR="00826D50" w:rsidRDefault="00A31281">
      <w:pPr>
        <w:pStyle w:val="TOC1"/>
        <w:rPr>
          <w:rFonts w:asciiTheme="minorHAnsi" w:eastAsiaTheme="minorEastAsia" w:hAnsiTheme="minorHAnsi" w:cstheme="minorBidi"/>
          <w:b w:val="0"/>
          <w:sz w:val="22"/>
          <w:szCs w:val="22"/>
          <w:lang w:eastAsia="zh-CN"/>
        </w:rPr>
      </w:pPr>
      <w:hyperlink w:anchor="_Toc512946249" w:history="1">
        <w:r w:rsidR="00826D50" w:rsidRPr="0078036F">
          <w:rPr>
            <w:rStyle w:val="Hyperlink"/>
            <w:lang w:val="en-GB"/>
          </w:rPr>
          <w:t>1</w:t>
        </w:r>
        <w:r w:rsidR="00826D50">
          <w:rPr>
            <w:rFonts w:asciiTheme="minorHAnsi" w:eastAsiaTheme="minorEastAsia" w:hAnsiTheme="minorHAnsi" w:cstheme="minorBidi"/>
            <w:b w:val="0"/>
            <w:sz w:val="22"/>
            <w:szCs w:val="22"/>
            <w:lang w:eastAsia="zh-CN"/>
          </w:rPr>
          <w:tab/>
        </w:r>
        <w:r w:rsidR="00826D50" w:rsidRPr="0078036F">
          <w:rPr>
            <w:rStyle w:val="Hyperlink"/>
            <w:lang w:val="en-GB"/>
          </w:rPr>
          <w:t>Introduction</w:t>
        </w:r>
        <w:r w:rsidR="00826D50">
          <w:rPr>
            <w:webHidden/>
          </w:rPr>
          <w:tab/>
        </w:r>
        <w:r w:rsidR="00826D50">
          <w:rPr>
            <w:webHidden/>
          </w:rPr>
          <w:fldChar w:fldCharType="begin"/>
        </w:r>
        <w:r w:rsidR="00826D50">
          <w:rPr>
            <w:webHidden/>
          </w:rPr>
          <w:instrText xml:space="preserve"> PAGEREF _Toc512946249 \h </w:instrText>
        </w:r>
        <w:r w:rsidR="00826D50">
          <w:rPr>
            <w:webHidden/>
          </w:rPr>
        </w:r>
        <w:r w:rsidR="00826D50">
          <w:rPr>
            <w:webHidden/>
          </w:rPr>
          <w:fldChar w:fldCharType="separate"/>
        </w:r>
        <w:r w:rsidR="00826D50">
          <w:rPr>
            <w:webHidden/>
          </w:rPr>
          <w:t>3</w:t>
        </w:r>
        <w:r w:rsidR="00826D50">
          <w:rPr>
            <w:webHidden/>
          </w:rPr>
          <w:fldChar w:fldCharType="end"/>
        </w:r>
      </w:hyperlink>
    </w:p>
    <w:p w14:paraId="3659EF06" w14:textId="77777777" w:rsidR="00826D50" w:rsidRDefault="00A31281">
      <w:pPr>
        <w:pStyle w:val="TOC2"/>
        <w:tabs>
          <w:tab w:val="left" w:pos="1418"/>
        </w:tabs>
        <w:rPr>
          <w:rFonts w:asciiTheme="minorHAnsi" w:eastAsiaTheme="minorEastAsia" w:hAnsiTheme="minorHAnsi" w:cstheme="minorBidi"/>
          <w:sz w:val="22"/>
          <w:szCs w:val="22"/>
          <w:lang w:eastAsia="zh-CN"/>
        </w:rPr>
      </w:pPr>
      <w:hyperlink w:anchor="_Toc512946250" w:history="1">
        <w:r w:rsidR="00826D50" w:rsidRPr="0078036F">
          <w:rPr>
            <w:rStyle w:val="Hyperlink"/>
          </w:rPr>
          <w:t>1.1</w:t>
        </w:r>
        <w:r w:rsidR="00826D50">
          <w:rPr>
            <w:rFonts w:asciiTheme="minorHAnsi" w:eastAsiaTheme="minorEastAsia" w:hAnsiTheme="minorHAnsi" w:cstheme="minorBidi"/>
            <w:sz w:val="22"/>
            <w:szCs w:val="22"/>
            <w:lang w:eastAsia="zh-CN"/>
          </w:rPr>
          <w:tab/>
        </w:r>
        <w:r w:rsidR="00826D50" w:rsidRPr="0078036F">
          <w:rPr>
            <w:rStyle w:val="Hyperlink"/>
          </w:rPr>
          <w:t>Overview</w:t>
        </w:r>
        <w:r w:rsidR="00826D50">
          <w:rPr>
            <w:webHidden/>
          </w:rPr>
          <w:tab/>
        </w:r>
        <w:r w:rsidR="00826D50">
          <w:rPr>
            <w:webHidden/>
          </w:rPr>
          <w:fldChar w:fldCharType="begin"/>
        </w:r>
        <w:r w:rsidR="00826D50">
          <w:rPr>
            <w:webHidden/>
          </w:rPr>
          <w:instrText xml:space="preserve"> PAGEREF _Toc512946250 \h </w:instrText>
        </w:r>
        <w:r w:rsidR="00826D50">
          <w:rPr>
            <w:webHidden/>
          </w:rPr>
        </w:r>
        <w:r w:rsidR="00826D50">
          <w:rPr>
            <w:webHidden/>
          </w:rPr>
          <w:fldChar w:fldCharType="separate"/>
        </w:r>
        <w:r w:rsidR="00826D50">
          <w:rPr>
            <w:webHidden/>
          </w:rPr>
          <w:t>3</w:t>
        </w:r>
        <w:r w:rsidR="00826D50">
          <w:rPr>
            <w:webHidden/>
          </w:rPr>
          <w:fldChar w:fldCharType="end"/>
        </w:r>
      </w:hyperlink>
    </w:p>
    <w:p w14:paraId="33337E1D" w14:textId="77777777" w:rsidR="00826D50" w:rsidRDefault="00A31281">
      <w:pPr>
        <w:pStyle w:val="TOC2"/>
        <w:tabs>
          <w:tab w:val="left" w:pos="1418"/>
        </w:tabs>
        <w:rPr>
          <w:rFonts w:asciiTheme="minorHAnsi" w:eastAsiaTheme="minorEastAsia" w:hAnsiTheme="minorHAnsi" w:cstheme="minorBidi"/>
          <w:sz w:val="22"/>
          <w:szCs w:val="22"/>
          <w:lang w:eastAsia="zh-CN"/>
        </w:rPr>
      </w:pPr>
      <w:hyperlink w:anchor="_Toc512946251" w:history="1">
        <w:r w:rsidR="00826D50" w:rsidRPr="0078036F">
          <w:rPr>
            <w:rStyle w:val="Hyperlink"/>
            <w:lang w:val="en-GB"/>
          </w:rPr>
          <w:t>1.2</w:t>
        </w:r>
        <w:r w:rsidR="00826D50">
          <w:rPr>
            <w:rFonts w:asciiTheme="minorHAnsi" w:eastAsiaTheme="minorEastAsia" w:hAnsiTheme="minorHAnsi" w:cstheme="minorBidi"/>
            <w:sz w:val="22"/>
            <w:szCs w:val="22"/>
            <w:lang w:eastAsia="zh-CN"/>
          </w:rPr>
          <w:tab/>
        </w:r>
        <w:r w:rsidR="00826D50" w:rsidRPr="0078036F">
          <w:rPr>
            <w:rStyle w:val="Hyperlink"/>
            <w:lang w:val="en-GB"/>
          </w:rPr>
          <w:t>Background information on Indonesia</w:t>
        </w:r>
        <w:r w:rsidR="00826D50">
          <w:rPr>
            <w:webHidden/>
          </w:rPr>
          <w:tab/>
        </w:r>
        <w:r w:rsidR="00826D50">
          <w:rPr>
            <w:webHidden/>
          </w:rPr>
          <w:fldChar w:fldCharType="begin"/>
        </w:r>
        <w:r w:rsidR="00826D50">
          <w:rPr>
            <w:webHidden/>
          </w:rPr>
          <w:instrText xml:space="preserve"> PAGEREF _Toc512946251 \h </w:instrText>
        </w:r>
        <w:r w:rsidR="00826D50">
          <w:rPr>
            <w:webHidden/>
          </w:rPr>
        </w:r>
        <w:r w:rsidR="00826D50">
          <w:rPr>
            <w:webHidden/>
          </w:rPr>
          <w:fldChar w:fldCharType="separate"/>
        </w:r>
        <w:r w:rsidR="00826D50">
          <w:rPr>
            <w:webHidden/>
          </w:rPr>
          <w:t>3</w:t>
        </w:r>
        <w:r w:rsidR="00826D50">
          <w:rPr>
            <w:webHidden/>
          </w:rPr>
          <w:fldChar w:fldCharType="end"/>
        </w:r>
      </w:hyperlink>
    </w:p>
    <w:p w14:paraId="5979FC92" w14:textId="77777777" w:rsidR="00826D50" w:rsidRDefault="00A31281">
      <w:pPr>
        <w:pStyle w:val="TOC1"/>
        <w:rPr>
          <w:rFonts w:asciiTheme="minorHAnsi" w:eastAsiaTheme="minorEastAsia" w:hAnsiTheme="minorHAnsi" w:cstheme="minorBidi"/>
          <w:b w:val="0"/>
          <w:sz w:val="22"/>
          <w:szCs w:val="22"/>
          <w:lang w:eastAsia="zh-CN"/>
        </w:rPr>
      </w:pPr>
      <w:hyperlink w:anchor="_Toc512946252" w:history="1">
        <w:r w:rsidR="00826D50" w:rsidRPr="0078036F">
          <w:rPr>
            <w:rStyle w:val="Hyperlink"/>
            <w:lang w:val="en-GB"/>
          </w:rPr>
          <w:t>2</w:t>
        </w:r>
        <w:r w:rsidR="00826D50">
          <w:rPr>
            <w:rFonts w:asciiTheme="minorHAnsi" w:eastAsiaTheme="minorEastAsia" w:hAnsiTheme="minorHAnsi" w:cstheme="minorBidi"/>
            <w:b w:val="0"/>
            <w:sz w:val="22"/>
            <w:szCs w:val="22"/>
            <w:lang w:eastAsia="zh-CN"/>
          </w:rPr>
          <w:tab/>
        </w:r>
        <w:r w:rsidR="00826D50" w:rsidRPr="0078036F">
          <w:rPr>
            <w:rStyle w:val="Hyperlink"/>
            <w:lang w:val="en-GB"/>
          </w:rPr>
          <w:t>Common tenure types</w:t>
        </w:r>
        <w:r w:rsidR="00826D50">
          <w:rPr>
            <w:webHidden/>
          </w:rPr>
          <w:tab/>
        </w:r>
        <w:r w:rsidR="00826D50">
          <w:rPr>
            <w:webHidden/>
          </w:rPr>
          <w:fldChar w:fldCharType="begin"/>
        </w:r>
        <w:r w:rsidR="00826D50">
          <w:rPr>
            <w:webHidden/>
          </w:rPr>
          <w:instrText xml:space="preserve"> PAGEREF _Toc512946252 \h </w:instrText>
        </w:r>
        <w:r w:rsidR="00826D50">
          <w:rPr>
            <w:webHidden/>
          </w:rPr>
        </w:r>
        <w:r w:rsidR="00826D50">
          <w:rPr>
            <w:webHidden/>
          </w:rPr>
          <w:fldChar w:fldCharType="separate"/>
        </w:r>
        <w:r w:rsidR="00826D50">
          <w:rPr>
            <w:webHidden/>
          </w:rPr>
          <w:t>5</w:t>
        </w:r>
        <w:r w:rsidR="00826D50">
          <w:rPr>
            <w:webHidden/>
          </w:rPr>
          <w:fldChar w:fldCharType="end"/>
        </w:r>
      </w:hyperlink>
    </w:p>
    <w:p w14:paraId="37DB454E" w14:textId="77777777" w:rsidR="00826D50" w:rsidRDefault="00A31281">
      <w:pPr>
        <w:pStyle w:val="TOC2"/>
        <w:tabs>
          <w:tab w:val="left" w:pos="1418"/>
        </w:tabs>
        <w:rPr>
          <w:rFonts w:asciiTheme="minorHAnsi" w:eastAsiaTheme="minorEastAsia" w:hAnsiTheme="minorHAnsi" w:cstheme="minorBidi"/>
          <w:sz w:val="22"/>
          <w:szCs w:val="22"/>
          <w:lang w:eastAsia="zh-CN"/>
        </w:rPr>
      </w:pPr>
      <w:hyperlink w:anchor="_Toc512946253" w:history="1">
        <w:r w:rsidR="00826D50" w:rsidRPr="0078036F">
          <w:rPr>
            <w:rStyle w:val="Hyperlink"/>
            <w:lang w:val="en-GB"/>
          </w:rPr>
          <w:t>2.1</w:t>
        </w:r>
        <w:r w:rsidR="00826D50">
          <w:rPr>
            <w:rFonts w:asciiTheme="minorHAnsi" w:eastAsiaTheme="minorEastAsia" w:hAnsiTheme="minorHAnsi" w:cstheme="minorBidi"/>
            <w:sz w:val="22"/>
            <w:szCs w:val="22"/>
            <w:lang w:eastAsia="zh-CN"/>
          </w:rPr>
          <w:tab/>
        </w:r>
        <w:r w:rsidR="00826D50" w:rsidRPr="0078036F">
          <w:rPr>
            <w:rStyle w:val="Hyperlink"/>
            <w:lang w:val="en-GB"/>
          </w:rPr>
          <w:t>Tenure types</w:t>
        </w:r>
        <w:r w:rsidR="00826D50">
          <w:rPr>
            <w:webHidden/>
          </w:rPr>
          <w:tab/>
        </w:r>
        <w:r w:rsidR="00826D50">
          <w:rPr>
            <w:webHidden/>
          </w:rPr>
          <w:fldChar w:fldCharType="begin"/>
        </w:r>
        <w:r w:rsidR="00826D50">
          <w:rPr>
            <w:webHidden/>
          </w:rPr>
          <w:instrText xml:space="preserve"> PAGEREF _Toc512946253 \h </w:instrText>
        </w:r>
        <w:r w:rsidR="00826D50">
          <w:rPr>
            <w:webHidden/>
          </w:rPr>
        </w:r>
        <w:r w:rsidR="00826D50">
          <w:rPr>
            <w:webHidden/>
          </w:rPr>
          <w:fldChar w:fldCharType="separate"/>
        </w:r>
        <w:r w:rsidR="00826D50">
          <w:rPr>
            <w:webHidden/>
          </w:rPr>
          <w:t>5</w:t>
        </w:r>
        <w:r w:rsidR="00826D50">
          <w:rPr>
            <w:webHidden/>
          </w:rPr>
          <w:fldChar w:fldCharType="end"/>
        </w:r>
      </w:hyperlink>
    </w:p>
    <w:p w14:paraId="71FE9A20" w14:textId="77777777" w:rsidR="00826D50" w:rsidRDefault="00A31281">
      <w:pPr>
        <w:pStyle w:val="TOC2"/>
        <w:tabs>
          <w:tab w:val="left" w:pos="1418"/>
        </w:tabs>
        <w:rPr>
          <w:rFonts w:asciiTheme="minorHAnsi" w:eastAsiaTheme="minorEastAsia" w:hAnsiTheme="minorHAnsi" w:cstheme="minorBidi"/>
          <w:sz w:val="22"/>
          <w:szCs w:val="22"/>
          <w:lang w:eastAsia="zh-CN"/>
        </w:rPr>
      </w:pPr>
      <w:hyperlink w:anchor="_Toc512946254" w:history="1">
        <w:r w:rsidR="00826D50" w:rsidRPr="0078036F">
          <w:rPr>
            <w:rStyle w:val="Hyperlink"/>
            <w:lang w:val="en-GB"/>
          </w:rPr>
          <w:t>2.2</w:t>
        </w:r>
        <w:r w:rsidR="00826D50">
          <w:rPr>
            <w:rFonts w:asciiTheme="minorHAnsi" w:eastAsiaTheme="minorEastAsia" w:hAnsiTheme="minorHAnsi" w:cstheme="minorBidi"/>
            <w:sz w:val="22"/>
            <w:szCs w:val="22"/>
            <w:lang w:eastAsia="zh-CN"/>
          </w:rPr>
          <w:tab/>
        </w:r>
        <w:r w:rsidR="00826D50" w:rsidRPr="0078036F">
          <w:rPr>
            <w:rStyle w:val="Hyperlink"/>
            <w:lang w:val="en-GB"/>
          </w:rPr>
          <w:t>Documenting tenure</w:t>
        </w:r>
        <w:r w:rsidR="00826D50">
          <w:rPr>
            <w:webHidden/>
          </w:rPr>
          <w:tab/>
        </w:r>
        <w:r w:rsidR="00826D50">
          <w:rPr>
            <w:webHidden/>
          </w:rPr>
          <w:fldChar w:fldCharType="begin"/>
        </w:r>
        <w:r w:rsidR="00826D50">
          <w:rPr>
            <w:webHidden/>
          </w:rPr>
          <w:instrText xml:space="preserve"> PAGEREF _Toc512946254 \h </w:instrText>
        </w:r>
        <w:r w:rsidR="00826D50">
          <w:rPr>
            <w:webHidden/>
          </w:rPr>
        </w:r>
        <w:r w:rsidR="00826D50">
          <w:rPr>
            <w:webHidden/>
          </w:rPr>
          <w:fldChar w:fldCharType="separate"/>
        </w:r>
        <w:r w:rsidR="00826D50">
          <w:rPr>
            <w:webHidden/>
          </w:rPr>
          <w:t>15</w:t>
        </w:r>
        <w:r w:rsidR="00826D50">
          <w:rPr>
            <w:webHidden/>
          </w:rPr>
          <w:fldChar w:fldCharType="end"/>
        </w:r>
      </w:hyperlink>
    </w:p>
    <w:p w14:paraId="4F6BA0D4" w14:textId="77777777" w:rsidR="00826D50" w:rsidRDefault="00A31281">
      <w:pPr>
        <w:pStyle w:val="TOC2"/>
        <w:tabs>
          <w:tab w:val="left" w:pos="1418"/>
        </w:tabs>
        <w:rPr>
          <w:rFonts w:asciiTheme="minorHAnsi" w:eastAsiaTheme="minorEastAsia" w:hAnsiTheme="minorHAnsi" w:cstheme="minorBidi"/>
          <w:sz w:val="22"/>
          <w:szCs w:val="22"/>
          <w:lang w:eastAsia="zh-CN"/>
        </w:rPr>
      </w:pPr>
      <w:hyperlink w:anchor="_Toc512946255" w:history="1">
        <w:r w:rsidR="00826D50" w:rsidRPr="0078036F">
          <w:rPr>
            <w:rStyle w:val="Hyperlink"/>
            <w:lang w:val="en-GB"/>
          </w:rPr>
          <w:t>2.3</w:t>
        </w:r>
        <w:r w:rsidR="00826D50">
          <w:rPr>
            <w:rFonts w:asciiTheme="minorHAnsi" w:eastAsiaTheme="minorEastAsia" w:hAnsiTheme="minorHAnsi" w:cstheme="minorBidi"/>
            <w:sz w:val="22"/>
            <w:szCs w:val="22"/>
            <w:lang w:eastAsia="zh-CN"/>
          </w:rPr>
          <w:tab/>
        </w:r>
        <w:r w:rsidR="00826D50" w:rsidRPr="0078036F">
          <w:rPr>
            <w:rStyle w:val="Hyperlink"/>
            <w:lang w:val="en-GB"/>
          </w:rPr>
          <w:t>Customary ownership</w:t>
        </w:r>
        <w:r w:rsidR="00826D50">
          <w:rPr>
            <w:webHidden/>
          </w:rPr>
          <w:tab/>
        </w:r>
        <w:r w:rsidR="00826D50">
          <w:rPr>
            <w:webHidden/>
          </w:rPr>
          <w:fldChar w:fldCharType="begin"/>
        </w:r>
        <w:r w:rsidR="00826D50">
          <w:rPr>
            <w:webHidden/>
          </w:rPr>
          <w:instrText xml:space="preserve"> PAGEREF _Toc512946255 \h </w:instrText>
        </w:r>
        <w:r w:rsidR="00826D50">
          <w:rPr>
            <w:webHidden/>
          </w:rPr>
        </w:r>
        <w:r w:rsidR="00826D50">
          <w:rPr>
            <w:webHidden/>
          </w:rPr>
          <w:fldChar w:fldCharType="separate"/>
        </w:r>
        <w:r w:rsidR="00826D50">
          <w:rPr>
            <w:webHidden/>
          </w:rPr>
          <w:t>16</w:t>
        </w:r>
        <w:r w:rsidR="00826D50">
          <w:rPr>
            <w:webHidden/>
          </w:rPr>
          <w:fldChar w:fldCharType="end"/>
        </w:r>
      </w:hyperlink>
    </w:p>
    <w:p w14:paraId="6F05D1BC" w14:textId="77777777" w:rsidR="00826D50" w:rsidRDefault="00A31281">
      <w:pPr>
        <w:pStyle w:val="TOC2"/>
        <w:tabs>
          <w:tab w:val="left" w:pos="1418"/>
        </w:tabs>
        <w:rPr>
          <w:rFonts w:asciiTheme="minorHAnsi" w:eastAsiaTheme="minorEastAsia" w:hAnsiTheme="minorHAnsi" w:cstheme="minorBidi"/>
          <w:sz w:val="22"/>
          <w:szCs w:val="22"/>
          <w:lang w:eastAsia="zh-CN"/>
        </w:rPr>
      </w:pPr>
      <w:hyperlink w:anchor="_Toc512946256" w:history="1">
        <w:r w:rsidR="00826D50" w:rsidRPr="0078036F">
          <w:rPr>
            <w:rStyle w:val="Hyperlink"/>
            <w:rFonts w:eastAsiaTheme="minorHAnsi"/>
          </w:rPr>
          <w:t>2.4</w:t>
        </w:r>
        <w:r w:rsidR="00826D50">
          <w:rPr>
            <w:rFonts w:asciiTheme="minorHAnsi" w:eastAsiaTheme="minorEastAsia" w:hAnsiTheme="minorHAnsi" w:cstheme="minorBidi"/>
            <w:sz w:val="22"/>
            <w:szCs w:val="22"/>
            <w:lang w:eastAsia="zh-CN"/>
          </w:rPr>
          <w:tab/>
        </w:r>
        <w:r w:rsidR="00826D50" w:rsidRPr="0078036F">
          <w:rPr>
            <w:rStyle w:val="Hyperlink"/>
            <w:rFonts w:eastAsiaTheme="minorHAnsi"/>
          </w:rPr>
          <w:t>Informal Settlements</w:t>
        </w:r>
        <w:r w:rsidR="00826D50">
          <w:rPr>
            <w:webHidden/>
          </w:rPr>
          <w:tab/>
        </w:r>
        <w:r w:rsidR="00826D50">
          <w:rPr>
            <w:webHidden/>
          </w:rPr>
          <w:fldChar w:fldCharType="begin"/>
        </w:r>
        <w:r w:rsidR="00826D50">
          <w:rPr>
            <w:webHidden/>
          </w:rPr>
          <w:instrText xml:space="preserve"> PAGEREF _Toc512946256 \h </w:instrText>
        </w:r>
        <w:r w:rsidR="00826D50">
          <w:rPr>
            <w:webHidden/>
          </w:rPr>
        </w:r>
        <w:r w:rsidR="00826D50">
          <w:rPr>
            <w:webHidden/>
          </w:rPr>
          <w:fldChar w:fldCharType="separate"/>
        </w:r>
        <w:r w:rsidR="00826D50">
          <w:rPr>
            <w:webHidden/>
          </w:rPr>
          <w:t>18</w:t>
        </w:r>
        <w:r w:rsidR="00826D50">
          <w:rPr>
            <w:webHidden/>
          </w:rPr>
          <w:fldChar w:fldCharType="end"/>
        </w:r>
      </w:hyperlink>
    </w:p>
    <w:p w14:paraId="4D4C08A4" w14:textId="77777777" w:rsidR="00826D50" w:rsidRDefault="00A31281">
      <w:pPr>
        <w:pStyle w:val="TOC1"/>
        <w:rPr>
          <w:rFonts w:asciiTheme="minorHAnsi" w:eastAsiaTheme="minorEastAsia" w:hAnsiTheme="minorHAnsi" w:cstheme="minorBidi"/>
          <w:b w:val="0"/>
          <w:sz w:val="22"/>
          <w:szCs w:val="22"/>
          <w:lang w:eastAsia="zh-CN"/>
        </w:rPr>
      </w:pPr>
      <w:hyperlink w:anchor="_Toc512946257" w:history="1">
        <w:r w:rsidR="00826D50" w:rsidRPr="0078036F">
          <w:rPr>
            <w:rStyle w:val="Hyperlink"/>
            <w:lang w:val="en-GB"/>
          </w:rPr>
          <w:t>3</w:t>
        </w:r>
        <w:r w:rsidR="00826D50">
          <w:rPr>
            <w:rFonts w:asciiTheme="minorHAnsi" w:eastAsiaTheme="minorEastAsia" w:hAnsiTheme="minorHAnsi" w:cstheme="minorBidi"/>
            <w:b w:val="0"/>
            <w:sz w:val="22"/>
            <w:szCs w:val="22"/>
            <w:lang w:eastAsia="zh-CN"/>
          </w:rPr>
          <w:tab/>
        </w:r>
        <w:r w:rsidR="00826D50" w:rsidRPr="0078036F">
          <w:rPr>
            <w:rStyle w:val="Hyperlink"/>
            <w:lang w:val="en-GB"/>
          </w:rPr>
          <w:t>Security of Tenure of Vulnerable Groups</w:t>
        </w:r>
        <w:r w:rsidR="00826D50">
          <w:rPr>
            <w:webHidden/>
          </w:rPr>
          <w:tab/>
        </w:r>
        <w:r w:rsidR="00826D50">
          <w:rPr>
            <w:webHidden/>
          </w:rPr>
          <w:fldChar w:fldCharType="begin"/>
        </w:r>
        <w:r w:rsidR="00826D50">
          <w:rPr>
            <w:webHidden/>
          </w:rPr>
          <w:instrText xml:space="preserve"> PAGEREF _Toc512946257 \h </w:instrText>
        </w:r>
        <w:r w:rsidR="00826D50">
          <w:rPr>
            <w:webHidden/>
          </w:rPr>
        </w:r>
        <w:r w:rsidR="00826D50">
          <w:rPr>
            <w:webHidden/>
          </w:rPr>
          <w:fldChar w:fldCharType="separate"/>
        </w:r>
        <w:r w:rsidR="00826D50">
          <w:rPr>
            <w:webHidden/>
          </w:rPr>
          <w:t>20</w:t>
        </w:r>
        <w:r w:rsidR="00826D50">
          <w:rPr>
            <w:webHidden/>
          </w:rPr>
          <w:fldChar w:fldCharType="end"/>
        </w:r>
      </w:hyperlink>
    </w:p>
    <w:p w14:paraId="78F45244" w14:textId="77777777" w:rsidR="00826D50" w:rsidRDefault="00A31281">
      <w:pPr>
        <w:pStyle w:val="TOC2"/>
        <w:tabs>
          <w:tab w:val="left" w:pos="1418"/>
        </w:tabs>
        <w:rPr>
          <w:rFonts w:asciiTheme="minorHAnsi" w:eastAsiaTheme="minorEastAsia" w:hAnsiTheme="minorHAnsi" w:cstheme="minorBidi"/>
          <w:sz w:val="22"/>
          <w:szCs w:val="22"/>
          <w:lang w:eastAsia="zh-CN"/>
        </w:rPr>
      </w:pPr>
      <w:hyperlink w:anchor="_Toc512946258" w:history="1">
        <w:r w:rsidR="00826D50" w:rsidRPr="0078036F">
          <w:rPr>
            <w:rStyle w:val="Hyperlink"/>
            <w:lang w:val="en-GB"/>
          </w:rPr>
          <w:t>3.1</w:t>
        </w:r>
        <w:r w:rsidR="00826D50">
          <w:rPr>
            <w:rFonts w:asciiTheme="minorHAnsi" w:eastAsiaTheme="minorEastAsia" w:hAnsiTheme="minorHAnsi" w:cstheme="minorBidi"/>
            <w:sz w:val="22"/>
            <w:szCs w:val="22"/>
            <w:lang w:eastAsia="zh-CN"/>
          </w:rPr>
          <w:tab/>
        </w:r>
        <w:r w:rsidR="00826D50" w:rsidRPr="0078036F">
          <w:rPr>
            <w:rStyle w:val="Hyperlink"/>
            <w:lang w:val="en-GB"/>
          </w:rPr>
          <w:t>Women</w:t>
        </w:r>
        <w:r w:rsidR="00826D50">
          <w:rPr>
            <w:webHidden/>
          </w:rPr>
          <w:tab/>
        </w:r>
        <w:r w:rsidR="00826D50">
          <w:rPr>
            <w:webHidden/>
          </w:rPr>
          <w:fldChar w:fldCharType="begin"/>
        </w:r>
        <w:r w:rsidR="00826D50">
          <w:rPr>
            <w:webHidden/>
          </w:rPr>
          <w:instrText xml:space="preserve"> PAGEREF _Toc512946258 \h </w:instrText>
        </w:r>
        <w:r w:rsidR="00826D50">
          <w:rPr>
            <w:webHidden/>
          </w:rPr>
        </w:r>
        <w:r w:rsidR="00826D50">
          <w:rPr>
            <w:webHidden/>
          </w:rPr>
          <w:fldChar w:fldCharType="separate"/>
        </w:r>
        <w:r w:rsidR="00826D50">
          <w:rPr>
            <w:webHidden/>
          </w:rPr>
          <w:t>20</w:t>
        </w:r>
        <w:r w:rsidR="00826D50">
          <w:rPr>
            <w:webHidden/>
          </w:rPr>
          <w:fldChar w:fldCharType="end"/>
        </w:r>
      </w:hyperlink>
    </w:p>
    <w:p w14:paraId="500500F9" w14:textId="77777777" w:rsidR="00826D50" w:rsidRDefault="00A31281">
      <w:pPr>
        <w:pStyle w:val="TOC2"/>
        <w:tabs>
          <w:tab w:val="left" w:pos="1418"/>
        </w:tabs>
        <w:rPr>
          <w:rFonts w:asciiTheme="minorHAnsi" w:eastAsiaTheme="minorEastAsia" w:hAnsiTheme="minorHAnsi" w:cstheme="minorBidi"/>
          <w:sz w:val="22"/>
          <w:szCs w:val="22"/>
          <w:lang w:eastAsia="zh-CN"/>
        </w:rPr>
      </w:pPr>
      <w:hyperlink w:anchor="_Toc512946259" w:history="1">
        <w:r w:rsidR="00826D50" w:rsidRPr="0078036F">
          <w:rPr>
            <w:rStyle w:val="Hyperlink"/>
          </w:rPr>
          <w:t>3.2</w:t>
        </w:r>
        <w:r w:rsidR="00826D50">
          <w:rPr>
            <w:rFonts w:asciiTheme="minorHAnsi" w:eastAsiaTheme="minorEastAsia" w:hAnsiTheme="minorHAnsi" w:cstheme="minorBidi"/>
            <w:sz w:val="22"/>
            <w:szCs w:val="22"/>
            <w:lang w:eastAsia="zh-CN"/>
          </w:rPr>
          <w:tab/>
        </w:r>
        <w:r w:rsidR="00826D50" w:rsidRPr="0078036F">
          <w:rPr>
            <w:rStyle w:val="Hyperlink"/>
          </w:rPr>
          <w:t>Indigenous groups</w:t>
        </w:r>
        <w:r w:rsidR="00826D50">
          <w:rPr>
            <w:webHidden/>
          </w:rPr>
          <w:tab/>
        </w:r>
        <w:r w:rsidR="00826D50">
          <w:rPr>
            <w:webHidden/>
          </w:rPr>
          <w:fldChar w:fldCharType="begin"/>
        </w:r>
        <w:r w:rsidR="00826D50">
          <w:rPr>
            <w:webHidden/>
          </w:rPr>
          <w:instrText xml:space="preserve"> PAGEREF _Toc512946259 \h </w:instrText>
        </w:r>
        <w:r w:rsidR="00826D50">
          <w:rPr>
            <w:webHidden/>
          </w:rPr>
        </w:r>
        <w:r w:rsidR="00826D50">
          <w:rPr>
            <w:webHidden/>
          </w:rPr>
          <w:fldChar w:fldCharType="separate"/>
        </w:r>
        <w:r w:rsidR="00826D50">
          <w:rPr>
            <w:webHidden/>
          </w:rPr>
          <w:t>20</w:t>
        </w:r>
        <w:r w:rsidR="00826D50">
          <w:rPr>
            <w:webHidden/>
          </w:rPr>
          <w:fldChar w:fldCharType="end"/>
        </w:r>
      </w:hyperlink>
    </w:p>
    <w:p w14:paraId="6B033D7A" w14:textId="77777777" w:rsidR="00826D50" w:rsidRDefault="00A31281">
      <w:pPr>
        <w:pStyle w:val="TOC2"/>
        <w:tabs>
          <w:tab w:val="left" w:pos="1418"/>
        </w:tabs>
        <w:rPr>
          <w:rFonts w:asciiTheme="minorHAnsi" w:eastAsiaTheme="minorEastAsia" w:hAnsiTheme="minorHAnsi" w:cstheme="minorBidi"/>
          <w:sz w:val="22"/>
          <w:szCs w:val="22"/>
          <w:lang w:eastAsia="zh-CN"/>
        </w:rPr>
      </w:pPr>
      <w:hyperlink w:anchor="_Toc512946260" w:history="1">
        <w:r w:rsidR="00826D50" w:rsidRPr="0078036F">
          <w:rPr>
            <w:rStyle w:val="Hyperlink"/>
            <w:lang w:val="en-GB"/>
          </w:rPr>
          <w:t>3.3</w:t>
        </w:r>
        <w:r w:rsidR="00826D50">
          <w:rPr>
            <w:rFonts w:asciiTheme="minorHAnsi" w:eastAsiaTheme="minorEastAsia" w:hAnsiTheme="minorHAnsi" w:cstheme="minorBidi"/>
            <w:sz w:val="22"/>
            <w:szCs w:val="22"/>
            <w:lang w:eastAsia="zh-CN"/>
          </w:rPr>
          <w:tab/>
        </w:r>
        <w:r w:rsidR="00826D50" w:rsidRPr="0078036F">
          <w:rPr>
            <w:rStyle w:val="Hyperlink"/>
            <w:lang w:val="en-GB"/>
          </w:rPr>
          <w:t>Minority Groups</w:t>
        </w:r>
        <w:r w:rsidR="00826D50">
          <w:rPr>
            <w:webHidden/>
          </w:rPr>
          <w:tab/>
        </w:r>
        <w:r w:rsidR="00826D50">
          <w:rPr>
            <w:webHidden/>
          </w:rPr>
          <w:fldChar w:fldCharType="begin"/>
        </w:r>
        <w:r w:rsidR="00826D50">
          <w:rPr>
            <w:webHidden/>
          </w:rPr>
          <w:instrText xml:space="preserve"> PAGEREF _Toc512946260 \h </w:instrText>
        </w:r>
        <w:r w:rsidR="00826D50">
          <w:rPr>
            <w:webHidden/>
          </w:rPr>
        </w:r>
        <w:r w:rsidR="00826D50">
          <w:rPr>
            <w:webHidden/>
          </w:rPr>
          <w:fldChar w:fldCharType="separate"/>
        </w:r>
        <w:r w:rsidR="00826D50">
          <w:rPr>
            <w:webHidden/>
          </w:rPr>
          <w:t>22</w:t>
        </w:r>
        <w:r w:rsidR="00826D50">
          <w:rPr>
            <w:webHidden/>
          </w:rPr>
          <w:fldChar w:fldCharType="end"/>
        </w:r>
      </w:hyperlink>
    </w:p>
    <w:p w14:paraId="765A562C" w14:textId="77777777" w:rsidR="00826D50" w:rsidRDefault="00A31281">
      <w:pPr>
        <w:pStyle w:val="TOC2"/>
        <w:tabs>
          <w:tab w:val="left" w:pos="1418"/>
        </w:tabs>
        <w:rPr>
          <w:rFonts w:asciiTheme="minorHAnsi" w:eastAsiaTheme="minorEastAsia" w:hAnsiTheme="minorHAnsi" w:cstheme="minorBidi"/>
          <w:sz w:val="22"/>
          <w:szCs w:val="22"/>
          <w:lang w:eastAsia="zh-CN"/>
        </w:rPr>
      </w:pPr>
      <w:hyperlink w:anchor="_Toc512946261" w:history="1">
        <w:r w:rsidR="00826D50" w:rsidRPr="0078036F">
          <w:rPr>
            <w:rStyle w:val="Hyperlink"/>
            <w:lang w:val="en-GB"/>
          </w:rPr>
          <w:t>3.4</w:t>
        </w:r>
        <w:r w:rsidR="00826D50">
          <w:rPr>
            <w:rFonts w:asciiTheme="minorHAnsi" w:eastAsiaTheme="minorEastAsia" w:hAnsiTheme="minorHAnsi" w:cstheme="minorBidi"/>
            <w:sz w:val="22"/>
            <w:szCs w:val="22"/>
            <w:lang w:eastAsia="zh-CN"/>
          </w:rPr>
          <w:tab/>
        </w:r>
        <w:r w:rsidR="00826D50" w:rsidRPr="0078036F">
          <w:rPr>
            <w:rStyle w:val="Hyperlink"/>
            <w:lang w:val="en-GB"/>
          </w:rPr>
          <w:t>Landless People/Squatters</w:t>
        </w:r>
        <w:r w:rsidR="00826D50">
          <w:rPr>
            <w:webHidden/>
          </w:rPr>
          <w:tab/>
        </w:r>
        <w:r w:rsidR="00826D50">
          <w:rPr>
            <w:webHidden/>
          </w:rPr>
          <w:fldChar w:fldCharType="begin"/>
        </w:r>
        <w:r w:rsidR="00826D50">
          <w:rPr>
            <w:webHidden/>
          </w:rPr>
          <w:instrText xml:space="preserve"> PAGEREF _Toc512946261 \h </w:instrText>
        </w:r>
        <w:r w:rsidR="00826D50">
          <w:rPr>
            <w:webHidden/>
          </w:rPr>
        </w:r>
        <w:r w:rsidR="00826D50">
          <w:rPr>
            <w:webHidden/>
          </w:rPr>
          <w:fldChar w:fldCharType="separate"/>
        </w:r>
        <w:r w:rsidR="00826D50">
          <w:rPr>
            <w:webHidden/>
          </w:rPr>
          <w:t>23</w:t>
        </w:r>
        <w:r w:rsidR="00826D50">
          <w:rPr>
            <w:webHidden/>
          </w:rPr>
          <w:fldChar w:fldCharType="end"/>
        </w:r>
      </w:hyperlink>
    </w:p>
    <w:p w14:paraId="02A8C28F" w14:textId="77777777" w:rsidR="00826D50" w:rsidRDefault="00A31281">
      <w:pPr>
        <w:pStyle w:val="TOC2"/>
        <w:tabs>
          <w:tab w:val="left" w:pos="1418"/>
        </w:tabs>
        <w:rPr>
          <w:rFonts w:asciiTheme="minorHAnsi" w:eastAsiaTheme="minorEastAsia" w:hAnsiTheme="minorHAnsi" w:cstheme="minorBidi"/>
          <w:sz w:val="22"/>
          <w:szCs w:val="22"/>
          <w:lang w:eastAsia="zh-CN"/>
        </w:rPr>
      </w:pPr>
      <w:hyperlink w:anchor="_Toc512946262" w:history="1">
        <w:r w:rsidR="00826D50" w:rsidRPr="0078036F">
          <w:rPr>
            <w:rStyle w:val="Hyperlink"/>
            <w:lang w:val="en-GB"/>
          </w:rPr>
          <w:t>3.5</w:t>
        </w:r>
        <w:r w:rsidR="00826D50">
          <w:rPr>
            <w:rFonts w:asciiTheme="minorHAnsi" w:eastAsiaTheme="minorEastAsia" w:hAnsiTheme="minorHAnsi" w:cstheme="minorBidi"/>
            <w:sz w:val="22"/>
            <w:szCs w:val="22"/>
            <w:lang w:eastAsia="zh-CN"/>
          </w:rPr>
          <w:tab/>
        </w:r>
        <w:r w:rsidR="00826D50" w:rsidRPr="0078036F">
          <w:rPr>
            <w:rStyle w:val="Hyperlink"/>
            <w:lang w:val="en-GB"/>
          </w:rPr>
          <w:t>Other groups</w:t>
        </w:r>
        <w:r w:rsidR="00826D50">
          <w:rPr>
            <w:webHidden/>
          </w:rPr>
          <w:tab/>
        </w:r>
        <w:r w:rsidR="00826D50">
          <w:rPr>
            <w:webHidden/>
          </w:rPr>
          <w:fldChar w:fldCharType="begin"/>
        </w:r>
        <w:r w:rsidR="00826D50">
          <w:rPr>
            <w:webHidden/>
          </w:rPr>
          <w:instrText xml:space="preserve"> PAGEREF _Toc512946262 \h </w:instrText>
        </w:r>
        <w:r w:rsidR="00826D50">
          <w:rPr>
            <w:webHidden/>
          </w:rPr>
        </w:r>
        <w:r w:rsidR="00826D50">
          <w:rPr>
            <w:webHidden/>
          </w:rPr>
          <w:fldChar w:fldCharType="separate"/>
        </w:r>
        <w:r w:rsidR="00826D50">
          <w:rPr>
            <w:webHidden/>
          </w:rPr>
          <w:t>23</w:t>
        </w:r>
        <w:r w:rsidR="00826D50">
          <w:rPr>
            <w:webHidden/>
          </w:rPr>
          <w:fldChar w:fldCharType="end"/>
        </w:r>
      </w:hyperlink>
    </w:p>
    <w:p w14:paraId="1F3CA312" w14:textId="77777777" w:rsidR="00826D50" w:rsidRDefault="00A31281">
      <w:pPr>
        <w:pStyle w:val="TOC1"/>
        <w:rPr>
          <w:rFonts w:asciiTheme="minorHAnsi" w:eastAsiaTheme="minorEastAsia" w:hAnsiTheme="minorHAnsi" w:cstheme="minorBidi"/>
          <w:b w:val="0"/>
          <w:sz w:val="22"/>
          <w:szCs w:val="22"/>
          <w:lang w:eastAsia="zh-CN"/>
        </w:rPr>
      </w:pPr>
      <w:hyperlink w:anchor="_Toc512946263" w:history="1">
        <w:r w:rsidR="00826D50" w:rsidRPr="0078036F">
          <w:rPr>
            <w:rStyle w:val="Hyperlink"/>
            <w:lang w:val="en-GB"/>
          </w:rPr>
          <w:t>4</w:t>
        </w:r>
        <w:r w:rsidR="00826D50">
          <w:rPr>
            <w:rFonts w:asciiTheme="minorHAnsi" w:eastAsiaTheme="minorEastAsia" w:hAnsiTheme="minorHAnsi" w:cstheme="minorBidi"/>
            <w:b w:val="0"/>
            <w:sz w:val="22"/>
            <w:szCs w:val="22"/>
            <w:lang w:eastAsia="zh-CN"/>
          </w:rPr>
          <w:tab/>
        </w:r>
        <w:r w:rsidR="00826D50" w:rsidRPr="0078036F">
          <w:rPr>
            <w:rStyle w:val="Hyperlink"/>
            <w:lang w:val="en-GB"/>
          </w:rPr>
          <w:t>Eviction, Expropriation and Relocation</w:t>
        </w:r>
        <w:r w:rsidR="00826D50">
          <w:rPr>
            <w:webHidden/>
          </w:rPr>
          <w:tab/>
        </w:r>
        <w:r w:rsidR="00826D50">
          <w:rPr>
            <w:webHidden/>
          </w:rPr>
          <w:fldChar w:fldCharType="begin"/>
        </w:r>
        <w:r w:rsidR="00826D50">
          <w:rPr>
            <w:webHidden/>
          </w:rPr>
          <w:instrText xml:space="preserve"> PAGEREF _Toc512946263 \h </w:instrText>
        </w:r>
        <w:r w:rsidR="00826D50">
          <w:rPr>
            <w:webHidden/>
          </w:rPr>
        </w:r>
        <w:r w:rsidR="00826D50">
          <w:rPr>
            <w:webHidden/>
          </w:rPr>
          <w:fldChar w:fldCharType="separate"/>
        </w:r>
        <w:r w:rsidR="00826D50">
          <w:rPr>
            <w:webHidden/>
          </w:rPr>
          <w:t>24</w:t>
        </w:r>
        <w:r w:rsidR="00826D50">
          <w:rPr>
            <w:webHidden/>
          </w:rPr>
          <w:fldChar w:fldCharType="end"/>
        </w:r>
      </w:hyperlink>
    </w:p>
    <w:p w14:paraId="7448A914" w14:textId="77777777" w:rsidR="00826D50" w:rsidRDefault="00A31281">
      <w:pPr>
        <w:pStyle w:val="TOC2"/>
        <w:tabs>
          <w:tab w:val="left" w:pos="1418"/>
        </w:tabs>
        <w:rPr>
          <w:rFonts w:asciiTheme="minorHAnsi" w:eastAsiaTheme="minorEastAsia" w:hAnsiTheme="minorHAnsi" w:cstheme="minorBidi"/>
          <w:sz w:val="22"/>
          <w:szCs w:val="22"/>
          <w:lang w:eastAsia="zh-CN"/>
        </w:rPr>
      </w:pPr>
      <w:hyperlink w:anchor="_Toc512946264" w:history="1">
        <w:r w:rsidR="00826D50" w:rsidRPr="0078036F">
          <w:rPr>
            <w:rStyle w:val="Hyperlink"/>
            <w:lang w:val="en-GB"/>
          </w:rPr>
          <w:t>4.1</w:t>
        </w:r>
        <w:r w:rsidR="00826D50">
          <w:rPr>
            <w:rFonts w:asciiTheme="minorHAnsi" w:eastAsiaTheme="minorEastAsia" w:hAnsiTheme="minorHAnsi" w:cstheme="minorBidi"/>
            <w:sz w:val="22"/>
            <w:szCs w:val="22"/>
            <w:lang w:eastAsia="zh-CN"/>
          </w:rPr>
          <w:tab/>
        </w:r>
        <w:r w:rsidR="00826D50" w:rsidRPr="0078036F">
          <w:rPr>
            <w:rStyle w:val="Hyperlink"/>
            <w:lang w:val="en-GB"/>
          </w:rPr>
          <w:t>Evictions</w:t>
        </w:r>
        <w:r w:rsidR="00826D50">
          <w:rPr>
            <w:webHidden/>
          </w:rPr>
          <w:tab/>
        </w:r>
        <w:r w:rsidR="00826D50">
          <w:rPr>
            <w:webHidden/>
          </w:rPr>
          <w:fldChar w:fldCharType="begin"/>
        </w:r>
        <w:r w:rsidR="00826D50">
          <w:rPr>
            <w:webHidden/>
          </w:rPr>
          <w:instrText xml:space="preserve"> PAGEREF _Toc512946264 \h </w:instrText>
        </w:r>
        <w:r w:rsidR="00826D50">
          <w:rPr>
            <w:webHidden/>
          </w:rPr>
        </w:r>
        <w:r w:rsidR="00826D50">
          <w:rPr>
            <w:webHidden/>
          </w:rPr>
          <w:fldChar w:fldCharType="separate"/>
        </w:r>
        <w:r w:rsidR="00826D50">
          <w:rPr>
            <w:webHidden/>
          </w:rPr>
          <w:t>24</w:t>
        </w:r>
        <w:r w:rsidR="00826D50">
          <w:rPr>
            <w:webHidden/>
          </w:rPr>
          <w:fldChar w:fldCharType="end"/>
        </w:r>
      </w:hyperlink>
    </w:p>
    <w:p w14:paraId="228B564F" w14:textId="77777777" w:rsidR="00826D50" w:rsidRDefault="00A31281">
      <w:pPr>
        <w:pStyle w:val="TOC2"/>
        <w:tabs>
          <w:tab w:val="left" w:pos="1418"/>
        </w:tabs>
        <w:rPr>
          <w:rFonts w:asciiTheme="minorHAnsi" w:eastAsiaTheme="minorEastAsia" w:hAnsiTheme="minorHAnsi" w:cstheme="minorBidi"/>
          <w:sz w:val="22"/>
          <w:szCs w:val="22"/>
          <w:lang w:eastAsia="zh-CN"/>
        </w:rPr>
      </w:pPr>
      <w:hyperlink w:anchor="_Toc512946265" w:history="1">
        <w:r w:rsidR="00826D50" w:rsidRPr="0078036F">
          <w:rPr>
            <w:rStyle w:val="Hyperlink"/>
            <w:lang w:val="en-GB"/>
          </w:rPr>
          <w:t>4.2</w:t>
        </w:r>
        <w:r w:rsidR="00826D50">
          <w:rPr>
            <w:rFonts w:asciiTheme="minorHAnsi" w:eastAsiaTheme="minorEastAsia" w:hAnsiTheme="minorHAnsi" w:cstheme="minorBidi"/>
            <w:sz w:val="22"/>
            <w:szCs w:val="22"/>
            <w:lang w:eastAsia="zh-CN"/>
          </w:rPr>
          <w:tab/>
        </w:r>
        <w:r w:rsidR="00826D50" w:rsidRPr="0078036F">
          <w:rPr>
            <w:rStyle w:val="Hyperlink"/>
            <w:lang w:val="en-GB"/>
          </w:rPr>
          <w:t>Expropriation</w:t>
        </w:r>
        <w:r w:rsidR="00826D50">
          <w:rPr>
            <w:webHidden/>
          </w:rPr>
          <w:tab/>
        </w:r>
        <w:r w:rsidR="00826D50">
          <w:rPr>
            <w:webHidden/>
          </w:rPr>
          <w:fldChar w:fldCharType="begin"/>
        </w:r>
        <w:r w:rsidR="00826D50">
          <w:rPr>
            <w:webHidden/>
          </w:rPr>
          <w:instrText xml:space="preserve"> PAGEREF _Toc512946265 \h </w:instrText>
        </w:r>
        <w:r w:rsidR="00826D50">
          <w:rPr>
            <w:webHidden/>
          </w:rPr>
        </w:r>
        <w:r w:rsidR="00826D50">
          <w:rPr>
            <w:webHidden/>
          </w:rPr>
          <w:fldChar w:fldCharType="separate"/>
        </w:r>
        <w:r w:rsidR="00826D50">
          <w:rPr>
            <w:webHidden/>
          </w:rPr>
          <w:t>24</w:t>
        </w:r>
        <w:r w:rsidR="00826D50">
          <w:rPr>
            <w:webHidden/>
          </w:rPr>
          <w:fldChar w:fldCharType="end"/>
        </w:r>
      </w:hyperlink>
    </w:p>
    <w:p w14:paraId="567AD9B5" w14:textId="77777777" w:rsidR="00826D50" w:rsidRDefault="00A31281">
      <w:pPr>
        <w:pStyle w:val="TOC2"/>
        <w:tabs>
          <w:tab w:val="left" w:pos="1418"/>
        </w:tabs>
        <w:rPr>
          <w:rFonts w:asciiTheme="minorHAnsi" w:eastAsiaTheme="minorEastAsia" w:hAnsiTheme="minorHAnsi" w:cstheme="minorBidi"/>
          <w:sz w:val="22"/>
          <w:szCs w:val="22"/>
          <w:lang w:eastAsia="zh-CN"/>
        </w:rPr>
      </w:pPr>
      <w:hyperlink w:anchor="_Toc512946266" w:history="1">
        <w:r w:rsidR="00826D50" w:rsidRPr="0078036F">
          <w:rPr>
            <w:rStyle w:val="Hyperlink"/>
            <w:lang w:val="en-GB"/>
          </w:rPr>
          <w:t>4.3</w:t>
        </w:r>
        <w:r w:rsidR="00826D50">
          <w:rPr>
            <w:rFonts w:asciiTheme="minorHAnsi" w:eastAsiaTheme="minorEastAsia" w:hAnsiTheme="minorHAnsi" w:cstheme="minorBidi"/>
            <w:sz w:val="22"/>
            <w:szCs w:val="22"/>
            <w:lang w:eastAsia="zh-CN"/>
          </w:rPr>
          <w:tab/>
        </w:r>
        <w:r w:rsidR="00826D50" w:rsidRPr="0078036F">
          <w:rPr>
            <w:rStyle w:val="Hyperlink"/>
            <w:lang w:val="en-GB"/>
          </w:rPr>
          <w:t>Relocations</w:t>
        </w:r>
        <w:r w:rsidR="00826D50">
          <w:rPr>
            <w:webHidden/>
          </w:rPr>
          <w:tab/>
        </w:r>
        <w:r w:rsidR="00826D50">
          <w:rPr>
            <w:webHidden/>
          </w:rPr>
          <w:fldChar w:fldCharType="begin"/>
        </w:r>
        <w:r w:rsidR="00826D50">
          <w:rPr>
            <w:webHidden/>
          </w:rPr>
          <w:instrText xml:space="preserve"> PAGEREF _Toc512946266 \h </w:instrText>
        </w:r>
        <w:r w:rsidR="00826D50">
          <w:rPr>
            <w:webHidden/>
          </w:rPr>
        </w:r>
        <w:r w:rsidR="00826D50">
          <w:rPr>
            <w:webHidden/>
          </w:rPr>
          <w:fldChar w:fldCharType="separate"/>
        </w:r>
        <w:r w:rsidR="00826D50">
          <w:rPr>
            <w:webHidden/>
          </w:rPr>
          <w:t>26</w:t>
        </w:r>
        <w:r w:rsidR="00826D50">
          <w:rPr>
            <w:webHidden/>
          </w:rPr>
          <w:fldChar w:fldCharType="end"/>
        </w:r>
      </w:hyperlink>
    </w:p>
    <w:p w14:paraId="41FED9C2" w14:textId="77777777" w:rsidR="00826D50" w:rsidRDefault="00A31281">
      <w:pPr>
        <w:pStyle w:val="TOC2"/>
        <w:tabs>
          <w:tab w:val="left" w:pos="1418"/>
        </w:tabs>
        <w:rPr>
          <w:rFonts w:asciiTheme="minorHAnsi" w:eastAsiaTheme="minorEastAsia" w:hAnsiTheme="minorHAnsi" w:cstheme="minorBidi"/>
          <w:sz w:val="22"/>
          <w:szCs w:val="22"/>
          <w:lang w:eastAsia="zh-CN"/>
        </w:rPr>
      </w:pPr>
      <w:hyperlink w:anchor="_Toc512946267" w:history="1">
        <w:r w:rsidR="00826D50" w:rsidRPr="0078036F">
          <w:rPr>
            <w:rStyle w:val="Hyperlink"/>
          </w:rPr>
          <w:t>4.4</w:t>
        </w:r>
        <w:r w:rsidR="00826D50">
          <w:rPr>
            <w:rFonts w:asciiTheme="minorHAnsi" w:eastAsiaTheme="minorEastAsia" w:hAnsiTheme="minorHAnsi" w:cstheme="minorBidi"/>
            <w:sz w:val="22"/>
            <w:szCs w:val="22"/>
            <w:lang w:eastAsia="zh-CN"/>
          </w:rPr>
          <w:tab/>
        </w:r>
        <w:r w:rsidR="00826D50" w:rsidRPr="0078036F">
          <w:rPr>
            <w:rStyle w:val="Hyperlink"/>
          </w:rPr>
          <w:t>Compensation for Expropriation and Relocation</w:t>
        </w:r>
        <w:r w:rsidR="00826D50">
          <w:rPr>
            <w:webHidden/>
          </w:rPr>
          <w:tab/>
        </w:r>
        <w:r w:rsidR="00826D50">
          <w:rPr>
            <w:webHidden/>
          </w:rPr>
          <w:fldChar w:fldCharType="begin"/>
        </w:r>
        <w:r w:rsidR="00826D50">
          <w:rPr>
            <w:webHidden/>
          </w:rPr>
          <w:instrText xml:space="preserve"> PAGEREF _Toc512946267 \h </w:instrText>
        </w:r>
        <w:r w:rsidR="00826D50">
          <w:rPr>
            <w:webHidden/>
          </w:rPr>
        </w:r>
        <w:r w:rsidR="00826D50">
          <w:rPr>
            <w:webHidden/>
          </w:rPr>
          <w:fldChar w:fldCharType="separate"/>
        </w:r>
        <w:r w:rsidR="00826D50">
          <w:rPr>
            <w:webHidden/>
          </w:rPr>
          <w:t>26</w:t>
        </w:r>
        <w:r w:rsidR="00826D50">
          <w:rPr>
            <w:webHidden/>
          </w:rPr>
          <w:fldChar w:fldCharType="end"/>
        </w:r>
      </w:hyperlink>
    </w:p>
    <w:p w14:paraId="3E7F361E" w14:textId="77777777" w:rsidR="006F7EF2" w:rsidRDefault="006F7EF2" w:rsidP="0036472E">
      <w:pPr>
        <w:rPr>
          <w:b/>
          <w:noProof/>
        </w:rPr>
      </w:pPr>
      <w:r>
        <w:rPr>
          <w:b/>
          <w:noProof/>
        </w:rPr>
        <w:fldChar w:fldCharType="end"/>
      </w:r>
    </w:p>
    <w:p w14:paraId="314BE68E" w14:textId="77777777" w:rsidR="006F7EF2" w:rsidRPr="00D4796C" w:rsidRDefault="006F7EF2" w:rsidP="0036472E">
      <w:pPr>
        <w:rPr>
          <w:b/>
        </w:rPr>
      </w:pPr>
      <w:r w:rsidRPr="00D4796C">
        <w:rPr>
          <w:b/>
        </w:rPr>
        <w:t>Disclaimer</w:t>
      </w:r>
    </w:p>
    <w:p w14:paraId="47D89E44" w14:textId="77777777" w:rsidR="006F7EF2" w:rsidRPr="00666EDB" w:rsidRDefault="006F7EF2" w:rsidP="00666EDB">
      <w:pPr>
        <w:sectPr w:rsidR="006F7EF2" w:rsidRPr="00666EDB" w:rsidSect="00EB68A3">
          <w:headerReference w:type="default" r:id="rId15"/>
          <w:footerReference w:type="default" r:id="rId16"/>
          <w:pgSz w:w="11907" w:h="16839"/>
          <w:pgMar w:top="1701" w:right="1134" w:bottom="1134" w:left="1417" w:header="680" w:footer="567" w:gutter="0"/>
          <w:pgNumType w:start="1"/>
          <w:cols w:space="708"/>
          <w:docGrid w:linePitch="360"/>
        </w:sectPr>
      </w:pPr>
      <w:r w:rsidRPr="00E96B3D">
        <w:t>This report is the</w:t>
      </w:r>
      <w:r>
        <w:t xml:space="preserve"> result of a desktop review of publicly available information. This report is not legal advice.</w:t>
      </w:r>
    </w:p>
    <w:p w14:paraId="16D0097F" w14:textId="77777777" w:rsidR="006F7EF2" w:rsidRDefault="006F7EF2" w:rsidP="00581781">
      <w:pPr>
        <w:pStyle w:val="AllensHeading1"/>
        <w:tabs>
          <w:tab w:val="clear" w:pos="709"/>
          <w:tab w:val="num" w:pos="885"/>
        </w:tabs>
        <w:rPr>
          <w:lang w:val="en-GB"/>
        </w:rPr>
      </w:pPr>
      <w:bookmarkStart w:id="20" w:name="_Toc512946249"/>
      <w:r>
        <w:rPr>
          <w:lang w:val="en-GB"/>
        </w:rPr>
        <w:lastRenderedPageBreak/>
        <w:t>Introduction</w:t>
      </w:r>
      <w:bookmarkEnd w:id="20"/>
    </w:p>
    <w:p w14:paraId="4609124C" w14:textId="77777777" w:rsidR="006F7EF2" w:rsidRDefault="006F7EF2" w:rsidP="00581781">
      <w:pPr>
        <w:pStyle w:val="AllensHeading2"/>
        <w:tabs>
          <w:tab w:val="clear" w:pos="709"/>
          <w:tab w:val="num" w:pos="797"/>
        </w:tabs>
      </w:pPr>
      <w:bookmarkStart w:id="21" w:name="_Toc512946250"/>
      <w:r>
        <w:t>Overview</w:t>
      </w:r>
      <w:bookmarkEnd w:id="21"/>
    </w:p>
    <w:p w14:paraId="650FBA2F" w14:textId="77777777" w:rsidR="006F7EF2" w:rsidRDefault="006F7EF2" w:rsidP="007D7897">
      <w:pPr>
        <w:pStyle w:val="NormalIndent"/>
      </w:pPr>
      <w:r w:rsidRPr="00DA20DA">
        <w:t>The Red Cross Red Crescent aims to respond to disasters as rapidly and effectively as possible, by mobili</w:t>
      </w:r>
      <w:r>
        <w:t>s</w:t>
      </w:r>
      <w:r w:rsidRPr="00DA20DA">
        <w:t>ing its resources (people, money and other assets) and using its network in a coordinated manner so that the initial effects are countered and the needs of the affected communities are met.</w:t>
      </w:r>
    </w:p>
    <w:p w14:paraId="27668F57" w14:textId="77777777" w:rsidR="006F7EF2" w:rsidRDefault="006F7EF2" w:rsidP="007D7897">
      <w:pPr>
        <w:pStyle w:val="NormalIndent"/>
      </w:pPr>
      <w:r w:rsidRPr="00DA20DA">
        <w:t>The Australian Red Cross (</w:t>
      </w:r>
      <w:r w:rsidRPr="00DA20DA">
        <w:rPr>
          <w:b/>
          <w:i/>
        </w:rPr>
        <w:t>ARC</w:t>
      </w:r>
      <w:r w:rsidRPr="00DA20DA">
        <w:t>) is a key Partner National Society, supporting</w:t>
      </w:r>
      <w:r>
        <w:t xml:space="preserve"> </w:t>
      </w:r>
      <w:r w:rsidRPr="00DA20DA">
        <w:t>the International Federation of Red Cross and Red Crescent Societies</w:t>
      </w:r>
      <w:r>
        <w:t>'</w:t>
      </w:r>
      <w:r w:rsidRPr="00DA20DA">
        <w:t xml:space="preserve"> (</w:t>
      </w:r>
      <w:r w:rsidRPr="00FB78A0">
        <w:rPr>
          <w:b/>
          <w:i/>
        </w:rPr>
        <w:t>IFRC</w:t>
      </w:r>
      <w:r w:rsidRPr="00DA20DA">
        <w:t>) response to natural disasters in the A</w:t>
      </w:r>
      <w:r>
        <w:t>sia-Pacific.</w:t>
      </w:r>
    </w:p>
    <w:p w14:paraId="2495D685" w14:textId="77777777" w:rsidR="006F7EF2" w:rsidRDefault="006F7EF2" w:rsidP="007D7897">
      <w:pPr>
        <w:pStyle w:val="NormalIndent"/>
      </w:pPr>
      <w:r w:rsidRPr="00DA20DA">
        <w:t>The Red Cross Red Crescent has identified that better knowledge of local housing, land and property laws in the Asia-Pacific is vital to ensuring that emergency shelter is delivered efficiently and equitably in the aftermath of natural disaste</w:t>
      </w:r>
      <w:r>
        <w:t>rs.</w:t>
      </w:r>
    </w:p>
    <w:p w14:paraId="235384F5" w14:textId="77777777" w:rsidR="006F7EF2" w:rsidRDefault="006F7EF2" w:rsidP="007D7897">
      <w:pPr>
        <w:pStyle w:val="NormalIndent"/>
      </w:pPr>
      <w:r w:rsidRPr="00DA20DA">
        <w:t xml:space="preserve">Australian Red Cross, with technical support and initial research from IFRC, has provided the research template to which this memorandum responds. </w:t>
      </w:r>
      <w:r>
        <w:t>This memorandum comprises three main sections.</w:t>
      </w:r>
    </w:p>
    <w:p w14:paraId="56208045" w14:textId="4090C8E1" w:rsidR="006F7EF2" w:rsidRPr="00E439DE" w:rsidRDefault="006F7EF2" w:rsidP="001B1CE3">
      <w:pPr>
        <w:pStyle w:val="Bullet2"/>
      </w:pPr>
      <w:r>
        <w:t xml:space="preserve">The first section, entitled </w:t>
      </w:r>
      <w:hyperlink w:anchor="CommonTenureTypes" w:history="1">
        <w:r w:rsidRPr="00E439DE">
          <w:rPr>
            <w:rStyle w:val="Hyperlink"/>
            <w:color w:val="auto"/>
            <w:u w:val="none"/>
          </w:rPr>
          <w:t>'common tenure types'</w:t>
        </w:r>
      </w:hyperlink>
      <w:r w:rsidRPr="00E439DE">
        <w:t>, provides an overview of the different types of housing and land tenure in Indonesia. It outlines the methods used to create and transfer tenure, and analyses the degree of security of tenure afforded by the main forms of tenure.</w:t>
      </w:r>
    </w:p>
    <w:p w14:paraId="37E5CC08" w14:textId="45D1C60D" w:rsidR="006F7EF2" w:rsidRPr="00E439DE" w:rsidRDefault="006F7EF2" w:rsidP="001B1CE3">
      <w:pPr>
        <w:pStyle w:val="Bullet2"/>
      </w:pPr>
      <w:r w:rsidRPr="00E439DE">
        <w:t>The second section, entitled '</w:t>
      </w:r>
      <w:hyperlink w:anchor="SecurityofTenure" w:history="1">
        <w:r w:rsidRPr="00E439DE">
          <w:rPr>
            <w:rStyle w:val="Hyperlink"/>
            <w:color w:val="auto"/>
            <w:u w:val="none"/>
          </w:rPr>
          <w:t>security of tenure of vulnerable groups</w:t>
        </w:r>
      </w:hyperlink>
      <w:r w:rsidRPr="00E439DE">
        <w:t>', considers whether, and to what extent, certain groups face legal barriers to owning or accessing land and housing. This section focuses primarily on women,</w:t>
      </w:r>
      <w:r w:rsidRPr="00E439DE">
        <w:rPr>
          <w:b/>
        </w:rPr>
        <w:t xml:space="preserve"> </w:t>
      </w:r>
      <w:r w:rsidRPr="00E439DE">
        <w:t>minority groups, indigenous groups and landless people, each of which face particular legal barriers.</w:t>
      </w:r>
    </w:p>
    <w:p w14:paraId="05D11724" w14:textId="3CCDCD59" w:rsidR="006F7EF2" w:rsidRDefault="006F7EF2" w:rsidP="001B1CE3">
      <w:pPr>
        <w:pStyle w:val="Bullet2"/>
      </w:pPr>
      <w:r w:rsidRPr="00E439DE">
        <w:t>The third section, entitled '</w:t>
      </w:r>
      <w:hyperlink w:anchor="EvictionExpropriationRelocation" w:history="1">
        <w:r w:rsidRPr="00E439DE">
          <w:rPr>
            <w:rStyle w:val="Hyperlink"/>
            <w:color w:val="auto"/>
            <w:u w:val="none"/>
          </w:rPr>
          <w:t>eviction, expropriation and relocation'</w:t>
        </w:r>
      </w:hyperlink>
      <w:r w:rsidRPr="00E439DE">
        <w:t>, cons</w:t>
      </w:r>
      <w:r>
        <w:t>iders Indonesian law which governs, or is applicable to, forced evictions, compulsory acquisition of land and relocations. This section also considers whether compensation is available in these situations.</w:t>
      </w:r>
    </w:p>
    <w:p w14:paraId="41717773" w14:textId="77777777" w:rsidR="006F7EF2" w:rsidRDefault="006F7EF2" w:rsidP="00581781">
      <w:pPr>
        <w:pStyle w:val="AllensHeading2"/>
        <w:tabs>
          <w:tab w:val="clear" w:pos="709"/>
          <w:tab w:val="num" w:pos="797"/>
        </w:tabs>
        <w:rPr>
          <w:lang w:val="en-GB"/>
        </w:rPr>
      </w:pPr>
      <w:bookmarkStart w:id="22" w:name="_Toc512946251"/>
      <w:r>
        <w:rPr>
          <w:lang w:val="en-GB"/>
        </w:rPr>
        <w:t>Background information on Indonesia</w:t>
      </w:r>
      <w:bookmarkEnd w:id="22"/>
    </w:p>
    <w:p w14:paraId="39005989" w14:textId="77777777" w:rsidR="006F7EF2" w:rsidRDefault="006F7EF2" w:rsidP="007D7897">
      <w:pPr>
        <w:pStyle w:val="NormalIndent"/>
      </w:pPr>
      <w:r>
        <w:t>The Republic of Indonesia (</w:t>
      </w:r>
      <w:r w:rsidRPr="00001962">
        <w:rPr>
          <w:b/>
          <w:i/>
        </w:rPr>
        <w:t>Indonesia</w:t>
      </w:r>
      <w:r>
        <w:t xml:space="preserve">) is the world's largest archipelagic state, comprising more than 17,000 islands in the Indian and Pacific oceans, approximately 6,000 of which are inhabited. </w:t>
      </w:r>
      <w:r w:rsidRPr="00157364">
        <w:t>Indonesia</w:t>
      </w:r>
      <w:r>
        <w:t xml:space="preserve"> has five tiers of government.</w:t>
      </w:r>
    </w:p>
    <w:p w14:paraId="5D779FAE" w14:textId="77777777" w:rsidR="006F7EF2" w:rsidRDefault="006F7EF2" w:rsidP="001B1CE3">
      <w:pPr>
        <w:pStyle w:val="Bullet2"/>
      </w:pPr>
      <w:r>
        <w:t>First, the national government.</w:t>
      </w:r>
    </w:p>
    <w:p w14:paraId="5135B7EB" w14:textId="77777777" w:rsidR="006F7EF2" w:rsidRDefault="006F7EF2" w:rsidP="001B1CE3">
      <w:pPr>
        <w:pStyle w:val="Bullet2"/>
      </w:pPr>
      <w:r>
        <w:t>Second, there are 30 provinces (</w:t>
      </w:r>
      <w:r w:rsidRPr="00AB334D">
        <w:rPr>
          <w:i/>
        </w:rPr>
        <w:t>provinsi</w:t>
      </w:r>
      <w:r>
        <w:t>) and</w:t>
      </w:r>
      <w:r w:rsidRPr="00157364">
        <w:t xml:space="preserve"> three special districts</w:t>
      </w:r>
      <w:r>
        <w:t xml:space="preserve">: </w:t>
      </w:r>
      <w:r w:rsidRPr="00157364">
        <w:t xml:space="preserve">Aceh, Yogyakarta and metropolitan </w:t>
      </w:r>
      <w:r>
        <w:t>Jakarta.</w:t>
      </w:r>
    </w:p>
    <w:p w14:paraId="14DD86D1" w14:textId="77777777" w:rsidR="006F7EF2" w:rsidRPr="00AB37CC" w:rsidRDefault="006F7EF2" w:rsidP="001B1CE3">
      <w:pPr>
        <w:pStyle w:val="Bullet2"/>
      </w:pPr>
      <w:r w:rsidRPr="00AB37CC">
        <w:t>Third, each province is further divided into regencies (</w:t>
      </w:r>
      <w:r w:rsidRPr="00AB37CC">
        <w:rPr>
          <w:i/>
        </w:rPr>
        <w:t>kabupaten</w:t>
      </w:r>
      <w:r w:rsidRPr="00AB37CC">
        <w:t>) and cities (</w:t>
      </w:r>
      <w:r w:rsidRPr="00AB37CC">
        <w:rPr>
          <w:i/>
        </w:rPr>
        <w:t>kota</w:t>
      </w:r>
      <w:r w:rsidRPr="00AB37CC">
        <w:t xml:space="preserve">). </w:t>
      </w:r>
      <w:r>
        <w:rPr>
          <w:lang w:val="en"/>
        </w:rPr>
        <w:t xml:space="preserve">Regencies, which generally encompass non-urban land, are headed by a </w:t>
      </w:r>
      <w:r w:rsidRPr="00AB37CC">
        <w:rPr>
          <w:bCs/>
          <w:lang w:val="en"/>
        </w:rPr>
        <w:t>regent</w:t>
      </w:r>
      <w:r>
        <w:rPr>
          <w:bCs/>
          <w:lang w:val="en"/>
        </w:rPr>
        <w:t xml:space="preserve"> (</w:t>
      </w:r>
      <w:r w:rsidRPr="00716D7A">
        <w:rPr>
          <w:bCs/>
          <w:i/>
          <w:lang w:val="en"/>
        </w:rPr>
        <w:t>bupati</w:t>
      </w:r>
      <w:r>
        <w:rPr>
          <w:bCs/>
          <w:lang w:val="en"/>
        </w:rPr>
        <w:t>)</w:t>
      </w:r>
      <w:r>
        <w:rPr>
          <w:lang w:val="en"/>
        </w:rPr>
        <w:t>. Cities are</w:t>
      </w:r>
      <w:r w:rsidRPr="00AB37CC">
        <w:rPr>
          <w:lang w:val="en"/>
        </w:rPr>
        <w:t xml:space="preserve"> headed by a </w:t>
      </w:r>
      <w:r w:rsidRPr="00AB37CC">
        <w:rPr>
          <w:bCs/>
          <w:lang w:val="en"/>
        </w:rPr>
        <w:t>mayor</w:t>
      </w:r>
      <w:r>
        <w:rPr>
          <w:bCs/>
          <w:lang w:val="en"/>
        </w:rPr>
        <w:t xml:space="preserve"> (</w:t>
      </w:r>
      <w:r w:rsidRPr="00716D7A">
        <w:rPr>
          <w:bCs/>
          <w:i/>
          <w:lang w:val="en"/>
        </w:rPr>
        <w:t>wali kota</w:t>
      </w:r>
      <w:r>
        <w:rPr>
          <w:bCs/>
          <w:lang w:val="en"/>
        </w:rPr>
        <w:t>)</w:t>
      </w:r>
      <w:r>
        <w:rPr>
          <w:lang w:val="en"/>
        </w:rPr>
        <w:t>.</w:t>
      </w:r>
    </w:p>
    <w:p w14:paraId="1189CE9B" w14:textId="77777777" w:rsidR="006F7EF2" w:rsidRPr="00F949FA" w:rsidRDefault="006F7EF2" w:rsidP="001B1CE3">
      <w:pPr>
        <w:pStyle w:val="Bullet2"/>
      </w:pPr>
      <w:r>
        <w:t>Fourth, e</w:t>
      </w:r>
      <w:r>
        <w:rPr>
          <w:lang w:val="en"/>
        </w:rPr>
        <w:t>ach city or regency is divided into sub-districts (</w:t>
      </w:r>
      <w:r w:rsidRPr="00F32908">
        <w:rPr>
          <w:i/>
          <w:lang w:val="en"/>
        </w:rPr>
        <w:t>kecamatan</w:t>
      </w:r>
      <w:r>
        <w:rPr>
          <w:lang w:val="en"/>
        </w:rPr>
        <w:t>) headed by civil servants (</w:t>
      </w:r>
      <w:r w:rsidRPr="00F32908">
        <w:rPr>
          <w:i/>
          <w:lang w:val="en"/>
        </w:rPr>
        <w:t>camat</w:t>
      </w:r>
      <w:r>
        <w:rPr>
          <w:lang w:val="en"/>
        </w:rPr>
        <w:t>) who report to the regent or mayor, as applicable. The provinces of Papua and West Papua are exceptions and are, instead, divided into districts headed by chiefs.</w:t>
      </w:r>
    </w:p>
    <w:p w14:paraId="6EC7B924" w14:textId="77777777" w:rsidR="006F7EF2" w:rsidRPr="00AB334D" w:rsidRDefault="006F7EF2" w:rsidP="001B1CE3">
      <w:pPr>
        <w:pStyle w:val="Bullet2"/>
      </w:pPr>
      <w:r>
        <w:rPr>
          <w:lang w:val="en"/>
        </w:rPr>
        <w:lastRenderedPageBreak/>
        <w:t>Fifth, each sub-district is divided into administrative villages (</w:t>
      </w:r>
      <w:r w:rsidRPr="00F32908">
        <w:rPr>
          <w:i/>
          <w:lang w:val="en"/>
        </w:rPr>
        <w:t>desa</w:t>
      </w:r>
      <w:r>
        <w:rPr>
          <w:lang w:val="en"/>
        </w:rPr>
        <w:t>) or urban communities (</w:t>
      </w:r>
      <w:r w:rsidRPr="00F32908">
        <w:rPr>
          <w:i/>
          <w:lang w:val="en"/>
        </w:rPr>
        <w:t>kelurahan</w:t>
      </w:r>
      <w:r>
        <w:rPr>
          <w:lang w:val="en"/>
        </w:rPr>
        <w:t>). An administrative village is headed by an elected village head, while an urban community is headed by a civil servant (</w:t>
      </w:r>
      <w:r w:rsidRPr="00F949FA">
        <w:rPr>
          <w:i/>
          <w:iCs/>
          <w:lang w:val="en"/>
        </w:rPr>
        <w:t>lurah</w:t>
      </w:r>
      <w:r>
        <w:rPr>
          <w:iCs/>
          <w:lang w:val="en"/>
        </w:rPr>
        <w:t xml:space="preserve">) who is responsible to the sub-district government. Although the term </w:t>
      </w:r>
      <w:r w:rsidRPr="00565EFD">
        <w:rPr>
          <w:i/>
          <w:iCs/>
          <w:lang w:val="en"/>
        </w:rPr>
        <w:t>desa</w:t>
      </w:r>
      <w:r>
        <w:rPr>
          <w:iCs/>
          <w:lang w:val="en"/>
        </w:rPr>
        <w:t xml:space="preserve"> is widely used, several other terms are in usage (</w:t>
      </w:r>
      <w:r w:rsidRPr="00E26D9C">
        <w:rPr>
          <w:i/>
          <w:iCs/>
          <w:lang w:val="en"/>
        </w:rPr>
        <w:t>nagari</w:t>
      </w:r>
      <w:r>
        <w:rPr>
          <w:iCs/>
          <w:lang w:val="en"/>
        </w:rPr>
        <w:t xml:space="preserve">, </w:t>
      </w:r>
      <w:r w:rsidRPr="00E26D9C">
        <w:rPr>
          <w:i/>
          <w:iCs/>
          <w:lang w:val="en"/>
        </w:rPr>
        <w:t>dusun</w:t>
      </w:r>
      <w:r>
        <w:rPr>
          <w:iCs/>
          <w:lang w:val="en"/>
        </w:rPr>
        <w:t xml:space="preserve">, </w:t>
      </w:r>
      <w:r w:rsidRPr="00E26D9C">
        <w:rPr>
          <w:i/>
          <w:iCs/>
          <w:lang w:val="en"/>
        </w:rPr>
        <w:t>pekon</w:t>
      </w:r>
      <w:r>
        <w:rPr>
          <w:iCs/>
          <w:lang w:val="en"/>
        </w:rPr>
        <w:t xml:space="preserve">, </w:t>
      </w:r>
      <w:r w:rsidRPr="00E26D9C">
        <w:rPr>
          <w:i/>
          <w:iCs/>
          <w:lang w:val="en"/>
        </w:rPr>
        <w:t>lembang</w:t>
      </w:r>
      <w:r>
        <w:rPr>
          <w:iCs/>
          <w:lang w:val="en"/>
        </w:rPr>
        <w:t>).</w:t>
      </w:r>
    </w:p>
    <w:p w14:paraId="7F169A0D" w14:textId="77777777" w:rsidR="006F7EF2" w:rsidRDefault="006F7EF2" w:rsidP="00915DEA">
      <w:pPr>
        <w:pStyle w:val="NormalIndent"/>
      </w:pPr>
      <w:r>
        <w:t>The first, second and third tiers of government each have their own legislature and government.</w:t>
      </w:r>
    </w:p>
    <w:p w14:paraId="2120EE38" w14:textId="5A7A2B7D" w:rsidR="006F7EF2" w:rsidRDefault="006F7EF2" w:rsidP="007D7897">
      <w:pPr>
        <w:pStyle w:val="NormalIndent"/>
      </w:pPr>
      <w:r>
        <w:t>According to the 2015 census, Indonesia has a population of 257.6 million, of which 53.7 per cent lives in urban areas.</w:t>
      </w:r>
      <w:r w:rsidRPr="007178CA">
        <w:rPr>
          <w:rStyle w:val="FootnoteReference"/>
          <w:rFonts w:cs="Arial"/>
          <w:lang w:val="en-GB"/>
        </w:rPr>
        <w:footnoteReference w:id="1"/>
      </w:r>
      <w:r>
        <w:t xml:space="preserve">  The island of </w:t>
      </w:r>
      <w:r w:rsidRPr="000A07CF">
        <w:t xml:space="preserve">Java </w:t>
      </w:r>
      <w:r>
        <w:t>accounts for o</w:t>
      </w:r>
      <w:r w:rsidRPr="000A07CF">
        <w:t>ver 57</w:t>
      </w:r>
      <w:r>
        <w:t xml:space="preserve"> per cent</w:t>
      </w:r>
      <w:r w:rsidRPr="000A07CF">
        <w:t xml:space="preserve"> of the </w:t>
      </w:r>
      <w:r>
        <w:t>Indonesia</w:t>
      </w:r>
      <w:r w:rsidR="00695BBB">
        <w:t>n</w:t>
      </w:r>
      <w:r>
        <w:t xml:space="preserve"> </w:t>
      </w:r>
      <w:r w:rsidRPr="000A07CF">
        <w:t>population</w:t>
      </w:r>
      <w:r>
        <w:t xml:space="preserve"> and is extremely densely populated. 21 per cent of the population live in Sumatra, and the remaining 22 per cent inhabit the islands of </w:t>
      </w:r>
      <w:r w:rsidRPr="000A07CF">
        <w:t>Kalimantan, Sula</w:t>
      </w:r>
      <w:r>
        <w:t xml:space="preserve">wesi, Bali, Nusa Tenggara, </w:t>
      </w:r>
      <w:r w:rsidRPr="000A07CF">
        <w:t>Maluku and Papua.</w:t>
      </w:r>
    </w:p>
    <w:p w14:paraId="075F99D0" w14:textId="4C306E2F" w:rsidR="006F7EF2" w:rsidRDefault="006F7EF2" w:rsidP="007D7897">
      <w:pPr>
        <w:pStyle w:val="NormalIndent"/>
      </w:pPr>
      <w:r>
        <w:t>The capital Jakarta is the largest city with an approximate population of 10.3 million, followed by Surabaya at 2.8 million, Bandung at 2.5 million, and Medan at 2.2 million.</w:t>
      </w:r>
      <w:r w:rsidRPr="007178CA">
        <w:rPr>
          <w:rStyle w:val="FootnoteReference"/>
          <w:rFonts w:cs="Arial"/>
          <w:lang w:val="en-GB"/>
        </w:rPr>
        <w:footnoteReference w:id="2"/>
      </w:r>
      <w:r>
        <w:rPr>
          <w:b/>
        </w:rPr>
        <w:t xml:space="preserve"> </w:t>
      </w:r>
      <w:r>
        <w:t xml:space="preserve"> The total urban population of Indonesia is approximately 135.6 million.</w:t>
      </w:r>
      <w:r w:rsidRPr="007178CA">
        <w:rPr>
          <w:rStyle w:val="FootnoteReference"/>
          <w:rFonts w:cs="Arial"/>
          <w:lang w:val="en-GB"/>
        </w:rPr>
        <w:footnoteReference w:id="3"/>
      </w:r>
      <w:r>
        <w:t xml:space="preserve">  The results of the 2015 census indicate that most Indonesians do not migrate inter-provincially, tending to remain in the </w:t>
      </w:r>
      <w:r w:rsidR="001470BB">
        <w:t>province</w:t>
      </w:r>
      <w:r>
        <w:t xml:space="preserve"> in which they were born.</w:t>
      </w:r>
      <w:r w:rsidRPr="007178CA">
        <w:rPr>
          <w:rStyle w:val="FootnoteReference"/>
          <w:rFonts w:cs="Arial"/>
          <w:lang w:val="en-GB"/>
        </w:rPr>
        <w:footnoteReference w:id="4"/>
      </w:r>
    </w:p>
    <w:p w14:paraId="799C6E44" w14:textId="77777777" w:rsidR="006F7EF2" w:rsidRDefault="006F7EF2" w:rsidP="00543BD0">
      <w:pPr>
        <w:pStyle w:val="NormalIndent"/>
        <w:ind w:left="0"/>
      </w:pPr>
    </w:p>
    <w:p w14:paraId="013F1F44" w14:textId="651537FA" w:rsidR="006F7EF2" w:rsidRPr="00543BD0" w:rsidRDefault="00E01A31" w:rsidP="00543BD0">
      <w:pPr>
        <w:pStyle w:val="NormalIndent"/>
        <w:ind w:left="0"/>
      </w:pPr>
      <w:r>
        <w:rPr>
          <w:noProof/>
          <w:color w:val="0000FF"/>
          <w:lang w:eastAsia="en-AU"/>
        </w:rPr>
        <w:pict w14:anchorId="46F04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15pt;height:238.6pt">
            <v:imagedata r:id="rId17" o:title="Indonesia Map"/>
          </v:shape>
        </w:pict>
      </w:r>
    </w:p>
    <w:p w14:paraId="6D9F3138" w14:textId="77777777" w:rsidR="006F7EF2" w:rsidRDefault="006F7EF2">
      <w:pPr>
        <w:spacing w:before="0" w:line="240" w:lineRule="auto"/>
        <w:rPr>
          <w:bCs/>
          <w:iCs/>
          <w:highlight w:val="yellow"/>
          <w:lang w:val="en-GB"/>
        </w:rPr>
      </w:pPr>
    </w:p>
    <w:p w14:paraId="0F30100F" w14:textId="4A59D303" w:rsidR="006F7EF2" w:rsidRPr="00D02C69" w:rsidRDefault="006F7EF2" w:rsidP="00D02C69">
      <w:pPr>
        <w:spacing w:before="0" w:line="240" w:lineRule="auto"/>
        <w:jc w:val="center"/>
        <w:rPr>
          <w:bCs/>
          <w:iCs/>
        </w:rPr>
      </w:pPr>
      <w:r w:rsidRPr="00C95C66">
        <w:rPr>
          <w:bCs/>
          <w:iCs/>
          <w:lang w:val="en-GB"/>
        </w:rPr>
        <w:t xml:space="preserve">(Map sourced from </w:t>
      </w:r>
      <w:r w:rsidR="00D02C69" w:rsidRPr="00D02C69">
        <w:rPr>
          <w:bCs/>
          <w:iCs/>
        </w:rPr>
        <w:t>Map from: Central Intelligence Agency, Indonesia &lt;https://www.cia.gov/library/publications/the-world-factbook/geos/id.html</w:t>
      </w:r>
      <w:r w:rsidR="00D02C69">
        <w:rPr>
          <w:bCs/>
          <w:iCs/>
        </w:rPr>
        <w:t>&gt;</w:t>
      </w:r>
      <w:r w:rsidRPr="00C95C66">
        <w:rPr>
          <w:bCs/>
          <w:iCs/>
          <w:lang w:val="en-GB"/>
        </w:rPr>
        <w:t>)</w:t>
      </w:r>
    </w:p>
    <w:p w14:paraId="41E4BEE1" w14:textId="77777777" w:rsidR="006F7EF2" w:rsidRPr="00C95C66" w:rsidRDefault="006F7EF2">
      <w:pPr>
        <w:spacing w:before="0" w:line="240" w:lineRule="auto"/>
        <w:rPr>
          <w:bCs/>
          <w:iCs/>
          <w:lang w:val="en-GB"/>
        </w:rPr>
      </w:pPr>
    </w:p>
    <w:p w14:paraId="7F7B96C0" w14:textId="181163C4" w:rsidR="006F7EF2" w:rsidRDefault="006F7EF2" w:rsidP="007D7897">
      <w:pPr>
        <w:pStyle w:val="NormalIndent"/>
      </w:pPr>
      <w:r>
        <w:t>Indonesia is extremely linguistically diverse, with over 700 languages and dialects spoken throughout the country.</w:t>
      </w:r>
      <w:r w:rsidR="00695BBB" w:rsidRPr="007178CA">
        <w:rPr>
          <w:rStyle w:val="FootnoteReference"/>
          <w:rFonts w:cs="Arial"/>
          <w:lang w:val="en-GB"/>
        </w:rPr>
        <w:footnoteReference w:id="5"/>
      </w:r>
      <w:r>
        <w:t xml:space="preserve"> The official language is Indonesian (Bahasa Indonesia), which is a </w:t>
      </w:r>
      <w:r>
        <w:lastRenderedPageBreak/>
        <w:t>modified form of Malay. Most Indonesians tend to learn a local dialect as their primary language and learn Indonesian at school.</w:t>
      </w:r>
    </w:p>
    <w:p w14:paraId="43533BDC" w14:textId="3F438A7B" w:rsidR="006F7EF2" w:rsidRPr="00001962" w:rsidRDefault="006F7EF2" w:rsidP="0058263B">
      <w:pPr>
        <w:pStyle w:val="NormalIndent"/>
      </w:pPr>
      <w:r w:rsidRPr="00952E56">
        <w:t xml:space="preserve">As of 2010, </w:t>
      </w:r>
      <w:r>
        <w:t>40 per cent of the population identified</w:t>
      </w:r>
      <w:r w:rsidRPr="00952E56">
        <w:t xml:space="preserve"> as Javanese</w:t>
      </w:r>
      <w:r>
        <w:t>, the politically and culturally dominant ethnicity.</w:t>
      </w:r>
      <w:r w:rsidR="00695BBB" w:rsidRPr="007178CA">
        <w:rPr>
          <w:rStyle w:val="FootnoteReference"/>
          <w:rFonts w:cs="Arial"/>
          <w:lang w:val="en-GB"/>
        </w:rPr>
        <w:footnoteReference w:id="6"/>
      </w:r>
      <w:r w:rsidRPr="00952E56">
        <w:t xml:space="preserve"> </w:t>
      </w:r>
      <w:r>
        <w:t>15.5 percent of Indonesians identified</w:t>
      </w:r>
      <w:r w:rsidRPr="00952E56">
        <w:t xml:space="preserve"> as Sundanese, and </w:t>
      </w:r>
      <w:r>
        <w:t>less than</w:t>
      </w:r>
      <w:r w:rsidRPr="00952E56">
        <w:t xml:space="preserve"> 4 </w:t>
      </w:r>
      <w:r>
        <w:t>per cent</w:t>
      </w:r>
      <w:r w:rsidRPr="00952E56">
        <w:t xml:space="preserve"> </w:t>
      </w:r>
      <w:r>
        <w:t xml:space="preserve">of Indonesians identified as either </w:t>
      </w:r>
      <w:r w:rsidRPr="00952E56">
        <w:t xml:space="preserve">Malay, Batak, Madurese </w:t>
      </w:r>
      <w:r>
        <w:t xml:space="preserve">or </w:t>
      </w:r>
      <w:r w:rsidRPr="00952E56">
        <w:t>Betawi</w:t>
      </w:r>
      <w:r>
        <w:t>.</w:t>
      </w:r>
      <w:r>
        <w:rPr>
          <w:b/>
        </w:rPr>
        <w:t xml:space="preserve"> </w:t>
      </w:r>
      <w:r>
        <w:t>The remainder of the population identified as being of an 'other' ethnicity.</w:t>
      </w:r>
    </w:p>
    <w:p w14:paraId="6B2C475A" w14:textId="77777777" w:rsidR="006F7EF2" w:rsidRDefault="006F7EF2" w:rsidP="00581781">
      <w:pPr>
        <w:pStyle w:val="AllensHeading1"/>
        <w:tabs>
          <w:tab w:val="clear" w:pos="709"/>
          <w:tab w:val="num" w:pos="797"/>
        </w:tabs>
        <w:rPr>
          <w:lang w:val="en-GB"/>
        </w:rPr>
      </w:pPr>
      <w:bookmarkStart w:id="23" w:name="CommonTenureTypes"/>
      <w:bookmarkStart w:id="24" w:name="_Toc512946252"/>
      <w:bookmarkEnd w:id="23"/>
      <w:r>
        <w:rPr>
          <w:lang w:val="en-GB"/>
        </w:rPr>
        <w:t>Common tenure types</w:t>
      </w:r>
      <w:bookmarkEnd w:id="24"/>
    </w:p>
    <w:p w14:paraId="1CBA3F22" w14:textId="77777777" w:rsidR="006F7EF2" w:rsidRDefault="006F7EF2" w:rsidP="00581781">
      <w:pPr>
        <w:pStyle w:val="AllensHeading2"/>
        <w:tabs>
          <w:tab w:val="clear" w:pos="709"/>
          <w:tab w:val="num" w:pos="797"/>
        </w:tabs>
        <w:rPr>
          <w:lang w:val="en-GB"/>
        </w:rPr>
      </w:pPr>
      <w:bookmarkStart w:id="25" w:name="Laws"/>
      <w:bookmarkStart w:id="26" w:name="_Toc512946253"/>
      <w:bookmarkEnd w:id="25"/>
      <w:r>
        <w:rPr>
          <w:lang w:val="en-GB"/>
        </w:rPr>
        <w:t>Tenure types</w:t>
      </w:r>
      <w:bookmarkEnd w:id="26"/>
    </w:p>
    <w:p w14:paraId="3014C35C" w14:textId="77777777" w:rsidR="006F7EF2" w:rsidRPr="0036472E" w:rsidRDefault="006F7EF2" w:rsidP="00581781">
      <w:pPr>
        <w:pStyle w:val="AllensHeading3"/>
        <w:tabs>
          <w:tab w:val="clear" w:pos="1418"/>
          <w:tab w:val="num" w:pos="1506"/>
        </w:tabs>
        <w:rPr>
          <w:b/>
          <w:lang w:val="en-GB"/>
        </w:rPr>
      </w:pPr>
      <w:r w:rsidRPr="0036472E">
        <w:rPr>
          <w:b/>
          <w:lang w:val="en-GB"/>
        </w:rPr>
        <w:t>What are the key pieces of legislation governing housing, land, building and planning? Please provide links to copies of the legislation.</w:t>
      </w:r>
    </w:p>
    <w:p w14:paraId="27976941" w14:textId="77777777" w:rsidR="006F7EF2" w:rsidRDefault="006F7EF2" w:rsidP="00915DEA">
      <w:pPr>
        <w:pStyle w:val="NormalIndent"/>
        <w:ind w:left="1418"/>
      </w:pPr>
      <w:r>
        <w:t>The three key pieces of legislation governing housing, land, building and planning in Indonesia are:</w:t>
      </w:r>
    </w:p>
    <w:p w14:paraId="76ADAB5E" w14:textId="77777777" w:rsidR="006F7EF2" w:rsidRPr="0011027C" w:rsidRDefault="00A31281" w:rsidP="00581781">
      <w:pPr>
        <w:pStyle w:val="Bullet3"/>
      </w:pPr>
      <w:hyperlink r:id="rId18" w:history="1">
        <w:r w:rsidR="006F7EF2" w:rsidRPr="00BF3F74">
          <w:rPr>
            <w:rStyle w:val="Hyperlink"/>
            <w:i/>
          </w:rPr>
          <w:t>Act No. 5 of 1960 concerning Basic Regulations on Agrarian Principles</w:t>
        </w:r>
      </w:hyperlink>
      <w:r w:rsidR="006F7EF2">
        <w:t>;</w:t>
      </w:r>
    </w:p>
    <w:p w14:paraId="7F941D4C" w14:textId="77777777" w:rsidR="006F7EF2" w:rsidRPr="00071F54" w:rsidRDefault="00A31281" w:rsidP="00581781">
      <w:pPr>
        <w:pStyle w:val="Bullet3"/>
      </w:pPr>
      <w:hyperlink r:id="rId19" w:history="1">
        <w:r w:rsidR="006F7EF2" w:rsidRPr="00BF3F74">
          <w:rPr>
            <w:rStyle w:val="Hyperlink"/>
            <w:i/>
            <w:lang w:val="en"/>
          </w:rPr>
          <w:t>Act No. 41 of 1999 on Forestry Affairs</w:t>
        </w:r>
      </w:hyperlink>
      <w:r w:rsidR="006F7EF2">
        <w:t>; and</w:t>
      </w:r>
    </w:p>
    <w:p w14:paraId="7034D8E1" w14:textId="77777777" w:rsidR="006F7EF2" w:rsidRDefault="00A31281" w:rsidP="00581781">
      <w:pPr>
        <w:pStyle w:val="Bullet3"/>
      </w:pPr>
      <w:hyperlink r:id="rId20" w:history="1">
        <w:r w:rsidR="006F7EF2" w:rsidRPr="00BF3F74">
          <w:rPr>
            <w:rStyle w:val="Hyperlink"/>
            <w:i/>
          </w:rPr>
          <w:t>Act No. 26 of 2007 concerning Spatial Management</w:t>
        </w:r>
      </w:hyperlink>
      <w:r w:rsidR="006F7EF2">
        <w:t>.</w:t>
      </w:r>
      <w:r w:rsidR="006F7EF2">
        <w:rPr>
          <w:rStyle w:val="FootnoteReference"/>
        </w:rPr>
        <w:footnoteReference w:id="7"/>
      </w:r>
    </w:p>
    <w:p w14:paraId="36711BB6" w14:textId="77777777" w:rsidR="006F7EF2" w:rsidRPr="0011057A" w:rsidRDefault="006F7EF2" w:rsidP="00915DEA">
      <w:pPr>
        <w:pStyle w:val="NormalIndent"/>
        <w:ind w:left="1418"/>
      </w:pPr>
      <w:r>
        <w:t>These statutes are drafted in broad, high-level terms and rely on a vast body of implementing regulations and decrees. There is a high degree of uncertainty in housing, land, building and planning law due to the sheer size of this body of subordinate legislation, and the existence of ambiguities in and conflicts between different instruments.</w:t>
      </w:r>
      <w:r>
        <w:rPr>
          <w:rStyle w:val="FootnoteReference"/>
        </w:rPr>
        <w:footnoteReference w:id="8"/>
      </w:r>
      <w:r>
        <w:t xml:space="preserve"> As a result, the law is highly malleable and is susceptible to being interpreted and implemented by authorities to favour State or private interests.</w:t>
      </w:r>
      <w:r>
        <w:rPr>
          <w:rStyle w:val="FootnoteReference"/>
        </w:rPr>
        <w:footnoteReference w:id="9"/>
      </w:r>
    </w:p>
    <w:p w14:paraId="2C40E538" w14:textId="77777777" w:rsidR="006F7EF2" w:rsidRDefault="006F7EF2" w:rsidP="00581781">
      <w:pPr>
        <w:pStyle w:val="AllensHeading3"/>
        <w:tabs>
          <w:tab w:val="clear" w:pos="1418"/>
          <w:tab w:val="num" w:pos="1506"/>
        </w:tabs>
        <w:rPr>
          <w:b/>
          <w:lang w:val="en-GB"/>
        </w:rPr>
      </w:pPr>
      <w:bookmarkStart w:id="27" w:name="WhatTenureExists"/>
      <w:bookmarkStart w:id="28" w:name="_Ref489203127"/>
      <w:bookmarkEnd w:id="27"/>
      <w:r w:rsidRPr="00666EDB">
        <w:rPr>
          <w:b/>
          <w:lang w:val="en-GB"/>
        </w:rPr>
        <w:t>What types of tenure exist?</w:t>
      </w:r>
      <w:bookmarkEnd w:id="28"/>
    </w:p>
    <w:p w14:paraId="50A64F7D" w14:textId="3429D35F" w:rsidR="006F7EF2" w:rsidRDefault="006F7EF2" w:rsidP="006F7EF2">
      <w:pPr>
        <w:pStyle w:val="NormalIndent"/>
        <w:ind w:left="1418"/>
      </w:pPr>
      <w:r>
        <w:t xml:space="preserve">There are two </w:t>
      </w:r>
      <w:r w:rsidR="009E7C4B">
        <w:t xml:space="preserve">main </w:t>
      </w:r>
      <w:r>
        <w:t>categories of land in Indonesia:</w:t>
      </w:r>
    </w:p>
    <w:p w14:paraId="17444674" w14:textId="5398C9E3" w:rsidR="006F7EF2" w:rsidRPr="0029761F" w:rsidRDefault="006F7EF2" w:rsidP="00581781">
      <w:pPr>
        <w:pStyle w:val="Bullet3"/>
      </w:pPr>
      <w:r>
        <w:t xml:space="preserve">first, the </w:t>
      </w:r>
      <w:r w:rsidR="00210E99">
        <w:t xml:space="preserve">approximately </w:t>
      </w:r>
      <w:r>
        <w:t xml:space="preserve">two-thirds of Indonesia's land which has been designated as </w:t>
      </w:r>
      <w:r w:rsidR="009E7C4B">
        <w:t>'</w:t>
      </w:r>
      <w:r>
        <w:t>forest</w:t>
      </w:r>
      <w:r w:rsidR="009E7C4B">
        <w:t>'</w:t>
      </w:r>
      <w:r>
        <w:t xml:space="preserve"> and is regulated by </w:t>
      </w:r>
      <w:r w:rsidRPr="00683B8F">
        <w:rPr>
          <w:i/>
          <w:lang w:val="en"/>
        </w:rPr>
        <w:t>Act No. 41 of 1999 on Forestry Affairs</w:t>
      </w:r>
      <w:r>
        <w:t xml:space="preserve"> </w:t>
      </w:r>
      <w:r w:rsidRPr="00683B8F">
        <w:rPr>
          <w:lang w:val="en"/>
        </w:rPr>
        <w:t xml:space="preserve">(the </w:t>
      </w:r>
      <w:r w:rsidRPr="00683B8F">
        <w:rPr>
          <w:b/>
          <w:i/>
          <w:lang w:val="en"/>
        </w:rPr>
        <w:t>Forestry Law</w:t>
      </w:r>
      <w:r w:rsidRPr="00683B8F">
        <w:rPr>
          <w:lang w:val="en"/>
        </w:rPr>
        <w:t>)</w:t>
      </w:r>
      <w:r>
        <w:t xml:space="preserve"> and its implementing regulations and decrees (</w:t>
      </w:r>
      <w:r w:rsidRPr="00DE1EF5">
        <w:rPr>
          <w:b/>
          <w:i/>
        </w:rPr>
        <w:t>Forest Land</w:t>
      </w:r>
      <w:r>
        <w:t>);</w:t>
      </w:r>
    </w:p>
    <w:p w14:paraId="314F9407" w14:textId="77777777" w:rsidR="006F7EF2" w:rsidRDefault="006F7EF2" w:rsidP="00581781">
      <w:pPr>
        <w:pStyle w:val="Bullet3"/>
      </w:pPr>
      <w:r>
        <w:t xml:space="preserve">second, the remaining third of Indonesia's land which has not been designated as forest and is regulated by </w:t>
      </w:r>
      <w:r w:rsidRPr="00066FE3">
        <w:rPr>
          <w:i/>
        </w:rPr>
        <w:t>Act No. 5 of 1960 concerning Basic Regulations on Agrarian Principles</w:t>
      </w:r>
      <w:r>
        <w:rPr>
          <w:i/>
        </w:rPr>
        <w:t xml:space="preserve"> </w:t>
      </w:r>
      <w:r>
        <w:t>(</w:t>
      </w:r>
      <w:r>
        <w:rPr>
          <w:bCs/>
        </w:rPr>
        <w:t xml:space="preserve">the </w:t>
      </w:r>
      <w:r w:rsidRPr="00683B8F">
        <w:rPr>
          <w:b/>
          <w:bCs/>
          <w:i/>
        </w:rPr>
        <w:t>Agrarian Law</w:t>
      </w:r>
      <w:r>
        <w:rPr>
          <w:bCs/>
        </w:rPr>
        <w:t>) and its implementing regulations and decrees</w:t>
      </w:r>
      <w:r>
        <w:t xml:space="preserve"> (</w:t>
      </w:r>
      <w:r>
        <w:rPr>
          <w:b/>
          <w:i/>
        </w:rPr>
        <w:t>Agrarian</w:t>
      </w:r>
      <w:r w:rsidRPr="00017CC9">
        <w:rPr>
          <w:b/>
          <w:i/>
        </w:rPr>
        <w:t xml:space="preserve"> </w:t>
      </w:r>
      <w:r>
        <w:rPr>
          <w:b/>
          <w:i/>
        </w:rPr>
        <w:t xml:space="preserve">Law </w:t>
      </w:r>
      <w:r w:rsidRPr="00017CC9">
        <w:rPr>
          <w:b/>
          <w:i/>
        </w:rPr>
        <w:t>Land</w:t>
      </w:r>
      <w:r>
        <w:t>).</w:t>
      </w:r>
    </w:p>
    <w:p w14:paraId="54EE99BF" w14:textId="77777777" w:rsidR="006F7EF2" w:rsidRDefault="006F7EF2" w:rsidP="006F7EF2">
      <w:pPr>
        <w:pStyle w:val="NormalIndent"/>
        <w:ind w:left="1418"/>
      </w:pPr>
      <w:r>
        <w:t xml:space="preserve">All land in Indonesia, including both Forest Land and Agrarian Law Land, is ultimately subject to State control. This is mandated by article 33(3) of the </w:t>
      </w:r>
      <w:r w:rsidRPr="00683B8F">
        <w:rPr>
          <w:i/>
        </w:rPr>
        <w:t>Constitution of Indonesia</w:t>
      </w:r>
      <w:r>
        <w:t xml:space="preserve"> (the </w:t>
      </w:r>
      <w:r w:rsidRPr="00683B8F">
        <w:rPr>
          <w:b/>
          <w:i/>
        </w:rPr>
        <w:t>Constitution</w:t>
      </w:r>
      <w:r>
        <w:t xml:space="preserve">) and article 2(1) of the </w:t>
      </w:r>
      <w:r w:rsidRPr="002C09F3">
        <w:rPr>
          <w:i/>
        </w:rPr>
        <w:t>Agrarian Law</w:t>
      </w:r>
      <w:r>
        <w:t>. It is possible, however, to distinguish between:</w:t>
      </w:r>
    </w:p>
    <w:p w14:paraId="608D1FFB" w14:textId="03D64112" w:rsidR="006F7EF2" w:rsidRDefault="006F7EF2" w:rsidP="00581781">
      <w:pPr>
        <w:pStyle w:val="Bullet3"/>
      </w:pPr>
      <w:r>
        <w:t xml:space="preserve">land which is </w:t>
      </w:r>
      <w:r w:rsidRPr="008B53C9">
        <w:rPr>
          <w:i/>
        </w:rPr>
        <w:t>directly</w:t>
      </w:r>
      <w:r>
        <w:t xml:space="preserve"> controlled by the State, meaning any land which is not privately held (</w:t>
      </w:r>
      <w:r w:rsidRPr="00D13363">
        <w:rPr>
          <w:b/>
          <w:i/>
        </w:rPr>
        <w:t>State-controlled land</w:t>
      </w:r>
      <w:r>
        <w:t>);</w:t>
      </w:r>
      <w:r w:rsidR="00B452C0">
        <w:t xml:space="preserve"> and</w:t>
      </w:r>
    </w:p>
    <w:p w14:paraId="2110DA18" w14:textId="7A9F54BB" w:rsidR="006F7EF2" w:rsidRDefault="006F7EF2" w:rsidP="00581781">
      <w:pPr>
        <w:pStyle w:val="Bullet3"/>
      </w:pPr>
      <w:r>
        <w:lastRenderedPageBreak/>
        <w:t xml:space="preserve">land which is </w:t>
      </w:r>
      <w:r w:rsidRPr="008B53C9">
        <w:rPr>
          <w:i/>
        </w:rPr>
        <w:t>indirectly</w:t>
      </w:r>
      <w:r>
        <w:t xml:space="preserve"> controlled by the State, meaning land which is presently held by private interests, but is ultimately subject to State control.</w:t>
      </w:r>
      <w:r w:rsidR="00F1452B">
        <w:rPr>
          <w:rStyle w:val="FootnoteReference"/>
        </w:rPr>
        <w:footnoteReference w:id="10"/>
      </w:r>
    </w:p>
    <w:p w14:paraId="1E8B9281" w14:textId="77777777" w:rsidR="006F7EF2" w:rsidRDefault="006F7EF2" w:rsidP="006F7EF2">
      <w:pPr>
        <w:pStyle w:val="NormalIndent"/>
        <w:ind w:left="1418"/>
      </w:pPr>
      <w:r>
        <w:t>There are two main categories of private land tenure which exist in both Forest Land and Agrarian Law Land:</w:t>
      </w:r>
    </w:p>
    <w:p w14:paraId="6B8012C9" w14:textId="77777777" w:rsidR="006F7EF2" w:rsidRDefault="006F7EF2" w:rsidP="00581781">
      <w:pPr>
        <w:pStyle w:val="Bullet3"/>
      </w:pPr>
      <w:r>
        <w:t xml:space="preserve">first, </w:t>
      </w:r>
      <w:r w:rsidRPr="00A86450">
        <w:rPr>
          <w:b/>
          <w:i/>
        </w:rPr>
        <w:t>statutory tenure</w:t>
      </w:r>
      <w:r>
        <w:t>, meaning any of the forms of tenure established and governed by statute, including but not limited to registered interests;</w:t>
      </w:r>
      <w:r>
        <w:rPr>
          <w:rStyle w:val="FootnoteReference"/>
        </w:rPr>
        <w:footnoteReference w:id="11"/>
      </w:r>
      <w:r>
        <w:t xml:space="preserve"> and</w:t>
      </w:r>
    </w:p>
    <w:p w14:paraId="2B5DA481" w14:textId="77777777" w:rsidR="006F7EF2" w:rsidRDefault="006F7EF2" w:rsidP="00581781">
      <w:pPr>
        <w:pStyle w:val="Bullet3"/>
      </w:pPr>
      <w:r>
        <w:t>second,</w:t>
      </w:r>
      <w:r w:rsidRPr="00A86450">
        <w:rPr>
          <w:i/>
        </w:rPr>
        <w:t xml:space="preserve"> </w:t>
      </w:r>
      <w:r w:rsidRPr="00A86450">
        <w:rPr>
          <w:b/>
          <w:i/>
        </w:rPr>
        <w:t>customary tenure</w:t>
      </w:r>
      <w:r>
        <w:t>, meaning the tenure of Indigenous groups who hold land in accordance with their traditional laws and customs.</w:t>
      </w:r>
      <w:r>
        <w:rPr>
          <w:rStyle w:val="FootnoteReference"/>
        </w:rPr>
        <w:footnoteReference w:id="12"/>
      </w:r>
    </w:p>
    <w:p w14:paraId="427CA987" w14:textId="77777777" w:rsidR="006F7EF2" w:rsidRDefault="006F7EF2" w:rsidP="006F7EF2">
      <w:pPr>
        <w:pStyle w:val="NormalIndent"/>
        <w:ind w:left="1418"/>
      </w:pPr>
      <w:r>
        <w:t>In addition, there are forms of tenure which derive from, and are typically granted by persons holding, statutory tenure or customary tenure.</w:t>
      </w:r>
    </w:p>
    <w:p w14:paraId="43807084" w14:textId="77777777" w:rsidR="006F7EF2" w:rsidRDefault="006F7EF2" w:rsidP="006F7EF2">
      <w:pPr>
        <w:pStyle w:val="NormalIndent"/>
        <w:ind w:left="1418"/>
      </w:pPr>
      <w:r>
        <w:t>The relationships between these types of land and land tenure are shown in the diagram below. The following sections examine in detail the types of tenure which exist in Forest Land and Agrarian Law Land.</w:t>
      </w:r>
    </w:p>
    <w:p w14:paraId="316954F1" w14:textId="77777777" w:rsidR="006F7EF2" w:rsidRDefault="006F7EF2" w:rsidP="009E46E4">
      <w:pPr>
        <w:pStyle w:val="NormalIndent"/>
      </w:pPr>
      <w:r>
        <w:rPr>
          <w:noProof/>
          <w:lang w:val="es-EC" w:eastAsia="es-EC"/>
        </w:rPr>
        <w:drawing>
          <wp:inline distT="0" distB="0" distL="0" distR="0" wp14:anchorId="3309060C" wp14:editId="7C39C8F5">
            <wp:extent cx="4166559" cy="2467154"/>
            <wp:effectExtent l="0" t="0" r="24765"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30EC64FD" w14:textId="77777777" w:rsidR="006F7EF2" w:rsidRDefault="006F7EF2" w:rsidP="00581781">
      <w:pPr>
        <w:pStyle w:val="AllensHeading4"/>
        <w:tabs>
          <w:tab w:val="clear" w:pos="2126"/>
          <w:tab w:val="num" w:pos="2214"/>
        </w:tabs>
        <w:rPr>
          <w:b/>
          <w:lang w:val="en-GB"/>
        </w:rPr>
      </w:pPr>
      <w:r>
        <w:rPr>
          <w:b/>
          <w:lang w:val="en-GB"/>
        </w:rPr>
        <w:t>Types of Tenure in Agrarian Law Land</w:t>
      </w:r>
    </w:p>
    <w:p w14:paraId="77EB03AA" w14:textId="77777777" w:rsidR="006F7EF2" w:rsidRPr="00720152" w:rsidRDefault="006F7EF2" w:rsidP="00581781">
      <w:pPr>
        <w:pStyle w:val="AllensHeading5"/>
        <w:tabs>
          <w:tab w:val="clear" w:pos="2835"/>
          <w:tab w:val="num" w:pos="2923"/>
        </w:tabs>
        <w:rPr>
          <w:b/>
          <w:lang w:val="en-GB"/>
        </w:rPr>
      </w:pPr>
      <w:r w:rsidRPr="00720152">
        <w:rPr>
          <w:b/>
          <w:lang w:val="en-GB"/>
        </w:rPr>
        <w:t>Statutory tenure</w:t>
      </w:r>
    </w:p>
    <w:p w14:paraId="0DF89516" w14:textId="5B99DBD3" w:rsidR="006F7EF2" w:rsidRPr="004442F0" w:rsidRDefault="00C115D7" w:rsidP="00500B02">
      <w:pPr>
        <w:pStyle w:val="NormalIndent"/>
        <w:ind w:left="2127"/>
      </w:pPr>
      <w:r>
        <w:t>Under</w:t>
      </w:r>
      <w:r w:rsidR="00862AF8">
        <w:t xml:space="preserve"> the </w:t>
      </w:r>
      <w:r w:rsidR="00862AF8" w:rsidRPr="00862AF8">
        <w:rPr>
          <w:i/>
        </w:rPr>
        <w:t>Agrarian Law</w:t>
      </w:r>
      <w:r>
        <w:t xml:space="preserve"> </w:t>
      </w:r>
      <w:r w:rsidR="00862AF8">
        <w:t xml:space="preserve">land and buildings </w:t>
      </w:r>
      <w:r w:rsidR="00500B02">
        <w:t xml:space="preserve">located on that land </w:t>
      </w:r>
      <w:r w:rsidR="00862AF8">
        <w:t xml:space="preserve">are </w:t>
      </w:r>
      <w:r w:rsidR="00500B02">
        <w:t>legally distinct, rather than being one piece of property.</w:t>
      </w:r>
      <w:r>
        <w:t xml:space="preserve"> Therefore, o</w:t>
      </w:r>
      <w:r w:rsidR="00862AF8">
        <w:t>wnership of land and a building located on the land may be held by different persons</w:t>
      </w:r>
      <w:r>
        <w:t xml:space="preserve">, as in the case of a </w:t>
      </w:r>
      <w:r w:rsidR="00500B02" w:rsidRPr="00FB78A0">
        <w:rPr>
          <w:i/>
        </w:rPr>
        <w:t xml:space="preserve">hak guna-bangunan </w:t>
      </w:r>
      <w:r>
        <w:t xml:space="preserve">(discussed in paragraph 2 </w:t>
      </w:r>
      <w:r w:rsidR="00500B02">
        <w:t>below).</w:t>
      </w:r>
    </w:p>
    <w:p w14:paraId="147C17EE" w14:textId="77777777" w:rsidR="006F7EF2" w:rsidRPr="00720152" w:rsidRDefault="006F7EF2" w:rsidP="00581781">
      <w:pPr>
        <w:pStyle w:val="AllensHeading6"/>
        <w:tabs>
          <w:tab w:val="clear" w:pos="3544"/>
          <w:tab w:val="num" w:pos="3632"/>
        </w:tabs>
        <w:rPr>
          <w:b/>
        </w:rPr>
      </w:pPr>
      <w:bookmarkStart w:id="29" w:name="HakMilik"/>
      <w:bookmarkEnd w:id="29"/>
      <w:r w:rsidRPr="00720152">
        <w:rPr>
          <w:b/>
        </w:rPr>
        <w:t>Right of ownership (</w:t>
      </w:r>
      <w:r w:rsidRPr="00720152">
        <w:rPr>
          <w:b/>
          <w:i/>
        </w:rPr>
        <w:t>hak milik</w:t>
      </w:r>
      <w:r w:rsidRPr="00720152">
        <w:rPr>
          <w:b/>
        </w:rPr>
        <w:t>)</w:t>
      </w:r>
    </w:p>
    <w:p w14:paraId="77AEBC01" w14:textId="77777777" w:rsidR="006F7EF2" w:rsidRPr="006A00AB" w:rsidRDefault="006F7EF2" w:rsidP="009E46E4">
      <w:pPr>
        <w:pStyle w:val="NormalIndent"/>
        <w:ind w:left="3544"/>
      </w:pPr>
      <w:r w:rsidRPr="00497969">
        <w:t xml:space="preserve">A </w:t>
      </w:r>
      <w:r w:rsidRPr="00FB78A0">
        <w:rPr>
          <w:i/>
        </w:rPr>
        <w:t>hak milik</w:t>
      </w:r>
      <w:r w:rsidRPr="00FB78A0">
        <w:t xml:space="preserve"> </w:t>
      </w:r>
      <w:r w:rsidRPr="007178CA">
        <w:t>is equivalent to freehold ownership and is the fullest land right a person can acquire in Indonesia.</w:t>
      </w:r>
      <w:r w:rsidRPr="007178CA">
        <w:rPr>
          <w:rStyle w:val="FootnoteReference"/>
          <w:rFonts w:cs="Arial"/>
          <w:lang w:val="en-GB"/>
        </w:rPr>
        <w:footnoteReference w:id="13"/>
      </w:r>
      <w:r>
        <w:t xml:space="preserve"> A </w:t>
      </w:r>
      <w:r w:rsidRPr="00E37D55">
        <w:rPr>
          <w:i/>
        </w:rPr>
        <w:t>hak milik atas satuan rumah susun</w:t>
      </w:r>
      <w:r>
        <w:t xml:space="preserve"> is a subtype of </w:t>
      </w:r>
      <w:r w:rsidRPr="006A00AB">
        <w:rPr>
          <w:i/>
        </w:rPr>
        <w:t>hak milik</w:t>
      </w:r>
      <w:r>
        <w:t xml:space="preserve"> used for strata title (ie, apartments). A </w:t>
      </w:r>
      <w:r w:rsidRPr="00801CB8">
        <w:rPr>
          <w:i/>
        </w:rPr>
        <w:t>hak milik</w:t>
      </w:r>
      <w:r>
        <w:t xml:space="preserve"> is a registrable interest in land.</w:t>
      </w:r>
    </w:p>
    <w:p w14:paraId="056F7B90" w14:textId="77777777" w:rsidR="006F7EF2" w:rsidRDefault="006F7EF2" w:rsidP="009E46E4">
      <w:pPr>
        <w:pStyle w:val="NormalIndent"/>
        <w:ind w:left="3544"/>
      </w:pPr>
      <w:r>
        <w:lastRenderedPageBreak/>
        <w:t>A</w:t>
      </w:r>
      <w:r w:rsidRPr="007178CA">
        <w:t xml:space="preserve"> </w:t>
      </w:r>
      <w:r w:rsidRPr="00C83320">
        <w:rPr>
          <w:i/>
        </w:rPr>
        <w:t>hak milik</w:t>
      </w:r>
      <w:r>
        <w:t xml:space="preserve"> can only be held by </w:t>
      </w:r>
      <w:r w:rsidRPr="007178CA">
        <w:t xml:space="preserve">Indonesian citizens </w:t>
      </w:r>
      <w:r>
        <w:t>and certain Indonesian entities, namely S</w:t>
      </w:r>
      <w:r w:rsidRPr="00D50448">
        <w:t xml:space="preserve">tate banks, </w:t>
      </w:r>
      <w:r w:rsidRPr="00B93723">
        <w:t>associations of agricultural cooperation</w:t>
      </w:r>
      <w:r w:rsidRPr="00D50448">
        <w:t>, and rel</w:t>
      </w:r>
      <w:r>
        <w:t xml:space="preserve">igious and social organisations designated by the head of the </w:t>
      </w:r>
      <w:r w:rsidRPr="00B93723">
        <w:t>National Land A</w:t>
      </w:r>
      <w:r>
        <w:t>gency (</w:t>
      </w:r>
      <w:r w:rsidRPr="00244AAC">
        <w:rPr>
          <w:b/>
          <w:i/>
        </w:rPr>
        <w:t>NLA</w:t>
      </w:r>
      <w:r>
        <w:t>)</w:t>
      </w:r>
      <w:r w:rsidRPr="007178CA">
        <w:t>.</w:t>
      </w:r>
      <w:r w:rsidRPr="007178CA">
        <w:rPr>
          <w:rStyle w:val="FootnoteReference"/>
        </w:rPr>
        <w:footnoteReference w:id="14"/>
      </w:r>
      <w:r>
        <w:t xml:space="preserve"> Private companies and dual citizens cannot own a </w:t>
      </w:r>
      <w:r w:rsidRPr="00C83320">
        <w:rPr>
          <w:i/>
        </w:rPr>
        <w:t>hak milik</w:t>
      </w:r>
      <w:r w:rsidRPr="007178CA">
        <w:t>.</w:t>
      </w:r>
      <w:r w:rsidRPr="007178CA">
        <w:rPr>
          <w:rStyle w:val="FootnoteReference"/>
        </w:rPr>
        <w:footnoteReference w:id="15"/>
      </w:r>
    </w:p>
    <w:p w14:paraId="20E3E6E8" w14:textId="77777777" w:rsidR="006F7EF2" w:rsidRDefault="006F7EF2" w:rsidP="009E46E4">
      <w:pPr>
        <w:pStyle w:val="NormalIndent"/>
        <w:ind w:left="3544"/>
        <w:jc w:val="both"/>
      </w:pPr>
      <w:r w:rsidRPr="00FE2470">
        <w:t xml:space="preserve">A </w:t>
      </w:r>
      <w:r w:rsidRPr="00C83320">
        <w:rPr>
          <w:i/>
        </w:rPr>
        <w:t>hak milik</w:t>
      </w:r>
      <w:r w:rsidRPr="00FE2470">
        <w:t xml:space="preserve"> can be transferred to a third party, provided that person is legally permitted to own a </w:t>
      </w:r>
      <w:r w:rsidRPr="00C83320">
        <w:rPr>
          <w:i/>
        </w:rPr>
        <w:t>hak milik</w:t>
      </w:r>
      <w:r w:rsidRPr="00FE2470">
        <w:t>.</w:t>
      </w:r>
      <w:r w:rsidRPr="00FE2470">
        <w:rPr>
          <w:rStyle w:val="FootnoteReference"/>
          <w:rFonts w:eastAsiaTheme="minorEastAsia" w:cs="Arial"/>
          <w:lang w:val="en-GB" w:eastAsia="zh-CN" w:bidi="hi-IN"/>
        </w:rPr>
        <w:footnoteReference w:id="16"/>
      </w:r>
      <w:r w:rsidRPr="00FE2470">
        <w:t xml:space="preserve"> Further, a </w:t>
      </w:r>
      <w:r w:rsidRPr="00C83320">
        <w:rPr>
          <w:i/>
        </w:rPr>
        <w:t>hak milik</w:t>
      </w:r>
      <w:r w:rsidRPr="00FE2470">
        <w:t xml:space="preserve"> can be used to secure a debt through use of a security title (</w:t>
      </w:r>
      <w:r w:rsidRPr="00FE2470">
        <w:rPr>
          <w:i/>
        </w:rPr>
        <w:t>hak tanggungan</w:t>
      </w:r>
      <w:r w:rsidRPr="00FE2470">
        <w:t>).</w:t>
      </w:r>
      <w:r w:rsidRPr="00FE2470">
        <w:rPr>
          <w:rStyle w:val="FootnoteReference"/>
        </w:rPr>
        <w:footnoteReference w:id="17"/>
      </w:r>
    </w:p>
    <w:p w14:paraId="621E1078" w14:textId="77777777" w:rsidR="006F7EF2" w:rsidRDefault="006F7EF2" w:rsidP="009E46E4">
      <w:pPr>
        <w:pStyle w:val="NormalIndent"/>
        <w:ind w:left="3544"/>
        <w:jc w:val="both"/>
      </w:pPr>
      <w:r>
        <w:t xml:space="preserve">A person with a </w:t>
      </w:r>
      <w:r w:rsidRPr="00C553DA">
        <w:rPr>
          <w:i/>
        </w:rPr>
        <w:t>hak milik</w:t>
      </w:r>
      <w:r>
        <w:t xml:space="preserve"> may grant the following types of tenure over their land (each of which is described in further detail below):</w:t>
      </w:r>
    </w:p>
    <w:p w14:paraId="12693702" w14:textId="77777777" w:rsidR="001022CF" w:rsidRDefault="001022CF" w:rsidP="001022CF">
      <w:pPr>
        <w:pStyle w:val="Bullet3"/>
        <w:numPr>
          <w:ilvl w:val="0"/>
          <w:numId w:val="10"/>
        </w:numPr>
      </w:pPr>
      <w:r>
        <w:t xml:space="preserve">right of use of structures </w:t>
      </w:r>
      <w:r w:rsidRPr="006A00AB">
        <w:t>(</w:t>
      </w:r>
      <w:r w:rsidRPr="009E7C4B">
        <w:rPr>
          <w:i/>
        </w:rPr>
        <w:t>hak guna-bangunan</w:t>
      </w:r>
      <w:r w:rsidRPr="006A00AB">
        <w:t>)</w:t>
      </w:r>
    </w:p>
    <w:p w14:paraId="38BA728F" w14:textId="73715A86" w:rsidR="006F7EF2" w:rsidRPr="006A00AB" w:rsidRDefault="006F7EF2" w:rsidP="001022CF">
      <w:pPr>
        <w:pStyle w:val="Bullet3"/>
        <w:numPr>
          <w:ilvl w:val="0"/>
          <w:numId w:val="10"/>
        </w:numPr>
      </w:pPr>
      <w:r>
        <w:t>right of use (</w:t>
      </w:r>
      <w:r w:rsidRPr="009E7C4B">
        <w:rPr>
          <w:i/>
        </w:rPr>
        <w:t>hak pakai</w:t>
      </w:r>
      <w:r>
        <w:t>);</w:t>
      </w:r>
      <w:r w:rsidR="001022CF">
        <w:t xml:space="preserve"> </w:t>
      </w:r>
      <w:r>
        <w:t>and</w:t>
      </w:r>
    </w:p>
    <w:p w14:paraId="63C9B562" w14:textId="77777777" w:rsidR="006F7EF2" w:rsidRDefault="006F7EF2" w:rsidP="001022CF">
      <w:pPr>
        <w:pStyle w:val="Bullet3"/>
        <w:numPr>
          <w:ilvl w:val="0"/>
          <w:numId w:val="10"/>
        </w:numPr>
      </w:pPr>
      <w:r w:rsidRPr="006A00AB">
        <w:t>right of lease</w:t>
      </w:r>
      <w:r>
        <w:t xml:space="preserve"> </w:t>
      </w:r>
      <w:r w:rsidRPr="006A00AB">
        <w:t>(</w:t>
      </w:r>
      <w:r w:rsidRPr="009E7C4B">
        <w:rPr>
          <w:i/>
        </w:rPr>
        <w:t>hak sewa untuk bangunan</w:t>
      </w:r>
      <w:r>
        <w:t>).</w:t>
      </w:r>
    </w:p>
    <w:p w14:paraId="4C405DD9" w14:textId="77777777" w:rsidR="006F7EF2" w:rsidRPr="00720152" w:rsidRDefault="006F7EF2" w:rsidP="00581781">
      <w:pPr>
        <w:pStyle w:val="AllensHeading6"/>
        <w:tabs>
          <w:tab w:val="clear" w:pos="3544"/>
          <w:tab w:val="num" w:pos="3720"/>
        </w:tabs>
        <w:rPr>
          <w:b/>
          <w:lang w:val="en-GB"/>
        </w:rPr>
      </w:pPr>
      <w:bookmarkStart w:id="30" w:name="HakGunaBangunan"/>
      <w:bookmarkEnd w:id="30"/>
      <w:r w:rsidRPr="00720152">
        <w:rPr>
          <w:b/>
          <w:lang w:val="en-GB"/>
        </w:rPr>
        <w:t>Right of use of structures (</w:t>
      </w:r>
      <w:r w:rsidRPr="00720152">
        <w:rPr>
          <w:b/>
          <w:i/>
          <w:iCs/>
          <w:lang w:val="en-GB"/>
        </w:rPr>
        <w:t>hak guna-bangunan</w:t>
      </w:r>
      <w:r w:rsidRPr="00720152">
        <w:rPr>
          <w:b/>
          <w:lang w:val="en-GB"/>
        </w:rPr>
        <w:t>)</w:t>
      </w:r>
    </w:p>
    <w:p w14:paraId="5C5D213A" w14:textId="77777777" w:rsidR="006F7EF2" w:rsidRPr="004823B3" w:rsidRDefault="006F7EF2" w:rsidP="004F2067">
      <w:pPr>
        <w:pStyle w:val="NormalIndent"/>
        <w:ind w:left="3544"/>
      </w:pPr>
      <w:r w:rsidRPr="004823B3">
        <w:t xml:space="preserve">A </w:t>
      </w:r>
      <w:r w:rsidRPr="00FB78A0">
        <w:rPr>
          <w:i/>
        </w:rPr>
        <w:t xml:space="preserve">hak guna-bangunan </w:t>
      </w:r>
      <w:r w:rsidRPr="004823B3">
        <w:t xml:space="preserve">is a right to construct and </w:t>
      </w:r>
      <w:r>
        <w:t>own</w:t>
      </w:r>
      <w:r w:rsidRPr="004823B3">
        <w:t xml:space="preserve"> buildings on land which is not one's own.</w:t>
      </w:r>
      <w:r>
        <w:rPr>
          <w:rStyle w:val="FootnoteReference"/>
        </w:rPr>
        <w:footnoteReference w:id="18"/>
      </w:r>
      <w:r w:rsidRPr="004823B3">
        <w:t xml:space="preserve"> A </w:t>
      </w:r>
      <w:r w:rsidRPr="00345840">
        <w:rPr>
          <w:i/>
        </w:rPr>
        <w:t>hak guna-bangunan</w:t>
      </w:r>
      <w:r w:rsidRPr="004823B3">
        <w:t xml:space="preserve"> is </w:t>
      </w:r>
      <w:r>
        <w:t xml:space="preserve">a </w:t>
      </w:r>
      <w:r w:rsidRPr="004823B3">
        <w:t>registrable</w:t>
      </w:r>
      <w:r>
        <w:t xml:space="preserve"> interest in land</w:t>
      </w:r>
      <w:r w:rsidRPr="004823B3">
        <w:t>.</w:t>
      </w:r>
      <w:r>
        <w:t xml:space="preserve"> It</w:t>
      </w:r>
      <w:r w:rsidRPr="004823B3">
        <w:t xml:space="preserve"> may be held by Indonesian citizens and body corporates which are incorporated under Indonesian law and domiciled in Indonesia.</w:t>
      </w:r>
      <w:r>
        <w:rPr>
          <w:rStyle w:val="FootnoteReference"/>
        </w:rPr>
        <w:footnoteReference w:id="19"/>
      </w:r>
    </w:p>
    <w:p w14:paraId="7BD08E46" w14:textId="4E0D1B50" w:rsidR="006F7EF2" w:rsidRPr="00B947F9" w:rsidRDefault="006F7EF2" w:rsidP="004F2067">
      <w:pPr>
        <w:pStyle w:val="NormalIndent"/>
        <w:ind w:left="3544"/>
        <w:rPr>
          <w:lang w:val="en-US"/>
        </w:rPr>
      </w:pPr>
      <w:r w:rsidRPr="004823B3">
        <w:t xml:space="preserve">A </w:t>
      </w:r>
      <w:r w:rsidRPr="00345840">
        <w:rPr>
          <w:i/>
        </w:rPr>
        <w:t>hak guna-bangunan</w:t>
      </w:r>
      <w:r w:rsidRPr="004823B3">
        <w:t xml:space="preserve"> has a maximum duration of 30 years, although this term can be extended by up to 20 years.</w:t>
      </w:r>
      <w:r>
        <w:rPr>
          <w:rStyle w:val="FootnoteReference"/>
        </w:rPr>
        <w:footnoteReference w:id="20"/>
      </w:r>
      <w:r>
        <w:t xml:space="preserve"> </w:t>
      </w:r>
      <w:r w:rsidRPr="00B947F9">
        <w:rPr>
          <w:lang w:val="en-US"/>
        </w:rPr>
        <w:t xml:space="preserve">Upon the expiration of </w:t>
      </w:r>
      <w:r>
        <w:rPr>
          <w:lang w:val="en-US"/>
        </w:rPr>
        <w:t>an extension</w:t>
      </w:r>
      <w:r w:rsidRPr="00B947F9">
        <w:rPr>
          <w:lang w:val="en-US"/>
        </w:rPr>
        <w:t xml:space="preserve">, </w:t>
      </w:r>
      <w:r>
        <w:rPr>
          <w:lang w:val="en-US"/>
        </w:rPr>
        <w:t xml:space="preserve">a new </w:t>
      </w:r>
      <w:r w:rsidRPr="00B947F9">
        <w:rPr>
          <w:i/>
        </w:rPr>
        <w:t>hak guna-bangunan</w:t>
      </w:r>
      <w:r w:rsidRPr="00B947F9">
        <w:rPr>
          <w:lang w:val="en-US"/>
        </w:rPr>
        <w:t xml:space="preserve"> may be granted on the same land with the same terms.</w:t>
      </w:r>
      <w:r w:rsidR="007B26B1">
        <w:rPr>
          <w:rStyle w:val="FootnoteReference"/>
        </w:rPr>
        <w:footnoteReference w:id="21"/>
      </w:r>
    </w:p>
    <w:p w14:paraId="0AEF1C54" w14:textId="77777777" w:rsidR="006F7EF2" w:rsidRPr="004823B3" w:rsidRDefault="006F7EF2" w:rsidP="004F2067">
      <w:pPr>
        <w:pStyle w:val="NormalIndent"/>
        <w:ind w:left="3544"/>
      </w:pPr>
      <w:r w:rsidRPr="004823B3">
        <w:t xml:space="preserve">A </w:t>
      </w:r>
      <w:r w:rsidRPr="00345840">
        <w:rPr>
          <w:i/>
        </w:rPr>
        <w:t>hak guna-bangunan</w:t>
      </w:r>
      <w:r w:rsidRPr="004823B3">
        <w:t xml:space="preserve"> may exist in relation to either State-controlled land, or land which is privately-owned as a </w:t>
      </w:r>
      <w:r w:rsidRPr="00774944">
        <w:rPr>
          <w:i/>
        </w:rPr>
        <w:t>hak milik</w:t>
      </w:r>
      <w:r w:rsidRPr="004823B3">
        <w:t xml:space="preserve">. In the former situation, a </w:t>
      </w:r>
      <w:r w:rsidRPr="00345840">
        <w:rPr>
          <w:i/>
        </w:rPr>
        <w:t>hak guna-bangunan</w:t>
      </w:r>
      <w:r w:rsidRPr="004823B3">
        <w:t xml:space="preserve"> is created by a Government determination.</w:t>
      </w:r>
      <w:r>
        <w:rPr>
          <w:rStyle w:val="FootnoteReference"/>
        </w:rPr>
        <w:footnoteReference w:id="22"/>
      </w:r>
      <w:r w:rsidRPr="004823B3">
        <w:t xml:space="preserve"> In the latter situation, a </w:t>
      </w:r>
      <w:r w:rsidRPr="00345840">
        <w:rPr>
          <w:i/>
        </w:rPr>
        <w:t>hak guna-bangunan</w:t>
      </w:r>
      <w:r w:rsidRPr="004823B3">
        <w:t xml:space="preserve"> is created by agreement with the landowner.</w:t>
      </w:r>
      <w:r>
        <w:rPr>
          <w:rStyle w:val="FootnoteReference"/>
        </w:rPr>
        <w:footnoteReference w:id="23"/>
      </w:r>
    </w:p>
    <w:p w14:paraId="121E709A" w14:textId="77777777" w:rsidR="006F7EF2" w:rsidRPr="00B947F9" w:rsidRDefault="006F7EF2" w:rsidP="004F2067">
      <w:pPr>
        <w:pStyle w:val="NormalIndent"/>
        <w:ind w:left="3544"/>
      </w:pPr>
      <w:r w:rsidRPr="004823B3">
        <w:t xml:space="preserve">A </w:t>
      </w:r>
      <w:r w:rsidRPr="00345840">
        <w:rPr>
          <w:i/>
        </w:rPr>
        <w:t>hak guna-bangunan</w:t>
      </w:r>
      <w:r w:rsidRPr="004823B3">
        <w:t xml:space="preserve"> can be transferred to a third party, provided that third party is legally permitted to hold a </w:t>
      </w:r>
      <w:r w:rsidRPr="00345840">
        <w:rPr>
          <w:i/>
        </w:rPr>
        <w:t>hak guna-</w:t>
      </w:r>
      <w:r w:rsidRPr="00345840">
        <w:rPr>
          <w:i/>
        </w:rPr>
        <w:lastRenderedPageBreak/>
        <w:t>bangunan</w:t>
      </w:r>
      <w:r w:rsidRPr="004823B3">
        <w:t>.</w:t>
      </w:r>
      <w:r>
        <w:rPr>
          <w:rStyle w:val="FootnoteReference"/>
        </w:rPr>
        <w:footnoteReference w:id="24"/>
      </w:r>
      <w:r w:rsidRPr="004823B3">
        <w:t xml:space="preserve"> Further, a </w:t>
      </w:r>
      <w:r w:rsidRPr="00345840">
        <w:rPr>
          <w:i/>
        </w:rPr>
        <w:t>hak guna-bangunan</w:t>
      </w:r>
      <w:r w:rsidRPr="004823B3">
        <w:t xml:space="preserve"> can be used to secure a debt through use of a security title (</w:t>
      </w:r>
      <w:r w:rsidRPr="00345840">
        <w:rPr>
          <w:i/>
        </w:rPr>
        <w:t>hak tanggungan</w:t>
      </w:r>
      <w:r w:rsidRPr="004823B3">
        <w:t>).</w:t>
      </w:r>
      <w:r>
        <w:rPr>
          <w:rStyle w:val="FootnoteReference"/>
        </w:rPr>
        <w:footnoteReference w:id="25"/>
      </w:r>
    </w:p>
    <w:p w14:paraId="34D26C42" w14:textId="77777777" w:rsidR="006F7EF2" w:rsidRPr="00720152" w:rsidRDefault="006F7EF2" w:rsidP="00581781">
      <w:pPr>
        <w:pStyle w:val="AllensHeading6"/>
        <w:tabs>
          <w:tab w:val="clear" w:pos="3544"/>
          <w:tab w:val="num" w:pos="3720"/>
        </w:tabs>
        <w:rPr>
          <w:b/>
          <w:lang w:val="en-GB"/>
        </w:rPr>
      </w:pPr>
      <w:bookmarkStart w:id="31" w:name="HakGunaUsaha"/>
      <w:bookmarkEnd w:id="31"/>
      <w:r w:rsidRPr="00720152">
        <w:rPr>
          <w:b/>
          <w:lang w:val="en-GB"/>
        </w:rPr>
        <w:t>Right to cultivate (</w:t>
      </w:r>
      <w:r w:rsidRPr="00720152">
        <w:rPr>
          <w:b/>
          <w:i/>
          <w:iCs/>
          <w:lang w:val="en-GB"/>
        </w:rPr>
        <w:t>hak guna-usaha</w:t>
      </w:r>
      <w:r w:rsidRPr="00720152">
        <w:rPr>
          <w:b/>
          <w:lang w:val="en-GB"/>
        </w:rPr>
        <w:t>)</w:t>
      </w:r>
    </w:p>
    <w:p w14:paraId="078FEF2E" w14:textId="17C2AF6E" w:rsidR="006F7EF2" w:rsidRPr="004823B3" w:rsidRDefault="006F7EF2" w:rsidP="004F2067">
      <w:pPr>
        <w:pStyle w:val="NormalIndent"/>
        <w:ind w:left="3544"/>
      </w:pPr>
      <w:r w:rsidRPr="004823B3">
        <w:t xml:space="preserve">A </w:t>
      </w:r>
      <w:r w:rsidRPr="00345840">
        <w:rPr>
          <w:i/>
        </w:rPr>
        <w:t>hak guna-usaha</w:t>
      </w:r>
      <w:r w:rsidRPr="004823B3">
        <w:t xml:space="preserve"> is a right to use and occupy State-controlled land for agricultural and/or animal husbandry purposes.</w:t>
      </w:r>
      <w:r>
        <w:rPr>
          <w:rStyle w:val="FootnoteReference"/>
        </w:rPr>
        <w:footnoteReference w:id="26"/>
      </w:r>
      <w:r w:rsidRPr="004823B3">
        <w:t xml:space="preserve"> </w:t>
      </w:r>
      <w:r w:rsidRPr="00926CCA">
        <w:t xml:space="preserve">A </w:t>
      </w:r>
      <w:r w:rsidRPr="00926CCA">
        <w:rPr>
          <w:i/>
        </w:rPr>
        <w:t>hak guna-usaha</w:t>
      </w:r>
      <w:r w:rsidRPr="00926CCA">
        <w:t xml:space="preserve"> is a registrable interest</w:t>
      </w:r>
      <w:r>
        <w:t xml:space="preserve"> in land</w:t>
      </w:r>
      <w:r w:rsidRPr="00926CCA">
        <w:t>.</w:t>
      </w:r>
      <w:r>
        <w:t xml:space="preserve"> </w:t>
      </w:r>
      <w:r w:rsidRPr="004823B3">
        <w:t xml:space="preserve">The minimum area for a </w:t>
      </w:r>
      <w:r>
        <w:rPr>
          <w:i/>
        </w:rPr>
        <w:t>hak guna-usah</w:t>
      </w:r>
      <w:r w:rsidRPr="00345840">
        <w:rPr>
          <w:i/>
        </w:rPr>
        <w:t>a</w:t>
      </w:r>
      <w:r w:rsidRPr="004823B3">
        <w:t xml:space="preserve"> is five hectares.</w:t>
      </w:r>
      <w:r>
        <w:rPr>
          <w:rStyle w:val="FootnoteReference"/>
        </w:rPr>
        <w:footnoteReference w:id="27"/>
      </w:r>
      <w:r w:rsidR="001022CF">
        <w:t xml:space="preserve"> If the area is</w:t>
      </w:r>
      <w:r w:rsidRPr="004823B3">
        <w:t xml:space="preserve"> 25 hectares or more, the holder has an obligation to invest in and properly manage the land.</w:t>
      </w:r>
      <w:r>
        <w:rPr>
          <w:rStyle w:val="FootnoteReference"/>
        </w:rPr>
        <w:footnoteReference w:id="28"/>
      </w:r>
    </w:p>
    <w:p w14:paraId="37D76AF6" w14:textId="77777777" w:rsidR="006F7EF2" w:rsidRPr="004823B3" w:rsidRDefault="006F7EF2" w:rsidP="004F2067">
      <w:pPr>
        <w:pStyle w:val="NormalIndent"/>
        <w:ind w:left="3544"/>
      </w:pPr>
      <w:r>
        <w:t xml:space="preserve">A </w:t>
      </w:r>
      <w:r w:rsidRPr="00345840">
        <w:rPr>
          <w:i/>
        </w:rPr>
        <w:t>hak guna-usaha</w:t>
      </w:r>
      <w:r w:rsidRPr="004823B3">
        <w:t xml:space="preserve"> has a maximum duration of 35 years, although this term can be extended by up to 25 years.</w:t>
      </w:r>
      <w:r>
        <w:rPr>
          <w:rStyle w:val="FootnoteReference"/>
        </w:rPr>
        <w:footnoteReference w:id="29"/>
      </w:r>
      <w:r w:rsidRPr="004823B3">
        <w:t xml:space="preserve"> A </w:t>
      </w:r>
      <w:r w:rsidRPr="00345840">
        <w:rPr>
          <w:i/>
        </w:rPr>
        <w:t>hak guna-usaha</w:t>
      </w:r>
      <w:r w:rsidRPr="004823B3">
        <w:t xml:space="preserve"> may be held by Indonesian citizens, and body corporates which are incorporated under Indonesian law and domiciled in Indonesia.</w:t>
      </w:r>
      <w:r>
        <w:rPr>
          <w:rStyle w:val="FootnoteReference"/>
        </w:rPr>
        <w:footnoteReference w:id="30"/>
      </w:r>
    </w:p>
    <w:p w14:paraId="5E2F427F" w14:textId="77777777" w:rsidR="006F7EF2" w:rsidRPr="001D40A6" w:rsidRDefault="006F7EF2" w:rsidP="004F2067">
      <w:pPr>
        <w:pStyle w:val="NormalIndent"/>
        <w:ind w:left="3544"/>
      </w:pPr>
      <w:r w:rsidRPr="00FE2470">
        <w:t xml:space="preserve">A </w:t>
      </w:r>
      <w:r w:rsidRPr="00F26562">
        <w:rPr>
          <w:i/>
        </w:rPr>
        <w:t>hak guna-usaha</w:t>
      </w:r>
      <w:r w:rsidRPr="00FE2470">
        <w:t xml:space="preserve"> can be transferred to a third party, provided that third party is legally permitted to hold a hak guna-usaha.</w:t>
      </w:r>
      <w:r w:rsidRPr="00FE2470">
        <w:rPr>
          <w:rStyle w:val="FootnoteReference"/>
          <w:rFonts w:eastAsiaTheme="minorEastAsia" w:cs="Arial"/>
          <w:lang w:val="en-GB" w:eastAsia="zh-CN" w:bidi="hi-IN"/>
        </w:rPr>
        <w:footnoteReference w:id="31"/>
      </w:r>
      <w:r w:rsidRPr="00FE2470">
        <w:t xml:space="preserve"> Further, a </w:t>
      </w:r>
      <w:r w:rsidRPr="00345840">
        <w:rPr>
          <w:i/>
        </w:rPr>
        <w:t>hak guna-usaha</w:t>
      </w:r>
      <w:r w:rsidRPr="00FE2470">
        <w:t xml:space="preserve"> can be used to secure a debt through use of a security title (</w:t>
      </w:r>
      <w:r w:rsidRPr="00FE2470">
        <w:rPr>
          <w:i/>
        </w:rPr>
        <w:t>hak tanggungan</w:t>
      </w:r>
      <w:r w:rsidRPr="00FE2470">
        <w:t>).</w:t>
      </w:r>
      <w:r w:rsidRPr="00FE2470">
        <w:rPr>
          <w:rStyle w:val="FootnoteReference"/>
        </w:rPr>
        <w:footnoteReference w:id="32"/>
      </w:r>
    </w:p>
    <w:p w14:paraId="5616E7E3" w14:textId="77777777" w:rsidR="006F7EF2" w:rsidRPr="00720152" w:rsidRDefault="006F7EF2" w:rsidP="00581781">
      <w:pPr>
        <w:pStyle w:val="AllensHeading6"/>
        <w:tabs>
          <w:tab w:val="clear" w:pos="3544"/>
          <w:tab w:val="num" w:pos="3720"/>
        </w:tabs>
        <w:rPr>
          <w:b/>
          <w:lang w:val="en-GB"/>
        </w:rPr>
      </w:pPr>
      <w:bookmarkStart w:id="32" w:name="HakPakai"/>
      <w:bookmarkEnd w:id="32"/>
      <w:r w:rsidRPr="00720152">
        <w:rPr>
          <w:b/>
          <w:lang w:val="en-GB"/>
        </w:rPr>
        <w:t>Right of use (</w:t>
      </w:r>
      <w:r w:rsidRPr="00720152">
        <w:rPr>
          <w:b/>
          <w:i/>
          <w:iCs/>
          <w:lang w:val="en-GB"/>
        </w:rPr>
        <w:t>hak pakai</w:t>
      </w:r>
      <w:r w:rsidRPr="00720152">
        <w:rPr>
          <w:b/>
          <w:lang w:val="en-GB"/>
        </w:rPr>
        <w:t>)</w:t>
      </w:r>
    </w:p>
    <w:p w14:paraId="47CAE2EE" w14:textId="77777777" w:rsidR="006F7EF2" w:rsidRDefault="006F7EF2" w:rsidP="004F2067">
      <w:pPr>
        <w:pStyle w:val="NormalIndent"/>
        <w:ind w:left="3544"/>
      </w:pPr>
      <w:r w:rsidRPr="004823B3">
        <w:t xml:space="preserve">A </w:t>
      </w:r>
      <w:r w:rsidRPr="00B35B4E">
        <w:rPr>
          <w:i/>
        </w:rPr>
        <w:t>hak pakai</w:t>
      </w:r>
      <w:r w:rsidRPr="004823B3">
        <w:t xml:space="preserve"> is a right to use land which is not one's own</w:t>
      </w:r>
      <w:r>
        <w:t xml:space="preserve"> for a specific purpose, as agreed by the parties</w:t>
      </w:r>
      <w:r w:rsidRPr="004823B3">
        <w:t>.</w:t>
      </w:r>
      <w:r>
        <w:rPr>
          <w:rStyle w:val="FootnoteReference"/>
        </w:rPr>
        <w:footnoteReference w:id="33"/>
      </w:r>
      <w:r w:rsidRPr="004823B3">
        <w:t xml:space="preserve"> A </w:t>
      </w:r>
      <w:r w:rsidRPr="00B35B4E">
        <w:rPr>
          <w:i/>
        </w:rPr>
        <w:t>hak pakai</w:t>
      </w:r>
      <w:r w:rsidRPr="004823B3">
        <w:t xml:space="preserve"> is </w:t>
      </w:r>
      <w:r>
        <w:t>a registrable interest in land.</w:t>
      </w:r>
    </w:p>
    <w:p w14:paraId="4D709AC7" w14:textId="77777777" w:rsidR="006F7EF2" w:rsidRPr="004823B3" w:rsidRDefault="006F7EF2" w:rsidP="004F2067">
      <w:pPr>
        <w:pStyle w:val="NormalIndent"/>
        <w:ind w:left="3544"/>
      </w:pPr>
      <w:r w:rsidRPr="004823B3">
        <w:t xml:space="preserve">A </w:t>
      </w:r>
      <w:r>
        <w:rPr>
          <w:i/>
        </w:rPr>
        <w:t>hak pak</w:t>
      </w:r>
      <w:r w:rsidRPr="00B35B4E">
        <w:rPr>
          <w:i/>
        </w:rPr>
        <w:t xml:space="preserve">ai </w:t>
      </w:r>
      <w:r w:rsidRPr="004823B3">
        <w:t>may be granted for a definite term, or for as long as the land is used for a specific purpose.</w:t>
      </w:r>
      <w:r>
        <w:rPr>
          <w:rStyle w:val="FootnoteReference"/>
        </w:rPr>
        <w:footnoteReference w:id="34"/>
      </w:r>
      <w:r w:rsidRPr="004823B3">
        <w:t xml:space="preserve"> Further, a </w:t>
      </w:r>
      <w:r>
        <w:rPr>
          <w:i/>
        </w:rPr>
        <w:t>hak pak</w:t>
      </w:r>
      <w:r w:rsidRPr="00B35B4E">
        <w:rPr>
          <w:i/>
        </w:rPr>
        <w:t>ai</w:t>
      </w:r>
      <w:r w:rsidRPr="004823B3">
        <w:t xml:space="preserve"> may be granted for free, for a certain payment, or for any kind of service.</w:t>
      </w:r>
      <w:r>
        <w:rPr>
          <w:rStyle w:val="FootnoteReference"/>
        </w:rPr>
        <w:footnoteReference w:id="35"/>
      </w:r>
      <w:r>
        <w:t xml:space="preserve"> </w:t>
      </w:r>
      <w:r w:rsidRPr="004823B3">
        <w:t xml:space="preserve">A person who holds a </w:t>
      </w:r>
      <w:r w:rsidRPr="00345840">
        <w:rPr>
          <w:i/>
        </w:rPr>
        <w:t>hak pakai</w:t>
      </w:r>
      <w:r w:rsidRPr="004823B3">
        <w:t xml:space="preserve"> is obligated to return the land and buildings</w:t>
      </w:r>
      <w:r>
        <w:t xml:space="preserve"> to the owner</w:t>
      </w:r>
      <w:r w:rsidRPr="004823B3">
        <w:t xml:space="preserve"> in the same state as at the commencement of the term.</w:t>
      </w:r>
    </w:p>
    <w:p w14:paraId="73EEA7B8" w14:textId="77777777" w:rsidR="006F7EF2" w:rsidRPr="004823B3" w:rsidRDefault="006F7EF2" w:rsidP="004F2067">
      <w:pPr>
        <w:pStyle w:val="NormalIndent"/>
        <w:ind w:left="3544"/>
      </w:pPr>
      <w:r w:rsidRPr="004823B3">
        <w:t xml:space="preserve">A </w:t>
      </w:r>
      <w:r w:rsidRPr="00B35B4E">
        <w:rPr>
          <w:i/>
        </w:rPr>
        <w:t>hak pakai</w:t>
      </w:r>
      <w:r w:rsidRPr="004823B3">
        <w:t xml:space="preserve"> can be held by Indonesian citizens, foreign citizens domiciled in Indonesia, body corporates incorporated under </w:t>
      </w:r>
      <w:r w:rsidRPr="004823B3">
        <w:lastRenderedPageBreak/>
        <w:t>Indonesian law and domiciled in Indonesia, and foreign body corporates having representation in Indonesia.</w:t>
      </w:r>
      <w:r>
        <w:rPr>
          <w:rStyle w:val="FootnoteReference"/>
        </w:rPr>
        <w:footnoteReference w:id="36"/>
      </w:r>
    </w:p>
    <w:p w14:paraId="25A53F79" w14:textId="77777777" w:rsidR="006F7EF2" w:rsidRPr="004823B3" w:rsidRDefault="006F7EF2" w:rsidP="004F2067">
      <w:pPr>
        <w:pStyle w:val="NormalIndent"/>
        <w:ind w:left="3544"/>
      </w:pPr>
      <w:r w:rsidRPr="004823B3">
        <w:t xml:space="preserve">A </w:t>
      </w:r>
      <w:r w:rsidRPr="00B35B4E">
        <w:rPr>
          <w:i/>
        </w:rPr>
        <w:t>hak pakai</w:t>
      </w:r>
      <w:r w:rsidRPr="004823B3">
        <w:t xml:space="preserve"> may exist in relation to either State-controlled land, or land which is privately-owned as a </w:t>
      </w:r>
      <w:r w:rsidRPr="00345840">
        <w:rPr>
          <w:i/>
        </w:rPr>
        <w:t>hak milik</w:t>
      </w:r>
      <w:r w:rsidRPr="004823B3">
        <w:t>. In the former situation, a h</w:t>
      </w:r>
      <w:r w:rsidRPr="00345840">
        <w:rPr>
          <w:i/>
        </w:rPr>
        <w:t>ak pakai</w:t>
      </w:r>
      <w:r w:rsidRPr="004823B3">
        <w:t xml:space="preserve"> is created by an official decree and can only be transferred to a third party with Government approval.</w:t>
      </w:r>
      <w:r>
        <w:rPr>
          <w:rStyle w:val="FootnoteReference"/>
        </w:rPr>
        <w:footnoteReference w:id="37"/>
      </w:r>
      <w:r w:rsidRPr="004823B3">
        <w:t xml:space="preserve"> In the latter situation, a </w:t>
      </w:r>
      <w:r w:rsidRPr="00345840">
        <w:rPr>
          <w:i/>
        </w:rPr>
        <w:t>hak pakai</w:t>
      </w:r>
      <w:r w:rsidRPr="004823B3">
        <w:t xml:space="preserve"> is created by agreement with the land owner and can only be transferred to a third party if permitted under that agreement.</w:t>
      </w:r>
      <w:r>
        <w:rPr>
          <w:rStyle w:val="FootnoteReference"/>
        </w:rPr>
        <w:footnoteReference w:id="38"/>
      </w:r>
    </w:p>
    <w:p w14:paraId="4F80C193" w14:textId="77777777" w:rsidR="006F7EF2" w:rsidRPr="00720152" w:rsidRDefault="006F7EF2" w:rsidP="00581781">
      <w:pPr>
        <w:pStyle w:val="AllensHeading6"/>
        <w:tabs>
          <w:tab w:val="clear" w:pos="3544"/>
          <w:tab w:val="num" w:pos="3720"/>
        </w:tabs>
        <w:rPr>
          <w:b/>
        </w:rPr>
      </w:pPr>
      <w:bookmarkStart w:id="33" w:name="HakSewa"/>
      <w:bookmarkEnd w:id="33"/>
      <w:r w:rsidRPr="00720152">
        <w:rPr>
          <w:b/>
        </w:rPr>
        <w:t xml:space="preserve">Right of lease (hak sewa untuk bangunan) </w:t>
      </w:r>
    </w:p>
    <w:p w14:paraId="198EFC39" w14:textId="77777777" w:rsidR="006F7EF2" w:rsidRDefault="006F7EF2" w:rsidP="004F2067">
      <w:pPr>
        <w:pStyle w:val="NormalIndent"/>
        <w:ind w:left="3544"/>
      </w:pPr>
      <w:r w:rsidRPr="001D40A6">
        <w:t xml:space="preserve">A </w:t>
      </w:r>
      <w:r w:rsidRPr="00806007">
        <w:rPr>
          <w:i/>
        </w:rPr>
        <w:t>hak sewa</w:t>
      </w:r>
      <w:r w:rsidRPr="00806007">
        <w:t xml:space="preserve"> </w:t>
      </w:r>
      <w:r w:rsidRPr="00806007">
        <w:rPr>
          <w:i/>
        </w:rPr>
        <w:t xml:space="preserve">untuk bangunan </w:t>
      </w:r>
      <w:r w:rsidRPr="001D40A6">
        <w:t>is a</w:t>
      </w:r>
      <w:r>
        <w:t xml:space="preserve"> lease of the whole or part of a building, either for commercial or residential purposes. The leaseholder is entitled to use the building in exchange for rent, which may be paid upfront or at intervals.</w:t>
      </w:r>
      <w:r>
        <w:rPr>
          <w:rStyle w:val="FootnoteReference"/>
        </w:rPr>
        <w:footnoteReference w:id="39"/>
      </w:r>
      <w:r>
        <w:t xml:space="preserve"> Unlike the above types of tenure, a </w:t>
      </w:r>
      <w:r w:rsidRPr="00801CB8">
        <w:rPr>
          <w:i/>
        </w:rPr>
        <w:t>hak sewa</w:t>
      </w:r>
      <w:r w:rsidRPr="00801CB8">
        <w:t xml:space="preserve"> </w:t>
      </w:r>
      <w:r w:rsidRPr="00801CB8">
        <w:rPr>
          <w:i/>
        </w:rPr>
        <w:t>untuk bangunan</w:t>
      </w:r>
      <w:r>
        <w:t xml:space="preserve"> is not a registrable interest.</w:t>
      </w:r>
    </w:p>
    <w:p w14:paraId="1D6EC5B1" w14:textId="77777777" w:rsidR="006F7EF2" w:rsidRDefault="006F7EF2" w:rsidP="004F2067">
      <w:pPr>
        <w:pStyle w:val="NormalIndent"/>
        <w:ind w:left="3544"/>
      </w:pPr>
      <w:r>
        <w:t xml:space="preserve">A </w:t>
      </w:r>
      <w:r w:rsidRPr="008E0C7A">
        <w:rPr>
          <w:i/>
        </w:rPr>
        <w:t>hak sewa</w:t>
      </w:r>
      <w:r w:rsidRPr="008E0C7A">
        <w:t xml:space="preserve"> </w:t>
      </w:r>
      <w:r w:rsidRPr="008E0C7A">
        <w:rPr>
          <w:i/>
        </w:rPr>
        <w:t>untuk bangunan</w:t>
      </w:r>
      <w:r>
        <w:t xml:space="preserve"> may be held by Indonesian citizens, foreign citizens domiciled in Indonesia, body corporates incorporated under Indonesian law and domiciled in Indonesia, and foreign body corporates having representation in Indonesia.</w:t>
      </w:r>
      <w:r>
        <w:rPr>
          <w:rStyle w:val="FootnoteReference"/>
        </w:rPr>
        <w:footnoteReference w:id="40"/>
      </w:r>
    </w:p>
    <w:p w14:paraId="3DA2C682" w14:textId="77777777" w:rsidR="006F7EF2" w:rsidRPr="00720152" w:rsidRDefault="006F7EF2" w:rsidP="00581781">
      <w:pPr>
        <w:pStyle w:val="AllensHeading5"/>
        <w:tabs>
          <w:tab w:val="clear" w:pos="2835"/>
          <w:tab w:val="num" w:pos="3011"/>
        </w:tabs>
        <w:rPr>
          <w:b/>
        </w:rPr>
      </w:pPr>
      <w:bookmarkStart w:id="34" w:name="CustomaryTenure"/>
      <w:bookmarkStart w:id="35" w:name="_Ref489205505"/>
      <w:bookmarkEnd w:id="34"/>
      <w:r w:rsidRPr="00720152">
        <w:rPr>
          <w:b/>
        </w:rPr>
        <w:t>Customary tenure</w:t>
      </w:r>
      <w:bookmarkEnd w:id="35"/>
    </w:p>
    <w:p w14:paraId="28A62D57" w14:textId="77777777" w:rsidR="006F7EF2" w:rsidRDefault="006F7EF2" w:rsidP="00FD734B">
      <w:pPr>
        <w:pStyle w:val="NormalIndent"/>
        <w:ind w:left="2835"/>
      </w:pPr>
      <w:r>
        <w:t xml:space="preserve">The term </w:t>
      </w:r>
      <w:r>
        <w:rPr>
          <w:i/>
        </w:rPr>
        <w:t>m</w:t>
      </w:r>
      <w:r w:rsidRPr="00497969">
        <w:rPr>
          <w:i/>
        </w:rPr>
        <w:t>asyarakat adat</w:t>
      </w:r>
      <w:r w:rsidRPr="00497969">
        <w:t xml:space="preserve"> is used to refer to </w:t>
      </w:r>
      <w:r>
        <w:t xml:space="preserve">an indigenous community living on its ancestral land, </w:t>
      </w:r>
      <w:r w:rsidRPr="00497969">
        <w:t xml:space="preserve">over which </w:t>
      </w:r>
      <w:r>
        <w:t>it has traditional ownership rights under</w:t>
      </w:r>
      <w:r w:rsidRPr="00497969">
        <w:t xml:space="preserve"> customary law.</w:t>
      </w:r>
      <w:r>
        <w:t xml:space="preserve"> </w:t>
      </w:r>
      <w:r w:rsidRPr="00497969">
        <w:t xml:space="preserve">Customary ownership </w:t>
      </w:r>
      <w:r>
        <w:t>of</w:t>
      </w:r>
      <w:r w:rsidRPr="00497969">
        <w:t xml:space="preserve"> land </w:t>
      </w:r>
      <w:r>
        <w:t>is</w:t>
      </w:r>
      <w:r w:rsidRPr="00497969">
        <w:t xml:space="preserve"> known as </w:t>
      </w:r>
      <w:r w:rsidRPr="00497969">
        <w:rPr>
          <w:i/>
        </w:rPr>
        <w:t>hak ulayat</w:t>
      </w:r>
      <w:r w:rsidRPr="00497969">
        <w:t>.</w:t>
      </w:r>
      <w:r w:rsidRPr="00497969">
        <w:rPr>
          <w:rStyle w:val="FootnoteReference"/>
          <w:rFonts w:cs="Arial"/>
          <w:lang w:val="en-GB"/>
        </w:rPr>
        <w:footnoteReference w:id="41"/>
      </w:r>
    </w:p>
    <w:p w14:paraId="0A261A5B" w14:textId="0A5EF33B" w:rsidR="006F7EF2" w:rsidRDefault="006F7EF2" w:rsidP="004F2067">
      <w:pPr>
        <w:pStyle w:val="NormalIndent"/>
        <w:ind w:left="2835"/>
      </w:pPr>
      <w:r>
        <w:t>As indic</w:t>
      </w:r>
      <w:r w:rsidRPr="00E439DE">
        <w:t xml:space="preserve">ated in </w:t>
      </w:r>
      <w:hyperlink w:anchor="WhatTenureExists" w:history="1">
        <w:r w:rsidRPr="00E439DE">
          <w:rPr>
            <w:rStyle w:val="Hyperlink"/>
            <w:color w:val="auto"/>
            <w:u w:val="none"/>
          </w:rPr>
          <w:t>section</w:t>
        </w:r>
        <w:r w:rsidR="00E439DE" w:rsidRPr="00E439DE">
          <w:rPr>
            <w:rStyle w:val="Hyperlink"/>
            <w:color w:val="auto"/>
            <w:u w:val="none"/>
          </w:rPr>
          <w:t xml:space="preserve"> (b)</w:t>
        </w:r>
        <w:r w:rsidRPr="00E439DE">
          <w:rPr>
            <w:rStyle w:val="Hyperlink"/>
            <w:color w:val="auto"/>
            <w:u w:val="none"/>
          </w:rPr>
          <w:t xml:space="preserve"> above</w:t>
        </w:r>
      </w:hyperlink>
      <w:r w:rsidRPr="00E439DE">
        <w:t>, an</w:t>
      </w:r>
      <w:r>
        <w:t xml:space="preserve">y land which is not privately held is </w:t>
      </w:r>
      <w:r w:rsidR="007C6339">
        <w:t>directly controlled by the</w:t>
      </w:r>
      <w:r>
        <w:t xml:space="preserve"> State</w:t>
      </w:r>
      <w:r w:rsidR="007C6339">
        <w:t>.</w:t>
      </w:r>
      <w:r>
        <w:t xml:space="preserve"> </w:t>
      </w:r>
      <w:r w:rsidRPr="00D736C8">
        <w:t xml:space="preserve">The </w:t>
      </w:r>
      <w:r w:rsidRPr="00F3295B">
        <w:rPr>
          <w:i/>
        </w:rPr>
        <w:t>Agrarian Law</w:t>
      </w:r>
      <w:r>
        <w:t xml:space="preserve"> does</w:t>
      </w:r>
      <w:r w:rsidRPr="00636575">
        <w:t xml:space="preserve"> </w:t>
      </w:r>
      <w:r w:rsidRPr="00FD734B">
        <w:t xml:space="preserve">not </w:t>
      </w:r>
      <w:r>
        <w:t xml:space="preserve">clearly recognise or protect </w:t>
      </w:r>
      <w:r w:rsidRPr="005B3D3B">
        <w:rPr>
          <w:i/>
        </w:rPr>
        <w:t>hak ulayat</w:t>
      </w:r>
      <w:r>
        <w:t xml:space="preserve"> as a form of private tenure. This creates a problematic lack of a clear legal distinction between customary land and State-controlled land.</w:t>
      </w:r>
      <w:r w:rsidR="00A90D25">
        <w:rPr>
          <w:rStyle w:val="FootnoteReference"/>
        </w:rPr>
        <w:footnoteReference w:id="42"/>
      </w:r>
    </w:p>
    <w:p w14:paraId="72CDCDED" w14:textId="77777777" w:rsidR="006F7EF2" w:rsidRPr="00021E89" w:rsidRDefault="006F7EF2" w:rsidP="004F2067">
      <w:pPr>
        <w:pStyle w:val="NormalIndent"/>
        <w:ind w:left="2835"/>
      </w:pPr>
      <w:r>
        <w:t>As a result, customary land has been widely treated as State-controlled land and appropriated for State and private use without consultation with customary owners, or compensation being paid to customary owners.</w:t>
      </w:r>
      <w:r>
        <w:rPr>
          <w:rStyle w:val="FootnoteReference"/>
        </w:rPr>
        <w:footnoteReference w:id="43"/>
      </w:r>
    </w:p>
    <w:p w14:paraId="5C61F821" w14:textId="4C925DF1" w:rsidR="006F7EF2" w:rsidRDefault="006F7EF2" w:rsidP="004F2067">
      <w:pPr>
        <w:pStyle w:val="NormalIndent"/>
        <w:ind w:left="2835"/>
      </w:pPr>
      <w:r>
        <w:t xml:space="preserve">In 2016, </w:t>
      </w:r>
      <w:r w:rsidRPr="00E22E05">
        <w:rPr>
          <w:i/>
        </w:rPr>
        <w:t>Regulation 10/2016</w:t>
      </w:r>
      <w:r>
        <w:t xml:space="preserve"> was introduced to enable indigenous communities (</w:t>
      </w:r>
      <w:r w:rsidRPr="00304F84">
        <w:rPr>
          <w:i/>
        </w:rPr>
        <w:t>masyarakat adat</w:t>
      </w:r>
      <w:r>
        <w:t>) to register their customary land (</w:t>
      </w:r>
      <w:r w:rsidRPr="00497969">
        <w:rPr>
          <w:i/>
        </w:rPr>
        <w:t>hak ulaya</w:t>
      </w:r>
      <w:r>
        <w:rPr>
          <w:i/>
        </w:rPr>
        <w:t>t</w:t>
      </w:r>
      <w:r>
        <w:t xml:space="preserve">). However, the processes for registering customary land are in </w:t>
      </w:r>
      <w:r>
        <w:lastRenderedPageBreak/>
        <w:t>their infancy and have not been widely adopted. The process for registering customar</w:t>
      </w:r>
      <w:r w:rsidRPr="00E439DE">
        <w:t xml:space="preserve">y land is outlined in </w:t>
      </w:r>
      <w:hyperlink w:anchor="Section22aii" w:history="1">
        <w:r w:rsidRPr="00E439DE">
          <w:rPr>
            <w:rStyle w:val="Hyperlink"/>
            <w:color w:val="auto"/>
            <w:u w:val="none"/>
          </w:rPr>
          <w:t xml:space="preserve">section </w:t>
        </w:r>
        <w:r w:rsidR="00E439DE" w:rsidRPr="00E439DE">
          <w:rPr>
            <w:rStyle w:val="Hyperlink"/>
            <w:color w:val="auto"/>
            <w:u w:val="none"/>
          </w:rPr>
          <w:t>2.2(a)(ii)</w:t>
        </w:r>
        <w:r w:rsidRPr="00E439DE">
          <w:rPr>
            <w:rStyle w:val="Hyperlink"/>
            <w:color w:val="auto"/>
            <w:u w:val="none"/>
          </w:rPr>
          <w:t xml:space="preserve"> below</w:t>
        </w:r>
      </w:hyperlink>
      <w:r w:rsidRPr="00E439DE">
        <w:t>.</w:t>
      </w:r>
    </w:p>
    <w:p w14:paraId="3578ED92" w14:textId="6933A235" w:rsidR="006F7EF2" w:rsidRDefault="006F7EF2" w:rsidP="00F0362E">
      <w:pPr>
        <w:pStyle w:val="NormalIndent"/>
        <w:ind w:left="2835"/>
      </w:pPr>
      <w:r>
        <w:t xml:space="preserve">Ownership of unregistered customary land may be evidenced by an official letter or receipt showing the owners have paid land tax. This has caused unregistered customary land </w:t>
      </w:r>
      <w:r w:rsidR="006B4750">
        <w:t xml:space="preserve">ownership </w:t>
      </w:r>
      <w:r>
        <w:t xml:space="preserve">to be referred to as </w:t>
      </w:r>
      <w:r w:rsidRPr="00FD734B">
        <w:rPr>
          <w:i/>
        </w:rPr>
        <w:t xml:space="preserve">girik </w:t>
      </w:r>
      <w:r w:rsidR="006B4750">
        <w:rPr>
          <w:i/>
        </w:rPr>
        <w:t xml:space="preserve">title </w:t>
      </w:r>
      <w:r>
        <w:t>after the name of the tax imposed on customary land during the Dutch colonial period.</w:t>
      </w:r>
      <w:r>
        <w:rPr>
          <w:rStyle w:val="FootnoteReference"/>
        </w:rPr>
        <w:footnoteReference w:id="44"/>
      </w:r>
    </w:p>
    <w:p w14:paraId="7B3EBCDF" w14:textId="77777777" w:rsidR="006F7EF2" w:rsidRPr="00501A91" w:rsidRDefault="006F7EF2" w:rsidP="00581781">
      <w:pPr>
        <w:pStyle w:val="AllensHeading5"/>
        <w:tabs>
          <w:tab w:val="clear" w:pos="2835"/>
          <w:tab w:val="num" w:pos="3011"/>
        </w:tabs>
        <w:rPr>
          <w:b/>
        </w:rPr>
      </w:pPr>
      <w:bookmarkStart w:id="36" w:name="GirikTitle"/>
      <w:bookmarkStart w:id="37" w:name="GirikTitleOrGarapanRights"/>
      <w:bookmarkEnd w:id="36"/>
      <w:bookmarkEnd w:id="37"/>
      <w:r w:rsidRPr="00501A91">
        <w:rPr>
          <w:b/>
        </w:rPr>
        <w:t>Tenure deriving from customary tenure</w:t>
      </w:r>
    </w:p>
    <w:p w14:paraId="30E0B81D" w14:textId="56C15553" w:rsidR="006F7EF2" w:rsidRDefault="006F7EF2" w:rsidP="00F0362E">
      <w:pPr>
        <w:pStyle w:val="NormalIndent"/>
        <w:ind w:left="2835"/>
      </w:pPr>
      <w:r>
        <w:t>There are informal conveyancing practices for transferring customary land and rights to use customary land</w:t>
      </w:r>
      <w:r w:rsidR="00CF1190">
        <w:t xml:space="preserve">. </w:t>
      </w:r>
      <w:r>
        <w:t>It is, therefore, important to distinguish between:</w:t>
      </w:r>
    </w:p>
    <w:p w14:paraId="5EC8C44B" w14:textId="77777777" w:rsidR="00A77524" w:rsidRDefault="006F7EF2" w:rsidP="00A77524">
      <w:pPr>
        <w:pStyle w:val="Bullet3"/>
        <w:numPr>
          <w:ilvl w:val="0"/>
          <w:numId w:val="8"/>
        </w:numPr>
      </w:pPr>
      <w:r w:rsidRPr="00501A91">
        <w:t xml:space="preserve">a customary group </w:t>
      </w:r>
      <w:r>
        <w:t>using</w:t>
      </w:r>
      <w:r w:rsidRPr="00501A91">
        <w:t xml:space="preserve"> its customary land</w:t>
      </w:r>
      <w:r>
        <w:t xml:space="preserve"> in accordance with its traditional practices (</w:t>
      </w:r>
      <w:r w:rsidRPr="00A77524">
        <w:rPr>
          <w:i/>
        </w:rPr>
        <w:t>masyarakat adat</w:t>
      </w:r>
      <w:r>
        <w:t>)</w:t>
      </w:r>
      <w:r w:rsidRPr="00501A91">
        <w:t>; and</w:t>
      </w:r>
    </w:p>
    <w:p w14:paraId="0DE0D89F" w14:textId="4F22050C" w:rsidR="006F7EF2" w:rsidRDefault="006F7EF2" w:rsidP="00A77524">
      <w:pPr>
        <w:pStyle w:val="Bullet3"/>
        <w:numPr>
          <w:ilvl w:val="0"/>
          <w:numId w:val="8"/>
        </w:numPr>
      </w:pPr>
      <w:r>
        <w:t xml:space="preserve">non-customary owners </w:t>
      </w:r>
      <w:r w:rsidRPr="00501A91">
        <w:t xml:space="preserve">who have </w:t>
      </w:r>
      <w:r>
        <w:t>acquired</w:t>
      </w:r>
      <w:r w:rsidRPr="00501A91">
        <w:t xml:space="preserve"> ownership or </w:t>
      </w:r>
      <w:r>
        <w:t xml:space="preserve">use </w:t>
      </w:r>
      <w:r w:rsidRPr="00501A91">
        <w:t xml:space="preserve">rights </w:t>
      </w:r>
      <w:r>
        <w:t>over customary land</w:t>
      </w:r>
      <w:r w:rsidR="00F1452B">
        <w:t xml:space="preserve"> </w:t>
      </w:r>
      <w:r w:rsidR="00CF1190">
        <w:t xml:space="preserve">via informal conveyancing </w:t>
      </w:r>
      <w:r w:rsidR="00F1452B">
        <w:t>(</w:t>
      </w:r>
      <w:r w:rsidR="00F1452B" w:rsidRPr="00F1452B">
        <w:rPr>
          <w:i/>
        </w:rPr>
        <w:t>girik</w:t>
      </w:r>
      <w:r w:rsidR="00F1452B">
        <w:t xml:space="preserve"> </w:t>
      </w:r>
      <w:r w:rsidR="00CF1190">
        <w:t>or</w:t>
      </w:r>
      <w:r w:rsidR="00F1452B">
        <w:t xml:space="preserve"> </w:t>
      </w:r>
      <w:r w:rsidR="00F1452B" w:rsidRPr="00F1452B">
        <w:rPr>
          <w:i/>
        </w:rPr>
        <w:t>garapan</w:t>
      </w:r>
      <w:r w:rsidR="00F1452B">
        <w:t>)</w:t>
      </w:r>
      <w:r>
        <w:t>.</w:t>
      </w:r>
    </w:p>
    <w:p w14:paraId="51F331CF" w14:textId="71C58FCE" w:rsidR="00CF1190" w:rsidRPr="00CF1190" w:rsidRDefault="00CF1190" w:rsidP="00CF1190">
      <w:pPr>
        <w:pStyle w:val="Bullet3"/>
        <w:numPr>
          <w:ilvl w:val="0"/>
          <w:numId w:val="0"/>
        </w:numPr>
        <w:ind w:left="2836"/>
      </w:pPr>
      <w:r>
        <w:t xml:space="preserve">The </w:t>
      </w:r>
      <w:r w:rsidR="006B4750">
        <w:t xml:space="preserve">exact nature of, and </w:t>
      </w:r>
      <w:r>
        <w:t xml:space="preserve">correct </w:t>
      </w:r>
      <w:r w:rsidR="006B4750">
        <w:t xml:space="preserve">terminology for, the latter type of </w:t>
      </w:r>
      <w:r>
        <w:t xml:space="preserve">tenure is unclear. It appears that </w:t>
      </w:r>
      <w:r w:rsidR="006B4750">
        <w:t>the term '</w:t>
      </w:r>
      <w:r w:rsidRPr="00CF1190">
        <w:rPr>
          <w:i/>
        </w:rPr>
        <w:t>girik</w:t>
      </w:r>
      <w:r w:rsidR="006B4750">
        <w:t>'</w:t>
      </w:r>
      <w:r>
        <w:t xml:space="preserve"> may be used to refer both to </w:t>
      </w:r>
      <w:r w:rsidRPr="00A77524">
        <w:rPr>
          <w:i/>
        </w:rPr>
        <w:t>masyarakat adat</w:t>
      </w:r>
      <w:r>
        <w:t>, and to non-customary owners who have acquired ownership rights</w:t>
      </w:r>
      <w:r w:rsidR="006B4750">
        <w:t xml:space="preserve"> over customary land via informal conveyancing</w:t>
      </w:r>
      <w:r>
        <w:t xml:space="preserve">. It appears that the term </w:t>
      </w:r>
      <w:r w:rsidR="006B4750">
        <w:t>'</w:t>
      </w:r>
      <w:r w:rsidRPr="00CF1190">
        <w:rPr>
          <w:i/>
        </w:rPr>
        <w:t>garapan</w:t>
      </w:r>
      <w:r w:rsidR="006B4750">
        <w:t>'</w:t>
      </w:r>
      <w:r>
        <w:t xml:space="preserve"> may be used to refer to non-customary owners who have acquired use rights over customary land</w:t>
      </w:r>
      <w:r w:rsidR="006B4750">
        <w:t xml:space="preserve"> via informal conveyancing</w:t>
      </w:r>
      <w:r>
        <w:t>.</w:t>
      </w:r>
    </w:p>
    <w:p w14:paraId="05E2F401" w14:textId="77777777" w:rsidR="006F7EF2" w:rsidRDefault="006F7EF2" w:rsidP="00581781">
      <w:pPr>
        <w:pStyle w:val="AllensHeading4"/>
        <w:tabs>
          <w:tab w:val="clear" w:pos="2126"/>
          <w:tab w:val="num" w:pos="2302"/>
        </w:tabs>
        <w:rPr>
          <w:b/>
          <w:lang w:val="en-GB"/>
        </w:rPr>
      </w:pPr>
      <w:r>
        <w:rPr>
          <w:b/>
          <w:lang w:val="en-GB"/>
        </w:rPr>
        <w:t>Types of Tenure in Forest Land</w:t>
      </w:r>
    </w:p>
    <w:p w14:paraId="6EB76C3A" w14:textId="77777777" w:rsidR="006F7EF2" w:rsidRPr="004D2F41" w:rsidRDefault="006F7EF2" w:rsidP="006F7EF2">
      <w:pPr>
        <w:pStyle w:val="NormalIndent"/>
        <w:ind w:left="2126"/>
      </w:pPr>
      <w:r>
        <w:t xml:space="preserve">The </w:t>
      </w:r>
      <w:r w:rsidRPr="00071F54">
        <w:rPr>
          <w:i/>
        </w:rPr>
        <w:t>Forestry Law</w:t>
      </w:r>
      <w:r>
        <w:t xml:space="preserve"> distinguishes between:</w:t>
      </w:r>
    </w:p>
    <w:p w14:paraId="0DBFF12C" w14:textId="4BD1FD5A" w:rsidR="006F7EF2" w:rsidRDefault="006F7EF2" w:rsidP="00AB5C74">
      <w:pPr>
        <w:pStyle w:val="Bullet3"/>
        <w:numPr>
          <w:ilvl w:val="0"/>
          <w:numId w:val="9"/>
        </w:numPr>
      </w:pPr>
      <w:r>
        <w:rPr>
          <w:b/>
          <w:i/>
        </w:rPr>
        <w:t>State F</w:t>
      </w:r>
      <w:r w:rsidRPr="004D2F41">
        <w:rPr>
          <w:b/>
          <w:i/>
        </w:rPr>
        <w:t xml:space="preserve">orest </w:t>
      </w:r>
      <w:r>
        <w:t xml:space="preserve">meaning all Forest Land which is </w:t>
      </w:r>
      <w:r w:rsidRPr="00272C39">
        <w:rPr>
          <w:i/>
        </w:rPr>
        <w:t>not</w:t>
      </w:r>
      <w:r>
        <w:t xml:space="preserve"> </w:t>
      </w:r>
      <w:r w:rsidRPr="008B3A4B">
        <w:t xml:space="preserve">privately owned under </w:t>
      </w:r>
      <w:r w:rsidRPr="008B3A4B">
        <w:rPr>
          <w:i/>
        </w:rPr>
        <w:t>hak milik</w:t>
      </w:r>
      <w:r w:rsidRPr="008B3A4B">
        <w:t xml:space="preserve"> titles</w:t>
      </w:r>
      <w:r w:rsidR="00F87F3A">
        <w:t xml:space="preserve"> (approximately 97 </w:t>
      </w:r>
      <w:r>
        <w:t>per cent of Forest Land); and</w:t>
      </w:r>
    </w:p>
    <w:p w14:paraId="1793E174" w14:textId="696C40F5" w:rsidR="006F7EF2" w:rsidRDefault="006F7EF2" w:rsidP="00AB5C74">
      <w:pPr>
        <w:pStyle w:val="Bullet3"/>
        <w:numPr>
          <w:ilvl w:val="0"/>
          <w:numId w:val="9"/>
        </w:numPr>
      </w:pPr>
      <w:r>
        <w:rPr>
          <w:b/>
          <w:i/>
        </w:rPr>
        <w:t>P</w:t>
      </w:r>
      <w:r w:rsidRPr="004D2F41">
        <w:rPr>
          <w:b/>
          <w:i/>
        </w:rPr>
        <w:t>rivate</w:t>
      </w:r>
      <w:r>
        <w:rPr>
          <w:b/>
          <w:i/>
        </w:rPr>
        <w:t xml:space="preserve"> F</w:t>
      </w:r>
      <w:r w:rsidRPr="004D2F41">
        <w:rPr>
          <w:b/>
          <w:i/>
        </w:rPr>
        <w:t>orest</w:t>
      </w:r>
      <w:r>
        <w:t xml:space="preserve"> </w:t>
      </w:r>
      <w:r w:rsidRPr="00FB78A0">
        <w:rPr>
          <w:b/>
          <w:i/>
        </w:rPr>
        <w:t>meaning</w:t>
      </w:r>
      <w:r>
        <w:t xml:space="preserve"> Forest Land which is privately owned under </w:t>
      </w:r>
      <w:r w:rsidRPr="008B3A4B">
        <w:rPr>
          <w:i/>
        </w:rPr>
        <w:t>hak milik</w:t>
      </w:r>
      <w:r>
        <w:t xml:space="preserve"> titles (approximately 3 per cent of Forest Land).</w:t>
      </w:r>
      <w:r>
        <w:rPr>
          <w:rStyle w:val="FootnoteReference"/>
        </w:rPr>
        <w:footnoteReference w:id="45"/>
      </w:r>
    </w:p>
    <w:p w14:paraId="1F3CE906" w14:textId="34C064FD" w:rsidR="006F7EF2" w:rsidRDefault="006F7EF2" w:rsidP="006F7EF2">
      <w:pPr>
        <w:pStyle w:val="NormalIndent"/>
        <w:ind w:left="2097"/>
        <w:rPr>
          <w:lang w:val="en-GB"/>
        </w:rPr>
      </w:pPr>
      <w:r>
        <w:rPr>
          <w:lang w:val="en-GB"/>
        </w:rPr>
        <w:t>State forest is further divided into three zones: Production Forest, Protected Forest and Conservation Forest.</w:t>
      </w:r>
      <w:r>
        <w:rPr>
          <w:rStyle w:val="FootnoteReference"/>
        </w:rPr>
        <w:footnoteReference w:id="46"/>
      </w:r>
      <w:r>
        <w:rPr>
          <w:lang w:val="en-GB"/>
        </w:rPr>
        <w:t xml:space="preserve"> The taxonomy of Forest Land</w:t>
      </w:r>
      <w:r w:rsidR="003B34F3">
        <w:rPr>
          <w:lang w:val="en-GB"/>
        </w:rPr>
        <w:t xml:space="preserve"> is shown in the diagram on the following page</w:t>
      </w:r>
      <w:r>
        <w:rPr>
          <w:lang w:val="en-GB"/>
        </w:rPr>
        <w:t>. The following sections summarise the types of tenure which may exist in State Forest land.</w:t>
      </w:r>
    </w:p>
    <w:p w14:paraId="7EC44266" w14:textId="77777777" w:rsidR="006F7EF2" w:rsidRDefault="006F7EF2" w:rsidP="00A25D58">
      <w:pPr>
        <w:pStyle w:val="AllensHeading4"/>
        <w:numPr>
          <w:ilvl w:val="0"/>
          <w:numId w:val="0"/>
        </w:numPr>
        <w:ind w:left="2040"/>
        <w:rPr>
          <w:lang w:val="en-GB"/>
        </w:rPr>
      </w:pPr>
      <w:r>
        <w:rPr>
          <w:noProof/>
          <w:lang w:val="es-EC" w:eastAsia="es-EC"/>
        </w:rPr>
        <w:lastRenderedPageBreak/>
        <w:drawing>
          <wp:inline distT="0" distB="0" distL="0" distR="0" wp14:anchorId="4FDF4D99" wp14:editId="107DC6C8">
            <wp:extent cx="4166559" cy="2467154"/>
            <wp:effectExtent l="0" t="0" r="2476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60434CC1" w14:textId="77777777" w:rsidR="00AA3CCF" w:rsidRDefault="00AA3CCF" w:rsidP="00AA3CCF">
      <w:pPr>
        <w:pStyle w:val="AllensHeading5"/>
        <w:numPr>
          <w:ilvl w:val="0"/>
          <w:numId w:val="0"/>
        </w:numPr>
        <w:ind w:left="2835" w:hanging="709"/>
        <w:rPr>
          <w:b/>
          <w:lang w:val="en-GB"/>
        </w:rPr>
      </w:pPr>
    </w:p>
    <w:p w14:paraId="4A343E3D" w14:textId="77777777" w:rsidR="006F7EF2" w:rsidRDefault="006F7EF2" w:rsidP="00581781">
      <w:pPr>
        <w:pStyle w:val="AllensHeading5"/>
        <w:tabs>
          <w:tab w:val="clear" w:pos="2835"/>
          <w:tab w:val="num" w:pos="3011"/>
        </w:tabs>
        <w:rPr>
          <w:b/>
          <w:lang w:val="en-GB"/>
        </w:rPr>
      </w:pPr>
      <w:r>
        <w:rPr>
          <w:b/>
          <w:lang w:val="en-GB"/>
        </w:rPr>
        <w:t>Customary tenure in State Forest</w:t>
      </w:r>
    </w:p>
    <w:p w14:paraId="51447550" w14:textId="77777777" w:rsidR="006F7EF2" w:rsidRDefault="006F7EF2" w:rsidP="004F2067">
      <w:pPr>
        <w:pStyle w:val="NormalIndent"/>
        <w:ind w:left="2835"/>
      </w:pPr>
      <w:r>
        <w:t>Upon its introduction in 1999, the</w:t>
      </w:r>
      <w:r w:rsidRPr="00071F54">
        <w:rPr>
          <w:i/>
        </w:rPr>
        <w:t xml:space="preserve"> Forestry Law</w:t>
      </w:r>
      <w:r>
        <w:t xml:space="preserve"> categorised customary forest as State Forest (ie, State-controlled land), rather than Private Forest (ie, privately-owned forest land).</w:t>
      </w:r>
      <w:r>
        <w:rPr>
          <w:rStyle w:val="FootnoteReference"/>
        </w:rPr>
        <w:footnoteReference w:id="47"/>
      </w:r>
      <w:r>
        <w:t xml:space="preserve"> Article 1(6) of the </w:t>
      </w:r>
      <w:r w:rsidRPr="00BF4014">
        <w:rPr>
          <w:i/>
        </w:rPr>
        <w:t>Forestry Law</w:t>
      </w:r>
      <w:r>
        <w:t xml:space="preserve"> stated '</w:t>
      </w:r>
      <w:r w:rsidRPr="00AD15EA">
        <w:rPr>
          <w:i/>
        </w:rPr>
        <w:t>customary forest is a State forest that is located in the territory of customary law communities</w:t>
      </w:r>
      <w:r>
        <w:t>'.</w:t>
      </w:r>
      <w:r>
        <w:rPr>
          <w:rStyle w:val="FootnoteReference"/>
        </w:rPr>
        <w:footnoteReference w:id="48"/>
      </w:r>
    </w:p>
    <w:p w14:paraId="4A555F05" w14:textId="304FFA65" w:rsidR="006F7EF2" w:rsidRDefault="006F7EF2" w:rsidP="004F2067">
      <w:pPr>
        <w:pStyle w:val="NormalIndent"/>
        <w:ind w:left="2835"/>
      </w:pPr>
      <w:r>
        <w:t xml:space="preserve">As a result, the </w:t>
      </w:r>
      <w:r w:rsidRPr="00AD5A9F">
        <w:t>Ministry of Environment and Forestry</w:t>
      </w:r>
      <w:r>
        <w:t xml:space="preserve"> (</w:t>
      </w:r>
      <w:r w:rsidRPr="00AA49C3">
        <w:rPr>
          <w:b/>
          <w:i/>
        </w:rPr>
        <w:t>MOEF</w:t>
      </w:r>
      <w:r>
        <w:t xml:space="preserve">) and other government authorities have treated customary forest as if it were State-controlled land, and have granted licences and other interests over customary forest without </w:t>
      </w:r>
      <w:r w:rsidR="00F87F3A">
        <w:t>adequate consideration or protection of</w:t>
      </w:r>
      <w:r>
        <w:t xml:space="preserve"> customary owners' rights.</w:t>
      </w:r>
    </w:p>
    <w:p w14:paraId="482B1E4E" w14:textId="77777777" w:rsidR="006F7EF2" w:rsidRDefault="006F7EF2" w:rsidP="004F2067">
      <w:pPr>
        <w:pStyle w:val="NormalIndent"/>
        <w:ind w:left="2835"/>
        <w:rPr>
          <w:b/>
        </w:rPr>
      </w:pPr>
      <w:r>
        <w:t xml:space="preserve">In a landmark decision in 2013, the Constitutional Court of the Republic of Indonesia removed the word 'State' from article 1(6) of the </w:t>
      </w:r>
      <w:r w:rsidRPr="00AD15EA">
        <w:rPr>
          <w:i/>
        </w:rPr>
        <w:t>Basic Forestry Law</w:t>
      </w:r>
      <w:r>
        <w:t>.</w:t>
      </w:r>
      <w:r>
        <w:rPr>
          <w:rStyle w:val="FootnoteReference"/>
        </w:rPr>
        <w:footnoteReference w:id="49"/>
      </w:r>
      <w:r>
        <w:t xml:space="preserve"> The effect of this decision is that customary forest has moved from the category of State Forest into the category of Private Forest, in recognition of the fact that it is owned by Indigenous groups.</w:t>
      </w:r>
      <w:r>
        <w:rPr>
          <w:rStyle w:val="FootnoteReference"/>
        </w:rPr>
        <w:footnoteReference w:id="50"/>
      </w:r>
    </w:p>
    <w:p w14:paraId="393667DC" w14:textId="77777777" w:rsidR="006F7EF2" w:rsidRDefault="006F7EF2" w:rsidP="004F2067">
      <w:pPr>
        <w:pStyle w:val="NormalIndent"/>
        <w:ind w:left="2835"/>
      </w:pPr>
      <w:r>
        <w:t>The MOEF has amended its regulations and policies to comply with the Constitutional Court's 2013 ruling, however practical change has been slow.</w:t>
      </w:r>
      <w:r>
        <w:rPr>
          <w:rStyle w:val="FootnoteReference"/>
        </w:rPr>
        <w:footnoteReference w:id="51"/>
      </w:r>
      <w:r>
        <w:t xml:space="preserve"> The MOEF has, for example, imposed significant evidentiary burdens on groups claiming customary ownership of forest land.</w:t>
      </w:r>
      <w:r>
        <w:rPr>
          <w:rStyle w:val="FootnoteReference"/>
        </w:rPr>
        <w:footnoteReference w:id="52"/>
      </w:r>
      <w:r>
        <w:t xml:space="preserve"> Promisingly, however, in December 2016, the Forestry Minister issued a </w:t>
      </w:r>
      <w:r>
        <w:lastRenderedPageBreak/>
        <w:t>Decree acknowledging nine indigenous communities' rights to approximately 13,000 hectares of customary forests.</w:t>
      </w:r>
      <w:r>
        <w:rPr>
          <w:rStyle w:val="FootnoteReference"/>
        </w:rPr>
        <w:footnoteReference w:id="53"/>
      </w:r>
    </w:p>
    <w:p w14:paraId="773B2E5F" w14:textId="77777777" w:rsidR="006F7EF2" w:rsidRPr="00076FB6" w:rsidRDefault="006F7EF2" w:rsidP="00581781">
      <w:pPr>
        <w:pStyle w:val="AllensHeading5"/>
        <w:tabs>
          <w:tab w:val="clear" w:pos="2835"/>
          <w:tab w:val="num" w:pos="3011"/>
        </w:tabs>
        <w:rPr>
          <w:b/>
          <w:lang w:val="en-GB"/>
        </w:rPr>
      </w:pPr>
      <w:r w:rsidRPr="00076FB6">
        <w:rPr>
          <w:b/>
          <w:lang w:val="en-GB"/>
        </w:rPr>
        <w:t xml:space="preserve">Statutory tenure in </w:t>
      </w:r>
      <w:r>
        <w:rPr>
          <w:b/>
          <w:lang w:val="en-GB"/>
        </w:rPr>
        <w:t>State Forest l</w:t>
      </w:r>
      <w:r w:rsidRPr="00076FB6">
        <w:rPr>
          <w:b/>
          <w:lang w:val="en-GB"/>
        </w:rPr>
        <w:t>and</w:t>
      </w:r>
    </w:p>
    <w:p w14:paraId="346EEF58" w14:textId="77777777" w:rsidR="006F7EF2" w:rsidRDefault="006F7EF2" w:rsidP="004F2067">
      <w:pPr>
        <w:pStyle w:val="NormalIndent"/>
        <w:ind w:left="2835"/>
      </w:pPr>
      <w:r>
        <w:t xml:space="preserve">The </w:t>
      </w:r>
      <w:r w:rsidRPr="001F3151">
        <w:rPr>
          <w:i/>
        </w:rPr>
        <w:t>Forestry Law</w:t>
      </w:r>
      <w:r>
        <w:t xml:space="preserve"> and its implementing regulations and decrees establish numerous types of statutory tenure which may exist in State Forest land. </w:t>
      </w:r>
    </w:p>
    <w:p w14:paraId="1EE0CDF9" w14:textId="77777777" w:rsidR="006F7EF2" w:rsidRDefault="006F7EF2" w:rsidP="00581781">
      <w:pPr>
        <w:pStyle w:val="AllensHeading6"/>
        <w:tabs>
          <w:tab w:val="clear" w:pos="3544"/>
          <w:tab w:val="num" w:pos="3720"/>
        </w:tabs>
        <w:rPr>
          <w:b/>
          <w:lang w:val="en-GB"/>
        </w:rPr>
      </w:pPr>
      <w:r>
        <w:rPr>
          <w:b/>
          <w:lang w:val="en-GB"/>
        </w:rPr>
        <w:t>Types of tenure and land rights available to companies</w:t>
      </w:r>
    </w:p>
    <w:p w14:paraId="314A9C7B" w14:textId="53C239A5" w:rsidR="006F7EF2" w:rsidRPr="00BE795B" w:rsidRDefault="006F7EF2" w:rsidP="004F2067">
      <w:pPr>
        <w:pStyle w:val="NormalIndent"/>
        <w:ind w:left="3544"/>
      </w:pPr>
      <w:r>
        <w:t>Private or State-owned companies may be granted licences to use Production Forest for various purposes (eg, logging, timber plantations and ecosystem restoration).</w:t>
      </w:r>
      <w:r>
        <w:rPr>
          <w:rStyle w:val="FootnoteReference"/>
        </w:rPr>
        <w:footnoteReference w:id="54"/>
      </w:r>
      <w:r>
        <w:t xml:space="preserve"> Approximately 35 million hectares of Production Forest is currently subject to licences granted to 537 companies, which are predominantly private rather than State-owned companies.</w:t>
      </w:r>
      <w:r w:rsidR="00F1452B">
        <w:rPr>
          <w:rStyle w:val="FootnoteReference"/>
        </w:rPr>
        <w:footnoteReference w:id="55"/>
      </w:r>
    </w:p>
    <w:p w14:paraId="1661D80D" w14:textId="77777777" w:rsidR="006F7EF2" w:rsidRPr="004F12D2" w:rsidRDefault="006F7EF2" w:rsidP="00581781">
      <w:pPr>
        <w:pStyle w:val="AllensHeading6"/>
        <w:tabs>
          <w:tab w:val="clear" w:pos="3544"/>
          <w:tab w:val="num" w:pos="3808"/>
        </w:tabs>
        <w:rPr>
          <w:b/>
          <w:lang w:val="en-GB"/>
        </w:rPr>
      </w:pPr>
      <w:r>
        <w:rPr>
          <w:b/>
          <w:lang w:val="en-GB"/>
        </w:rPr>
        <w:t>Types of t</w:t>
      </w:r>
      <w:r w:rsidRPr="004F12D2">
        <w:rPr>
          <w:b/>
          <w:lang w:val="en-GB"/>
        </w:rPr>
        <w:t>enure and land rights available to local communities</w:t>
      </w:r>
    </w:p>
    <w:p w14:paraId="42AA3B7F" w14:textId="77777777" w:rsidR="006F7EF2" w:rsidRDefault="006F7EF2" w:rsidP="004F2067">
      <w:pPr>
        <w:pStyle w:val="NormalIndent"/>
        <w:ind w:left="3544"/>
      </w:pPr>
      <w:r>
        <w:t>The following types of tenure or land rights may be available to persons or groups from 'local communities', meaning persons living on or near the relevant forest area.</w:t>
      </w:r>
    </w:p>
    <w:p w14:paraId="17B949A3" w14:textId="77777777" w:rsidR="006F7EF2" w:rsidRDefault="006F7EF2" w:rsidP="001B1CE3">
      <w:pPr>
        <w:pStyle w:val="Bullet3"/>
        <w:tabs>
          <w:tab w:val="num" w:pos="4962"/>
        </w:tabs>
        <w:ind w:left="4253"/>
      </w:pPr>
      <w:bookmarkStart w:id="38" w:name="ForestPermits"/>
      <w:bookmarkEnd w:id="38"/>
      <w:r>
        <w:rPr>
          <w:b/>
          <w:i/>
        </w:rPr>
        <w:t>Community Forest Permit</w:t>
      </w:r>
      <w:r>
        <w:t xml:space="preserve"> — A group of local farmers may apply for a </w:t>
      </w:r>
      <w:r w:rsidRPr="00B447F8">
        <w:t>Community Forest Permit</w:t>
      </w:r>
      <w:r>
        <w:rPr>
          <w:b/>
          <w:i/>
        </w:rPr>
        <w:t xml:space="preserve"> </w:t>
      </w:r>
      <w:r>
        <w:t>(</w:t>
      </w:r>
      <w:r w:rsidRPr="00BC2616">
        <w:rPr>
          <w:i/>
        </w:rPr>
        <w:t>Hutan Kemasyarakatan</w:t>
      </w:r>
      <w:r>
        <w:t xml:space="preserve"> or </w:t>
      </w:r>
      <w:r w:rsidRPr="00BC2616">
        <w:rPr>
          <w:i/>
        </w:rPr>
        <w:t>HKm</w:t>
      </w:r>
      <w:r>
        <w:t>) which has a duration of 35 years and allows them to either:</w:t>
      </w:r>
    </w:p>
    <w:p w14:paraId="3A4AA52B" w14:textId="77777777" w:rsidR="006F7EF2" w:rsidRPr="00561FEF" w:rsidRDefault="006F7EF2" w:rsidP="001B1CE3">
      <w:pPr>
        <w:pStyle w:val="Bullet3"/>
        <w:tabs>
          <w:tab w:val="num" w:pos="5671"/>
        </w:tabs>
        <w:ind w:left="4962"/>
      </w:pPr>
      <w:r w:rsidRPr="00561FEF">
        <w:t xml:space="preserve">harvest non-timber forest products in a </w:t>
      </w:r>
      <w:r>
        <w:t>designated area which is zoned as P</w:t>
      </w:r>
      <w:r w:rsidRPr="00561FEF">
        <w:t xml:space="preserve">rotected </w:t>
      </w:r>
      <w:r>
        <w:t>Forest</w:t>
      </w:r>
      <w:r w:rsidRPr="00561FEF">
        <w:t>; or</w:t>
      </w:r>
    </w:p>
    <w:p w14:paraId="5CAF29E0" w14:textId="77777777" w:rsidR="006F7EF2" w:rsidRDefault="006F7EF2" w:rsidP="001B1CE3">
      <w:pPr>
        <w:pStyle w:val="Bullet3"/>
        <w:tabs>
          <w:tab w:val="num" w:pos="5671"/>
        </w:tabs>
        <w:ind w:left="4962"/>
      </w:pPr>
      <w:r w:rsidRPr="00561FEF">
        <w:t xml:space="preserve">harvest </w:t>
      </w:r>
      <w:r>
        <w:t xml:space="preserve">timber and/or </w:t>
      </w:r>
      <w:r w:rsidRPr="00561FEF">
        <w:t>non-timber forest products</w:t>
      </w:r>
      <w:r>
        <w:t xml:space="preserve"> in a designated area which is zoned as P</w:t>
      </w:r>
      <w:r w:rsidRPr="00561FEF">
        <w:t>ro</w:t>
      </w:r>
      <w:r>
        <w:t>duction Forest.</w:t>
      </w:r>
      <w:r>
        <w:rPr>
          <w:rStyle w:val="FootnoteReference"/>
        </w:rPr>
        <w:footnoteReference w:id="56"/>
      </w:r>
    </w:p>
    <w:p w14:paraId="46E66C9D" w14:textId="77777777" w:rsidR="006F7EF2" w:rsidRPr="009B091A" w:rsidRDefault="006F7EF2" w:rsidP="001B1CE3">
      <w:pPr>
        <w:pStyle w:val="Bullet3"/>
        <w:tabs>
          <w:tab w:val="num" w:pos="3545"/>
        </w:tabs>
        <w:ind w:left="4254"/>
      </w:pPr>
      <w:r w:rsidRPr="00B447F8">
        <w:rPr>
          <w:b/>
          <w:i/>
        </w:rPr>
        <w:t>Village Forest Permit</w:t>
      </w:r>
      <w:r>
        <w:t xml:space="preserve"> — </w:t>
      </w:r>
      <w:r w:rsidRPr="009B091A">
        <w:t xml:space="preserve">A village government or other village-based institution (including customary institutions) may apply for a </w:t>
      </w:r>
      <w:r w:rsidRPr="00B447F8">
        <w:t xml:space="preserve">Village Forest Permit </w:t>
      </w:r>
      <w:r w:rsidRPr="009B091A">
        <w:t>(</w:t>
      </w:r>
      <w:r w:rsidRPr="009B091A">
        <w:rPr>
          <w:i/>
        </w:rPr>
        <w:t xml:space="preserve">Hutan </w:t>
      </w:r>
      <w:r>
        <w:rPr>
          <w:i/>
        </w:rPr>
        <w:t>Desa</w:t>
      </w:r>
      <w:r w:rsidRPr="009B091A">
        <w:t>)</w:t>
      </w:r>
      <w:r>
        <w:t xml:space="preserve"> which has a duration of 35 years and allows the village members to harvest non-timber forest products.</w:t>
      </w:r>
      <w:r>
        <w:rPr>
          <w:rStyle w:val="FootnoteReference"/>
        </w:rPr>
        <w:footnoteReference w:id="57"/>
      </w:r>
      <w:r>
        <w:t xml:space="preserve"> Village Forest Permits may be issued in respect of forest which is designated as Production Forest or Protected Forest.</w:t>
      </w:r>
    </w:p>
    <w:p w14:paraId="10E18EA4" w14:textId="77777777" w:rsidR="006F7EF2" w:rsidRDefault="006F7EF2" w:rsidP="001B1CE3">
      <w:pPr>
        <w:pStyle w:val="Bullet3"/>
        <w:ind w:left="4254"/>
      </w:pPr>
      <w:r w:rsidRPr="003C6A1D">
        <w:rPr>
          <w:b/>
          <w:i/>
        </w:rPr>
        <w:t>Permit for a Community-Based Timber Plantation</w:t>
      </w:r>
      <w:r>
        <w:t xml:space="preserve"> — A local community group may apply for a Permit for a </w:t>
      </w:r>
      <w:r>
        <w:lastRenderedPageBreak/>
        <w:t>Community-Based Timber Plantation which has a duration of 35 years and allows it to establish a timber plantation.</w:t>
      </w:r>
      <w:r>
        <w:rPr>
          <w:rStyle w:val="FootnoteReference"/>
        </w:rPr>
        <w:footnoteReference w:id="58"/>
      </w:r>
      <w:r>
        <w:t xml:space="preserve"> This type of permit can only be issued in respect of an area zoned as Production Forest.</w:t>
      </w:r>
    </w:p>
    <w:p w14:paraId="3829E79F" w14:textId="77777777" w:rsidR="006F7EF2" w:rsidRDefault="006F7EF2" w:rsidP="001B1CE3">
      <w:pPr>
        <w:pStyle w:val="Bullet3"/>
        <w:ind w:left="4254"/>
      </w:pPr>
      <w:r>
        <w:rPr>
          <w:b/>
          <w:i/>
        </w:rPr>
        <w:t xml:space="preserve">Partnership </w:t>
      </w:r>
      <w:r>
        <w:t>— A local community may enter into a Partnership (</w:t>
      </w:r>
      <w:r w:rsidRPr="00AA5337">
        <w:rPr>
          <w:i/>
        </w:rPr>
        <w:t>Kemitraan</w:t>
      </w:r>
      <w:r>
        <w:t>) with a company whereby the local community is entitled to harvest non-timber forest products, while the company is entitled to engage in timber plantation and/or logging.</w:t>
      </w:r>
      <w:r>
        <w:rPr>
          <w:rStyle w:val="FootnoteReference"/>
        </w:rPr>
        <w:footnoteReference w:id="59"/>
      </w:r>
    </w:p>
    <w:p w14:paraId="3AA78186" w14:textId="77777777" w:rsidR="006F7EF2" w:rsidRPr="00144D10" w:rsidRDefault="006F7EF2" w:rsidP="001B1CE3">
      <w:pPr>
        <w:pStyle w:val="NormalIndent"/>
        <w:ind w:left="3545"/>
      </w:pPr>
      <w:r>
        <w:t>The uptake of these forms of tenure by local communities has been very slow due to complex and time-consuming bureaucratic requirements.</w:t>
      </w:r>
      <w:r>
        <w:rPr>
          <w:rStyle w:val="FootnoteReference"/>
        </w:rPr>
        <w:footnoteReference w:id="60"/>
      </w:r>
      <w:r>
        <w:t xml:space="preserve"> As a result, these forms of tenure are not widespread and only exist in relation to a small proportion of State Forest land.</w:t>
      </w:r>
      <w:r>
        <w:rPr>
          <w:rStyle w:val="FootnoteReference"/>
        </w:rPr>
        <w:footnoteReference w:id="61"/>
      </w:r>
    </w:p>
    <w:p w14:paraId="4720C573" w14:textId="77777777" w:rsidR="006F7EF2" w:rsidRDefault="006F7EF2" w:rsidP="00581781">
      <w:pPr>
        <w:pStyle w:val="AllensHeading3"/>
        <w:tabs>
          <w:tab w:val="clear" w:pos="1418"/>
          <w:tab w:val="num" w:pos="1770"/>
        </w:tabs>
        <w:rPr>
          <w:b/>
          <w:lang w:val="en-GB"/>
        </w:rPr>
      </w:pPr>
      <w:r w:rsidRPr="003140E5">
        <w:rPr>
          <w:b/>
          <w:lang w:val="en-GB"/>
        </w:rPr>
        <w:t>Which, if any, of these types of tenure provide a high degree of security of tenure?</w:t>
      </w:r>
    </w:p>
    <w:p w14:paraId="4F43A977" w14:textId="10993A02" w:rsidR="006F7EF2" w:rsidRDefault="001022CF" w:rsidP="00581781">
      <w:pPr>
        <w:pStyle w:val="NormalIndent"/>
        <w:ind w:left="1418"/>
      </w:pPr>
      <w:r>
        <w:t>Unlike</w:t>
      </w:r>
      <w:r w:rsidR="006F7EF2" w:rsidRPr="00B16CBB">
        <w:t xml:space="preserve"> many othe</w:t>
      </w:r>
      <w:r w:rsidR="006F7EF2">
        <w:t xml:space="preserve">r countries in South-East Asia, registration does </w:t>
      </w:r>
      <w:r w:rsidR="006F7EF2" w:rsidRPr="005A3375">
        <w:t xml:space="preserve">not </w:t>
      </w:r>
      <w:r w:rsidR="006F7EF2">
        <w:t xml:space="preserve">provide </w:t>
      </w:r>
      <w:r w:rsidR="006F7EF2" w:rsidRPr="00B16CBB">
        <w:t xml:space="preserve">conclusive proof of </w:t>
      </w:r>
      <w:r w:rsidR="006F7EF2">
        <w:t>the existence of an interest in land</w:t>
      </w:r>
      <w:r w:rsidR="006F7EF2" w:rsidRPr="00B16CBB">
        <w:t>.</w:t>
      </w:r>
      <w:r w:rsidR="00F1452B">
        <w:rPr>
          <w:rStyle w:val="FootnoteReference"/>
        </w:rPr>
        <w:footnoteReference w:id="62"/>
      </w:r>
      <w:r w:rsidR="006F7EF2">
        <w:t xml:space="preserve"> Registration does, however, generally confer a relatively high degree of security of tenure because it constitutes 'strong' evidence of an interest in land.</w:t>
      </w:r>
      <w:r w:rsidR="006F7EF2">
        <w:rPr>
          <w:rStyle w:val="FootnoteReference"/>
        </w:rPr>
        <w:footnoteReference w:id="63"/>
      </w:r>
    </w:p>
    <w:p w14:paraId="71C90827" w14:textId="022E63E5" w:rsidR="006F7EF2" w:rsidRDefault="006F7EF2" w:rsidP="00581781">
      <w:pPr>
        <w:pStyle w:val="NormalIndent"/>
        <w:ind w:left="1418"/>
      </w:pPr>
      <w:r>
        <w:t xml:space="preserve">Therefore, with the exception of the </w:t>
      </w:r>
      <w:r w:rsidRPr="00C41C43">
        <w:rPr>
          <w:i/>
        </w:rPr>
        <w:t>hak pakai</w:t>
      </w:r>
      <w:r>
        <w:t xml:space="preserve">, each </w:t>
      </w:r>
      <w:r w:rsidRPr="00865E57">
        <w:t xml:space="preserve">of the forms of statutory tenure under the </w:t>
      </w:r>
      <w:r w:rsidRPr="00865E57">
        <w:rPr>
          <w:i/>
        </w:rPr>
        <w:t>Agrarian Law</w:t>
      </w:r>
      <w:r w:rsidRPr="00865E57">
        <w:t xml:space="preserve"> identified in </w:t>
      </w:r>
      <w:hyperlink w:anchor="WhatTenureExists" w:history="1">
        <w:r w:rsidRPr="00865E57">
          <w:rPr>
            <w:rStyle w:val="Hyperlink"/>
            <w:color w:val="auto"/>
            <w:u w:val="none"/>
          </w:rPr>
          <w:t>section 2.1(b) above</w:t>
        </w:r>
      </w:hyperlink>
      <w:r w:rsidRPr="00865E57">
        <w:t xml:space="preserve"> </w:t>
      </w:r>
      <w:r>
        <w:t xml:space="preserve">confer a reasonably high degree of security of tenure. A </w:t>
      </w:r>
      <w:r w:rsidRPr="00900B30">
        <w:rPr>
          <w:i/>
        </w:rPr>
        <w:t>hak milik</w:t>
      </w:r>
      <w:r>
        <w:t xml:space="preserve"> provides the highest degree of security of tenure because it is equivalent to freehold title and has an indefinite duration.</w:t>
      </w:r>
    </w:p>
    <w:p w14:paraId="484ABCC6" w14:textId="77777777" w:rsidR="006F7EF2" w:rsidRPr="00205876" w:rsidRDefault="006F7EF2" w:rsidP="00581781">
      <w:pPr>
        <w:pStyle w:val="AllensHeading3"/>
        <w:tabs>
          <w:tab w:val="clear" w:pos="1418"/>
          <w:tab w:val="num" w:pos="2421"/>
        </w:tabs>
        <w:rPr>
          <w:b/>
          <w:lang w:val="en-GB"/>
        </w:rPr>
      </w:pPr>
      <w:bookmarkStart w:id="39" w:name="Section21d"/>
      <w:bookmarkStart w:id="40" w:name="_Ref489205958"/>
      <w:bookmarkEnd w:id="39"/>
      <w:r w:rsidRPr="00205876">
        <w:rPr>
          <w:b/>
          <w:lang w:val="en-GB"/>
        </w:rPr>
        <w:t>How does tenure differ between urban and rural areas? If possible, please provide statistics about the prevalence of each type of tenure in urban and rural areas.</w:t>
      </w:r>
      <w:bookmarkEnd w:id="40"/>
    </w:p>
    <w:p w14:paraId="7638D477" w14:textId="387B091C" w:rsidR="006F7EF2" w:rsidRDefault="006F7EF2" w:rsidP="00581781">
      <w:pPr>
        <w:pStyle w:val="NormalIndent"/>
        <w:ind w:left="1418"/>
      </w:pPr>
      <w:r>
        <w:t>At</w:t>
      </w:r>
      <w:r w:rsidRPr="00555A87">
        <w:t xml:space="preserve"> the time of writing, the </w:t>
      </w:r>
      <w:r>
        <w:t>NLA has not published data regarding</w:t>
      </w:r>
      <w:r w:rsidRPr="00555A87">
        <w:t xml:space="preserve"> the most common types of tenure i</w:t>
      </w:r>
      <w:r>
        <w:t xml:space="preserve">n urban and rural areas in Indonesia. It </w:t>
      </w:r>
      <w:r w:rsidR="001022CF">
        <w:t xml:space="preserve">is </w:t>
      </w:r>
      <w:r>
        <w:t>possible to generalise that customary land is more common in rural areas, while statutory tenure land is more common in urban areas. However, registration has not been</w:t>
      </w:r>
      <w:r w:rsidR="009A7AFF">
        <w:t xml:space="preserve"> widely implemented, with only 30</w:t>
      </w:r>
      <w:r>
        <w:t xml:space="preserve"> per cent of </w:t>
      </w:r>
      <w:r w:rsidR="00FD6542">
        <w:t>Agrarian Law Land b</w:t>
      </w:r>
      <w:r>
        <w:t>eing registered.</w:t>
      </w:r>
      <w:r w:rsidR="00FD6542">
        <w:rPr>
          <w:rStyle w:val="FootnoteReference"/>
        </w:rPr>
        <w:footnoteReference w:id="64"/>
      </w:r>
    </w:p>
    <w:p w14:paraId="7D3BBF94" w14:textId="2FA9363C" w:rsidR="006F7EF2" w:rsidRPr="000C5C8C" w:rsidRDefault="006F7EF2" w:rsidP="00581781">
      <w:pPr>
        <w:pStyle w:val="NormalIndent"/>
        <w:ind w:left="1418"/>
        <w:rPr>
          <w:lang w:eastAsia="zh-CN" w:bidi="hi-IN"/>
        </w:rPr>
      </w:pPr>
      <w:r>
        <w:rPr>
          <w:lang w:eastAsia="zh-CN" w:bidi="hi-IN"/>
        </w:rPr>
        <w:t>T</w:t>
      </w:r>
      <w:r w:rsidRPr="000C5C8C">
        <w:rPr>
          <w:lang w:eastAsia="zh-CN" w:bidi="hi-IN"/>
        </w:rPr>
        <w:t xml:space="preserve">he </w:t>
      </w:r>
      <w:r>
        <w:rPr>
          <w:lang w:eastAsia="zh-CN" w:bidi="hi-IN"/>
        </w:rPr>
        <w:t>MOEF</w:t>
      </w:r>
      <w:r w:rsidRPr="000C5C8C">
        <w:rPr>
          <w:lang w:eastAsia="zh-CN" w:bidi="hi-IN"/>
        </w:rPr>
        <w:t xml:space="preserve"> is </w:t>
      </w:r>
      <w:r>
        <w:rPr>
          <w:lang w:eastAsia="zh-CN" w:bidi="hi-IN"/>
        </w:rPr>
        <w:t xml:space="preserve">currently working with an Indonesian NGO, </w:t>
      </w:r>
      <w:r w:rsidRPr="000C5C8C">
        <w:rPr>
          <w:lang w:eastAsia="zh-CN" w:bidi="hi-IN"/>
        </w:rPr>
        <w:t>the Nusantara Masyarakat Adat Alliance (</w:t>
      </w:r>
      <w:r w:rsidRPr="00CE0AA5">
        <w:rPr>
          <w:i/>
          <w:lang w:eastAsia="zh-CN" w:bidi="hi-IN"/>
        </w:rPr>
        <w:t>Aliansi Masyarakat Adat Nusantara</w:t>
      </w:r>
      <w:r>
        <w:rPr>
          <w:lang w:eastAsia="zh-CN" w:bidi="hi-IN"/>
        </w:rPr>
        <w:t xml:space="preserve"> or </w:t>
      </w:r>
      <w:r w:rsidRPr="00CE0AA5">
        <w:rPr>
          <w:i/>
          <w:lang w:eastAsia="zh-CN" w:bidi="hi-IN"/>
        </w:rPr>
        <w:t>AMAN</w:t>
      </w:r>
      <w:r w:rsidRPr="000C5C8C">
        <w:rPr>
          <w:lang w:eastAsia="zh-CN" w:bidi="hi-IN"/>
        </w:rPr>
        <w:t>)</w:t>
      </w:r>
      <w:r w:rsidR="00F87F3A">
        <w:rPr>
          <w:lang w:eastAsia="zh-CN" w:bidi="hi-IN"/>
        </w:rPr>
        <w:t xml:space="preserve">, to prepare a </w:t>
      </w:r>
      <w:r>
        <w:rPr>
          <w:lang w:eastAsia="zh-CN" w:bidi="hi-IN"/>
        </w:rPr>
        <w:t>large-</w:t>
      </w:r>
      <w:r w:rsidRPr="000C5C8C">
        <w:rPr>
          <w:lang w:eastAsia="zh-CN" w:bidi="hi-IN"/>
        </w:rPr>
        <w:t xml:space="preserve">scale mapping </w:t>
      </w:r>
      <w:r>
        <w:rPr>
          <w:lang w:eastAsia="zh-CN" w:bidi="hi-IN"/>
        </w:rPr>
        <w:t>of customary land.</w:t>
      </w:r>
      <w:r>
        <w:rPr>
          <w:rStyle w:val="FootnoteReference"/>
          <w:lang w:eastAsia="zh-CN" w:bidi="hi-IN"/>
        </w:rPr>
        <w:footnoteReference w:id="65"/>
      </w:r>
      <w:r>
        <w:rPr>
          <w:lang w:eastAsia="zh-CN" w:bidi="hi-IN"/>
        </w:rPr>
        <w:t xml:space="preserve"> </w:t>
      </w:r>
      <w:r w:rsidRPr="000C5C8C">
        <w:rPr>
          <w:lang w:eastAsia="zh-CN" w:bidi="hi-IN"/>
        </w:rPr>
        <w:t>In some district's AMAN's customary land map</w:t>
      </w:r>
      <w:r>
        <w:rPr>
          <w:lang w:eastAsia="zh-CN" w:bidi="hi-IN"/>
        </w:rPr>
        <w:t xml:space="preserve">ping is already </w:t>
      </w:r>
      <w:r>
        <w:rPr>
          <w:lang w:eastAsia="zh-CN" w:bidi="hi-IN"/>
        </w:rPr>
        <w:lastRenderedPageBreak/>
        <w:t>complete and has been submitted to the relevant regional government.</w:t>
      </w:r>
      <w:r>
        <w:rPr>
          <w:rStyle w:val="FootnoteReference"/>
          <w:lang w:eastAsia="zh-CN" w:bidi="hi-IN"/>
        </w:rPr>
        <w:footnoteReference w:id="66"/>
      </w:r>
      <w:r>
        <w:rPr>
          <w:lang w:eastAsia="zh-CN" w:bidi="hi-IN"/>
        </w:rPr>
        <w:t xml:space="preserve"> AMAN may, therefore, be able to provide resources regarding the location and boundaries of customary land.</w:t>
      </w:r>
    </w:p>
    <w:p w14:paraId="7831959C" w14:textId="77777777" w:rsidR="006F7EF2" w:rsidRPr="00EA2AB0" w:rsidRDefault="006F7EF2" w:rsidP="00581781">
      <w:pPr>
        <w:pStyle w:val="AllensHeading3"/>
        <w:tabs>
          <w:tab w:val="clear" w:pos="1418"/>
          <w:tab w:val="num" w:pos="2421"/>
        </w:tabs>
        <w:rPr>
          <w:b/>
          <w:lang w:val="en-GB"/>
        </w:rPr>
      </w:pPr>
      <w:bookmarkStart w:id="41" w:name="MainGovernmentActors"/>
      <w:bookmarkEnd w:id="41"/>
      <w:r w:rsidRPr="00EA2AB0">
        <w:rPr>
          <w:b/>
          <w:lang w:val="en-GB"/>
        </w:rPr>
        <w:t>What are the main government and non-government bodies (eg, representative bodies) which administer or deal with housing, land and property?</w:t>
      </w:r>
    </w:p>
    <w:p w14:paraId="214583D3" w14:textId="77777777" w:rsidR="006F7EF2" w:rsidRDefault="006F7EF2" w:rsidP="00581781">
      <w:pPr>
        <w:pStyle w:val="AllensHeading4"/>
        <w:tabs>
          <w:tab w:val="clear" w:pos="2126"/>
          <w:tab w:val="num" w:pos="3129"/>
        </w:tabs>
        <w:rPr>
          <w:b/>
          <w:lang w:val="en-GB"/>
        </w:rPr>
      </w:pPr>
      <w:r>
        <w:rPr>
          <w:b/>
          <w:lang w:val="en-GB"/>
        </w:rPr>
        <w:t>Agrarian Law land</w:t>
      </w:r>
    </w:p>
    <w:p w14:paraId="02DEFCC3" w14:textId="77777777" w:rsidR="006F7EF2" w:rsidRPr="00932C97" w:rsidRDefault="006F7EF2" w:rsidP="00581781">
      <w:pPr>
        <w:pStyle w:val="NormalIndent"/>
        <w:ind w:left="2127"/>
      </w:pPr>
      <w:r w:rsidRPr="00932C97">
        <w:rPr>
          <w:lang w:eastAsia="zh-CN" w:bidi="hi-IN"/>
        </w:rPr>
        <w:t>The</w:t>
      </w:r>
      <w:r w:rsidRPr="00932C97">
        <w:t xml:space="preserve"> </w:t>
      </w:r>
      <w:r>
        <w:t>NLA (</w:t>
      </w:r>
      <w:r w:rsidRPr="007169A6">
        <w:rPr>
          <w:i/>
        </w:rPr>
        <w:t>Badan Pertanahan Nasional</w:t>
      </w:r>
      <w:r w:rsidRPr="0034133A">
        <w:t xml:space="preserve"> </w:t>
      </w:r>
      <w:r>
        <w:t xml:space="preserve">or </w:t>
      </w:r>
      <w:r w:rsidRPr="0034133A">
        <w:t>BPN</w:t>
      </w:r>
      <w:r>
        <w:t xml:space="preserve">) is responsible </w:t>
      </w:r>
      <w:r w:rsidRPr="00932C97">
        <w:t>fo</w:t>
      </w:r>
      <w:r>
        <w:t xml:space="preserve">r administering land governed by the </w:t>
      </w:r>
      <w:r w:rsidRPr="00693238">
        <w:rPr>
          <w:i/>
        </w:rPr>
        <w:t>Agrarian Law</w:t>
      </w:r>
      <w:r w:rsidRPr="00932C97">
        <w:t>.</w:t>
      </w:r>
      <w:r w:rsidRPr="00932C97">
        <w:rPr>
          <w:rStyle w:val="FootnoteReference"/>
          <w:rFonts w:cs="Arial"/>
          <w:lang w:val="en-GB"/>
        </w:rPr>
        <w:footnoteReference w:id="67"/>
      </w:r>
      <w:r w:rsidRPr="00932C97">
        <w:t xml:space="preserve"> </w:t>
      </w:r>
      <w:r>
        <w:t>It operates at three levels:</w:t>
      </w:r>
    </w:p>
    <w:p w14:paraId="3F9386C7" w14:textId="77777777" w:rsidR="006F7EF2" w:rsidRPr="00932C97" w:rsidRDefault="006F7EF2" w:rsidP="001B1CE3">
      <w:pPr>
        <w:pStyle w:val="Bullet3"/>
        <w:ind w:left="2836"/>
      </w:pPr>
      <w:r>
        <w:t>t</w:t>
      </w:r>
      <w:r w:rsidRPr="00932C97">
        <w:t xml:space="preserve">he Central </w:t>
      </w:r>
      <w:r>
        <w:t>NLA is responsible for</w:t>
      </w:r>
      <w:r w:rsidRPr="00932C97">
        <w:t xml:space="preserve"> national land administration;</w:t>
      </w:r>
    </w:p>
    <w:p w14:paraId="19A65425" w14:textId="77777777" w:rsidR="006F7EF2" w:rsidRPr="00932C97" w:rsidRDefault="006F7EF2" w:rsidP="001B1CE3">
      <w:pPr>
        <w:pStyle w:val="Bullet3"/>
        <w:ind w:left="2836"/>
      </w:pPr>
      <w:r>
        <w:t>the Provincial Offices, are responsible for</w:t>
      </w:r>
      <w:r w:rsidRPr="00932C97">
        <w:t xml:space="preserve"> land administration at</w:t>
      </w:r>
      <w:r>
        <w:t xml:space="preserve"> the provincial</w:t>
      </w:r>
      <w:r w:rsidRPr="00932C97">
        <w:t xml:space="preserve"> level; and</w:t>
      </w:r>
    </w:p>
    <w:p w14:paraId="1CF6BD60" w14:textId="77777777" w:rsidR="006F7EF2" w:rsidRDefault="006F7EF2" w:rsidP="001B1CE3">
      <w:pPr>
        <w:pStyle w:val="Bullet3"/>
        <w:ind w:left="2836"/>
      </w:pPr>
      <w:r>
        <w:t xml:space="preserve">the </w:t>
      </w:r>
      <w:r w:rsidRPr="00932C97">
        <w:t>Land Offices</w:t>
      </w:r>
      <w:r>
        <w:t xml:space="preserve"> are responsible for</w:t>
      </w:r>
      <w:r w:rsidRPr="00932C97">
        <w:t xml:space="preserve"> land administration at the regency </w:t>
      </w:r>
      <w:r>
        <w:t xml:space="preserve">and city </w:t>
      </w:r>
      <w:r w:rsidRPr="00932C97">
        <w:t>level.</w:t>
      </w:r>
      <w:r w:rsidRPr="00932C97">
        <w:rPr>
          <w:rStyle w:val="FootnoteReference"/>
          <w:lang w:val="en-GB"/>
        </w:rPr>
        <w:footnoteReference w:id="68"/>
      </w:r>
    </w:p>
    <w:p w14:paraId="40CBCC9D" w14:textId="77777777" w:rsidR="006F7EF2" w:rsidRDefault="006F7EF2" w:rsidP="00581781">
      <w:pPr>
        <w:pStyle w:val="Bullet3"/>
        <w:numPr>
          <w:ilvl w:val="0"/>
          <w:numId w:val="0"/>
        </w:numPr>
        <w:ind w:left="2126"/>
      </w:pPr>
      <w:r>
        <w:t xml:space="preserve">The NLA is part of the </w:t>
      </w:r>
      <w:r w:rsidRPr="001D40A6">
        <w:t>Ministry of Agrarian and Spatial Planning</w:t>
      </w:r>
      <w:r>
        <w:t>.</w:t>
      </w:r>
    </w:p>
    <w:p w14:paraId="65757A79" w14:textId="77777777" w:rsidR="006F7EF2" w:rsidRPr="0083404D" w:rsidRDefault="006F7EF2" w:rsidP="00581781">
      <w:pPr>
        <w:pStyle w:val="AllensHeading4"/>
        <w:tabs>
          <w:tab w:val="clear" w:pos="2126"/>
          <w:tab w:val="num" w:pos="3041"/>
        </w:tabs>
        <w:rPr>
          <w:b/>
          <w:lang w:val="en-GB"/>
        </w:rPr>
      </w:pPr>
      <w:r>
        <w:rPr>
          <w:b/>
          <w:lang w:val="en-GB"/>
        </w:rPr>
        <w:t>F</w:t>
      </w:r>
      <w:r w:rsidRPr="0083404D">
        <w:rPr>
          <w:b/>
          <w:lang w:val="en-GB"/>
        </w:rPr>
        <w:t>orest land</w:t>
      </w:r>
    </w:p>
    <w:p w14:paraId="66E8732F" w14:textId="77777777" w:rsidR="006F7EF2" w:rsidRDefault="006F7EF2" w:rsidP="00581781">
      <w:pPr>
        <w:pStyle w:val="NormalIndent"/>
        <w:ind w:left="2127"/>
      </w:pPr>
      <w:r>
        <w:t>Responsibility for administering Indonesia's forest land, which accounts for two-thirds of the country's land mass, is shared between national and local governments as follows:</w:t>
      </w:r>
    </w:p>
    <w:p w14:paraId="7E97BC3E" w14:textId="77777777" w:rsidR="006F7EF2" w:rsidRPr="00BC3311" w:rsidRDefault="006F7EF2" w:rsidP="001B1CE3">
      <w:pPr>
        <w:pStyle w:val="Bullet3"/>
        <w:ind w:left="2836"/>
      </w:pPr>
      <w:r w:rsidRPr="00DB7927">
        <w:t>Production Forest</w:t>
      </w:r>
      <w:r>
        <w:t xml:space="preserve"> is administered by MOEF;</w:t>
      </w:r>
    </w:p>
    <w:p w14:paraId="1E1DA57D" w14:textId="77777777" w:rsidR="006F7EF2" w:rsidRPr="00BC3311" w:rsidRDefault="006F7EF2" w:rsidP="001B1CE3">
      <w:pPr>
        <w:pStyle w:val="Bullet3"/>
        <w:ind w:left="2836"/>
      </w:pPr>
      <w:r w:rsidRPr="00DB7927">
        <w:t>Conservation Forest</w:t>
      </w:r>
      <w:r>
        <w:t xml:space="preserve"> is administered by national parks authorities which are part of the MOEF; and</w:t>
      </w:r>
    </w:p>
    <w:p w14:paraId="726275C3" w14:textId="77777777" w:rsidR="006F7EF2" w:rsidRPr="00EE3D4E" w:rsidRDefault="006F7EF2" w:rsidP="001B1CE3">
      <w:pPr>
        <w:pStyle w:val="Bullet3"/>
        <w:ind w:left="2836"/>
      </w:pPr>
      <w:r w:rsidRPr="00DB7927">
        <w:t xml:space="preserve">Protection Forest </w:t>
      </w:r>
      <w:r>
        <w:t>is administered by local governments (ie, regency, city or sub-district governments).</w:t>
      </w:r>
      <w:r>
        <w:rPr>
          <w:rStyle w:val="FootnoteReference"/>
        </w:rPr>
        <w:footnoteReference w:id="69"/>
      </w:r>
    </w:p>
    <w:p w14:paraId="464CB360" w14:textId="77777777" w:rsidR="006F7EF2" w:rsidRPr="00EE3D4E" w:rsidRDefault="006F7EF2" w:rsidP="00581781">
      <w:pPr>
        <w:pStyle w:val="AllensHeading4"/>
        <w:tabs>
          <w:tab w:val="clear" w:pos="2126"/>
          <w:tab w:val="num" w:pos="3041"/>
        </w:tabs>
        <w:rPr>
          <w:b/>
          <w:lang w:val="en-GB"/>
        </w:rPr>
      </w:pPr>
      <w:r w:rsidRPr="00EE3D4E">
        <w:rPr>
          <w:b/>
          <w:lang w:val="en-GB"/>
        </w:rPr>
        <w:t>Planning</w:t>
      </w:r>
    </w:p>
    <w:p w14:paraId="078A352F" w14:textId="224607A5" w:rsidR="003B34F3" w:rsidRDefault="006F7EF2" w:rsidP="00581781">
      <w:pPr>
        <w:pStyle w:val="NormalIndent"/>
        <w:ind w:left="2127"/>
      </w:pPr>
      <w:r>
        <w:t>Responsibility for developing and implementing planning law and policy is shared between the first three tiers of government (ie, national, provincial and city/regency government).</w:t>
      </w:r>
      <w:r>
        <w:rPr>
          <w:rStyle w:val="FootnoteReference"/>
        </w:rPr>
        <w:footnoteReference w:id="70"/>
      </w:r>
      <w:r>
        <w:t xml:space="preserve"> The Coordinating Agency for National Spatial Planning (</w:t>
      </w:r>
      <w:r w:rsidRPr="00B74CB3">
        <w:rPr>
          <w:i/>
        </w:rPr>
        <w:t>Badan Koordinasi Penataan Ruang Nasional</w:t>
      </w:r>
      <w:r w:rsidRPr="0034133A">
        <w:t xml:space="preserve"> </w:t>
      </w:r>
      <w:r>
        <w:t>or BKPRN) is responsible for coordinating planning activities across all three levels of government.</w:t>
      </w:r>
      <w:r>
        <w:rPr>
          <w:rStyle w:val="FootnoteReference"/>
        </w:rPr>
        <w:footnoteReference w:id="71"/>
      </w:r>
    </w:p>
    <w:p w14:paraId="73A0151D" w14:textId="77777777" w:rsidR="003B34F3" w:rsidRDefault="003B34F3">
      <w:pPr>
        <w:spacing w:before="0" w:line="240" w:lineRule="auto"/>
      </w:pPr>
      <w:r>
        <w:br w:type="page"/>
      </w:r>
    </w:p>
    <w:p w14:paraId="5C26EE3D" w14:textId="77777777" w:rsidR="006F7EF2" w:rsidRDefault="006F7EF2" w:rsidP="00581781">
      <w:pPr>
        <w:pStyle w:val="AllensHeading2"/>
        <w:tabs>
          <w:tab w:val="clear" w:pos="709"/>
          <w:tab w:val="num" w:pos="1624"/>
        </w:tabs>
        <w:rPr>
          <w:lang w:val="en-GB"/>
        </w:rPr>
      </w:pPr>
      <w:bookmarkStart w:id="42" w:name="_Toc512946254"/>
      <w:r>
        <w:rPr>
          <w:lang w:val="en-GB"/>
        </w:rPr>
        <w:lastRenderedPageBreak/>
        <w:t>Documenting tenure</w:t>
      </w:r>
      <w:bookmarkEnd w:id="42"/>
    </w:p>
    <w:p w14:paraId="5C8E93C4" w14:textId="77777777" w:rsidR="006F7EF2" w:rsidRPr="000A425D" w:rsidRDefault="006F7EF2" w:rsidP="00581781">
      <w:pPr>
        <w:pStyle w:val="AllensHeading3"/>
        <w:tabs>
          <w:tab w:val="clear" w:pos="1418"/>
          <w:tab w:val="num" w:pos="2333"/>
        </w:tabs>
        <w:rPr>
          <w:b/>
          <w:lang w:val="en-GB"/>
        </w:rPr>
      </w:pPr>
      <w:r w:rsidRPr="000A425D">
        <w:rPr>
          <w:b/>
          <w:lang w:val="en-GB"/>
        </w:rPr>
        <w:t>What statutory instruments or legal documents (eg, title deed or leases) are used to create or transfer tenure?</w:t>
      </w:r>
    </w:p>
    <w:p w14:paraId="64C7BED6" w14:textId="77777777" w:rsidR="006F7EF2" w:rsidRDefault="006F7EF2" w:rsidP="00581781">
      <w:pPr>
        <w:pStyle w:val="AllensHeading4"/>
        <w:tabs>
          <w:tab w:val="clear" w:pos="2126"/>
          <w:tab w:val="num" w:pos="3041"/>
        </w:tabs>
        <w:rPr>
          <w:b/>
          <w:lang w:val="en-GB"/>
        </w:rPr>
      </w:pPr>
      <w:bookmarkStart w:id="43" w:name="Sectionai"/>
      <w:bookmarkStart w:id="44" w:name="StatutoryTenure"/>
      <w:bookmarkStart w:id="45" w:name="_Ref489206002"/>
      <w:bookmarkEnd w:id="43"/>
      <w:bookmarkEnd w:id="44"/>
      <w:r>
        <w:rPr>
          <w:b/>
          <w:lang w:val="en-GB"/>
        </w:rPr>
        <w:t>Statutory tenure</w:t>
      </w:r>
      <w:bookmarkEnd w:id="45"/>
    </w:p>
    <w:p w14:paraId="5DF10283" w14:textId="77777777" w:rsidR="006F7EF2" w:rsidRDefault="006F7EF2" w:rsidP="00581781">
      <w:pPr>
        <w:pStyle w:val="NormalIndent"/>
        <w:ind w:left="2127"/>
      </w:pPr>
      <w:r>
        <w:t xml:space="preserve">The creation, transfer, encumbrance or nullification of a </w:t>
      </w:r>
      <w:r w:rsidRPr="00894A46">
        <w:rPr>
          <w:i/>
        </w:rPr>
        <w:t>hak milik</w:t>
      </w:r>
      <w:r>
        <w:t xml:space="preserve">, </w:t>
      </w:r>
      <w:r w:rsidRPr="00894A46">
        <w:rPr>
          <w:i/>
        </w:rPr>
        <w:t>hak guna-usaha</w:t>
      </w:r>
      <w:r>
        <w:t xml:space="preserve"> or </w:t>
      </w:r>
      <w:r w:rsidRPr="00894A46">
        <w:rPr>
          <w:i/>
        </w:rPr>
        <w:t>hak guna-bangunan</w:t>
      </w:r>
      <w:r>
        <w:t xml:space="preserve"> </w:t>
      </w:r>
      <w:r w:rsidRPr="009B05EC">
        <w:t>must</w:t>
      </w:r>
      <w:r>
        <w:t xml:space="preserve"> be registered.</w:t>
      </w:r>
      <w:r>
        <w:rPr>
          <w:rStyle w:val="FootnoteReference"/>
        </w:rPr>
        <w:footnoteReference w:id="72"/>
      </w:r>
      <w:r>
        <w:t xml:space="preserve"> In order to be registrable, </w:t>
      </w:r>
      <w:r w:rsidRPr="00497969">
        <w:t xml:space="preserve">a deed </w:t>
      </w:r>
      <w:r>
        <w:t xml:space="preserve">recording the transaction must be executed </w:t>
      </w:r>
      <w:r w:rsidRPr="00497969">
        <w:t>before a Land Deed Official</w:t>
      </w:r>
      <w:r>
        <w:t xml:space="preserve"> </w:t>
      </w:r>
      <w:r w:rsidRPr="00497969">
        <w:t>(</w:t>
      </w:r>
      <w:r w:rsidRPr="00497969">
        <w:rPr>
          <w:i/>
        </w:rPr>
        <w:t>Pejabat Pembuat Akta Tanah</w:t>
      </w:r>
      <w:r>
        <w:t xml:space="preserve"> or </w:t>
      </w:r>
      <w:r w:rsidRPr="00EB4921">
        <w:rPr>
          <w:i/>
        </w:rPr>
        <w:t>PPAT</w:t>
      </w:r>
      <w:r w:rsidRPr="00497969">
        <w:t xml:space="preserve">) </w:t>
      </w:r>
      <w:r w:rsidRPr="0092340F">
        <w:t>in the</w:t>
      </w:r>
      <w:r>
        <w:t xml:space="preserve"> </w:t>
      </w:r>
      <w:r w:rsidRPr="0092340F">
        <w:t>province where</w:t>
      </w:r>
      <w:r w:rsidRPr="00497969">
        <w:t xml:space="preserve"> the land is located</w:t>
      </w:r>
      <w:r>
        <w:t>. Upon registration, the NLA issues a land certificate (</w:t>
      </w:r>
      <w:r w:rsidRPr="000757FE">
        <w:rPr>
          <w:i/>
        </w:rPr>
        <w:t>Sertifikat Tanah</w:t>
      </w:r>
      <w:r>
        <w:t>) accompanied by a survey certificate (</w:t>
      </w:r>
      <w:r w:rsidRPr="000757FE">
        <w:rPr>
          <w:i/>
        </w:rPr>
        <w:t>Surat Ukur</w:t>
      </w:r>
      <w:r>
        <w:t>) which documents the location and dimensions of the land.</w:t>
      </w:r>
      <w:r w:rsidRPr="001305AA">
        <w:rPr>
          <w:rStyle w:val="FootnoteReference"/>
          <w:rFonts w:cs="Arial"/>
          <w:lang w:val="en-GB"/>
        </w:rPr>
        <w:footnoteReference w:id="73"/>
      </w:r>
    </w:p>
    <w:p w14:paraId="01FA5594" w14:textId="77777777" w:rsidR="006F7EF2" w:rsidRPr="00826908" w:rsidRDefault="006F7EF2" w:rsidP="00581781">
      <w:pPr>
        <w:pStyle w:val="AllensHeading4"/>
        <w:keepNext/>
        <w:tabs>
          <w:tab w:val="clear" w:pos="2126"/>
          <w:tab w:val="num" w:pos="3041"/>
        </w:tabs>
        <w:rPr>
          <w:b/>
          <w:lang w:val="en-GB"/>
        </w:rPr>
      </w:pPr>
      <w:bookmarkStart w:id="46" w:name="Section22aii"/>
      <w:bookmarkStart w:id="47" w:name="_Ref489203570"/>
      <w:bookmarkEnd w:id="46"/>
      <w:r w:rsidRPr="00826908">
        <w:rPr>
          <w:b/>
          <w:lang w:val="en-GB"/>
        </w:rPr>
        <w:t>Customary tenure</w:t>
      </w:r>
      <w:bookmarkEnd w:id="47"/>
    </w:p>
    <w:p w14:paraId="7BB1B726" w14:textId="68A56026" w:rsidR="006F7EF2" w:rsidRDefault="006F7EF2" w:rsidP="00581781">
      <w:pPr>
        <w:ind w:left="2127"/>
      </w:pPr>
      <w:r>
        <w:t>As indicate</w:t>
      </w:r>
      <w:r w:rsidRPr="00865E57">
        <w:t xml:space="preserve">d in </w:t>
      </w:r>
      <w:hyperlink w:anchor="CustomaryTenure" w:history="1">
        <w:r w:rsidRPr="00865E57">
          <w:rPr>
            <w:rStyle w:val="Hyperlink"/>
            <w:color w:val="auto"/>
            <w:u w:val="none"/>
          </w:rPr>
          <w:t xml:space="preserve">section </w:t>
        </w:r>
        <w:r w:rsidR="00865E57" w:rsidRPr="00865E57">
          <w:rPr>
            <w:rStyle w:val="Hyperlink"/>
            <w:color w:val="auto"/>
            <w:u w:val="none"/>
          </w:rPr>
          <w:t xml:space="preserve">2.1(b)(i)(B) </w:t>
        </w:r>
        <w:r w:rsidRPr="00865E57">
          <w:rPr>
            <w:rStyle w:val="Hyperlink"/>
            <w:color w:val="auto"/>
            <w:u w:val="none"/>
          </w:rPr>
          <w:t>above</w:t>
        </w:r>
      </w:hyperlink>
      <w:r>
        <w:t xml:space="preserve">, it is now possible for customary land to be registered. </w:t>
      </w:r>
    </w:p>
    <w:p w14:paraId="6BCC2956" w14:textId="77777777" w:rsidR="006F7EF2" w:rsidRDefault="006F7EF2" w:rsidP="00581781">
      <w:pPr>
        <w:ind w:left="2127"/>
      </w:pPr>
      <w:r>
        <w:t xml:space="preserve">Legal recognition of a </w:t>
      </w:r>
      <w:r w:rsidRPr="00304F84">
        <w:rPr>
          <w:i/>
        </w:rPr>
        <w:t>masyarakat adat</w:t>
      </w:r>
      <w:r>
        <w:rPr>
          <w:i/>
        </w:rPr>
        <w:t xml:space="preserve"> </w:t>
      </w:r>
      <w:r>
        <w:t xml:space="preserve">is a pre-requisite to the registration of customary land. In order to be legally recognised, a </w:t>
      </w:r>
      <w:r w:rsidRPr="00C92FBC">
        <w:rPr>
          <w:i/>
        </w:rPr>
        <w:t>masyarakat adat</w:t>
      </w:r>
      <w:r>
        <w:rPr>
          <w:i/>
        </w:rPr>
        <w:t xml:space="preserve"> </w:t>
      </w:r>
      <w:r w:rsidRPr="00180E17">
        <w:t xml:space="preserve">must participate in a </w:t>
      </w:r>
      <w:r>
        <w:t xml:space="preserve">verification process requiring it to identify its </w:t>
      </w:r>
      <w:r w:rsidRPr="000C5C8C">
        <w:t xml:space="preserve">history, </w:t>
      </w:r>
      <w:r>
        <w:t>traditional lands, customary law and governance.</w:t>
      </w:r>
      <w:r>
        <w:rPr>
          <w:rStyle w:val="FootnoteReference"/>
        </w:rPr>
        <w:footnoteReference w:id="74"/>
      </w:r>
    </w:p>
    <w:p w14:paraId="125AB4AB" w14:textId="77777777" w:rsidR="006F7EF2" w:rsidRDefault="006F7EF2" w:rsidP="00581781">
      <w:pPr>
        <w:ind w:left="2127"/>
      </w:pPr>
      <w:r>
        <w:t xml:space="preserve">Once recognised, a </w:t>
      </w:r>
      <w:r w:rsidRPr="00AF7AE6">
        <w:rPr>
          <w:i/>
        </w:rPr>
        <w:t>masyarakat adat</w:t>
      </w:r>
      <w:r w:rsidRPr="00AF7AE6">
        <w:t xml:space="preserve"> m</w:t>
      </w:r>
      <w:r>
        <w:t>ay apply to register its customary land by submitting an application to the regent or mayor of the area where its</w:t>
      </w:r>
      <w:r w:rsidRPr="00AF7AE6">
        <w:t xml:space="preserve"> customary land is located</w:t>
      </w:r>
      <w:r>
        <w:t xml:space="preserve">. If </w:t>
      </w:r>
      <w:r w:rsidRPr="00AF7AE6">
        <w:t>the customary land is located across the borders of more than one</w:t>
      </w:r>
      <w:r>
        <w:t xml:space="preserve"> regency or </w:t>
      </w:r>
      <w:r w:rsidRPr="00AF7AE6">
        <w:t>city</w:t>
      </w:r>
      <w:r>
        <w:t>,</w:t>
      </w:r>
      <w:r w:rsidRPr="00AF7AE6">
        <w:t xml:space="preserve"> the application must be submitted to the provincial governor.</w:t>
      </w:r>
      <w:r w:rsidRPr="00AF7AE6">
        <w:rPr>
          <w:rStyle w:val="FootnoteReference"/>
          <w:rFonts w:cs="Arial"/>
          <w:lang w:val="en-GB"/>
        </w:rPr>
        <w:footnoteReference w:id="75"/>
      </w:r>
    </w:p>
    <w:p w14:paraId="3CD1B14E" w14:textId="77777777" w:rsidR="006F7EF2" w:rsidRPr="000E7E26" w:rsidRDefault="006F7EF2" w:rsidP="00581781">
      <w:pPr>
        <w:ind w:left="2127"/>
      </w:pPr>
      <w:r>
        <w:rPr>
          <w:lang w:val="en-GB"/>
        </w:rPr>
        <w:t>In addition to proving that it has been legally recognised, t</w:t>
      </w:r>
      <w:r w:rsidRPr="000E7E26">
        <w:rPr>
          <w:lang w:val="en-GB"/>
        </w:rPr>
        <w:t xml:space="preserve">he </w:t>
      </w:r>
      <w:r w:rsidRPr="000E7E26">
        <w:rPr>
          <w:i/>
        </w:rPr>
        <w:t>masyarakat adat</w:t>
      </w:r>
      <w:r>
        <w:t xml:space="preserve"> must prove:</w:t>
      </w:r>
    </w:p>
    <w:p w14:paraId="538BC51E" w14:textId="77777777" w:rsidR="006F7EF2" w:rsidRPr="00A7609D" w:rsidRDefault="006F7EF2" w:rsidP="001B1CE3">
      <w:pPr>
        <w:pStyle w:val="Bullet3"/>
        <w:ind w:left="2836"/>
      </w:pPr>
      <w:r w:rsidRPr="00A7609D">
        <w:t>the community still lives in association;</w:t>
      </w:r>
    </w:p>
    <w:p w14:paraId="3415EA30" w14:textId="77777777" w:rsidR="006F7EF2" w:rsidRPr="00A7609D" w:rsidRDefault="006F7EF2" w:rsidP="001B1CE3">
      <w:pPr>
        <w:pStyle w:val="Bullet3"/>
        <w:ind w:left="2836"/>
      </w:pPr>
      <w:r w:rsidRPr="00A7609D">
        <w:t>there is a customary hierarchy or social structure;</w:t>
      </w:r>
    </w:p>
    <w:p w14:paraId="47C6088E" w14:textId="77777777" w:rsidR="006F7EF2" w:rsidRPr="00A7609D" w:rsidRDefault="006F7EF2" w:rsidP="001B1CE3">
      <w:pPr>
        <w:pStyle w:val="Bullet3"/>
        <w:ind w:left="2836"/>
      </w:pPr>
      <w:r w:rsidRPr="00A7609D">
        <w:t>the territory to which the customary laws apply is clearly defined; and</w:t>
      </w:r>
    </w:p>
    <w:p w14:paraId="1343169E" w14:textId="77777777" w:rsidR="006F7EF2" w:rsidRPr="00A7609D" w:rsidRDefault="006F7EF2" w:rsidP="001B1CE3">
      <w:pPr>
        <w:pStyle w:val="Bullet3"/>
        <w:ind w:left="2836"/>
      </w:pPr>
      <w:r w:rsidRPr="00A7609D">
        <w:t>traditional laws and authorities are still observed.</w:t>
      </w:r>
    </w:p>
    <w:p w14:paraId="0FC75583" w14:textId="77777777" w:rsidR="006F7EF2" w:rsidRPr="00BA23D6" w:rsidRDefault="006F7EF2" w:rsidP="001B1CE3">
      <w:pPr>
        <w:pStyle w:val="Bullet3"/>
        <w:ind w:left="2836"/>
      </w:pPr>
      <w:r>
        <w:t>it</w:t>
      </w:r>
      <w:r w:rsidRPr="00BA23D6">
        <w:t xml:space="preserve"> has physically occupied the land for at least 10 consecutive</w:t>
      </w:r>
      <w:r>
        <w:t xml:space="preserve"> years</w:t>
      </w:r>
      <w:r w:rsidRPr="00BA23D6">
        <w:t>;</w:t>
      </w:r>
    </w:p>
    <w:p w14:paraId="6D283936" w14:textId="77777777" w:rsidR="006F7EF2" w:rsidRPr="00BA23D6" w:rsidRDefault="006F7EF2" w:rsidP="001B1CE3">
      <w:pPr>
        <w:pStyle w:val="Bullet3"/>
        <w:ind w:left="2836"/>
      </w:pPr>
      <w:r>
        <w:t>the group still uses</w:t>
      </w:r>
      <w:r w:rsidRPr="00BA23D6">
        <w:t xml:space="preserve"> the land to support </w:t>
      </w:r>
      <w:r>
        <w:t>its</w:t>
      </w:r>
      <w:r w:rsidRPr="00BA23D6">
        <w:t xml:space="preserve"> daily needs;</w:t>
      </w:r>
    </w:p>
    <w:p w14:paraId="3B27B66B" w14:textId="77777777" w:rsidR="006F7EF2" w:rsidRPr="00BA23D6" w:rsidRDefault="006F7EF2" w:rsidP="001B1CE3">
      <w:pPr>
        <w:pStyle w:val="Bullet3"/>
        <w:ind w:left="2836"/>
      </w:pPr>
      <w:r w:rsidRPr="00BA23D6">
        <w:t xml:space="preserve">the land is the </w:t>
      </w:r>
      <w:r>
        <w:t>main source of the group's livelihood</w:t>
      </w:r>
      <w:r w:rsidRPr="00BA23D6">
        <w:t>; and</w:t>
      </w:r>
    </w:p>
    <w:p w14:paraId="7D8DECA0" w14:textId="346945BE" w:rsidR="006F7EF2" w:rsidRPr="00BA23D6" w:rsidRDefault="006F7EF2" w:rsidP="001B1CE3">
      <w:pPr>
        <w:pStyle w:val="Bullet3"/>
        <w:ind w:left="2836"/>
      </w:pPr>
      <w:r w:rsidRPr="00BA23D6">
        <w:t>the</w:t>
      </w:r>
      <w:r>
        <w:t xml:space="preserve"> land forms part of the group's social and economic activities</w:t>
      </w:r>
      <w:r w:rsidRPr="00BA23D6">
        <w:t>.</w:t>
      </w:r>
      <w:r w:rsidR="004175B2">
        <w:rPr>
          <w:rStyle w:val="FootnoteReference"/>
        </w:rPr>
        <w:footnoteReference w:id="76"/>
      </w:r>
    </w:p>
    <w:p w14:paraId="48BBBA73" w14:textId="77777777" w:rsidR="006F7EF2" w:rsidRPr="00613939" w:rsidRDefault="006F7EF2" w:rsidP="001B1CE3">
      <w:pPr>
        <w:pStyle w:val="NormalIndent"/>
        <w:ind w:left="2127"/>
      </w:pPr>
      <w:r>
        <w:rPr>
          <w:lang w:val="en-GB"/>
        </w:rPr>
        <w:t xml:space="preserve">Upon receipt of an application, the regent, mayor or governor will verify whether the information about the </w:t>
      </w:r>
      <w:r w:rsidRPr="00AF7AE6">
        <w:rPr>
          <w:i/>
        </w:rPr>
        <w:t>masyarakat adat</w:t>
      </w:r>
      <w:r>
        <w:t xml:space="preserve"> and its land is correct</w:t>
      </w:r>
      <w:r>
        <w:rPr>
          <w:lang w:val="en-GB"/>
        </w:rPr>
        <w:t xml:space="preserve">. If the application is successful, communal land rights will be recognised and granted, </w:t>
      </w:r>
      <w:r>
        <w:rPr>
          <w:lang w:val="en-GB"/>
        </w:rPr>
        <w:lastRenderedPageBreak/>
        <w:t xml:space="preserve">either to all members of the </w:t>
      </w:r>
      <w:r w:rsidRPr="00AF7AE6">
        <w:rPr>
          <w:i/>
        </w:rPr>
        <w:t>masyarakat adat</w:t>
      </w:r>
      <w:r>
        <w:t>, or to the group's leader on behalf of its members.</w:t>
      </w:r>
      <w:r w:rsidRPr="00AF7AE6">
        <w:rPr>
          <w:rStyle w:val="FootnoteReference"/>
          <w:rFonts w:cs="Arial"/>
          <w:lang w:val="en-GB"/>
        </w:rPr>
        <w:footnoteReference w:id="77"/>
      </w:r>
      <w:r>
        <w:t xml:space="preserve"> Subsequently, the </w:t>
      </w:r>
      <w:r w:rsidRPr="00AF7AE6">
        <w:rPr>
          <w:i/>
        </w:rPr>
        <w:t>masyarakat adat</w:t>
      </w:r>
      <w:r>
        <w:rPr>
          <w:i/>
        </w:rPr>
        <w:t>'s</w:t>
      </w:r>
      <w:r>
        <w:t xml:space="preserve"> group rights must be registered with the NLA.</w:t>
      </w:r>
      <w:r w:rsidRPr="00AF7AE6">
        <w:rPr>
          <w:rStyle w:val="FootnoteReference"/>
          <w:rFonts w:cs="Arial"/>
          <w:lang w:val="en-GB"/>
        </w:rPr>
        <w:footnoteReference w:id="78"/>
      </w:r>
    </w:p>
    <w:p w14:paraId="64EC9F13" w14:textId="77777777" w:rsidR="006F7EF2" w:rsidRDefault="006F7EF2" w:rsidP="00581781">
      <w:pPr>
        <w:pStyle w:val="AllensHeading3"/>
        <w:tabs>
          <w:tab w:val="clear" w:pos="1418"/>
          <w:tab w:val="num" w:pos="4937"/>
        </w:tabs>
        <w:rPr>
          <w:b/>
          <w:lang w:val="en-GB"/>
        </w:rPr>
      </w:pPr>
      <w:r w:rsidRPr="00826908">
        <w:rPr>
          <w:b/>
          <w:lang w:val="en-GB"/>
        </w:rPr>
        <w:t>What non-legal document or actions (eg, verbal agreement or handshakes) are used to create or transfer tenure?</w:t>
      </w:r>
    </w:p>
    <w:p w14:paraId="649F78D0" w14:textId="36B61B34" w:rsidR="006F7EF2" w:rsidRPr="003E0F57" w:rsidRDefault="006F7EF2" w:rsidP="00581781">
      <w:pPr>
        <w:pStyle w:val="NormalIndent"/>
        <w:ind w:left="1418"/>
        <w:rPr>
          <w:lang w:val="en-GB"/>
        </w:rPr>
      </w:pPr>
      <w:r w:rsidRPr="005D62B5">
        <w:rPr>
          <w:lang w:val="en-GB"/>
        </w:rPr>
        <w:t xml:space="preserve">The system of </w:t>
      </w:r>
      <w:r>
        <w:rPr>
          <w:lang w:val="en-GB"/>
        </w:rPr>
        <w:t xml:space="preserve">executing and registering deeds described in </w:t>
      </w:r>
      <w:hyperlink w:anchor="Sectionai" w:history="1">
        <w:r w:rsidRPr="00865E57">
          <w:rPr>
            <w:rStyle w:val="Hyperlink"/>
            <w:color w:val="auto"/>
            <w:u w:val="none"/>
            <w:lang w:val="en-GB"/>
          </w:rPr>
          <w:t>section</w:t>
        </w:r>
        <w:r w:rsidR="00865E57" w:rsidRPr="00865E57">
          <w:rPr>
            <w:rStyle w:val="Hyperlink"/>
            <w:color w:val="auto"/>
            <w:u w:val="none"/>
            <w:lang w:val="en-GB"/>
          </w:rPr>
          <w:t xml:space="preserve"> (a)(i)</w:t>
        </w:r>
        <w:r w:rsidRPr="00865E57">
          <w:rPr>
            <w:rStyle w:val="Hyperlink"/>
            <w:color w:val="auto"/>
            <w:u w:val="none"/>
            <w:lang w:val="en-GB"/>
          </w:rPr>
          <w:t xml:space="preserve"> above</w:t>
        </w:r>
      </w:hyperlink>
      <w:r>
        <w:rPr>
          <w:lang w:val="en-GB"/>
        </w:rPr>
        <w:t xml:space="preserve"> is very expensive due to high fees charged by PPATs and substantial taxes collected by the NLA.</w:t>
      </w:r>
      <w:r>
        <w:rPr>
          <w:rStyle w:val="FootnoteReference"/>
        </w:rPr>
        <w:footnoteReference w:id="79"/>
      </w:r>
      <w:r>
        <w:rPr>
          <w:lang w:val="en-GB"/>
        </w:rPr>
        <w:t xml:space="preserve"> As a result, informal conveyancing is very common.</w:t>
      </w:r>
      <w:r>
        <w:rPr>
          <w:rStyle w:val="FootnoteReference"/>
        </w:rPr>
        <w:footnoteReference w:id="80"/>
      </w:r>
      <w:r>
        <w:rPr>
          <w:lang w:val="en-GB"/>
        </w:rPr>
        <w:t xml:space="preserve"> For example, deeds may be executed but not registered, or tenure may be created or transferred pursuant to verbal agreements.</w:t>
      </w:r>
    </w:p>
    <w:p w14:paraId="54EAA664" w14:textId="144AD507" w:rsidR="006F7EF2" w:rsidRPr="007B5DB2" w:rsidRDefault="006F7EF2" w:rsidP="00581781">
      <w:pPr>
        <w:pStyle w:val="NormalIndent"/>
        <w:ind w:left="1418"/>
        <w:rPr>
          <w:bCs/>
          <w:iCs/>
          <w:lang w:val="en-GB"/>
        </w:rPr>
      </w:pPr>
      <w:r w:rsidRPr="003E0F57">
        <w:t xml:space="preserve">As stated in </w:t>
      </w:r>
      <w:hyperlink w:anchor="Section21d" w:history="1">
        <w:r w:rsidRPr="003E0F57">
          <w:rPr>
            <w:rStyle w:val="Hyperlink"/>
            <w:color w:val="auto"/>
            <w:u w:val="none"/>
          </w:rPr>
          <w:t xml:space="preserve">section </w:t>
        </w:r>
        <w:r w:rsidR="003E0F57" w:rsidRPr="003E0F57">
          <w:rPr>
            <w:rStyle w:val="Hyperlink"/>
            <w:color w:val="auto"/>
            <w:u w:val="none"/>
          </w:rPr>
          <w:t xml:space="preserve">2.1(d) </w:t>
        </w:r>
        <w:r w:rsidR="00FD6542" w:rsidRPr="003E0F57">
          <w:rPr>
            <w:rStyle w:val="Hyperlink"/>
            <w:color w:val="auto"/>
            <w:u w:val="none"/>
          </w:rPr>
          <w:t>above</w:t>
        </w:r>
      </w:hyperlink>
      <w:r w:rsidR="00FD6542" w:rsidRPr="003E0F57">
        <w:t>,</w:t>
      </w:r>
      <w:r w:rsidR="00FD6542">
        <w:t xml:space="preserve"> only 30 per cent of Agrarian Law Land is </w:t>
      </w:r>
      <w:r>
        <w:t>registered</w:t>
      </w:r>
      <w:r w:rsidR="00FD6542">
        <w:t>, leaving an estimated 60 million land parcels unregistered</w:t>
      </w:r>
      <w:r>
        <w:t>.</w:t>
      </w:r>
      <w:r w:rsidR="00FD6542">
        <w:rPr>
          <w:rStyle w:val="FootnoteReference"/>
        </w:rPr>
        <w:footnoteReference w:id="81"/>
      </w:r>
      <w:r>
        <w:t xml:space="preserve"> Land tax receipts are commonly used to prove ownership</w:t>
      </w:r>
      <w:r w:rsidRPr="00144D10">
        <w:rPr>
          <w:bCs/>
          <w:iCs/>
          <w:lang w:val="en-GB"/>
        </w:rPr>
        <w:t xml:space="preserve"> o</w:t>
      </w:r>
      <w:r>
        <w:rPr>
          <w:bCs/>
          <w:iCs/>
          <w:lang w:val="en-GB"/>
        </w:rPr>
        <w:t>r possession o</w:t>
      </w:r>
      <w:r w:rsidRPr="00144D10">
        <w:rPr>
          <w:bCs/>
          <w:iCs/>
          <w:lang w:val="en-GB"/>
        </w:rPr>
        <w:t xml:space="preserve">f unregistered </w:t>
      </w:r>
      <w:r>
        <w:rPr>
          <w:bCs/>
          <w:iCs/>
          <w:lang w:val="en-GB"/>
        </w:rPr>
        <w:t>land.</w:t>
      </w:r>
      <w:r>
        <w:rPr>
          <w:rStyle w:val="FootnoteReference"/>
        </w:rPr>
        <w:footnoteReference w:id="82"/>
      </w:r>
      <w:r w:rsidRPr="00144D10">
        <w:rPr>
          <w:bCs/>
          <w:iCs/>
          <w:lang w:val="en-GB"/>
        </w:rPr>
        <w:t xml:space="preserve"> </w:t>
      </w:r>
      <w:r>
        <w:rPr>
          <w:bCs/>
          <w:iCs/>
          <w:lang w:val="en-GB"/>
        </w:rPr>
        <w:t xml:space="preserve">There are several Indonesian terms for land tax receipts, depending on the type of land tax paid. Some of the terms are: </w:t>
      </w:r>
      <w:r w:rsidRPr="007B5DB2">
        <w:rPr>
          <w:bCs/>
          <w:i/>
          <w:iCs/>
        </w:rPr>
        <w:t>Petuk Pajak Bumi</w:t>
      </w:r>
      <w:r w:rsidRPr="00226C4E">
        <w:rPr>
          <w:bCs/>
          <w:iCs/>
        </w:rPr>
        <w:t xml:space="preserve">, </w:t>
      </w:r>
      <w:r w:rsidRPr="007B5DB2">
        <w:rPr>
          <w:bCs/>
          <w:i/>
          <w:iCs/>
        </w:rPr>
        <w:t>Landrente</w:t>
      </w:r>
      <w:r w:rsidRPr="00226C4E">
        <w:rPr>
          <w:bCs/>
          <w:iCs/>
        </w:rPr>
        <w:t xml:space="preserve">, </w:t>
      </w:r>
      <w:r w:rsidRPr="007B5DB2">
        <w:rPr>
          <w:bCs/>
          <w:i/>
          <w:iCs/>
        </w:rPr>
        <w:t>girik, pipil</w:t>
      </w:r>
      <w:r w:rsidRPr="00226C4E">
        <w:rPr>
          <w:bCs/>
          <w:iCs/>
        </w:rPr>
        <w:t xml:space="preserve">, </w:t>
      </w:r>
      <w:r>
        <w:rPr>
          <w:bCs/>
          <w:i/>
          <w:iCs/>
        </w:rPr>
        <w:t>Pethok D</w:t>
      </w:r>
      <w:r w:rsidRPr="00226C4E">
        <w:rPr>
          <w:bCs/>
          <w:iCs/>
        </w:rPr>
        <w:t>,</w:t>
      </w:r>
      <w:r>
        <w:rPr>
          <w:bCs/>
          <w:i/>
          <w:iCs/>
        </w:rPr>
        <w:t xml:space="preserve"> Letter C </w:t>
      </w:r>
      <w:r w:rsidRPr="007B5DB2">
        <w:rPr>
          <w:bCs/>
          <w:i/>
          <w:iCs/>
        </w:rPr>
        <w:t>or ketitir</w:t>
      </w:r>
      <w:r>
        <w:rPr>
          <w:bCs/>
          <w:iCs/>
        </w:rPr>
        <w:t>.</w:t>
      </w:r>
      <w:r>
        <w:rPr>
          <w:rStyle w:val="FootnoteReference"/>
          <w:bCs/>
          <w:iCs/>
        </w:rPr>
        <w:footnoteReference w:id="83"/>
      </w:r>
    </w:p>
    <w:p w14:paraId="48FE3A92" w14:textId="343607DB" w:rsidR="006F7EF2" w:rsidRDefault="006F7EF2" w:rsidP="00581781">
      <w:pPr>
        <w:pStyle w:val="NormalIndent"/>
        <w:ind w:left="1418"/>
        <w:rPr>
          <w:lang w:val="en-GB"/>
        </w:rPr>
      </w:pPr>
      <w:r>
        <w:rPr>
          <w:lang w:val="en-GB"/>
        </w:rPr>
        <w:t>In response to the limited uptake of land registration and the prevalence of informal conveyancing, in 1997 the national government introduced regulations providing that, if a person wishes to register their land, they may prove ownership using tax receipts, unregistered deeds, or deeds which have not been witnessed by a PPAT.</w:t>
      </w:r>
      <w:r>
        <w:rPr>
          <w:rStyle w:val="FootnoteReference"/>
        </w:rPr>
        <w:footnoteReference w:id="84"/>
      </w:r>
      <w:r>
        <w:rPr>
          <w:lang w:val="en-GB"/>
        </w:rPr>
        <w:t xml:space="preserve"> These documents may, therefore, be used to evidence tenure.</w:t>
      </w:r>
    </w:p>
    <w:p w14:paraId="5C19D0A0" w14:textId="77777777" w:rsidR="006F7EF2" w:rsidRDefault="006F7EF2" w:rsidP="00581781">
      <w:pPr>
        <w:pStyle w:val="AllensHeading2"/>
        <w:tabs>
          <w:tab w:val="clear" w:pos="709"/>
          <w:tab w:val="num" w:pos="4344"/>
        </w:tabs>
        <w:rPr>
          <w:lang w:val="en-GB"/>
        </w:rPr>
      </w:pPr>
      <w:bookmarkStart w:id="48" w:name="_Toc512946255"/>
      <w:r>
        <w:rPr>
          <w:lang w:val="en-GB"/>
        </w:rPr>
        <w:t>Customary ownership</w:t>
      </w:r>
      <w:bookmarkEnd w:id="48"/>
    </w:p>
    <w:p w14:paraId="65655EF1" w14:textId="77777777" w:rsidR="006F7EF2" w:rsidRPr="00BF18D9" w:rsidRDefault="006F7EF2" w:rsidP="00581781">
      <w:pPr>
        <w:pStyle w:val="AllensHeading3"/>
        <w:tabs>
          <w:tab w:val="clear" w:pos="1418"/>
          <w:tab w:val="num" w:pos="4995"/>
        </w:tabs>
        <w:rPr>
          <w:rFonts w:eastAsiaTheme="minorHAnsi"/>
        </w:rPr>
      </w:pPr>
      <w:bookmarkStart w:id="49" w:name="Section23a"/>
      <w:bookmarkStart w:id="50" w:name="_Ref489208122"/>
      <w:bookmarkEnd w:id="49"/>
      <w:r w:rsidRPr="009248E2">
        <w:rPr>
          <w:b/>
          <w:lang w:val="en-US"/>
        </w:rPr>
        <w:t>Is customary ownership of land legally recognized? If so, what is the basis for legal recognition</w:t>
      </w:r>
      <w:r>
        <w:rPr>
          <w:b/>
          <w:lang w:val="en-US"/>
        </w:rPr>
        <w:t>?</w:t>
      </w:r>
      <w:bookmarkEnd w:id="50"/>
    </w:p>
    <w:p w14:paraId="7CF83510" w14:textId="5B05E54D" w:rsidR="006F7EF2" w:rsidRDefault="006F7EF2" w:rsidP="00581781">
      <w:pPr>
        <w:pStyle w:val="NormalIndent"/>
        <w:ind w:left="1418"/>
      </w:pPr>
      <w:r>
        <w:rPr>
          <w:rFonts w:eastAsiaTheme="minorHAnsi"/>
        </w:rPr>
        <w:t xml:space="preserve">As indicated in </w:t>
      </w:r>
      <w:hyperlink w:anchor="CustomaryTenure" w:history="1">
        <w:r w:rsidRPr="00351B43">
          <w:rPr>
            <w:rStyle w:val="Hyperlink"/>
            <w:rFonts w:eastAsiaTheme="minorHAnsi"/>
            <w:color w:val="auto"/>
            <w:u w:val="none"/>
          </w:rPr>
          <w:t xml:space="preserve">sections </w:t>
        </w:r>
        <w:r w:rsidR="00351B43" w:rsidRPr="00351B43">
          <w:rPr>
            <w:rStyle w:val="Hyperlink"/>
            <w:rFonts w:eastAsiaTheme="minorHAnsi"/>
            <w:color w:val="auto"/>
            <w:u w:val="none"/>
          </w:rPr>
          <w:t>2.1(b)(i)(B</w:t>
        </w:r>
      </w:hyperlink>
      <w:r w:rsidR="00351B43" w:rsidRPr="00351B43">
        <w:rPr>
          <w:rFonts w:eastAsiaTheme="minorHAnsi"/>
        </w:rPr>
        <w:t>)</w:t>
      </w:r>
      <w:r w:rsidRPr="00351B43">
        <w:rPr>
          <w:rFonts w:eastAsiaTheme="minorHAnsi"/>
        </w:rPr>
        <w:t xml:space="preserve"> </w:t>
      </w:r>
      <w:r>
        <w:rPr>
          <w:rFonts w:eastAsiaTheme="minorHAnsi"/>
        </w:rPr>
        <w:t>an</w:t>
      </w:r>
      <w:r w:rsidRPr="00351B43">
        <w:rPr>
          <w:rFonts w:eastAsiaTheme="minorHAnsi"/>
        </w:rPr>
        <w:t xml:space="preserve">d </w:t>
      </w:r>
      <w:hyperlink w:anchor="Section22aii" w:history="1">
        <w:r w:rsidR="00351B43" w:rsidRPr="00351B43">
          <w:rPr>
            <w:rStyle w:val="Hyperlink"/>
            <w:rFonts w:eastAsiaTheme="minorHAnsi"/>
            <w:color w:val="auto"/>
            <w:u w:val="none"/>
          </w:rPr>
          <w:t xml:space="preserve">2.2(a)(ii) </w:t>
        </w:r>
        <w:r w:rsidRPr="00351B43">
          <w:rPr>
            <w:rStyle w:val="Hyperlink"/>
            <w:rFonts w:eastAsiaTheme="minorHAnsi"/>
            <w:color w:val="auto"/>
            <w:u w:val="none"/>
          </w:rPr>
          <w:t>above</w:t>
        </w:r>
      </w:hyperlink>
      <w:r w:rsidRPr="00351B43">
        <w:rPr>
          <w:rFonts w:eastAsiaTheme="minorHAnsi"/>
        </w:rPr>
        <w:t xml:space="preserve">, </w:t>
      </w:r>
      <w:r>
        <w:rPr>
          <w:rFonts w:eastAsiaTheme="minorHAnsi"/>
        </w:rPr>
        <w:t xml:space="preserve">customary ownership of land may be legally recognised. Following the introduction of </w:t>
      </w:r>
      <w:r w:rsidRPr="00E22E05">
        <w:rPr>
          <w:i/>
        </w:rPr>
        <w:t>Regulation 10/2016</w:t>
      </w:r>
      <w:r>
        <w:rPr>
          <w:rFonts w:eastAsiaTheme="minorHAnsi"/>
        </w:rPr>
        <w:t xml:space="preserve">, </w:t>
      </w:r>
      <w:r w:rsidRPr="00CE27FA">
        <w:rPr>
          <w:rFonts w:eastAsiaTheme="minorHAnsi"/>
        </w:rPr>
        <w:t>indigenous communities (</w:t>
      </w:r>
      <w:r w:rsidRPr="00CE27FA">
        <w:rPr>
          <w:rFonts w:eastAsiaTheme="minorHAnsi"/>
          <w:i/>
        </w:rPr>
        <w:t>masyarakat adat</w:t>
      </w:r>
      <w:r>
        <w:rPr>
          <w:rFonts w:eastAsiaTheme="minorHAnsi"/>
        </w:rPr>
        <w:t>) are able to</w:t>
      </w:r>
      <w:r w:rsidRPr="00CE27FA">
        <w:rPr>
          <w:rFonts w:eastAsiaTheme="minorHAnsi"/>
        </w:rPr>
        <w:t xml:space="preserve"> register their customary land (</w:t>
      </w:r>
      <w:r w:rsidRPr="00CE27FA">
        <w:rPr>
          <w:rFonts w:eastAsiaTheme="minorHAnsi"/>
          <w:i/>
        </w:rPr>
        <w:t>hak ulayat</w:t>
      </w:r>
      <w:r w:rsidRPr="00CE27FA">
        <w:rPr>
          <w:rFonts w:eastAsiaTheme="minorHAnsi"/>
        </w:rPr>
        <w:t>).</w:t>
      </w:r>
    </w:p>
    <w:p w14:paraId="5918AE22" w14:textId="035A5800" w:rsidR="006F7EF2" w:rsidRDefault="006F7EF2" w:rsidP="00581781">
      <w:pPr>
        <w:pStyle w:val="NormalIndent"/>
        <w:ind w:left="1418"/>
      </w:pPr>
      <w:r>
        <w:t xml:space="preserve">In theory, the introduction of </w:t>
      </w:r>
      <w:r w:rsidRPr="00E22E05">
        <w:rPr>
          <w:i/>
        </w:rPr>
        <w:t>Regulation 10/2016</w:t>
      </w:r>
      <w:r w:rsidRPr="00AF7AE6">
        <w:t xml:space="preserve"> </w:t>
      </w:r>
      <w:r>
        <w:t>means</w:t>
      </w:r>
      <w:r w:rsidRPr="00AF7AE6">
        <w:t xml:space="preserve"> there is now a process to ensure that communal rights can be as secure as freehold ownership (</w:t>
      </w:r>
      <w:r w:rsidRPr="00AF7AE6">
        <w:rPr>
          <w:i/>
        </w:rPr>
        <w:t>hak mili</w:t>
      </w:r>
      <w:r>
        <w:rPr>
          <w:i/>
        </w:rPr>
        <w:t>k</w:t>
      </w:r>
      <w:r>
        <w:t xml:space="preserve">). </w:t>
      </w:r>
      <w:r w:rsidRPr="00AF7AE6">
        <w:t>If this process is widely implemented, it could result in significant empowerment of indigenous communities throughout Indonesia</w:t>
      </w:r>
      <w:r>
        <w:t>. However, as dis</w:t>
      </w:r>
      <w:r w:rsidRPr="00351B43">
        <w:t xml:space="preserve">cussed in </w:t>
      </w:r>
      <w:hyperlink w:anchor="Section32c" w:history="1">
        <w:r w:rsidRPr="00351B43">
          <w:rPr>
            <w:rStyle w:val="Hyperlink"/>
            <w:color w:val="auto"/>
            <w:u w:val="none"/>
          </w:rPr>
          <w:t xml:space="preserve">section </w:t>
        </w:r>
        <w:r w:rsidR="00351B43" w:rsidRPr="00351B43">
          <w:rPr>
            <w:rStyle w:val="Hyperlink"/>
            <w:color w:val="auto"/>
            <w:u w:val="none"/>
          </w:rPr>
          <w:t>3.2(c)</w:t>
        </w:r>
        <w:r w:rsidRPr="00351B43">
          <w:rPr>
            <w:rStyle w:val="Hyperlink"/>
            <w:color w:val="auto"/>
            <w:u w:val="none"/>
          </w:rPr>
          <w:t xml:space="preserve"> below</w:t>
        </w:r>
      </w:hyperlink>
      <w:r w:rsidRPr="00351B43">
        <w:t>, the</w:t>
      </w:r>
      <w:r>
        <w:t>re are many anticipated challenges to this new system.</w:t>
      </w:r>
    </w:p>
    <w:p w14:paraId="22DD29D7" w14:textId="77777777" w:rsidR="006F7EF2" w:rsidRPr="00946A68" w:rsidRDefault="006F7EF2" w:rsidP="00581781">
      <w:pPr>
        <w:pStyle w:val="AllensHeading3"/>
        <w:tabs>
          <w:tab w:val="clear" w:pos="1418"/>
          <w:tab w:val="num" w:pos="5227"/>
        </w:tabs>
        <w:rPr>
          <w:rFonts w:eastAsiaTheme="minorHAnsi"/>
        </w:rPr>
      </w:pPr>
      <w:r w:rsidRPr="009248E2">
        <w:rPr>
          <w:rFonts w:eastAsiaTheme="minorHAnsi"/>
          <w:b/>
          <w:lang w:val="en-US"/>
        </w:rPr>
        <w:t>What are</w:t>
      </w:r>
      <w:r>
        <w:rPr>
          <w:rFonts w:eastAsiaTheme="minorHAnsi"/>
          <w:b/>
          <w:lang w:val="en-US"/>
        </w:rPr>
        <w:t xml:space="preserve"> the sources of customary rules?</w:t>
      </w:r>
    </w:p>
    <w:p w14:paraId="199AEEA1" w14:textId="5D74BD80" w:rsidR="006F7EF2" w:rsidRDefault="006F7EF2" w:rsidP="00581781">
      <w:pPr>
        <w:pStyle w:val="NormalIndent"/>
        <w:ind w:left="1418"/>
      </w:pPr>
      <w:r>
        <w:t>C</w:t>
      </w:r>
      <w:r w:rsidRPr="006B5E9E">
        <w:t xml:space="preserve">ustomary rules </w:t>
      </w:r>
      <w:r>
        <w:t xml:space="preserve">comprise the traditional norms and practices adopted by each </w:t>
      </w:r>
      <w:r w:rsidRPr="007A0274">
        <w:rPr>
          <w:i/>
        </w:rPr>
        <w:t>masyarakat adat</w:t>
      </w:r>
      <w:r>
        <w:t>. Customary rules are</w:t>
      </w:r>
      <w:r w:rsidR="002B1220">
        <w:t xml:space="preserve"> generally</w:t>
      </w:r>
      <w:r>
        <w:t xml:space="preserve"> not codified in writing, meaning that they </w:t>
      </w:r>
      <w:r>
        <w:lastRenderedPageBreak/>
        <w:t xml:space="preserve">may be ascertained from members of the </w:t>
      </w:r>
      <w:r w:rsidRPr="00E6007D">
        <w:rPr>
          <w:i/>
        </w:rPr>
        <w:t>masyarakat adat</w:t>
      </w:r>
      <w:r>
        <w:t xml:space="preserve"> itself, or secondary sources recording the </w:t>
      </w:r>
      <w:r w:rsidRPr="00E6007D">
        <w:rPr>
          <w:i/>
        </w:rPr>
        <w:t>masyarakat adat's</w:t>
      </w:r>
      <w:r>
        <w:t xml:space="preserve"> norms and practices.</w:t>
      </w:r>
    </w:p>
    <w:p w14:paraId="67C161F0" w14:textId="77777777" w:rsidR="006F7EF2" w:rsidRPr="00E6007D" w:rsidRDefault="006F7EF2" w:rsidP="00781988">
      <w:pPr>
        <w:pStyle w:val="NormalIndent"/>
        <w:numPr>
          <w:ilvl w:val="2"/>
          <w:numId w:val="4"/>
        </w:numPr>
        <w:tabs>
          <w:tab w:val="clear" w:pos="1418"/>
          <w:tab w:val="num" w:pos="5227"/>
        </w:tabs>
      </w:pPr>
      <w:r w:rsidRPr="00E6007D">
        <w:rPr>
          <w:b/>
          <w:lang w:val="en-US"/>
        </w:rPr>
        <w:t>What are the customary rules governing housing, land and property?</w:t>
      </w:r>
    </w:p>
    <w:p w14:paraId="00D73106" w14:textId="77777777" w:rsidR="006F7EF2" w:rsidRPr="00C7138F" w:rsidRDefault="006F7EF2" w:rsidP="00581781">
      <w:pPr>
        <w:pStyle w:val="AllensHeading4"/>
        <w:tabs>
          <w:tab w:val="clear" w:pos="2126"/>
          <w:tab w:val="num" w:pos="5935"/>
        </w:tabs>
        <w:rPr>
          <w:b/>
        </w:rPr>
      </w:pPr>
      <w:r w:rsidRPr="00C7138F">
        <w:rPr>
          <w:b/>
        </w:rPr>
        <w:t xml:space="preserve">Patrilineal, matrilineal and </w:t>
      </w:r>
      <w:r>
        <w:rPr>
          <w:b/>
        </w:rPr>
        <w:t>bilateral</w:t>
      </w:r>
      <w:r w:rsidRPr="00C7138F">
        <w:rPr>
          <w:b/>
        </w:rPr>
        <w:t xml:space="preserve"> kinship systems</w:t>
      </w:r>
    </w:p>
    <w:p w14:paraId="5A8057D1" w14:textId="77777777" w:rsidR="006F7EF2" w:rsidRDefault="006F7EF2" w:rsidP="00581781">
      <w:pPr>
        <w:pStyle w:val="NormalIndent"/>
        <w:ind w:left="2127"/>
      </w:pPr>
      <w:r>
        <w:t xml:space="preserve">The customary rules governing land inheritance and ownership are closely tied to whether a </w:t>
      </w:r>
      <w:r w:rsidRPr="00B6551E">
        <w:rPr>
          <w:i/>
        </w:rPr>
        <w:t>masyarakat adat</w:t>
      </w:r>
      <w:r>
        <w:t xml:space="preserve"> practices </w:t>
      </w:r>
      <w:r w:rsidRPr="00E6007D">
        <w:t>patrilineal, matrilineal, or bilateral descent</w:t>
      </w:r>
      <w:r>
        <w:t>. All three forms of kinship system are prevalent in Indonesia, albeit to different extents.</w:t>
      </w:r>
    </w:p>
    <w:p w14:paraId="08B5E651" w14:textId="77777777" w:rsidR="006F7EF2" w:rsidRPr="00E6007D" w:rsidRDefault="006F7EF2" w:rsidP="001B1CE3">
      <w:pPr>
        <w:pStyle w:val="Bullet3"/>
        <w:ind w:left="2836"/>
      </w:pPr>
      <w:r w:rsidRPr="00E6007D">
        <w:t xml:space="preserve">Patrilineal descent </w:t>
      </w:r>
      <w:r>
        <w:t>is the most common type of kinship system and is highly prevalent</w:t>
      </w:r>
      <w:r w:rsidRPr="00E6007D">
        <w:t xml:space="preserve"> in Sumatra, Kalimantan, Maluku, Sulawesi, and the Eastern Lesser Sundas.</w:t>
      </w:r>
    </w:p>
    <w:p w14:paraId="455153E5" w14:textId="77777777" w:rsidR="006F7EF2" w:rsidRPr="00E6007D" w:rsidRDefault="006F7EF2" w:rsidP="001B1CE3">
      <w:pPr>
        <w:pStyle w:val="Bullet3"/>
        <w:ind w:left="2836"/>
      </w:pPr>
      <w:r>
        <w:t>Matrilineal descent</w:t>
      </w:r>
      <w:r w:rsidRPr="00E6007D">
        <w:t xml:space="preserve"> is </w:t>
      </w:r>
      <w:r>
        <w:t xml:space="preserve">far less prevalent but is practiced by some </w:t>
      </w:r>
      <w:r w:rsidRPr="00E6007D">
        <w:rPr>
          <w:i/>
        </w:rPr>
        <w:t>masyarakat adat</w:t>
      </w:r>
      <w:r w:rsidRPr="00E6007D">
        <w:t>, such as the M</w:t>
      </w:r>
      <w:r>
        <w:t>inangkabau of West Sumatra and S</w:t>
      </w:r>
      <w:r w:rsidRPr="00E6007D">
        <w:t>outhern Tetun of West Timor.</w:t>
      </w:r>
    </w:p>
    <w:p w14:paraId="5C0C40F2" w14:textId="77777777" w:rsidR="006F7EF2" w:rsidRPr="00E6007D" w:rsidRDefault="006F7EF2" w:rsidP="001B1CE3">
      <w:pPr>
        <w:pStyle w:val="Bullet3"/>
        <w:ind w:left="2836"/>
      </w:pPr>
      <w:r w:rsidRPr="00E6007D">
        <w:t xml:space="preserve">Some </w:t>
      </w:r>
      <w:r w:rsidRPr="00E6007D">
        <w:rPr>
          <w:i/>
        </w:rPr>
        <w:t>masyarakat adat</w:t>
      </w:r>
      <w:r>
        <w:t xml:space="preserve"> in Kalimantan, </w:t>
      </w:r>
      <w:r w:rsidRPr="00E6007D">
        <w:t>Sulawesi</w:t>
      </w:r>
      <w:r>
        <w:t xml:space="preserve"> and </w:t>
      </w:r>
      <w:r w:rsidRPr="00E6007D">
        <w:t xml:space="preserve">Java </w:t>
      </w:r>
      <w:r>
        <w:t>have bilateral kinship systems.</w:t>
      </w:r>
    </w:p>
    <w:p w14:paraId="5D246C10" w14:textId="14FC06A3" w:rsidR="006F7EF2" w:rsidRDefault="006F7EF2" w:rsidP="00581781">
      <w:pPr>
        <w:pStyle w:val="NormalIndent"/>
        <w:ind w:left="2126"/>
      </w:pPr>
      <w:r w:rsidRPr="00E6007D">
        <w:t xml:space="preserve">In patrilineal </w:t>
      </w:r>
      <w:r>
        <w:t>kinship systems</w:t>
      </w:r>
      <w:r w:rsidRPr="00E6007D">
        <w:t xml:space="preserve">, </w:t>
      </w:r>
      <w:r>
        <w:t>a woman does not generally inherit her father's property, nor does she co-own her husband's property. She is, instead, is entitled to use property owned by male family members and her husband.</w:t>
      </w:r>
      <w:r>
        <w:rPr>
          <w:rStyle w:val="FootnoteReference"/>
        </w:rPr>
        <w:footnoteReference w:id="85"/>
      </w:r>
      <w:r>
        <w:t xml:space="preserve"> In contrast, in matrilineal kinship systems, land is generally inherited from mother-to-daughter.</w:t>
      </w:r>
      <w:r>
        <w:rPr>
          <w:rStyle w:val="FootnoteReference"/>
        </w:rPr>
        <w:footnoteReference w:id="86"/>
      </w:r>
    </w:p>
    <w:p w14:paraId="59528E15" w14:textId="3860EBA4" w:rsidR="006F7EF2" w:rsidRDefault="006F7EF2" w:rsidP="00581781">
      <w:pPr>
        <w:pStyle w:val="NormalIndent"/>
        <w:ind w:left="2126"/>
      </w:pPr>
      <w:r>
        <w:t xml:space="preserve">There are, </w:t>
      </w:r>
      <w:r w:rsidR="0030221C">
        <w:t xml:space="preserve">of course, </w:t>
      </w:r>
      <w:r>
        <w:t>exceptions to these generalisations. For example, in Bataknese groups in North Sumatra, a woma</w:t>
      </w:r>
      <w:r w:rsidRPr="00552F88">
        <w:t xml:space="preserve">n </w:t>
      </w:r>
      <w:r>
        <w:t>may</w:t>
      </w:r>
      <w:r w:rsidRPr="00552F88">
        <w:t xml:space="preserve"> own </w:t>
      </w:r>
      <w:r>
        <w:t>property</w:t>
      </w:r>
      <w:r w:rsidRPr="00552F88">
        <w:t xml:space="preserve"> individually based on </w:t>
      </w:r>
      <w:r>
        <w:t>a</w:t>
      </w:r>
      <w:r w:rsidRPr="00552F88">
        <w:t xml:space="preserve"> grant </w:t>
      </w:r>
      <w:r>
        <w:t>from</w:t>
      </w:r>
      <w:r w:rsidRPr="00552F88">
        <w:t xml:space="preserve"> her family</w:t>
      </w:r>
      <w:r>
        <w:t xml:space="preserve">, through a process called </w:t>
      </w:r>
      <w:r w:rsidRPr="00552F88">
        <w:rPr>
          <w:i/>
        </w:rPr>
        <w:t>Holong Ate</w:t>
      </w:r>
      <w:r>
        <w:t>, meaning 'kinship love'.</w:t>
      </w:r>
      <w:r>
        <w:rPr>
          <w:rStyle w:val="FootnoteReference"/>
        </w:rPr>
        <w:footnoteReference w:id="87"/>
      </w:r>
    </w:p>
    <w:p w14:paraId="4F21A786" w14:textId="77777777" w:rsidR="006F7EF2" w:rsidRPr="00C7138F" w:rsidRDefault="006F7EF2" w:rsidP="00581781">
      <w:pPr>
        <w:pStyle w:val="AllensHeading4"/>
        <w:tabs>
          <w:tab w:val="clear" w:pos="2126"/>
          <w:tab w:val="num" w:pos="5935"/>
        </w:tabs>
        <w:rPr>
          <w:b/>
        </w:rPr>
      </w:pPr>
      <w:r w:rsidRPr="00C7138F">
        <w:rPr>
          <w:b/>
        </w:rPr>
        <w:t>Examples of customary rules governing HLP</w:t>
      </w:r>
    </w:p>
    <w:p w14:paraId="5924AF19" w14:textId="77777777" w:rsidR="006F7EF2" w:rsidRPr="00DA7D26" w:rsidRDefault="006F7EF2" w:rsidP="00581781">
      <w:pPr>
        <w:pStyle w:val="NormalIndent"/>
        <w:ind w:left="2127"/>
      </w:pPr>
      <w:r w:rsidRPr="00DA7D26">
        <w:t>The following examples illustrate the diversity</w:t>
      </w:r>
      <w:r>
        <w:t xml:space="preserve"> in customary rules governing housing, land and property</w:t>
      </w:r>
      <w:r w:rsidRPr="00DA7D26">
        <w:t xml:space="preserve"> </w:t>
      </w:r>
      <w:r>
        <w:t>amongst</w:t>
      </w:r>
      <w:r w:rsidRPr="00DA7D26">
        <w:t xml:space="preserve"> </w:t>
      </w:r>
      <w:r>
        <w:rPr>
          <w:i/>
        </w:rPr>
        <w:t>m</w:t>
      </w:r>
      <w:r w:rsidRPr="00DA7D26">
        <w:rPr>
          <w:i/>
        </w:rPr>
        <w:t xml:space="preserve">asyarakat </w:t>
      </w:r>
      <w:r>
        <w:rPr>
          <w:i/>
        </w:rPr>
        <w:t>a</w:t>
      </w:r>
      <w:r w:rsidRPr="00DA7D26">
        <w:rPr>
          <w:i/>
        </w:rPr>
        <w:t>dat</w:t>
      </w:r>
      <w:r w:rsidRPr="00DA7D26">
        <w:t xml:space="preserve"> groups</w:t>
      </w:r>
      <w:r>
        <w:t>.</w:t>
      </w:r>
    </w:p>
    <w:p w14:paraId="6F5E2FBD" w14:textId="77777777" w:rsidR="006F7EF2" w:rsidRPr="00497969" w:rsidRDefault="006F7EF2" w:rsidP="001B1CE3">
      <w:pPr>
        <w:pStyle w:val="Bullet3"/>
        <w:ind w:left="2836"/>
      </w:pPr>
      <w:r w:rsidRPr="00497969">
        <w:t xml:space="preserve">In the Batak Karo group </w:t>
      </w:r>
      <w:r>
        <w:t>from North Sumat</w:t>
      </w:r>
      <w:r w:rsidRPr="00497969">
        <w:t xml:space="preserve">ra, the </w:t>
      </w:r>
      <w:r>
        <w:t>use of</w:t>
      </w:r>
      <w:r w:rsidRPr="00497969">
        <w:t xml:space="preserve"> communal land is </w:t>
      </w:r>
      <w:r>
        <w:t>strictly controlled by the chieftain</w:t>
      </w:r>
      <w:r w:rsidRPr="008A0A76">
        <w:rPr>
          <w:iCs/>
        </w:rPr>
        <w:t>.</w:t>
      </w:r>
      <w:r w:rsidRPr="00497969">
        <w:rPr>
          <w:i/>
          <w:iCs/>
        </w:rPr>
        <w:t xml:space="preserve"> </w:t>
      </w:r>
      <w:r>
        <w:t>A</w:t>
      </w:r>
      <w:r w:rsidRPr="00497969">
        <w:t>ny personal use o</w:t>
      </w:r>
      <w:r>
        <w:t xml:space="preserve">f </w:t>
      </w:r>
      <w:r w:rsidRPr="00497969">
        <w:t xml:space="preserve">the communal land must </w:t>
      </w:r>
      <w:r>
        <w:t>receive prior approval from the chieftain</w:t>
      </w:r>
      <w:r w:rsidRPr="00497969">
        <w:t xml:space="preserve">. After obtaining approval, the land user </w:t>
      </w:r>
      <w:r>
        <w:t>must display a clear sign over the land to indicate to other members of the group that they will use or occupy the land</w:t>
      </w:r>
      <w:r w:rsidRPr="00497969">
        <w:t>.</w:t>
      </w:r>
      <w:r w:rsidRPr="00497969">
        <w:rPr>
          <w:rStyle w:val="FootnoteReference"/>
          <w:rFonts w:cs="Arial"/>
          <w:lang w:val="en-GB"/>
        </w:rPr>
        <w:footnoteReference w:id="88"/>
      </w:r>
    </w:p>
    <w:p w14:paraId="0B5A67D0" w14:textId="77777777" w:rsidR="006F7EF2" w:rsidRPr="00497969" w:rsidRDefault="006F7EF2" w:rsidP="001B1CE3">
      <w:pPr>
        <w:pStyle w:val="Bullet3"/>
        <w:ind w:left="2836"/>
      </w:pPr>
      <w:r w:rsidRPr="00497969">
        <w:t>In the Dayak Kiyu Meratus ethnic group</w:t>
      </w:r>
      <w:r>
        <w:t xml:space="preserve"> from </w:t>
      </w:r>
      <w:r w:rsidRPr="00497969">
        <w:t xml:space="preserve">South Kalimantan, each family is granted approximately three hectares of land for </w:t>
      </w:r>
      <w:r>
        <w:t>their livelihood</w:t>
      </w:r>
      <w:r w:rsidRPr="00497969">
        <w:t xml:space="preserve">. This land can only be transferred </w:t>
      </w:r>
      <w:r>
        <w:t xml:space="preserve">within the </w:t>
      </w:r>
      <w:r w:rsidRPr="00497969">
        <w:t>group</w:t>
      </w:r>
      <w:r>
        <w:t xml:space="preserve"> due to the belief that </w:t>
      </w:r>
      <w:r>
        <w:lastRenderedPageBreak/>
        <w:t xml:space="preserve">the </w:t>
      </w:r>
      <w:r w:rsidRPr="00497969">
        <w:t xml:space="preserve">lands and forests are sacred </w:t>
      </w:r>
      <w:r>
        <w:t>and must</w:t>
      </w:r>
      <w:r w:rsidRPr="00497969">
        <w:t xml:space="preserve"> be preserved in accordance with </w:t>
      </w:r>
      <w:r>
        <w:t xml:space="preserve">the group's </w:t>
      </w:r>
      <w:r w:rsidRPr="00497969">
        <w:t>customary law.</w:t>
      </w:r>
      <w:r w:rsidRPr="00497969">
        <w:rPr>
          <w:rStyle w:val="FootnoteReference"/>
          <w:rFonts w:cs="Arial"/>
          <w:lang w:val="en-GB"/>
        </w:rPr>
        <w:footnoteReference w:id="89"/>
      </w:r>
    </w:p>
    <w:p w14:paraId="264D5DAC" w14:textId="328076FC" w:rsidR="006F7EF2" w:rsidRPr="00DA7D26" w:rsidRDefault="006F7EF2" w:rsidP="001B1CE3">
      <w:pPr>
        <w:pStyle w:val="Bullet3"/>
        <w:ind w:left="2836"/>
      </w:pPr>
      <w:r w:rsidRPr="00DA7D26">
        <w:t xml:space="preserve">In the North Toraja Regency of South Sulawesi Province people </w:t>
      </w:r>
      <w:r w:rsidR="00560C2E">
        <w:t>commonly</w:t>
      </w:r>
      <w:r w:rsidRPr="00DA7D26">
        <w:t xml:space="preserve"> use buffalos</w:t>
      </w:r>
      <w:r>
        <w:t>, rather than money, to purchase land</w:t>
      </w:r>
      <w:r w:rsidRPr="00DA7D26">
        <w:t xml:space="preserve">. Buffalos are highly valued </w:t>
      </w:r>
      <w:r>
        <w:t>as a symbol of</w:t>
      </w:r>
      <w:r w:rsidRPr="00DA7D26">
        <w:t xml:space="preserve"> social status.</w:t>
      </w:r>
      <w:r w:rsidR="00560C2E" w:rsidRPr="00DA7D26">
        <w:rPr>
          <w:rStyle w:val="FootnoteReference"/>
          <w:rFonts w:cs="Arial"/>
          <w:lang w:val="en-GB"/>
        </w:rPr>
        <w:footnoteReference w:id="90"/>
      </w:r>
    </w:p>
    <w:p w14:paraId="010F516D" w14:textId="04073C48" w:rsidR="00AA3CCF" w:rsidRDefault="006F7EF2" w:rsidP="001B1CE3">
      <w:pPr>
        <w:pStyle w:val="Bullet3"/>
        <w:ind w:left="2836"/>
        <w:rPr>
          <w:lang w:bidi="hi-IN"/>
        </w:rPr>
      </w:pPr>
      <w:r w:rsidRPr="00497969">
        <w:t xml:space="preserve">In </w:t>
      </w:r>
      <w:r w:rsidRPr="00581781">
        <w:t>the</w:t>
      </w:r>
      <w:r w:rsidRPr="00497969">
        <w:t xml:space="preserve"> Minangkabau ethnic group</w:t>
      </w:r>
      <w:r>
        <w:t xml:space="preserve"> from West Sumat</w:t>
      </w:r>
      <w:r w:rsidRPr="00497969">
        <w:t xml:space="preserve">ra, if </w:t>
      </w:r>
      <w:r w:rsidRPr="00497969">
        <w:rPr>
          <w:lang w:bidi="hi-IN"/>
        </w:rPr>
        <w:t xml:space="preserve">a member of </w:t>
      </w:r>
      <w:r w:rsidRPr="00497969">
        <w:rPr>
          <w:i/>
          <w:lang w:bidi="hi-IN"/>
        </w:rPr>
        <w:t>masyarakat adat</w:t>
      </w:r>
      <w:r w:rsidRPr="00497969">
        <w:rPr>
          <w:lang w:bidi="hi-IN"/>
        </w:rPr>
        <w:t xml:space="preserve"> wishes to cultivate a plot of land</w:t>
      </w:r>
      <w:r>
        <w:rPr>
          <w:lang w:bidi="hi-IN"/>
        </w:rPr>
        <w:t xml:space="preserve"> for fulfilling his or </w:t>
      </w:r>
      <w:r w:rsidRPr="00497969">
        <w:rPr>
          <w:lang w:bidi="hi-IN"/>
        </w:rPr>
        <w:t xml:space="preserve">her needs, he or she must </w:t>
      </w:r>
      <w:r>
        <w:rPr>
          <w:lang w:bidi="hi-IN"/>
        </w:rPr>
        <w:t xml:space="preserve">first </w:t>
      </w:r>
      <w:r w:rsidRPr="00497969">
        <w:rPr>
          <w:lang w:bidi="hi-IN"/>
        </w:rPr>
        <w:t xml:space="preserve">obtain </w:t>
      </w:r>
      <w:r>
        <w:rPr>
          <w:lang w:bidi="hi-IN"/>
        </w:rPr>
        <w:t xml:space="preserve">a </w:t>
      </w:r>
      <w:r w:rsidRPr="00497969">
        <w:rPr>
          <w:lang w:bidi="hi-IN"/>
        </w:rPr>
        <w:t xml:space="preserve">permit or approval from the chieftain of </w:t>
      </w:r>
      <w:r>
        <w:rPr>
          <w:lang w:bidi="hi-IN"/>
        </w:rPr>
        <w:t xml:space="preserve">the </w:t>
      </w:r>
      <w:r w:rsidRPr="00497969">
        <w:rPr>
          <w:i/>
          <w:lang w:bidi="hi-IN"/>
        </w:rPr>
        <w:t>masyarakat adat</w:t>
      </w:r>
      <w:r w:rsidRPr="00497969">
        <w:rPr>
          <w:lang w:bidi="hi-IN"/>
        </w:rPr>
        <w:t xml:space="preserve">. If he or she </w:t>
      </w:r>
      <w:r>
        <w:rPr>
          <w:lang w:bidi="hi-IN"/>
        </w:rPr>
        <w:t>ceases to cultivate</w:t>
      </w:r>
      <w:r w:rsidRPr="00497969">
        <w:rPr>
          <w:lang w:bidi="hi-IN"/>
        </w:rPr>
        <w:t xml:space="preserve"> the land, </w:t>
      </w:r>
      <w:r>
        <w:rPr>
          <w:lang w:bidi="hi-IN"/>
        </w:rPr>
        <w:t>it reverts to communal land.</w:t>
      </w:r>
      <w:r w:rsidRPr="006B5E9E">
        <w:rPr>
          <w:rStyle w:val="FootnoteReference"/>
          <w:rFonts w:cs="Arial"/>
          <w:lang w:val="en-GB" w:bidi="hi-IN"/>
        </w:rPr>
        <w:footnoteReference w:id="91"/>
      </w:r>
    </w:p>
    <w:p w14:paraId="43B37014" w14:textId="77777777" w:rsidR="006F7EF2" w:rsidRPr="000A425D" w:rsidRDefault="006F7EF2" w:rsidP="0036472E">
      <w:pPr>
        <w:pStyle w:val="AllensHeading3"/>
        <w:rPr>
          <w:rFonts w:eastAsiaTheme="minorHAnsi"/>
        </w:rPr>
      </w:pPr>
      <w:r w:rsidRPr="009248E2">
        <w:rPr>
          <w:rFonts w:eastAsiaTheme="minorHAnsi"/>
          <w:b/>
          <w:lang w:val="en-US"/>
        </w:rPr>
        <w:t>What is the relationship between traditional legal ownership and customary ownership of land? Does the former override the latter</w:t>
      </w:r>
      <w:r>
        <w:rPr>
          <w:rFonts w:eastAsiaTheme="minorHAnsi"/>
          <w:b/>
          <w:lang w:val="en-US"/>
        </w:rPr>
        <w:t>?</w:t>
      </w:r>
    </w:p>
    <w:p w14:paraId="55DF92EC" w14:textId="3A1609D4" w:rsidR="006F7EF2" w:rsidRDefault="006F7EF2" w:rsidP="00C13A38">
      <w:pPr>
        <w:pStyle w:val="NormalIndent"/>
        <w:ind w:left="1418"/>
      </w:pPr>
      <w:bookmarkStart w:id="51" w:name="_Toc483331383"/>
      <w:r>
        <w:t xml:space="preserve">As discussed in </w:t>
      </w:r>
      <w:hyperlink w:anchor="CustomaryTenure" w:history="1">
        <w:r w:rsidRPr="00351B43">
          <w:rPr>
            <w:rStyle w:val="Hyperlink"/>
            <w:color w:val="auto"/>
            <w:u w:val="none"/>
          </w:rPr>
          <w:t xml:space="preserve">section </w:t>
        </w:r>
        <w:r w:rsidR="00351B43" w:rsidRPr="00351B43">
          <w:rPr>
            <w:rStyle w:val="Hyperlink"/>
            <w:color w:val="auto"/>
            <w:u w:val="none"/>
          </w:rPr>
          <w:t>2.1(b)(i)(B)</w:t>
        </w:r>
        <w:r w:rsidRPr="00351B43">
          <w:rPr>
            <w:rStyle w:val="Hyperlink"/>
            <w:color w:val="auto"/>
            <w:u w:val="none"/>
          </w:rPr>
          <w:t xml:space="preserve"> above</w:t>
        </w:r>
      </w:hyperlink>
      <w:r w:rsidRPr="00351B43">
        <w:t>,</w:t>
      </w:r>
      <w:r>
        <w:t xml:space="preserve"> under the </w:t>
      </w:r>
      <w:r w:rsidRPr="005E7C29">
        <w:rPr>
          <w:i/>
        </w:rPr>
        <w:t>Agrarian Law</w:t>
      </w:r>
      <w:r>
        <w:t>, there is a problematic lack of distinction between customary land and State-controlled land. This has resulted in customary land being treated as State-controlled land and appropriated for State or private use. Although</w:t>
      </w:r>
      <w:r>
        <w:rPr>
          <w:rFonts w:eastAsiaTheme="minorHAnsi"/>
        </w:rPr>
        <w:t xml:space="preserve"> customary land can now be registered under </w:t>
      </w:r>
      <w:r w:rsidRPr="00E22E05">
        <w:rPr>
          <w:i/>
        </w:rPr>
        <w:t>Regulation 10/2016</w:t>
      </w:r>
      <w:r>
        <w:t>, this regulation has not yet been widely implemented, meaning customary ownership remains highly vulnerable to State interference.</w:t>
      </w:r>
    </w:p>
    <w:p w14:paraId="7D143D00" w14:textId="77777777" w:rsidR="006F7EF2" w:rsidRDefault="006F7EF2" w:rsidP="0036472E">
      <w:pPr>
        <w:pStyle w:val="AllensHeading2"/>
        <w:rPr>
          <w:rFonts w:eastAsiaTheme="minorHAnsi"/>
        </w:rPr>
      </w:pPr>
      <w:bookmarkStart w:id="52" w:name="_Toc512946256"/>
      <w:r>
        <w:rPr>
          <w:rFonts w:eastAsiaTheme="minorHAnsi"/>
        </w:rPr>
        <w:t>Informal Settlements</w:t>
      </w:r>
      <w:bookmarkEnd w:id="51"/>
      <w:bookmarkEnd w:id="52"/>
    </w:p>
    <w:p w14:paraId="0C751DF7" w14:textId="77777777" w:rsidR="006F7EF2" w:rsidRPr="00F36A45" w:rsidRDefault="006F7EF2" w:rsidP="0036472E">
      <w:pPr>
        <w:pStyle w:val="AllensHeading3"/>
        <w:rPr>
          <w:rFonts w:eastAsiaTheme="minorHAnsi"/>
          <w:b/>
        </w:rPr>
      </w:pPr>
      <w:r w:rsidRPr="009C5481">
        <w:rPr>
          <w:rFonts w:eastAsiaTheme="minorHAnsi"/>
          <w:b/>
          <w:lang w:val="en-US"/>
        </w:rPr>
        <w:t>What are the locations and boundaries of informal settlements?</w:t>
      </w:r>
    </w:p>
    <w:p w14:paraId="040B550A" w14:textId="77777777" w:rsidR="006F7EF2" w:rsidRPr="004914C6" w:rsidRDefault="006F7EF2" w:rsidP="00581781">
      <w:pPr>
        <w:pStyle w:val="NormalIndent"/>
        <w:ind w:left="1418"/>
      </w:pPr>
      <w:r>
        <w:t xml:space="preserve">The term </w:t>
      </w:r>
      <w:r w:rsidRPr="00261067">
        <w:rPr>
          <w:i/>
        </w:rPr>
        <w:t>kampung</w:t>
      </w:r>
      <w:r>
        <w:t xml:space="preserve"> is sometimes used to refer to informal settlements in Indonesia. A </w:t>
      </w:r>
      <w:r w:rsidRPr="00745E52">
        <w:t>kampung i</w:t>
      </w:r>
      <w:r>
        <w:t>s, however, a broader term which refers to poor neighbourhoods generally.</w:t>
      </w:r>
      <w:r>
        <w:rPr>
          <w:rStyle w:val="FootnoteReference"/>
        </w:rPr>
        <w:footnoteReference w:id="92"/>
      </w:r>
      <w:r>
        <w:t xml:space="preserve"> Although a kampung may contain areas which have been informally settled, many persons who live in kampungs do have some form of legal title to their land, including registered land interests or </w:t>
      </w:r>
      <w:r w:rsidRPr="00E322E7">
        <w:rPr>
          <w:i/>
        </w:rPr>
        <w:t>girik</w:t>
      </w:r>
      <w:r>
        <w:t xml:space="preserve"> title.</w:t>
      </w:r>
      <w:r>
        <w:rPr>
          <w:rStyle w:val="FootnoteReference"/>
        </w:rPr>
        <w:footnoteReference w:id="93"/>
      </w:r>
      <w:r>
        <w:t xml:space="preserve"> Thus, kampungs should not be viewed synonymously with informal settlements.</w:t>
      </w:r>
      <w:r>
        <w:rPr>
          <w:rStyle w:val="FootnoteReference"/>
        </w:rPr>
        <w:footnoteReference w:id="94"/>
      </w:r>
    </w:p>
    <w:p w14:paraId="41CA1EF9" w14:textId="0ADE97D8" w:rsidR="006F7EF2" w:rsidRDefault="004F018B" w:rsidP="00581781">
      <w:pPr>
        <w:pStyle w:val="NormalIndent"/>
        <w:ind w:left="1418"/>
      </w:pPr>
      <w:r>
        <w:t>It is clear that i</w:t>
      </w:r>
      <w:r w:rsidR="006F7EF2" w:rsidRPr="00745E52">
        <w:t>nformal</w:t>
      </w:r>
      <w:r>
        <w:t xml:space="preserve">ly settled land is </w:t>
      </w:r>
      <w:r w:rsidR="006F7EF2" w:rsidRPr="00745E52">
        <w:t>highly prevalent in each of Indonesia's major cities</w:t>
      </w:r>
      <w:r w:rsidR="006F7EF2">
        <w:t>.</w:t>
      </w:r>
      <w:r w:rsidR="006F7EF2" w:rsidRPr="00745E52">
        <w:rPr>
          <w:vertAlign w:val="superscript"/>
          <w:lang w:val="id-ID"/>
        </w:rPr>
        <w:footnoteReference w:id="95"/>
      </w:r>
      <w:r w:rsidR="006F7EF2">
        <w:t xml:space="preserve"> There is, however, </w:t>
      </w:r>
      <w:r w:rsidR="006F7EF2" w:rsidRPr="00745E52">
        <w:t xml:space="preserve">scarce information </w:t>
      </w:r>
      <w:r w:rsidR="006F7EF2">
        <w:t xml:space="preserve">available </w:t>
      </w:r>
      <w:r w:rsidR="006F7EF2" w:rsidRPr="00745E52">
        <w:t xml:space="preserve">about the precise locations and </w:t>
      </w:r>
      <w:r w:rsidR="006F7EF2" w:rsidRPr="00745E52">
        <w:lastRenderedPageBreak/>
        <w:t>boundaries of informal settlements</w:t>
      </w:r>
      <w:r w:rsidR="00810485">
        <w:t>, and the tenure arrangements in informal settlements</w:t>
      </w:r>
      <w:r w:rsidR="006F7EF2" w:rsidRPr="00745E52">
        <w:t>.</w:t>
      </w:r>
      <w:r w:rsidR="006F7EF2">
        <w:t xml:space="preserve"> Some information is available regarding Jakarta.</w:t>
      </w:r>
    </w:p>
    <w:p w14:paraId="02131518" w14:textId="795EB87A" w:rsidR="006F7EF2" w:rsidRDefault="006F7EF2" w:rsidP="00581781">
      <w:pPr>
        <w:pStyle w:val="NormalIndent"/>
        <w:ind w:left="1418"/>
      </w:pPr>
      <w:r>
        <w:t>In Jakarta, it is illegal to settle and build on streets, in areas within 10 metres of a river or body of water, in parks and green spaces, along railroad tracks or under flyovers and bridges.</w:t>
      </w:r>
      <w:r>
        <w:rPr>
          <w:rStyle w:val="FootnoteReference"/>
        </w:rPr>
        <w:footnoteReference w:id="96"/>
      </w:r>
      <w:r>
        <w:t xml:space="preserve"> Jakarta's informal settlements are concentrated in these types of areas, p</w:t>
      </w:r>
      <w:r w:rsidR="00BF4684">
        <w:t>articularly in the city's north</w:t>
      </w:r>
      <w:r>
        <w:t xml:space="preserve">. </w:t>
      </w:r>
      <w:r w:rsidR="00BF4684">
        <w:t>Several of</w:t>
      </w:r>
      <w:r>
        <w:t xml:space="preserve"> the city's informal settlements </w:t>
      </w:r>
      <w:r w:rsidR="00BF4684">
        <w:t xml:space="preserve">are </w:t>
      </w:r>
      <w:r>
        <w:t>highly susceptible to flooding, which has intensified in recent years.</w:t>
      </w:r>
      <w:r>
        <w:rPr>
          <w:rStyle w:val="FootnoteReference"/>
        </w:rPr>
        <w:footnoteReference w:id="97"/>
      </w:r>
      <w:r>
        <w:t xml:space="preserve"> For example:</w:t>
      </w:r>
    </w:p>
    <w:p w14:paraId="311CFD01" w14:textId="72129409" w:rsidR="006F7EF2" w:rsidRPr="001B1CE3" w:rsidRDefault="006F7EF2" w:rsidP="001B1CE3">
      <w:pPr>
        <w:pStyle w:val="Bullet2"/>
      </w:pPr>
      <w:r w:rsidRPr="00340C3C">
        <w:rPr>
          <w:i/>
        </w:rPr>
        <w:t>Kampung Muara Baru</w:t>
      </w:r>
      <w:r>
        <w:rPr>
          <w:b/>
          <w:i/>
        </w:rPr>
        <w:t xml:space="preserve"> </w:t>
      </w:r>
      <w:r>
        <w:t xml:space="preserve">is located along the eastern shore of the Waduk Pluit lake in north-west Jakarta, and </w:t>
      </w:r>
      <w:r w:rsidRPr="001B1CE3">
        <w:t>houses approximately 70,000 people.</w:t>
      </w:r>
      <w:r w:rsidRPr="001B1CE3">
        <w:rPr>
          <w:rStyle w:val="FootnoteReference"/>
          <w:kern w:val="0"/>
          <w:lang w:val="en-AU"/>
        </w:rPr>
        <w:footnoteReference w:id="98"/>
      </w:r>
    </w:p>
    <w:p w14:paraId="4022ED8D" w14:textId="77777777" w:rsidR="006F7EF2" w:rsidRDefault="006F7EF2" w:rsidP="001B1CE3">
      <w:pPr>
        <w:pStyle w:val="Bullet2"/>
      </w:pPr>
      <w:r w:rsidRPr="001B1CE3">
        <w:rPr>
          <w:i/>
        </w:rPr>
        <w:t>Kampung Melayu</w:t>
      </w:r>
      <w:r w:rsidRPr="001B1CE3">
        <w:t xml:space="preserve"> is located</w:t>
      </w:r>
      <w:r>
        <w:t xml:space="preserve"> along the bank of the Ciliwung River and houses approximately 50,000 people.</w:t>
      </w:r>
      <w:r>
        <w:rPr>
          <w:rStyle w:val="FootnoteReference"/>
        </w:rPr>
        <w:footnoteReference w:id="99"/>
      </w:r>
    </w:p>
    <w:p w14:paraId="17001111" w14:textId="77777777" w:rsidR="006F7EF2" w:rsidRDefault="006F7EF2" w:rsidP="0036472E">
      <w:pPr>
        <w:pStyle w:val="AllensHeading3"/>
        <w:rPr>
          <w:rFonts w:eastAsiaTheme="minorHAnsi"/>
          <w:b/>
          <w:lang w:val="en-US"/>
        </w:rPr>
      </w:pPr>
      <w:r w:rsidRPr="009C5481">
        <w:rPr>
          <w:rFonts w:eastAsiaTheme="minorHAnsi"/>
          <w:b/>
          <w:lang w:val="en-US"/>
        </w:rPr>
        <w:t>What kinds of tenure arrangements are in place in informal settlements?</w:t>
      </w:r>
    </w:p>
    <w:p w14:paraId="789B80A7" w14:textId="77777777" w:rsidR="006F7EF2" w:rsidRDefault="006F7EF2" w:rsidP="00180975">
      <w:pPr>
        <w:pStyle w:val="NormalIndent"/>
        <w:ind w:left="1418"/>
      </w:pPr>
      <w:r>
        <w:t>There are, at least, five categories of tenure in kampongs:</w:t>
      </w:r>
    </w:p>
    <w:p w14:paraId="00A391D0" w14:textId="77777777" w:rsidR="006F7EF2" w:rsidRDefault="006F7EF2" w:rsidP="001B1CE3">
      <w:pPr>
        <w:pStyle w:val="Bullet2"/>
      </w:pPr>
      <w:r>
        <w:t xml:space="preserve">registered land rights (eg, </w:t>
      </w:r>
      <w:r w:rsidRPr="005F677F">
        <w:rPr>
          <w:i/>
        </w:rPr>
        <w:t>hak milik</w:t>
      </w:r>
      <w:r>
        <w:t>);</w:t>
      </w:r>
    </w:p>
    <w:p w14:paraId="1E1D97E1" w14:textId="77777777" w:rsidR="006F7EF2" w:rsidRDefault="006F7EF2" w:rsidP="001B1CE3">
      <w:pPr>
        <w:pStyle w:val="Bullet2"/>
      </w:pPr>
      <w:r w:rsidRPr="007D5666">
        <w:rPr>
          <w:i/>
        </w:rPr>
        <w:t>girik</w:t>
      </w:r>
      <w:r>
        <w:t xml:space="preserve"> title;</w:t>
      </w:r>
    </w:p>
    <w:p w14:paraId="705858DF" w14:textId="77777777" w:rsidR="006F7EF2" w:rsidRDefault="006F7EF2" w:rsidP="001B1CE3">
      <w:pPr>
        <w:pStyle w:val="Bullet2"/>
      </w:pPr>
      <w:r w:rsidRPr="007D5666">
        <w:rPr>
          <w:i/>
        </w:rPr>
        <w:t>garapan</w:t>
      </w:r>
      <w:r>
        <w:t xml:space="preserve"> rights;</w:t>
      </w:r>
    </w:p>
    <w:p w14:paraId="085648F5" w14:textId="77777777" w:rsidR="006F7EF2" w:rsidRDefault="006F7EF2" w:rsidP="001B1CE3">
      <w:pPr>
        <w:pStyle w:val="Bullet2"/>
      </w:pPr>
      <w:r>
        <w:t>no legal rights (ie, squatting) coupled with tacit approval from the landowner, sometimes including by receipt of rent or taxes;</w:t>
      </w:r>
    </w:p>
    <w:p w14:paraId="713983F1" w14:textId="77777777" w:rsidR="006F7EF2" w:rsidRDefault="006F7EF2" w:rsidP="001B1CE3">
      <w:pPr>
        <w:pStyle w:val="Bullet2"/>
      </w:pPr>
      <w:r>
        <w:t>no legal rights (ie, squatting) coupled with hostility from the landowner, sometimes including threatened or actual evictions.</w:t>
      </w:r>
      <w:r>
        <w:rPr>
          <w:rStyle w:val="FootnoteReference"/>
        </w:rPr>
        <w:footnoteReference w:id="100"/>
      </w:r>
    </w:p>
    <w:p w14:paraId="4687A372" w14:textId="5EED3052" w:rsidR="006F7EF2" w:rsidRDefault="006F7EF2" w:rsidP="001B1CE3">
      <w:pPr>
        <w:pStyle w:val="NormalIndent"/>
        <w:ind w:left="1418"/>
      </w:pPr>
      <w:r>
        <w:t>The first two forms of tenure are legally recognised and reasonably secure</w:t>
      </w:r>
      <w:r w:rsidR="00936C63">
        <w:t>. T</w:t>
      </w:r>
      <w:r>
        <w:t xml:space="preserve">he last two forms of tenure are </w:t>
      </w:r>
      <w:r w:rsidR="00936C63">
        <w:t xml:space="preserve">informal and may be </w:t>
      </w:r>
      <w:r>
        <w:t>insecure</w:t>
      </w:r>
      <w:r w:rsidR="00936C63">
        <w:t>, depending on the nature of the landowner and the occupier</w:t>
      </w:r>
      <w:r>
        <w:t xml:space="preserve">. The status of </w:t>
      </w:r>
      <w:r w:rsidRPr="000469DA">
        <w:rPr>
          <w:i/>
        </w:rPr>
        <w:t>garapan</w:t>
      </w:r>
      <w:r>
        <w:t xml:space="preserve"> rights is unclear as many government officials do not recognise this form of tenure.</w:t>
      </w:r>
      <w:r>
        <w:rPr>
          <w:rStyle w:val="FootnoteReference"/>
        </w:rPr>
        <w:footnoteReference w:id="101"/>
      </w:r>
      <w:r>
        <w:t xml:space="preserve"> Kampung residents with </w:t>
      </w:r>
      <w:r w:rsidRPr="007A0D1E">
        <w:rPr>
          <w:i/>
        </w:rPr>
        <w:t>garapan</w:t>
      </w:r>
      <w:r>
        <w:t xml:space="preserve"> rights may, nonetheless, consider themselves to have strong security of tenure.</w:t>
      </w:r>
      <w:r w:rsidR="00A90D25">
        <w:rPr>
          <w:rStyle w:val="FootnoteReference"/>
        </w:rPr>
        <w:footnoteReference w:id="102"/>
      </w:r>
    </w:p>
    <w:p w14:paraId="5C961FA8" w14:textId="3301ED88" w:rsidR="006F7EF2" w:rsidRDefault="00334211" w:rsidP="001B1CE3">
      <w:pPr>
        <w:pStyle w:val="NormalIndent"/>
        <w:ind w:left="1418"/>
      </w:pPr>
      <w:r>
        <w:t>Importantly, a</w:t>
      </w:r>
      <w:r w:rsidR="006F7EF2">
        <w:t xml:space="preserve"> kampong may have a mix of all of the above five types of tenure, in which case only part of the kampong will qualify as an informal settlement.</w:t>
      </w:r>
      <w:r w:rsidR="006F7EF2">
        <w:rPr>
          <w:rStyle w:val="FootnoteReference"/>
        </w:rPr>
        <w:footnoteReference w:id="103"/>
      </w:r>
    </w:p>
    <w:p w14:paraId="064968AB" w14:textId="77777777" w:rsidR="006F7EF2" w:rsidRPr="00497969" w:rsidRDefault="006F7EF2" w:rsidP="00712076">
      <w:pPr>
        <w:pStyle w:val="AllensHeading1"/>
        <w:rPr>
          <w:lang w:val="en-GB"/>
        </w:rPr>
      </w:pPr>
      <w:bookmarkStart w:id="53" w:name="SecurityofTenure"/>
      <w:bookmarkStart w:id="54" w:name="_Toc512946257"/>
      <w:bookmarkEnd w:id="53"/>
      <w:r w:rsidRPr="00497969">
        <w:rPr>
          <w:lang w:val="en-GB"/>
        </w:rPr>
        <w:lastRenderedPageBreak/>
        <w:t>Security of Tenure of Vulnerable Groups</w:t>
      </w:r>
      <w:bookmarkEnd w:id="54"/>
    </w:p>
    <w:p w14:paraId="49412C88" w14:textId="77777777" w:rsidR="006F7EF2" w:rsidRDefault="006F7EF2" w:rsidP="00712076">
      <w:pPr>
        <w:pStyle w:val="AllensHeading2"/>
        <w:rPr>
          <w:lang w:val="en-GB"/>
        </w:rPr>
      </w:pPr>
      <w:bookmarkStart w:id="55" w:name="Women"/>
      <w:bookmarkStart w:id="56" w:name="_Toc512946258"/>
      <w:bookmarkEnd w:id="55"/>
      <w:r>
        <w:rPr>
          <w:lang w:val="en-GB"/>
        </w:rPr>
        <w:t>Wome</w:t>
      </w:r>
      <w:r w:rsidRPr="00497969">
        <w:rPr>
          <w:lang w:val="en-GB"/>
        </w:rPr>
        <w:t>n</w:t>
      </w:r>
      <w:bookmarkEnd w:id="56"/>
    </w:p>
    <w:p w14:paraId="64563106" w14:textId="77777777" w:rsidR="006F7EF2" w:rsidRDefault="006F7EF2" w:rsidP="00712076">
      <w:pPr>
        <w:pStyle w:val="AllensHeading3"/>
        <w:rPr>
          <w:b/>
        </w:rPr>
      </w:pPr>
      <w:r w:rsidRPr="00712076">
        <w:rPr>
          <w:b/>
        </w:rPr>
        <w:t>Can women legally own, rent or inherit land and housing?</w:t>
      </w:r>
    </w:p>
    <w:p w14:paraId="59A3A84B" w14:textId="77777777" w:rsidR="006F7EF2" w:rsidRPr="00497969" w:rsidRDefault="006F7EF2" w:rsidP="001B1CE3">
      <w:pPr>
        <w:pStyle w:val="NormalIndent"/>
        <w:ind w:left="1418"/>
      </w:pPr>
      <w:r>
        <w:t xml:space="preserve">Indonesian law provides that men and women have equal rights to acquire property, both under the </w:t>
      </w:r>
      <w:r w:rsidRPr="00DC036A">
        <w:rPr>
          <w:i/>
        </w:rPr>
        <w:t>Agrarian Law</w:t>
      </w:r>
      <w:r>
        <w:t xml:space="preserve"> and customary law. </w:t>
      </w:r>
      <w:r w:rsidRPr="00497969">
        <w:t xml:space="preserve">Article 9 paragraph 2 of the </w:t>
      </w:r>
      <w:r w:rsidRPr="00DC036A">
        <w:rPr>
          <w:i/>
        </w:rPr>
        <w:t xml:space="preserve">Agrarian Law </w:t>
      </w:r>
      <w:r>
        <w:t>provides</w:t>
      </w:r>
      <w:r w:rsidRPr="00497969">
        <w:t>:</w:t>
      </w:r>
    </w:p>
    <w:p w14:paraId="767C1B69" w14:textId="77777777" w:rsidR="006F7EF2" w:rsidRPr="001A229F" w:rsidRDefault="006F7EF2" w:rsidP="0037125E">
      <w:pPr>
        <w:pStyle w:val="NormalIndent"/>
        <w:ind w:left="2069"/>
      </w:pPr>
      <w:r>
        <w:t>[e]</w:t>
      </w:r>
      <w:r w:rsidRPr="00497969">
        <w:t>very Indonesian ci</w:t>
      </w:r>
      <w:r>
        <w:t>tizen, either men or women, has</w:t>
      </w:r>
      <w:r w:rsidRPr="00497969">
        <w:t xml:space="preserve"> the same opportunity to acquire any right over land as well as to obtain the benefit from such land, either for their own interest </w:t>
      </w:r>
      <w:r>
        <w:t>or their family.</w:t>
      </w:r>
    </w:p>
    <w:p w14:paraId="12348701" w14:textId="77777777" w:rsidR="006F7EF2" w:rsidRDefault="006F7EF2" w:rsidP="0037125E">
      <w:pPr>
        <w:pStyle w:val="NormalIndent"/>
        <w:ind w:left="1418"/>
      </w:pPr>
      <w:r>
        <w:t>In a landmark decision in 1961, the Supreme Court declared that women and men have equal inheritance rights under customary law.</w:t>
      </w:r>
      <w:r>
        <w:rPr>
          <w:rStyle w:val="FootnoteReference"/>
        </w:rPr>
        <w:footnoteReference w:id="104"/>
      </w:r>
      <w:r>
        <w:t xml:space="preserve"> This was subsequently confirmed in </w:t>
      </w:r>
      <w:r w:rsidRPr="00B147E2">
        <w:rPr>
          <w:i/>
        </w:rPr>
        <w:t>Law No. 1 of 1974 on Marriage</w:t>
      </w:r>
      <w:r>
        <w:t>.</w:t>
      </w:r>
      <w:r>
        <w:rPr>
          <w:rStyle w:val="FootnoteReference"/>
        </w:rPr>
        <w:footnoteReference w:id="105"/>
      </w:r>
    </w:p>
    <w:p w14:paraId="042BEE95" w14:textId="77777777" w:rsidR="006F7EF2" w:rsidRDefault="006F7EF2" w:rsidP="0037125E">
      <w:pPr>
        <w:pStyle w:val="NormalIndent"/>
        <w:ind w:left="1418"/>
      </w:pPr>
      <w:r>
        <w:t xml:space="preserve">The only legal restrictions on a woman </w:t>
      </w:r>
      <w:r w:rsidRPr="00497969">
        <w:t>own</w:t>
      </w:r>
      <w:r>
        <w:t>ing</w:t>
      </w:r>
      <w:r w:rsidRPr="00497969">
        <w:t>, rent</w:t>
      </w:r>
      <w:r>
        <w:t>ing</w:t>
      </w:r>
      <w:r w:rsidRPr="00497969">
        <w:t xml:space="preserve"> or inherit</w:t>
      </w:r>
      <w:r>
        <w:t>ing land are that she must have legal capacity to enter into the relevant land transaction, and must ordinarily be either 18 years old or married</w:t>
      </w:r>
      <w:r w:rsidRPr="00497969">
        <w:t>.</w:t>
      </w:r>
      <w:r w:rsidRPr="00497969">
        <w:rPr>
          <w:rStyle w:val="FootnoteReference"/>
          <w:rFonts w:cs="Arial"/>
          <w:lang w:val="en-GB"/>
        </w:rPr>
        <w:footnoteReference w:id="106"/>
      </w:r>
    </w:p>
    <w:p w14:paraId="246C8CF8" w14:textId="77777777" w:rsidR="006F7EF2" w:rsidRPr="00712076" w:rsidRDefault="006F7EF2" w:rsidP="00535B6B">
      <w:pPr>
        <w:pStyle w:val="AllensHeading3"/>
        <w:rPr>
          <w:b/>
        </w:rPr>
      </w:pPr>
      <w:r>
        <w:rPr>
          <w:b/>
        </w:rPr>
        <w:t>In practice, do they? If not, why not?</w:t>
      </w:r>
    </w:p>
    <w:p w14:paraId="7368BA77" w14:textId="77777777" w:rsidR="006F7EF2" w:rsidRDefault="006F7EF2" w:rsidP="0037125E">
      <w:pPr>
        <w:pStyle w:val="NormalIndent"/>
        <w:ind w:left="1418"/>
      </w:pPr>
      <w:r w:rsidRPr="001A229F">
        <w:t>In practice,</w:t>
      </w:r>
      <w:r>
        <w:t xml:space="preserve"> the incidence of women's landownership is significantly lower than men's, and women are half as likely to have sole ownership of land as men.</w:t>
      </w:r>
      <w:r>
        <w:rPr>
          <w:rStyle w:val="FootnoteReference"/>
        </w:rPr>
        <w:footnoteReference w:id="107"/>
      </w:r>
      <w:r>
        <w:t xml:space="preserve"> Notwithstanding the Supreme Court's 1961 decision, patrilineal descent and inheritance is widely practiced in relation to customary land.</w:t>
      </w:r>
    </w:p>
    <w:p w14:paraId="13C66629" w14:textId="77777777" w:rsidR="006F7EF2" w:rsidRDefault="006F7EF2" w:rsidP="0037125E">
      <w:pPr>
        <w:pStyle w:val="NormalIndent"/>
        <w:ind w:left="1418"/>
      </w:pPr>
      <w:r>
        <w:t>Women's access to land does, however, vary between different geographical areas depending on the content of local customary law. F</w:t>
      </w:r>
      <w:r w:rsidRPr="001A229F">
        <w:t>or example, i</w:t>
      </w:r>
      <w:r>
        <w:t xml:space="preserve">n </w:t>
      </w:r>
      <w:r w:rsidRPr="001A229F">
        <w:t>Poso Regency in Central Sulawesi,</w:t>
      </w:r>
      <w:r>
        <w:t xml:space="preserve"> an area where patrilineal kinship systems predominate,</w:t>
      </w:r>
      <w:r w:rsidRPr="001A229F">
        <w:t xml:space="preserve"> </w:t>
      </w:r>
      <w:r>
        <w:t xml:space="preserve">approximately </w:t>
      </w:r>
      <w:r w:rsidRPr="001A229F">
        <w:t>90</w:t>
      </w:r>
      <w:r>
        <w:t xml:space="preserve"> per cent</w:t>
      </w:r>
      <w:r w:rsidRPr="001A229F">
        <w:t xml:space="preserve"> of land </w:t>
      </w:r>
      <w:r>
        <w:t xml:space="preserve">is owned by men and </w:t>
      </w:r>
      <w:r w:rsidRPr="001A229F">
        <w:t>only 10</w:t>
      </w:r>
      <w:r>
        <w:t xml:space="preserve"> per cent</w:t>
      </w:r>
      <w:r w:rsidRPr="001A229F">
        <w:t xml:space="preserve"> </w:t>
      </w:r>
      <w:r>
        <w:t>is owned by wome</w:t>
      </w:r>
      <w:r w:rsidRPr="001A229F">
        <w:t>n.</w:t>
      </w:r>
      <w:r w:rsidRPr="001A229F">
        <w:rPr>
          <w:rStyle w:val="FootnoteReference"/>
          <w:rFonts w:cs="Arial"/>
          <w:lang w:val="en-GB"/>
        </w:rPr>
        <w:footnoteReference w:id="108"/>
      </w:r>
      <w:r>
        <w:t xml:space="preserve"> By contrast, in areas where matrilineal kinship groups predominate, such as </w:t>
      </w:r>
      <w:r w:rsidRPr="001A229F">
        <w:t>Padang City in West Sumatra, it is commo</w:t>
      </w:r>
      <w:r>
        <w:t>n for wome</w:t>
      </w:r>
      <w:r w:rsidRPr="001A229F">
        <w:t>n to hold land title.</w:t>
      </w:r>
      <w:r w:rsidRPr="001A229F">
        <w:rPr>
          <w:rStyle w:val="FootnoteReference"/>
          <w:rFonts w:cs="Arial"/>
          <w:lang w:val="en-GB"/>
        </w:rPr>
        <w:footnoteReference w:id="109"/>
      </w:r>
    </w:p>
    <w:p w14:paraId="3D4A0132" w14:textId="77777777" w:rsidR="006F7EF2" w:rsidRDefault="006F7EF2" w:rsidP="0037125E">
      <w:pPr>
        <w:pStyle w:val="AllensHeading2"/>
      </w:pPr>
      <w:bookmarkStart w:id="57" w:name="CustomaryLandholders"/>
      <w:bookmarkStart w:id="58" w:name="_Ref489206756"/>
      <w:bookmarkStart w:id="59" w:name="_Toc512946259"/>
      <w:bookmarkEnd w:id="57"/>
      <w:r>
        <w:t>Indigenous groups</w:t>
      </w:r>
      <w:bookmarkEnd w:id="58"/>
      <w:bookmarkEnd w:id="59"/>
    </w:p>
    <w:p w14:paraId="5B1CADE2" w14:textId="77777777" w:rsidR="006F7EF2" w:rsidRPr="0022101B" w:rsidRDefault="006F7EF2" w:rsidP="0037125E">
      <w:pPr>
        <w:pStyle w:val="AllensHeading3"/>
        <w:rPr>
          <w:b/>
        </w:rPr>
      </w:pPr>
      <w:r w:rsidRPr="0022101B">
        <w:rPr>
          <w:b/>
        </w:rPr>
        <w:t>Is indigenous customary ownership (or custodianship) of land legally recognised?</w:t>
      </w:r>
    </w:p>
    <w:p w14:paraId="7647A551" w14:textId="5D867ED8" w:rsidR="006F7EF2" w:rsidRPr="0037125E" w:rsidRDefault="006F7EF2" w:rsidP="00581781">
      <w:pPr>
        <w:pStyle w:val="Bullet3"/>
        <w:numPr>
          <w:ilvl w:val="0"/>
          <w:numId w:val="0"/>
        </w:numPr>
        <w:ind w:left="1418"/>
      </w:pPr>
      <w:r>
        <w:t>As discusse</w:t>
      </w:r>
      <w:r w:rsidRPr="00C252C0">
        <w:t xml:space="preserve">d in </w:t>
      </w:r>
      <w:hyperlink w:anchor="Section23a" w:history="1">
        <w:r w:rsidRPr="00C252C0">
          <w:rPr>
            <w:rStyle w:val="Hyperlink"/>
            <w:color w:val="auto"/>
            <w:u w:val="none"/>
          </w:rPr>
          <w:t>section</w:t>
        </w:r>
        <w:r w:rsidR="00C252C0" w:rsidRPr="00C252C0">
          <w:rPr>
            <w:rStyle w:val="Hyperlink"/>
            <w:color w:val="auto"/>
            <w:u w:val="none"/>
          </w:rPr>
          <w:t xml:space="preserve"> 2.3(a) </w:t>
        </w:r>
        <w:r w:rsidRPr="00C252C0">
          <w:rPr>
            <w:rStyle w:val="Hyperlink"/>
            <w:color w:val="auto"/>
            <w:u w:val="none"/>
          </w:rPr>
          <w:t>above</w:t>
        </w:r>
      </w:hyperlink>
      <w:r w:rsidRPr="00C252C0">
        <w:t>, cu</w:t>
      </w:r>
      <w:r>
        <w:t xml:space="preserve">stomary ownership of land is legally recognised. Indigenous communities may now register their customary land under </w:t>
      </w:r>
      <w:r w:rsidRPr="00E22E05">
        <w:rPr>
          <w:i/>
        </w:rPr>
        <w:t>Regulation 10/2016</w:t>
      </w:r>
      <w:r>
        <w:t>. This Regulation is, however, still in its infancy and has not been widely implemented.</w:t>
      </w:r>
    </w:p>
    <w:p w14:paraId="359E1C0C" w14:textId="77777777" w:rsidR="006F7EF2" w:rsidRPr="0022101B" w:rsidRDefault="006F7EF2" w:rsidP="0037125E">
      <w:pPr>
        <w:pStyle w:val="AllensHeading3"/>
        <w:rPr>
          <w:b/>
        </w:rPr>
      </w:pPr>
      <w:r w:rsidRPr="0022101B">
        <w:rPr>
          <w:b/>
        </w:rPr>
        <w:lastRenderedPageBreak/>
        <w:t>Does customary ownership provide indigenous people with a high degree of security of tenure?</w:t>
      </w:r>
    </w:p>
    <w:p w14:paraId="0DA6C95C" w14:textId="77777777" w:rsidR="006F7EF2" w:rsidRPr="0022101B" w:rsidRDefault="006F7EF2" w:rsidP="0037125E">
      <w:pPr>
        <w:pStyle w:val="AllensHeading3"/>
        <w:rPr>
          <w:b/>
        </w:rPr>
      </w:pPr>
      <w:bookmarkStart w:id="60" w:name="Section32c"/>
      <w:bookmarkStart w:id="61" w:name="_Ref489206782"/>
      <w:bookmarkEnd w:id="60"/>
      <w:r w:rsidRPr="0022101B">
        <w:rPr>
          <w:b/>
        </w:rPr>
        <w:t>If not, what are the barriers to indigenous people owning and/or living on their land?</w:t>
      </w:r>
      <w:bookmarkEnd w:id="61"/>
    </w:p>
    <w:p w14:paraId="52878F75" w14:textId="436E47D3" w:rsidR="006F7EF2" w:rsidRDefault="006F7EF2" w:rsidP="003732D4">
      <w:pPr>
        <w:pStyle w:val="AllensHeading3"/>
        <w:numPr>
          <w:ilvl w:val="0"/>
          <w:numId w:val="0"/>
        </w:numPr>
        <w:ind w:left="1418"/>
      </w:pPr>
      <w:r>
        <w:t>There are many barriers to indigenous people owning and/or living on their land. Until recently — 2013 for Forest Land an</w:t>
      </w:r>
      <w:r w:rsidR="00F87F3A">
        <w:t xml:space="preserve">d 2016 for Agrarian Law Land — </w:t>
      </w:r>
      <w:r>
        <w:t>legal recognition of customary ownership has been very weak. As a result, a large number of customary owners have long been dispossessed of their customary lands.</w:t>
      </w:r>
    </w:p>
    <w:p w14:paraId="35976ED2" w14:textId="4A8B2CB7" w:rsidR="006F7EF2" w:rsidRDefault="006F7EF2" w:rsidP="00581781">
      <w:pPr>
        <w:pStyle w:val="Bullet3"/>
        <w:numPr>
          <w:ilvl w:val="0"/>
          <w:numId w:val="0"/>
        </w:numPr>
        <w:ind w:left="1418"/>
      </w:pPr>
      <w:r>
        <w:t xml:space="preserve">Following the introduction of </w:t>
      </w:r>
      <w:r w:rsidRPr="00E22E05">
        <w:rPr>
          <w:i/>
        </w:rPr>
        <w:t>Regulation 10/2016</w:t>
      </w:r>
      <w:r>
        <w:t xml:space="preserve">, customary </w:t>
      </w:r>
      <w:r w:rsidR="00150F2B">
        <w:t xml:space="preserve">land may </w:t>
      </w:r>
      <w:r>
        <w:t>be registered. The new of system registering customary land is, however, new and relatively untested, and there are many anticipated challenges, including the following:</w:t>
      </w:r>
    </w:p>
    <w:p w14:paraId="0D8336AC" w14:textId="77777777" w:rsidR="006F7EF2" w:rsidRPr="001A6CCD" w:rsidRDefault="006F7EF2" w:rsidP="00781988">
      <w:pPr>
        <w:pStyle w:val="Bullet3"/>
      </w:pPr>
      <w:r w:rsidRPr="001A6CCD">
        <w:t>it is uncertain how cu</w:t>
      </w:r>
      <w:r>
        <w:t>stomary land</w:t>
      </w:r>
      <w:r w:rsidRPr="001A6CCD">
        <w:t xml:space="preserve"> subject to conflicting title claims (as is often the case) will be dealt with;</w:t>
      </w:r>
    </w:p>
    <w:p w14:paraId="7DD529CA" w14:textId="77777777" w:rsidR="006F7EF2" w:rsidRDefault="006F7EF2" w:rsidP="00781988">
      <w:pPr>
        <w:pStyle w:val="Bullet3"/>
      </w:pPr>
      <w:r w:rsidRPr="001A6CCD">
        <w:t xml:space="preserve">many </w:t>
      </w:r>
      <w:r w:rsidRPr="001A6CCD">
        <w:rPr>
          <w:i/>
        </w:rPr>
        <w:t>masyarakat adat</w:t>
      </w:r>
      <w:r w:rsidRPr="001A6CCD">
        <w:t xml:space="preserve"> groups will experience difficulty accessing </w:t>
      </w:r>
      <w:r>
        <w:t xml:space="preserve">the </w:t>
      </w:r>
      <w:r w:rsidRPr="001A6CCD">
        <w:t>assistance required to undertake the application process to obtain recognition</w:t>
      </w:r>
      <w:r>
        <w:t xml:space="preserve"> because:</w:t>
      </w:r>
    </w:p>
    <w:p w14:paraId="75B12B42" w14:textId="77777777" w:rsidR="006F7EF2" w:rsidRDefault="006F7EF2" w:rsidP="00781988">
      <w:pPr>
        <w:pStyle w:val="Bullet3"/>
        <w:ind w:left="2836"/>
      </w:pPr>
      <w:r>
        <w:t>p</w:t>
      </w:r>
      <w:r w:rsidRPr="001A6CCD">
        <w:t xml:space="preserve">articularly in remote areas, </w:t>
      </w:r>
      <w:r w:rsidRPr="001A6CCD">
        <w:rPr>
          <w:i/>
        </w:rPr>
        <w:t>masyarakat adat</w:t>
      </w:r>
      <w:r w:rsidRPr="001A6CCD">
        <w:t xml:space="preserve"> cannot readily </w:t>
      </w:r>
      <w:r>
        <w:t>access NGO or legal assistance; and</w:t>
      </w:r>
    </w:p>
    <w:p w14:paraId="28D56D00" w14:textId="0E3E6AA8" w:rsidR="006F7EF2" w:rsidRPr="001A6CCD" w:rsidRDefault="006F7EF2" w:rsidP="00781988">
      <w:pPr>
        <w:pStyle w:val="Bullet3"/>
        <w:ind w:left="2836"/>
      </w:pPr>
      <w:r>
        <w:t>l</w:t>
      </w:r>
      <w:r w:rsidRPr="001A6CCD">
        <w:t>evels of education and liter</w:t>
      </w:r>
      <w:r>
        <w:t xml:space="preserve">acy amongst some groups are low, </w:t>
      </w:r>
      <w:r w:rsidRPr="001A6CCD">
        <w:t xml:space="preserve">and not all </w:t>
      </w:r>
      <w:r w:rsidRPr="001A6CCD">
        <w:rPr>
          <w:i/>
        </w:rPr>
        <w:t>masyarakat adat</w:t>
      </w:r>
      <w:r w:rsidRPr="001A6CCD">
        <w:t xml:space="preserve"> groups speak </w:t>
      </w:r>
      <w:r w:rsidR="00683A38">
        <w:t xml:space="preserve">Bahasa </w:t>
      </w:r>
      <w:r w:rsidRPr="001A6CCD">
        <w:t>Indonesia;</w:t>
      </w:r>
    </w:p>
    <w:p w14:paraId="1EC373BE" w14:textId="77777777" w:rsidR="006F7EF2" w:rsidRPr="001A6CCD" w:rsidRDefault="006F7EF2" w:rsidP="00781988">
      <w:pPr>
        <w:pStyle w:val="Bullet3"/>
      </w:pPr>
      <w:r w:rsidRPr="001A6CCD">
        <w:t xml:space="preserve">the system is not well suited for </w:t>
      </w:r>
      <w:r w:rsidRPr="00E22E05">
        <w:rPr>
          <w:i/>
        </w:rPr>
        <w:t>masyarakat adat</w:t>
      </w:r>
      <w:r w:rsidRPr="001A6CCD">
        <w:t xml:space="preserve"> groups that have been forcibl</w:t>
      </w:r>
      <w:r>
        <w:t>y displaced from</w:t>
      </w:r>
      <w:r w:rsidRPr="001A6CCD">
        <w:t xml:space="preserve"> their customary lands or have been forced to radically change their traditional way of life;</w:t>
      </w:r>
    </w:p>
    <w:p w14:paraId="4B3BF23A" w14:textId="77777777" w:rsidR="006F7EF2" w:rsidRPr="001A6CCD" w:rsidRDefault="006F7EF2" w:rsidP="00781988">
      <w:pPr>
        <w:pStyle w:val="Bullet3"/>
      </w:pPr>
      <w:r w:rsidRPr="001A6CCD">
        <w:t xml:space="preserve">the sheer number </w:t>
      </w:r>
      <w:r>
        <w:t xml:space="preserve">of </w:t>
      </w:r>
      <w:r w:rsidRPr="001A6CCD">
        <w:rPr>
          <w:i/>
        </w:rPr>
        <w:t>masyarakat adat</w:t>
      </w:r>
      <w:r w:rsidRPr="001A6CCD">
        <w:t xml:space="preserve"> groups means that even if the process is implemented smoothly, it is likely to take a long time for large scale recognition of indigenous land rights to take place;</w:t>
      </w:r>
    </w:p>
    <w:p w14:paraId="55C8695F" w14:textId="77777777" w:rsidR="006F7EF2" w:rsidRPr="001A6CCD" w:rsidRDefault="006F7EF2" w:rsidP="00781988">
      <w:pPr>
        <w:pStyle w:val="Bullet3"/>
      </w:pPr>
      <w:r w:rsidRPr="001A6CCD">
        <w:t xml:space="preserve">the </w:t>
      </w:r>
      <w:r>
        <w:t>NLA</w:t>
      </w:r>
      <w:r w:rsidRPr="001A6CCD">
        <w:t xml:space="preserve"> has indicated that further technical regulations and guidance is required before any recognition process can be fully implemented</w:t>
      </w:r>
      <w:r>
        <w:t>, and i</w:t>
      </w:r>
      <w:r w:rsidRPr="001A6CCD">
        <w:t>t is unclear when those regulations are likely to be issued.</w:t>
      </w:r>
    </w:p>
    <w:p w14:paraId="047F343D" w14:textId="77777777" w:rsidR="006F7EF2" w:rsidRPr="004F56A4" w:rsidRDefault="006F7EF2" w:rsidP="00C23609">
      <w:pPr>
        <w:pStyle w:val="NormalIndent"/>
        <w:ind w:left="1418"/>
      </w:pPr>
      <w:r>
        <w:t>At time of writing</w:t>
      </w:r>
      <w:r w:rsidRPr="00AF7AE6">
        <w:t xml:space="preserve"> the Government is processing two communal rights claims for </w:t>
      </w:r>
      <w:r w:rsidRPr="00AA2B58">
        <w:t>Baduy</w:t>
      </w:r>
      <w:r w:rsidRPr="00AF7AE6">
        <w:t xml:space="preserve"> and </w:t>
      </w:r>
      <w:r w:rsidRPr="00AA2B58">
        <w:t>Kampung Naga</w:t>
      </w:r>
      <w:r w:rsidRPr="00AF7AE6">
        <w:t xml:space="preserve"> communities.</w:t>
      </w:r>
      <w:r>
        <w:t xml:space="preserve"> These claims will provide a good case study as to the effectiveness of </w:t>
      </w:r>
      <w:r w:rsidRPr="00E22E05">
        <w:rPr>
          <w:i/>
        </w:rPr>
        <w:t>Regulation 10/2016</w:t>
      </w:r>
      <w:r>
        <w:t>.</w:t>
      </w:r>
    </w:p>
    <w:p w14:paraId="1F03A9A8" w14:textId="77777777" w:rsidR="006F7EF2" w:rsidRPr="000D6AF3" w:rsidRDefault="006F7EF2" w:rsidP="0037125E">
      <w:pPr>
        <w:pStyle w:val="AllensHeading3"/>
        <w:rPr>
          <w:b/>
        </w:rPr>
      </w:pPr>
      <w:r w:rsidRPr="000D6AF3">
        <w:rPr>
          <w:b/>
        </w:rPr>
        <w:t>Is there conflict between indigenous groups regarding land ownership?</w:t>
      </w:r>
    </w:p>
    <w:p w14:paraId="6A904CEC" w14:textId="77777777" w:rsidR="006F7EF2" w:rsidRPr="000D6AF3" w:rsidRDefault="006F7EF2" w:rsidP="0037125E">
      <w:pPr>
        <w:pStyle w:val="AllensHeading3"/>
        <w:rPr>
          <w:b/>
        </w:rPr>
      </w:pPr>
      <w:r w:rsidRPr="000D6AF3">
        <w:rPr>
          <w:b/>
        </w:rPr>
        <w:t>If so, to what degree? Are there mechanisms for resolving these conflicts?</w:t>
      </w:r>
    </w:p>
    <w:p w14:paraId="3CE3F118" w14:textId="77777777" w:rsidR="006F7EF2" w:rsidRPr="00497969" w:rsidRDefault="006F7EF2" w:rsidP="00E95339">
      <w:pPr>
        <w:pStyle w:val="NormalIndent"/>
        <w:ind w:left="1418"/>
      </w:pPr>
      <w:r w:rsidRPr="00D942B9">
        <w:t xml:space="preserve">Conflicts between </w:t>
      </w:r>
      <w:r>
        <w:t>indigenous</w:t>
      </w:r>
      <w:r w:rsidRPr="00D942B9">
        <w:t xml:space="preserve"> group </w:t>
      </w:r>
      <w:r>
        <w:t xml:space="preserve">do </w:t>
      </w:r>
      <w:r w:rsidRPr="00D942B9">
        <w:t xml:space="preserve">occur </w:t>
      </w:r>
      <w:r>
        <w:t xml:space="preserve">and are generally </w:t>
      </w:r>
      <w:r w:rsidRPr="00D942B9">
        <w:t xml:space="preserve">due </w:t>
      </w:r>
      <w:r>
        <w:t>to disagreements regarding land boundaries</w:t>
      </w:r>
      <w:r w:rsidRPr="00497969">
        <w:rPr>
          <w:rFonts w:cs="Arial"/>
        </w:rPr>
        <w:t>.</w:t>
      </w:r>
      <w:r w:rsidRPr="00497969">
        <w:rPr>
          <w:rStyle w:val="FootnoteReference"/>
          <w:rFonts w:cs="Arial"/>
          <w:lang w:val="en-GB"/>
        </w:rPr>
        <w:footnoteReference w:id="110"/>
      </w:r>
      <w:r>
        <w:rPr>
          <w:rFonts w:cs="Arial"/>
        </w:rPr>
        <w:t xml:space="preserve"> Conflicts </w:t>
      </w:r>
      <w:r w:rsidRPr="00976189">
        <w:t xml:space="preserve">are usually settled by village authorities, although some disputes </w:t>
      </w:r>
      <w:r>
        <w:t xml:space="preserve">cannot be resolved at this level and are referred to court or to the NLA. </w:t>
      </w:r>
      <w:r w:rsidRPr="00B9346F">
        <w:t xml:space="preserve">Four different institutions possess overlapping </w:t>
      </w:r>
      <w:r>
        <w:t xml:space="preserve">jurisdiction </w:t>
      </w:r>
      <w:r w:rsidRPr="00B9346F">
        <w:t xml:space="preserve">to </w:t>
      </w:r>
      <w:r>
        <w:t xml:space="preserve">resolve land-related conflicts: </w:t>
      </w:r>
      <w:r w:rsidRPr="00B9346F">
        <w:t>the civil court</w:t>
      </w:r>
      <w:r>
        <w:t xml:space="preserve">s; </w:t>
      </w:r>
      <w:r w:rsidRPr="00B9346F">
        <w:t>the criminal court</w:t>
      </w:r>
      <w:r>
        <w:t>s</w:t>
      </w:r>
      <w:r w:rsidRPr="00B9346F">
        <w:t>;</w:t>
      </w:r>
      <w:r>
        <w:t xml:space="preserve"> the administrative courts; and the NLA.</w:t>
      </w:r>
      <w:r w:rsidRPr="00497969">
        <w:rPr>
          <w:rStyle w:val="FootnoteReference"/>
          <w:rFonts w:cstheme="minorHAnsi"/>
          <w:lang w:val="en-GB"/>
        </w:rPr>
        <w:footnoteReference w:id="111"/>
      </w:r>
    </w:p>
    <w:p w14:paraId="0FA50D20" w14:textId="77777777" w:rsidR="006F7EF2" w:rsidRDefault="006F7EF2" w:rsidP="004F56A4">
      <w:pPr>
        <w:pStyle w:val="NormalIndent"/>
        <w:ind w:left="1418"/>
      </w:pPr>
      <w:r>
        <w:lastRenderedPageBreak/>
        <w:t xml:space="preserve">The NLA's jurisdiction specifically relates </w:t>
      </w:r>
      <w:r w:rsidRPr="00497969">
        <w:t xml:space="preserve">to disputes </w:t>
      </w:r>
      <w:r>
        <w:t xml:space="preserve">arising from errors in land administration, </w:t>
      </w:r>
      <w:r w:rsidRPr="00497969">
        <w:t>registration or titling</w:t>
      </w:r>
      <w:r>
        <w:t>. For example, where landowners contest that the boundary between their land has been incorrectly recorded on the title due to an error in measurement or mapping.</w:t>
      </w:r>
      <w:r w:rsidRPr="00497969">
        <w:rPr>
          <w:rStyle w:val="FootnoteReference"/>
          <w:rFonts w:asciiTheme="minorHAnsi" w:hAnsiTheme="minorHAnsi" w:cstheme="minorHAnsi"/>
          <w:lang w:val="en-GB"/>
        </w:rPr>
        <w:footnoteReference w:id="112"/>
      </w:r>
      <w:r>
        <w:t xml:space="preserve"> The NLA has authority to cancel or amend land certificates, or to issue a determination that there has been no error in the administration, registration or titling of the land.</w:t>
      </w:r>
      <w:r w:rsidRPr="008057E7">
        <w:rPr>
          <w:vertAlign w:val="superscript"/>
        </w:rPr>
        <w:footnoteReference w:id="113"/>
      </w:r>
    </w:p>
    <w:p w14:paraId="49F52B36" w14:textId="77777777" w:rsidR="006F7EF2" w:rsidRDefault="006F7EF2" w:rsidP="00712076">
      <w:pPr>
        <w:pStyle w:val="AllensHeading2"/>
        <w:rPr>
          <w:lang w:val="en-GB"/>
        </w:rPr>
      </w:pPr>
      <w:bookmarkStart w:id="62" w:name="MinorityGroups"/>
      <w:bookmarkStart w:id="63" w:name="_Toc512946260"/>
      <w:bookmarkEnd w:id="62"/>
      <w:r w:rsidRPr="00497969">
        <w:rPr>
          <w:lang w:val="en-GB"/>
        </w:rPr>
        <w:t>Minority Groups</w:t>
      </w:r>
      <w:bookmarkEnd w:id="63"/>
    </w:p>
    <w:p w14:paraId="5D87A55C" w14:textId="77777777" w:rsidR="006F7EF2" w:rsidRDefault="006F7EF2" w:rsidP="00170528">
      <w:pPr>
        <w:pStyle w:val="AllensHeading3"/>
        <w:rPr>
          <w:b/>
        </w:rPr>
      </w:pPr>
      <w:r w:rsidRPr="00170528">
        <w:rPr>
          <w:b/>
        </w:rPr>
        <w:t>Can minority groups (ie, ethnic minorities, immigrants, stateless people) legally own and/or rent land and housing?</w:t>
      </w:r>
    </w:p>
    <w:p w14:paraId="37DFA618" w14:textId="77777777" w:rsidR="006F7EF2" w:rsidRDefault="006F7EF2" w:rsidP="00170528">
      <w:pPr>
        <w:pStyle w:val="AllensHeading3"/>
        <w:rPr>
          <w:b/>
        </w:rPr>
      </w:pPr>
      <w:r>
        <w:rPr>
          <w:b/>
        </w:rPr>
        <w:t>If so, are they subject to special conditions or restrictions?</w:t>
      </w:r>
    </w:p>
    <w:p w14:paraId="19F3C13C" w14:textId="70D70DEE" w:rsidR="006F7EF2" w:rsidRDefault="006F7EF2" w:rsidP="000413EE">
      <w:pPr>
        <w:pStyle w:val="NormalIndent"/>
        <w:ind w:left="1418"/>
      </w:pPr>
      <w:r>
        <w:t>All Indonesian citizens have equal legal rights to own</w:t>
      </w:r>
      <w:r w:rsidRPr="00497969">
        <w:t xml:space="preserve"> and</w:t>
      </w:r>
      <w:r>
        <w:t xml:space="preserve"> </w:t>
      </w:r>
      <w:r w:rsidRPr="00497969">
        <w:t>rent land and housing</w:t>
      </w:r>
      <w:r>
        <w:t xml:space="preserve">. Both the </w:t>
      </w:r>
      <w:r w:rsidRPr="00050E5C">
        <w:rPr>
          <w:i/>
        </w:rPr>
        <w:t>Constitution</w:t>
      </w:r>
      <w:r>
        <w:t xml:space="preserve"> and the </w:t>
      </w:r>
      <w:r w:rsidRPr="00050E5C">
        <w:rPr>
          <w:i/>
        </w:rPr>
        <w:t>Agrarian Law</w:t>
      </w:r>
      <w:r>
        <w:t xml:space="preserve"> contain provisions which prohibit formal discrimination between Indonesian citizens in respect of property rights.</w:t>
      </w:r>
      <w:r>
        <w:rPr>
          <w:rStyle w:val="FootnoteReference"/>
        </w:rPr>
        <w:footnoteReference w:id="114"/>
      </w:r>
      <w:r>
        <w:t xml:space="preserve"> </w:t>
      </w:r>
    </w:p>
    <w:p w14:paraId="3748DE75" w14:textId="1CD4A0C8" w:rsidR="006F7EF2" w:rsidRDefault="006F7EF2" w:rsidP="005D7D54">
      <w:pPr>
        <w:pStyle w:val="NormalIndent"/>
        <w:ind w:left="1418"/>
      </w:pPr>
      <w:r>
        <w:t xml:space="preserve">Non-Indonesian citizens are unable to hold </w:t>
      </w:r>
      <w:r w:rsidRPr="00BB48DF">
        <w:rPr>
          <w:i/>
        </w:rPr>
        <w:t>hak milik</w:t>
      </w:r>
      <w:r>
        <w:t xml:space="preserve">, </w:t>
      </w:r>
      <w:r w:rsidRPr="00BB48DF">
        <w:rPr>
          <w:i/>
        </w:rPr>
        <w:t>hak guna-bangunan</w:t>
      </w:r>
      <w:r>
        <w:t xml:space="preserve">, and </w:t>
      </w:r>
      <w:r w:rsidRPr="00BB48DF">
        <w:rPr>
          <w:i/>
        </w:rPr>
        <w:t>hak guna-usaha</w:t>
      </w:r>
      <w:r>
        <w:t xml:space="preserve"> titles, which are three of the most secure </w:t>
      </w:r>
      <w:r w:rsidR="006A36BE">
        <w:t>forms of tenure</w:t>
      </w:r>
      <w:r>
        <w:t>.</w:t>
      </w:r>
      <w:r>
        <w:rPr>
          <w:rStyle w:val="FootnoteReference"/>
        </w:rPr>
        <w:footnoteReference w:id="115"/>
      </w:r>
      <w:r>
        <w:t xml:space="preserve"> Indonesia's relatively strict citizenship laws mean that immigrants, including second-generation immigrants, may be unable to hold these titles.</w:t>
      </w:r>
    </w:p>
    <w:p w14:paraId="018B092C" w14:textId="0B8E7432" w:rsidR="006F7EF2" w:rsidRDefault="006F7EF2" w:rsidP="00954B83">
      <w:pPr>
        <w:pStyle w:val="NormalIndent"/>
        <w:ind w:left="1418"/>
      </w:pPr>
      <w:r>
        <w:t>Unless an applicant is married to an Indonesian citizen, obtaining Indonesian citizenship is a demanding process which requires, among other things, proof that the applicant has a steady income and can speak Bahasa Indonesia.</w:t>
      </w:r>
      <w:r>
        <w:rPr>
          <w:rStyle w:val="FootnoteReference"/>
        </w:rPr>
        <w:footnoteReference w:id="116"/>
      </w:r>
      <w:r>
        <w:t xml:space="preserve"> These requirements also apply to second-generation immigrants born in Indonesia to non-Indonesian parents.</w:t>
      </w:r>
      <w:r>
        <w:rPr>
          <w:rStyle w:val="FootnoteReference"/>
        </w:rPr>
        <w:footnoteReference w:id="117"/>
      </w:r>
    </w:p>
    <w:p w14:paraId="4DEB8838" w14:textId="77777777" w:rsidR="006F7EF2" w:rsidRPr="00170528" w:rsidRDefault="006F7EF2" w:rsidP="008422AB">
      <w:pPr>
        <w:pStyle w:val="AllensHeading3"/>
        <w:rPr>
          <w:b/>
        </w:rPr>
      </w:pPr>
      <w:r>
        <w:rPr>
          <w:b/>
        </w:rPr>
        <w:t>In practice, do minority groups legally own and/or rent land and housing? If not, why not?</w:t>
      </w:r>
    </w:p>
    <w:p w14:paraId="5FD59EC4" w14:textId="77777777" w:rsidR="006F7EF2" w:rsidRDefault="006F7EF2" w:rsidP="00954B83">
      <w:pPr>
        <w:pStyle w:val="NormalIndent"/>
        <w:ind w:left="1418"/>
      </w:pPr>
      <w:r>
        <w:t>There is some evidence that, in practice, discrimination against ethnic and religious minorities undermines their ability to legally own and rent land and housing. For example, in Yogyakarta there is an official policy of refusing to register land to non-indigenous Indonesians.</w:t>
      </w:r>
      <w:r>
        <w:rPr>
          <w:rStyle w:val="FootnoteReference"/>
        </w:rPr>
        <w:footnoteReference w:id="118"/>
      </w:r>
      <w:r>
        <w:t xml:space="preserve"> Accordingly, there have been recent instances of local Land Offices refusing to register land to Chinese-Indonesians solely on the basis of their ethnicity.</w:t>
      </w:r>
      <w:r>
        <w:rPr>
          <w:rStyle w:val="FootnoteReference"/>
        </w:rPr>
        <w:footnoteReference w:id="119"/>
      </w:r>
    </w:p>
    <w:p w14:paraId="2138A304" w14:textId="25F326CA" w:rsidR="006F7EF2" w:rsidRDefault="006F7EF2" w:rsidP="00E76FAA">
      <w:pPr>
        <w:pStyle w:val="NormalIndent"/>
        <w:ind w:left="1418"/>
      </w:pPr>
      <w:r>
        <w:t xml:space="preserve">There are also recent instances of forced evictions motivated by animosity towards </w:t>
      </w:r>
      <w:r w:rsidR="00141356">
        <w:t>minority groups</w:t>
      </w:r>
      <w:r>
        <w:t xml:space="preserve">. For example, in January 2016, approximately 7,000 members of a religious minority, the Fajar Nusantara Movement, were violently and forcibly evicted from </w:t>
      </w:r>
      <w:r>
        <w:lastRenderedPageBreak/>
        <w:t>several villages in West Kalimantan by local 'mobs'.</w:t>
      </w:r>
      <w:r>
        <w:rPr>
          <w:rStyle w:val="FootnoteReference"/>
        </w:rPr>
        <w:footnoteReference w:id="120"/>
      </w:r>
      <w:r>
        <w:t xml:space="preserve"> The military and police allegedly failed to take steps to end the eviction and, subsequently, forcibly relocated a large number of the minority.</w:t>
      </w:r>
      <w:r>
        <w:rPr>
          <w:rStyle w:val="FootnoteReference"/>
        </w:rPr>
        <w:footnoteReference w:id="121"/>
      </w:r>
    </w:p>
    <w:p w14:paraId="14D293D1" w14:textId="77777777" w:rsidR="006F7EF2" w:rsidRPr="00497969" w:rsidRDefault="006F7EF2" w:rsidP="00712076">
      <w:pPr>
        <w:pStyle w:val="AllensHeading2"/>
        <w:rPr>
          <w:lang w:val="en-GB"/>
        </w:rPr>
      </w:pPr>
      <w:bookmarkStart w:id="64" w:name="LandlessPeople"/>
      <w:bookmarkStart w:id="65" w:name="_Toc512946261"/>
      <w:bookmarkEnd w:id="64"/>
      <w:r w:rsidRPr="00497969">
        <w:rPr>
          <w:lang w:val="en-GB"/>
        </w:rPr>
        <w:t>Landless People/Squatters</w:t>
      </w:r>
      <w:bookmarkEnd w:id="65"/>
    </w:p>
    <w:p w14:paraId="6D7D77B7" w14:textId="77777777" w:rsidR="006F7EF2" w:rsidRPr="00170528" w:rsidRDefault="006F7EF2" w:rsidP="00170528">
      <w:pPr>
        <w:pStyle w:val="AllensHeading3"/>
        <w:rPr>
          <w:b/>
          <w:lang w:val="en-GB"/>
        </w:rPr>
      </w:pPr>
      <w:r w:rsidRPr="00170528">
        <w:rPr>
          <w:b/>
          <w:lang w:val="en-GB"/>
        </w:rPr>
        <w:t>Do landless people/squatters have rights to land and/or housing (eg adverse possession)? If so, are those rights respected?</w:t>
      </w:r>
    </w:p>
    <w:p w14:paraId="01668991" w14:textId="1F8CB577" w:rsidR="006F7EF2" w:rsidRDefault="006F7EF2" w:rsidP="00712076">
      <w:pPr>
        <w:pStyle w:val="NormalIndent"/>
        <w:ind w:left="1418"/>
      </w:pPr>
      <w:r>
        <w:t>The principle of adverse possession do</w:t>
      </w:r>
      <w:r w:rsidR="00141356">
        <w:t>es not exist in Indonesian law</w:t>
      </w:r>
      <w:r>
        <w:t xml:space="preserve">. The </w:t>
      </w:r>
      <w:r w:rsidR="00141356">
        <w:t xml:space="preserve">customary </w:t>
      </w:r>
      <w:r>
        <w:t xml:space="preserve">principle of </w:t>
      </w:r>
      <w:r w:rsidRPr="00185505">
        <w:rPr>
          <w:i/>
        </w:rPr>
        <w:t>rechtsverwerking</w:t>
      </w:r>
      <w:r>
        <w:t xml:space="preserve"> permits a landless group to lawfully remain on another group's customary land if the land is vacant and the group has been granted permission from the customary group's leader.</w:t>
      </w:r>
      <w:r>
        <w:rPr>
          <w:rStyle w:val="FootnoteReference"/>
        </w:rPr>
        <w:footnoteReference w:id="122"/>
      </w:r>
      <w:r>
        <w:t xml:space="preserve"> </w:t>
      </w:r>
    </w:p>
    <w:p w14:paraId="55B82A4F" w14:textId="77777777" w:rsidR="006F7EF2" w:rsidRDefault="006F7EF2" w:rsidP="00E426B6">
      <w:pPr>
        <w:pStyle w:val="NormalIndent"/>
        <w:ind w:left="1418"/>
      </w:pPr>
      <w:r>
        <w:t>This principle is not recognised by all customary groups and, even where it is recognised, there are differences in its implementation.</w:t>
      </w:r>
      <w:r>
        <w:rPr>
          <w:rStyle w:val="FootnoteReference"/>
        </w:rPr>
        <w:footnoteReference w:id="123"/>
      </w:r>
      <w:r>
        <w:t xml:space="preserve"> Customary groups have varying requirements regarding how long land must be vacant before it may be occupied by another group.</w:t>
      </w:r>
      <w:r>
        <w:rPr>
          <w:rStyle w:val="FootnoteReference"/>
        </w:rPr>
        <w:footnoteReference w:id="124"/>
      </w:r>
    </w:p>
    <w:p w14:paraId="153C001B" w14:textId="77777777" w:rsidR="006F7EF2" w:rsidRDefault="006F7EF2" w:rsidP="00170528">
      <w:pPr>
        <w:pStyle w:val="AllensHeading2"/>
        <w:rPr>
          <w:lang w:val="en-GB"/>
        </w:rPr>
      </w:pPr>
      <w:bookmarkStart w:id="66" w:name="InformalSettlements"/>
      <w:bookmarkStart w:id="67" w:name="_Toc512946262"/>
      <w:bookmarkEnd w:id="66"/>
      <w:r>
        <w:rPr>
          <w:lang w:val="en-GB"/>
        </w:rPr>
        <w:t>Other groups</w:t>
      </w:r>
      <w:bookmarkEnd w:id="67"/>
    </w:p>
    <w:p w14:paraId="39DCBDDD" w14:textId="77777777" w:rsidR="006F7EF2" w:rsidRPr="00170528" w:rsidRDefault="006F7EF2" w:rsidP="00170528">
      <w:pPr>
        <w:pStyle w:val="AllensHeading3"/>
        <w:rPr>
          <w:rFonts w:eastAsiaTheme="minorHAnsi"/>
          <w:b/>
          <w:lang w:val="en-US"/>
        </w:rPr>
      </w:pPr>
      <w:r w:rsidRPr="00D504B2">
        <w:rPr>
          <w:rFonts w:eastAsiaTheme="minorHAnsi"/>
          <w:b/>
          <w:lang w:val="en-US"/>
        </w:rPr>
        <w:t>Are there any other persons or groups that face difficulties in accessing or maintaining secure tenure (for example, due to internal displacement)?</w:t>
      </w:r>
    </w:p>
    <w:p w14:paraId="646C87A6" w14:textId="192D78F6" w:rsidR="006F7EF2" w:rsidRDefault="006F7EF2" w:rsidP="002601BB">
      <w:pPr>
        <w:pStyle w:val="NormalIndent"/>
        <w:ind w:left="1418"/>
      </w:pPr>
      <w:r>
        <w:t>There is a significant population of persons who have been internally displaced due to natural disasters, or ethnic or religious conflict. Internally displaced persons (</w:t>
      </w:r>
      <w:r w:rsidRPr="002F0174">
        <w:rPr>
          <w:b/>
          <w:i/>
        </w:rPr>
        <w:t>IDPs</w:t>
      </w:r>
      <w:r>
        <w:t>) generally have difficulty accessing secure tenure and are likely to live in informal settlements.</w:t>
      </w:r>
      <w:r>
        <w:rPr>
          <w:rStyle w:val="FootnoteReference"/>
        </w:rPr>
        <w:footnoteReference w:id="125"/>
      </w:r>
      <w:r>
        <w:t xml:space="preserve"> Examples of </w:t>
      </w:r>
      <w:r w:rsidR="00947C17">
        <w:t xml:space="preserve">internally </w:t>
      </w:r>
      <w:r>
        <w:t>displaced persons with limited security of tenure are provided below.</w:t>
      </w:r>
    </w:p>
    <w:p w14:paraId="329CC645" w14:textId="77777777" w:rsidR="006F7EF2" w:rsidRPr="00834E75" w:rsidRDefault="006F7EF2" w:rsidP="001B1CE3">
      <w:pPr>
        <w:pStyle w:val="Bullet2"/>
      </w:pPr>
      <w:r>
        <w:t xml:space="preserve">In the city of </w:t>
      </w:r>
      <w:r w:rsidRPr="005371AF">
        <w:t>Kupang</w:t>
      </w:r>
      <w:r>
        <w:t xml:space="preserve"> in </w:t>
      </w:r>
      <w:r w:rsidRPr="005371AF">
        <w:t>East Nusa Tenggara</w:t>
      </w:r>
      <w:r>
        <w:t xml:space="preserve">, an estimated </w:t>
      </w:r>
      <w:r w:rsidRPr="005371AF">
        <w:t xml:space="preserve">22,000 </w:t>
      </w:r>
      <w:r>
        <w:t xml:space="preserve">IDPs from </w:t>
      </w:r>
      <w:r w:rsidRPr="005371AF">
        <w:t>Timor-Leste</w:t>
      </w:r>
      <w:r>
        <w:t xml:space="preserve"> live in informal settlements in and around</w:t>
      </w:r>
      <w:r w:rsidRPr="005371AF">
        <w:t xml:space="preserve"> </w:t>
      </w:r>
      <w:r>
        <w:t>the city.</w:t>
      </w:r>
    </w:p>
    <w:p w14:paraId="436F0C2C" w14:textId="7318D13E" w:rsidR="006F7EF2" w:rsidRPr="00592C83" w:rsidRDefault="006F7EF2" w:rsidP="001B1CE3">
      <w:pPr>
        <w:pStyle w:val="Bullet2"/>
      </w:pPr>
      <w:r>
        <w:t>In the Sei Lepan district of North Sumatra, an estimated 3,000 ethnic Javanese IDPs who fled the Aceh conflict between 1999 and 2003 live in an informal settlement. T</w:t>
      </w:r>
      <w:r>
        <w:rPr>
          <w:lang w:val="en-US"/>
        </w:rPr>
        <w:t xml:space="preserve">hey are in a </w:t>
      </w:r>
      <w:r w:rsidRPr="00834E75">
        <w:rPr>
          <w:lang w:val="en-US"/>
        </w:rPr>
        <w:t xml:space="preserve">long-running land dispute with the local government, which </w:t>
      </w:r>
      <w:r w:rsidR="00947C17">
        <w:rPr>
          <w:lang w:val="en-US"/>
        </w:rPr>
        <w:t>maintains that they are</w:t>
      </w:r>
      <w:r w:rsidRPr="00834E75">
        <w:rPr>
          <w:lang w:val="en-US"/>
        </w:rPr>
        <w:t xml:space="preserve"> encroaching on an adjacent national park.</w:t>
      </w:r>
    </w:p>
    <w:p w14:paraId="1632DC4A" w14:textId="7E10D8DD" w:rsidR="006F7EF2" w:rsidRPr="006B71B1" w:rsidRDefault="006F7EF2" w:rsidP="001B1CE3">
      <w:pPr>
        <w:pStyle w:val="Bullet2"/>
      </w:pPr>
      <w:r>
        <w:t>On Maluku Island, an estimate</w:t>
      </w:r>
      <w:r w:rsidR="003A0E89">
        <w:t>d</w:t>
      </w:r>
      <w:r>
        <w:t xml:space="preserve"> 5,400 IDPs live with host families or in temporary settlements in four sub-districts (</w:t>
      </w:r>
      <w:r w:rsidRPr="0033487D">
        <w:t>Buru, South Buru, central Maluku and West Seram</w:t>
      </w:r>
      <w:r>
        <w:t>).</w:t>
      </w:r>
      <w:r>
        <w:rPr>
          <w:rStyle w:val="FootnoteReference"/>
          <w:rFonts w:cs="Arial"/>
          <w:sz w:val="21"/>
          <w:szCs w:val="21"/>
        </w:rPr>
        <w:footnoteReference w:id="126"/>
      </w:r>
    </w:p>
    <w:p w14:paraId="3839B05D" w14:textId="77777777" w:rsidR="006F7EF2" w:rsidRPr="004158C0" w:rsidRDefault="006F7EF2" w:rsidP="004158C0">
      <w:pPr>
        <w:pStyle w:val="NormalIndent"/>
        <w:ind w:left="1418"/>
      </w:pPr>
      <w:r w:rsidRPr="004158C0">
        <w:rPr>
          <w:rFonts w:cs="Arial"/>
          <w:lang w:val="en-US"/>
        </w:rPr>
        <w:lastRenderedPageBreak/>
        <w:t xml:space="preserve">In addition to the above, there are reports of forced evictions of </w:t>
      </w:r>
      <w:r w:rsidRPr="004158C0">
        <w:t>lesbian, gay, bisexual and transgender individuals by private landlords.</w:t>
      </w:r>
      <w:r w:rsidRPr="004158C0">
        <w:rPr>
          <w:rStyle w:val="FootnoteReference"/>
        </w:rPr>
        <w:footnoteReference w:id="127"/>
      </w:r>
    </w:p>
    <w:p w14:paraId="182FC371" w14:textId="77777777" w:rsidR="006F7EF2" w:rsidRPr="00497969" w:rsidRDefault="006F7EF2" w:rsidP="00B53ACC">
      <w:pPr>
        <w:pStyle w:val="AllensHeading1"/>
        <w:rPr>
          <w:lang w:val="en-GB"/>
        </w:rPr>
      </w:pPr>
      <w:bookmarkStart w:id="68" w:name="EvictionExpropriationRelocation"/>
      <w:bookmarkStart w:id="69" w:name="_Toc512946263"/>
      <w:bookmarkEnd w:id="68"/>
      <w:r w:rsidRPr="00497969">
        <w:rPr>
          <w:lang w:val="en-GB"/>
        </w:rPr>
        <w:t>Eviction, Expropriation and Relocation</w:t>
      </w:r>
      <w:bookmarkEnd w:id="69"/>
      <w:r w:rsidRPr="00497969">
        <w:rPr>
          <w:lang w:val="en-GB"/>
        </w:rPr>
        <w:t xml:space="preserve"> </w:t>
      </w:r>
    </w:p>
    <w:p w14:paraId="7B698FDA" w14:textId="77777777" w:rsidR="006F7EF2" w:rsidRDefault="006F7EF2" w:rsidP="00B53ACC">
      <w:pPr>
        <w:pStyle w:val="AllensHeading2"/>
        <w:rPr>
          <w:lang w:val="en-GB"/>
        </w:rPr>
      </w:pPr>
      <w:bookmarkStart w:id="70" w:name="Evictions"/>
      <w:bookmarkStart w:id="71" w:name="_Toc512946264"/>
      <w:bookmarkEnd w:id="70"/>
      <w:r>
        <w:rPr>
          <w:lang w:val="en-GB"/>
        </w:rPr>
        <w:t>Evictions</w:t>
      </w:r>
      <w:bookmarkEnd w:id="71"/>
    </w:p>
    <w:p w14:paraId="1BC09B2E" w14:textId="77777777" w:rsidR="006F7EF2" w:rsidRPr="00D41886" w:rsidRDefault="006F7EF2" w:rsidP="00D41886">
      <w:pPr>
        <w:pStyle w:val="AllensHeading3"/>
        <w:rPr>
          <w:b/>
        </w:rPr>
      </w:pPr>
      <w:r w:rsidRPr="00D41886">
        <w:rPr>
          <w:b/>
        </w:rPr>
        <w:t>Are there laws or regulations prohibiting forced evictions?</w:t>
      </w:r>
    </w:p>
    <w:p w14:paraId="470DE64A" w14:textId="77777777" w:rsidR="006F7EF2" w:rsidRDefault="006F7EF2" w:rsidP="00D41886">
      <w:pPr>
        <w:pStyle w:val="AllensHeading3"/>
        <w:rPr>
          <w:b/>
        </w:rPr>
      </w:pPr>
      <w:r w:rsidRPr="00D41886">
        <w:rPr>
          <w:b/>
        </w:rPr>
        <w:t>In practice, are those laws adhered to?</w:t>
      </w:r>
    </w:p>
    <w:p w14:paraId="7B486FA8" w14:textId="77777777" w:rsidR="006F7EF2" w:rsidRDefault="006F7EF2" w:rsidP="007C1C25">
      <w:pPr>
        <w:pStyle w:val="NormalIndent"/>
      </w:pPr>
      <w:r w:rsidRPr="007C1C25">
        <w:t xml:space="preserve">Article 28H(4) of the </w:t>
      </w:r>
      <w:r w:rsidRPr="00016D1D">
        <w:rPr>
          <w:i/>
        </w:rPr>
        <w:t>Constitution</w:t>
      </w:r>
      <w:r w:rsidRPr="007C1C25">
        <w:t xml:space="preserve"> provides that '[e]very person shall have the right to own personal property and such property cannot be unjustly expropriated by any other party'.</w:t>
      </w:r>
      <w:r>
        <w:t xml:space="preserve"> This article does not, however, protect residents of informal settlements.</w:t>
      </w:r>
    </w:p>
    <w:p w14:paraId="24F08AE0" w14:textId="78C65326" w:rsidR="006F7EF2" w:rsidRDefault="006F7EF2" w:rsidP="00886458">
      <w:pPr>
        <w:pStyle w:val="NormalIndent"/>
      </w:pPr>
      <w:r>
        <w:t>In 2013, UN Special Rapporteur Raquel Rolnik reported that forced evictions are authorised under a myriad of provincial and municipal laws, and are 'widespread' all over Indonesia.</w:t>
      </w:r>
      <w:r>
        <w:rPr>
          <w:rStyle w:val="FootnoteReference"/>
        </w:rPr>
        <w:footnoteReference w:id="128"/>
      </w:r>
      <w:r>
        <w:t xml:space="preserve"> For example, in 2007 a public order regulation was introduced in Jakarta (</w:t>
      </w:r>
      <w:r w:rsidRPr="009A7A2F">
        <w:rPr>
          <w:i/>
        </w:rPr>
        <w:t>Perda 8/2007</w:t>
      </w:r>
      <w:r>
        <w:t xml:space="preserve">) making it illegal to settle and build in certain designated areas, such as </w:t>
      </w:r>
      <w:r w:rsidRPr="004A2088">
        <w:t>within 10 meters of rivers and other</w:t>
      </w:r>
      <w:r>
        <w:t xml:space="preserve"> bodies of water.</w:t>
      </w:r>
    </w:p>
    <w:p w14:paraId="3B0C7D2E" w14:textId="71A54DD2" w:rsidR="006F7EF2" w:rsidRPr="00886458" w:rsidRDefault="006F7EF2" w:rsidP="00886458">
      <w:pPr>
        <w:pStyle w:val="NormalIndent"/>
      </w:pPr>
      <w:r>
        <w:t xml:space="preserve">This regulation permitted an aggressive program of forced evictions under former </w:t>
      </w:r>
      <w:r w:rsidRPr="004A2088">
        <w:t xml:space="preserve">Governor </w:t>
      </w:r>
      <w:r>
        <w:t>Basuki Purnama between 2014 and 2017.</w:t>
      </w:r>
      <w:r>
        <w:rPr>
          <w:rStyle w:val="FootnoteReference"/>
        </w:rPr>
        <w:footnoteReference w:id="129"/>
      </w:r>
      <w:r>
        <w:t xml:space="preserve"> </w:t>
      </w:r>
      <w:r w:rsidR="004158C0">
        <w:t>I</w:t>
      </w:r>
      <w:r>
        <w:t>n 2015 and 2016, residents of two informal settlements on the Ciliwung River in Jakarta were rapidly and forcefully evicted in order to facilitate flood mitigation works on the River.</w:t>
      </w:r>
      <w:r>
        <w:rPr>
          <w:rStyle w:val="FootnoteReference"/>
        </w:rPr>
        <w:footnoteReference w:id="130"/>
      </w:r>
    </w:p>
    <w:p w14:paraId="692B2453" w14:textId="61D20406" w:rsidR="006F7EF2" w:rsidRDefault="006F7EF2" w:rsidP="00F2400D">
      <w:pPr>
        <w:pStyle w:val="NormalIndent"/>
      </w:pPr>
      <w:r>
        <w:t>It is common for there to be no consultat</w:t>
      </w:r>
      <w:r w:rsidR="00F87F3A">
        <w:t xml:space="preserve">ion prior to forced evictions. </w:t>
      </w:r>
      <w:r w:rsidRPr="00DB2E73">
        <w:t>Research conducted by Indonesian Legal Aid found that 84</w:t>
      </w:r>
      <w:r>
        <w:t xml:space="preserve"> per cent</w:t>
      </w:r>
      <w:r w:rsidRPr="00DB2E73">
        <w:t xml:space="preserve"> of the forced evictions </w:t>
      </w:r>
      <w:r>
        <w:t xml:space="preserve">from informal settlements </w:t>
      </w:r>
      <w:r w:rsidRPr="00DB2E73">
        <w:t xml:space="preserve">in Jakarta during 2015 were conducted without any prior consultation </w:t>
      </w:r>
      <w:r>
        <w:t>with</w:t>
      </w:r>
      <w:r w:rsidRPr="00DB2E73">
        <w:t xml:space="preserve"> residents.</w:t>
      </w:r>
      <w:r w:rsidRPr="00DB2E73">
        <w:rPr>
          <w:vertAlign w:val="superscript"/>
        </w:rPr>
        <w:footnoteReference w:id="131"/>
      </w:r>
    </w:p>
    <w:p w14:paraId="371D8375" w14:textId="77777777" w:rsidR="006F7EF2" w:rsidRDefault="006F7EF2" w:rsidP="00B53ACC">
      <w:pPr>
        <w:pStyle w:val="AllensHeading2"/>
        <w:rPr>
          <w:lang w:val="en-GB"/>
        </w:rPr>
      </w:pPr>
      <w:bookmarkStart w:id="72" w:name="Expropriation"/>
      <w:bookmarkStart w:id="73" w:name="_Toc512946265"/>
      <w:bookmarkEnd w:id="72"/>
      <w:r>
        <w:rPr>
          <w:lang w:val="en-GB"/>
        </w:rPr>
        <w:t>Expropriation</w:t>
      </w:r>
      <w:bookmarkEnd w:id="73"/>
    </w:p>
    <w:p w14:paraId="0248EA49" w14:textId="77777777" w:rsidR="006F7EF2" w:rsidRPr="00BB75E0" w:rsidRDefault="006F7EF2" w:rsidP="00D41886">
      <w:pPr>
        <w:pStyle w:val="AllensHeading3"/>
        <w:rPr>
          <w:b/>
        </w:rPr>
      </w:pPr>
      <w:r w:rsidRPr="00D41886">
        <w:rPr>
          <w:b/>
          <w:iCs/>
        </w:rPr>
        <w:t>Are there laws or regulations permitting the government to expropriate land?</w:t>
      </w:r>
    </w:p>
    <w:p w14:paraId="4250B0A3" w14:textId="77777777" w:rsidR="006F7EF2" w:rsidRPr="00BB75E0" w:rsidRDefault="006F7EF2" w:rsidP="00D41886">
      <w:pPr>
        <w:pStyle w:val="AllensHeading3"/>
        <w:rPr>
          <w:b/>
        </w:rPr>
      </w:pPr>
      <w:r w:rsidRPr="00D41886">
        <w:rPr>
          <w:b/>
          <w:iCs/>
        </w:rPr>
        <w:t>If so, are those laws or regulations applicable in the context of a disaster?</w:t>
      </w:r>
    </w:p>
    <w:p w14:paraId="2C9526F3" w14:textId="77777777" w:rsidR="006F7EF2" w:rsidRDefault="006F7EF2" w:rsidP="00806007">
      <w:pPr>
        <w:pStyle w:val="NormalIndent"/>
        <w:ind w:left="1418"/>
      </w:pPr>
      <w:r>
        <w:t>Land may be expropriated by the government under the following acts:</w:t>
      </w:r>
    </w:p>
    <w:p w14:paraId="7103F890" w14:textId="77777777" w:rsidR="006F7EF2" w:rsidRDefault="006F7EF2" w:rsidP="001B1CE3">
      <w:pPr>
        <w:pStyle w:val="Bullet2"/>
      </w:pPr>
      <w:r w:rsidRPr="001B1CE3">
        <w:rPr>
          <w:i/>
        </w:rPr>
        <w:t>Law No. 2 of 2012 on Land Acquisition for the Public Interest</w:t>
      </w:r>
      <w:r>
        <w:t xml:space="preserve"> </w:t>
      </w:r>
      <w:r w:rsidRPr="006B71B1">
        <w:t>(</w:t>
      </w:r>
      <w:r w:rsidRPr="00781988">
        <w:rPr>
          <w:b/>
          <w:i/>
        </w:rPr>
        <w:t>Law No. 2/2012</w:t>
      </w:r>
      <w:r w:rsidRPr="006B71B1">
        <w:t>)</w:t>
      </w:r>
      <w:r>
        <w:t>;</w:t>
      </w:r>
    </w:p>
    <w:p w14:paraId="4063A6AC" w14:textId="77777777" w:rsidR="006F7EF2" w:rsidRPr="00016CBF" w:rsidRDefault="006F7EF2" w:rsidP="001B1CE3">
      <w:pPr>
        <w:pStyle w:val="Bullet2"/>
      </w:pPr>
      <w:r w:rsidRPr="001B1CE3">
        <w:rPr>
          <w:i/>
          <w:lang w:val="en-GB"/>
        </w:rPr>
        <w:t>Law No. 24 of 2007 concerning Disaster Management</w:t>
      </w:r>
      <w:r>
        <w:rPr>
          <w:lang w:val="en-GB"/>
        </w:rPr>
        <w:t xml:space="preserve"> (</w:t>
      </w:r>
      <w:r w:rsidRPr="00781988">
        <w:rPr>
          <w:b/>
          <w:i/>
          <w:lang w:val="en-GB"/>
        </w:rPr>
        <w:t>Law No. 24/2007</w:t>
      </w:r>
      <w:r>
        <w:rPr>
          <w:lang w:val="en-GB"/>
        </w:rPr>
        <w:t>).</w:t>
      </w:r>
    </w:p>
    <w:p w14:paraId="49FDDFC9" w14:textId="77777777" w:rsidR="006F7EF2" w:rsidRPr="00176D2E" w:rsidRDefault="006F7EF2" w:rsidP="00016CBF">
      <w:pPr>
        <w:pStyle w:val="AllensHeading4"/>
      </w:pPr>
      <w:r w:rsidRPr="009C790D">
        <w:rPr>
          <w:b/>
        </w:rPr>
        <w:t>Law No. 2/2012</w:t>
      </w:r>
    </w:p>
    <w:p w14:paraId="2B7F10EA" w14:textId="5CDDF164" w:rsidR="006F7EF2" w:rsidRDefault="006F7EF2" w:rsidP="001B1CE3">
      <w:pPr>
        <w:pStyle w:val="NormalIndent"/>
        <w:ind w:left="2127"/>
      </w:pPr>
      <w:r w:rsidRPr="002F0A48">
        <w:rPr>
          <w:i/>
        </w:rPr>
        <w:t>Law No. 2 of 2012 on Land Acquisition for the Public Interest</w:t>
      </w:r>
      <w:r w:rsidRPr="00016CBF">
        <w:t xml:space="preserve"> </w:t>
      </w:r>
      <w:r>
        <w:t>(</w:t>
      </w:r>
      <w:r w:rsidRPr="00F74740">
        <w:rPr>
          <w:b/>
          <w:i/>
        </w:rPr>
        <w:t>LAPI</w:t>
      </w:r>
      <w:r>
        <w:t xml:space="preserve">) and its implementing regulations </w:t>
      </w:r>
      <w:r w:rsidR="004158C0">
        <w:t xml:space="preserve">and decrees </w:t>
      </w:r>
      <w:r>
        <w:t>permit the government to acquire land for development projects which serve the public interest, including hospitals, airports, low-cost housing, schools and power plants.</w:t>
      </w:r>
      <w:r w:rsidRPr="006B71B1">
        <w:rPr>
          <w:vertAlign w:val="superscript"/>
        </w:rPr>
        <w:footnoteReference w:id="132"/>
      </w:r>
      <w:r>
        <w:t xml:space="preserve"> Land acquisition under </w:t>
      </w:r>
      <w:r w:rsidRPr="00CE5BA3">
        <w:rPr>
          <w:i/>
        </w:rPr>
        <w:t>LAPI</w:t>
      </w:r>
      <w:r>
        <w:rPr>
          <w:i/>
        </w:rPr>
        <w:t xml:space="preserve"> </w:t>
      </w:r>
      <w:r>
        <w:t>occurs in the following stages.</w:t>
      </w:r>
    </w:p>
    <w:p w14:paraId="44B8B441" w14:textId="77777777" w:rsidR="006F7EF2" w:rsidRDefault="006F7EF2" w:rsidP="00781988">
      <w:pPr>
        <w:pStyle w:val="Bullet3"/>
        <w:ind w:left="2836"/>
      </w:pPr>
      <w:r>
        <w:lastRenderedPageBreak/>
        <w:t>First, the government agency which seeks to acquire land must prepare a Land Procurement for Public Interest Plan identifying (amongst other things):</w:t>
      </w:r>
    </w:p>
    <w:p w14:paraId="7CE7F3E2" w14:textId="77777777" w:rsidR="006F7EF2" w:rsidRDefault="006F7EF2" w:rsidP="00781988">
      <w:pPr>
        <w:pStyle w:val="Bullet3"/>
        <w:tabs>
          <w:tab w:val="num" w:pos="4254"/>
        </w:tabs>
        <w:ind w:left="3545"/>
      </w:pPr>
      <w:r>
        <w:t>the location, size and value of the land;</w:t>
      </w:r>
    </w:p>
    <w:p w14:paraId="69840FDF" w14:textId="77777777" w:rsidR="006F7EF2" w:rsidRDefault="006F7EF2" w:rsidP="00781988">
      <w:pPr>
        <w:pStyle w:val="Bullet3"/>
        <w:tabs>
          <w:tab w:val="num" w:pos="4254"/>
        </w:tabs>
        <w:ind w:left="3545"/>
      </w:pPr>
      <w:r>
        <w:t>the nature of the proposed project; and</w:t>
      </w:r>
    </w:p>
    <w:p w14:paraId="0A61D813" w14:textId="77777777" w:rsidR="006F7EF2" w:rsidRDefault="006F7EF2" w:rsidP="00781988">
      <w:pPr>
        <w:pStyle w:val="Bullet3"/>
        <w:tabs>
          <w:tab w:val="num" w:pos="4254"/>
        </w:tabs>
        <w:ind w:left="3545"/>
      </w:pPr>
      <w:r>
        <w:t>the timeline and budget for the project.</w:t>
      </w:r>
      <w:r>
        <w:rPr>
          <w:rStyle w:val="FootnoteReference"/>
        </w:rPr>
        <w:footnoteReference w:id="133"/>
      </w:r>
    </w:p>
    <w:p w14:paraId="66AB0041" w14:textId="77777777" w:rsidR="006F7EF2" w:rsidRDefault="006F7EF2" w:rsidP="00781988">
      <w:pPr>
        <w:pStyle w:val="Bullet3"/>
        <w:ind w:left="2836"/>
      </w:pPr>
      <w:r>
        <w:t>Second, the agency has a 60-day period to notify and consult with persons whose land will be acquired. If the agency and landowners reach agreement for the land to be acquired, the agency may seek national government approval for the location of the project.</w:t>
      </w:r>
      <w:r>
        <w:rPr>
          <w:rStyle w:val="FootnoteReference"/>
        </w:rPr>
        <w:footnoteReference w:id="134"/>
      </w:r>
    </w:p>
    <w:p w14:paraId="4935B606" w14:textId="55B23872" w:rsidR="006F7EF2" w:rsidRDefault="006F7EF2" w:rsidP="00781988">
      <w:pPr>
        <w:pStyle w:val="Bullet3"/>
        <w:ind w:left="2836"/>
      </w:pPr>
      <w:r>
        <w:t>Third, if a landowner objects, the period is extended by 30 days, following which any outstanding objections are referr</w:t>
      </w:r>
      <w:r w:rsidR="00F87F3A">
        <w:t xml:space="preserve">ed to the national government. </w:t>
      </w:r>
      <w:r>
        <w:t>The national government, having considered the objection, may accept or reject the objection.</w:t>
      </w:r>
      <w:r>
        <w:rPr>
          <w:rStyle w:val="FootnoteReference"/>
        </w:rPr>
        <w:footnoteReference w:id="135"/>
      </w:r>
    </w:p>
    <w:p w14:paraId="2C94DA0D" w14:textId="77777777" w:rsidR="006F7EF2" w:rsidRDefault="006F7EF2" w:rsidP="00781988">
      <w:pPr>
        <w:pStyle w:val="Bullet3"/>
        <w:tabs>
          <w:tab w:val="num" w:pos="3545"/>
        </w:tabs>
        <w:ind w:left="3545"/>
      </w:pPr>
      <w:r>
        <w:t>If the objection is accepted, the agency must submit seek approval for an alternative location.</w:t>
      </w:r>
      <w:r>
        <w:rPr>
          <w:rStyle w:val="FootnoteReference"/>
        </w:rPr>
        <w:footnoteReference w:id="136"/>
      </w:r>
    </w:p>
    <w:p w14:paraId="657DDE57" w14:textId="77777777" w:rsidR="006F7EF2" w:rsidRDefault="006F7EF2" w:rsidP="00781988">
      <w:pPr>
        <w:pStyle w:val="Bullet3"/>
        <w:tabs>
          <w:tab w:val="num" w:pos="3545"/>
        </w:tabs>
        <w:ind w:left="3545"/>
      </w:pPr>
      <w:r>
        <w:t>If the objection is rejected, the location will be approved. However, the objector may appeal to the State Administrative Court and, if unsuccessful, lodge a further appeal with the Supreme Court.</w:t>
      </w:r>
      <w:r>
        <w:rPr>
          <w:rStyle w:val="FootnoteReference"/>
        </w:rPr>
        <w:footnoteReference w:id="137"/>
      </w:r>
    </w:p>
    <w:p w14:paraId="28C7A399" w14:textId="77777777" w:rsidR="006F7EF2" w:rsidRDefault="006F7EF2" w:rsidP="00781988">
      <w:pPr>
        <w:pStyle w:val="Bullet3"/>
        <w:ind w:left="2836"/>
      </w:pPr>
      <w:r>
        <w:t>Fourth, once the location has been approved, the agency must submit an application to the NLA which identifies the current ownership and use of the land, and specifies a proposed amount of compensation.</w:t>
      </w:r>
      <w:r>
        <w:rPr>
          <w:rStyle w:val="FootnoteReference"/>
        </w:rPr>
        <w:footnoteReference w:id="138"/>
      </w:r>
    </w:p>
    <w:p w14:paraId="0DDBDEF4" w14:textId="77777777" w:rsidR="006F7EF2" w:rsidRDefault="006F7EF2" w:rsidP="00781988">
      <w:pPr>
        <w:pStyle w:val="Bullet3"/>
        <w:ind w:left="2836"/>
      </w:pPr>
      <w:r>
        <w:t>Fifth, NLA consults with the landowners to agree on the amount of compensation, using the assessment provided by the agency as a reference point. If the NLA and a landowner cannot reach agreement, the landowner may appeal to the District Court, and may lodge a further appeal with the Supreme Court.</w:t>
      </w:r>
      <w:r>
        <w:rPr>
          <w:rStyle w:val="FootnoteReference"/>
        </w:rPr>
        <w:footnoteReference w:id="139"/>
      </w:r>
    </w:p>
    <w:p w14:paraId="4704FD39" w14:textId="77777777" w:rsidR="006F7EF2" w:rsidRDefault="006F7EF2" w:rsidP="00781988">
      <w:pPr>
        <w:pStyle w:val="Bullet3"/>
        <w:ind w:left="2836"/>
      </w:pPr>
      <w:r>
        <w:t>Sixth, the landowner relinquishes their rights and is paid the agreed or judicially determined amount of compensation.</w:t>
      </w:r>
      <w:r>
        <w:rPr>
          <w:rStyle w:val="FootnoteReference"/>
        </w:rPr>
        <w:footnoteReference w:id="140"/>
      </w:r>
      <w:r>
        <w:t xml:space="preserve"> A landowner must provide evidence of their control or ownership of the land in order to receive compensation.</w:t>
      </w:r>
      <w:r>
        <w:rPr>
          <w:rStyle w:val="FootnoteReference"/>
        </w:rPr>
        <w:footnoteReference w:id="141"/>
      </w:r>
    </w:p>
    <w:p w14:paraId="25735198" w14:textId="77777777" w:rsidR="006F7EF2" w:rsidRDefault="006F7EF2" w:rsidP="001B1CE3">
      <w:pPr>
        <w:pStyle w:val="NormalIndent"/>
        <w:ind w:left="2127"/>
      </w:pPr>
      <w:r>
        <w:t>Although landowners are entitled to be consulted and compensated, these protections are not available to persons without property rights, such as residents of informal settlements.</w:t>
      </w:r>
    </w:p>
    <w:p w14:paraId="540DFE8C" w14:textId="3797B0D7" w:rsidR="006F7EF2" w:rsidRPr="00DB2E73" w:rsidRDefault="006F7EF2" w:rsidP="001B1CE3">
      <w:pPr>
        <w:pStyle w:val="NormalIndent"/>
        <w:ind w:left="2127"/>
      </w:pPr>
      <w:r>
        <w:lastRenderedPageBreak/>
        <w:t xml:space="preserve">The large number of steps required under </w:t>
      </w:r>
      <w:r>
        <w:rPr>
          <w:i/>
        </w:rPr>
        <w:t xml:space="preserve">LAPI </w:t>
      </w:r>
      <w:r>
        <w:t>means that the process of land acquisition may take several years and is impracticable in the context of a natural disaster.</w:t>
      </w:r>
    </w:p>
    <w:p w14:paraId="37EB21E4" w14:textId="77777777" w:rsidR="006F7EF2" w:rsidRPr="009C790D" w:rsidRDefault="006F7EF2" w:rsidP="00016CBF">
      <w:pPr>
        <w:pStyle w:val="AllensHeading4"/>
      </w:pPr>
      <w:r>
        <w:rPr>
          <w:b/>
        </w:rPr>
        <w:t>Law No. 24/2007</w:t>
      </w:r>
    </w:p>
    <w:p w14:paraId="52800A48" w14:textId="77777777" w:rsidR="006F7EF2" w:rsidRDefault="006F7EF2" w:rsidP="00A7609D">
      <w:pPr>
        <w:pStyle w:val="NormalIndent"/>
        <w:ind w:left="2126"/>
        <w:rPr>
          <w:bCs/>
          <w:iCs/>
        </w:rPr>
      </w:pPr>
      <w:r w:rsidRPr="00A7609D">
        <w:t>Article</w:t>
      </w:r>
      <w:r>
        <w:t xml:space="preserve"> 32 of the </w:t>
      </w:r>
      <w:r w:rsidRPr="009C790D">
        <w:rPr>
          <w:i/>
        </w:rPr>
        <w:t>Law No. 24 of 2007 concerning Disaster Management</w:t>
      </w:r>
      <w:r>
        <w:t xml:space="preserve"> (the </w:t>
      </w:r>
      <w:r w:rsidRPr="00CE5BA3">
        <w:rPr>
          <w:b/>
          <w:i/>
        </w:rPr>
        <w:t>Disaster Management Law</w:t>
      </w:r>
      <w:r>
        <w:t>)</w:t>
      </w:r>
      <w:r w:rsidRPr="00313EC4">
        <w:t xml:space="preserve"> </w:t>
      </w:r>
      <w:r>
        <w:t>provides the government with a broad power to revoke or reduce a person's property rights as part of disaster-management policy.</w:t>
      </w:r>
      <w:r>
        <w:rPr>
          <w:rStyle w:val="FootnoteReference"/>
        </w:rPr>
        <w:footnoteReference w:id="142"/>
      </w:r>
      <w:r>
        <w:t xml:space="preserve"> </w:t>
      </w:r>
    </w:p>
    <w:p w14:paraId="15175FEC" w14:textId="77777777" w:rsidR="006F7EF2" w:rsidRDefault="006F7EF2" w:rsidP="00A7609D">
      <w:pPr>
        <w:pStyle w:val="NormalIndent"/>
        <w:ind w:left="2126"/>
        <w:rPr>
          <w:bCs/>
          <w:iCs/>
        </w:rPr>
      </w:pPr>
      <w:r>
        <w:t>The term 'disaster management' is to defined to include disaster risk management and prevention, emergency response and rehabilitation.</w:t>
      </w:r>
      <w:r>
        <w:rPr>
          <w:rStyle w:val="FootnoteReference"/>
        </w:rPr>
        <w:footnoteReference w:id="143"/>
      </w:r>
      <w:r>
        <w:t xml:space="preserve"> This means the government's power to acquire land under article 32 is not restricted to emergency responses.</w:t>
      </w:r>
    </w:p>
    <w:p w14:paraId="35DDC802" w14:textId="63A0063D" w:rsidR="006F7EF2" w:rsidRPr="000550B1" w:rsidRDefault="006F7EF2" w:rsidP="00BA543A">
      <w:pPr>
        <w:pStyle w:val="NormalIndent"/>
        <w:ind w:left="2126"/>
      </w:pPr>
      <w:r w:rsidRPr="00A7609D">
        <w:t>Unlike</w:t>
      </w:r>
      <w:r>
        <w:t xml:space="preserve"> </w:t>
      </w:r>
      <w:r w:rsidRPr="00E2429B">
        <w:rPr>
          <w:i/>
        </w:rPr>
        <w:t>LAPI</w:t>
      </w:r>
      <w:r>
        <w:t xml:space="preserve">, the </w:t>
      </w:r>
      <w:r w:rsidRPr="00E2429B">
        <w:rPr>
          <w:i/>
        </w:rPr>
        <w:t>Disaster Management Law</w:t>
      </w:r>
      <w:r>
        <w:t xml:space="preserve"> does not establish a clear process for acquiring land, and does not contain any requirement to consult with landowners.</w:t>
      </w:r>
    </w:p>
    <w:p w14:paraId="5333E342" w14:textId="77777777" w:rsidR="006F7EF2" w:rsidRDefault="006F7EF2" w:rsidP="00B53ACC">
      <w:pPr>
        <w:pStyle w:val="AllensHeading2"/>
        <w:rPr>
          <w:lang w:val="en-GB"/>
        </w:rPr>
      </w:pPr>
      <w:bookmarkStart w:id="74" w:name="Relocation"/>
      <w:bookmarkStart w:id="75" w:name="_Toc512946266"/>
      <w:bookmarkEnd w:id="74"/>
      <w:r>
        <w:rPr>
          <w:lang w:val="en-GB"/>
        </w:rPr>
        <w:t>Relocations</w:t>
      </w:r>
      <w:bookmarkEnd w:id="75"/>
    </w:p>
    <w:p w14:paraId="08A237BE" w14:textId="77777777" w:rsidR="006F7EF2" w:rsidRPr="00D41886" w:rsidRDefault="006F7EF2" w:rsidP="00D41886">
      <w:pPr>
        <w:pStyle w:val="AllensHeading3"/>
        <w:rPr>
          <w:b/>
        </w:rPr>
      </w:pPr>
      <w:r w:rsidRPr="00D41886">
        <w:rPr>
          <w:b/>
        </w:rPr>
        <w:t>Are there laws or regulations governing relocation?</w:t>
      </w:r>
    </w:p>
    <w:p w14:paraId="5241228E" w14:textId="77777777" w:rsidR="006F7EF2" w:rsidRDefault="006F7EF2" w:rsidP="00D41886">
      <w:pPr>
        <w:pStyle w:val="AllensHeading3"/>
        <w:rPr>
          <w:b/>
        </w:rPr>
      </w:pPr>
      <w:r w:rsidRPr="00D41886">
        <w:rPr>
          <w:b/>
        </w:rPr>
        <w:t>Are there any other laws or regulations (ie, human rights instruments) that are applicable to relocations?</w:t>
      </w:r>
    </w:p>
    <w:p w14:paraId="27D773B6" w14:textId="07C5A03A" w:rsidR="006F7EF2" w:rsidRDefault="006F7EF2" w:rsidP="00A7609D">
      <w:pPr>
        <w:pStyle w:val="AllensHeading3"/>
        <w:numPr>
          <w:ilvl w:val="0"/>
          <w:numId w:val="0"/>
        </w:numPr>
        <w:ind w:left="1418"/>
        <w:rPr>
          <w:bCs/>
          <w:iCs/>
          <w:lang w:val="en-GB"/>
        </w:rPr>
      </w:pPr>
      <w:r>
        <w:rPr>
          <w:bCs/>
          <w:iCs/>
          <w:lang w:val="en-GB"/>
        </w:rPr>
        <w:t xml:space="preserve">We have not found evidence of any law or regulation governing forced relocations. Article 32 of the </w:t>
      </w:r>
      <w:r w:rsidR="00E72BDC">
        <w:rPr>
          <w:bCs/>
          <w:i/>
          <w:iCs/>
          <w:lang w:val="en-GB"/>
        </w:rPr>
        <w:t>Disaster Management Law</w:t>
      </w:r>
      <w:r>
        <w:rPr>
          <w:bCs/>
          <w:iCs/>
          <w:lang w:val="en-GB"/>
        </w:rPr>
        <w:t xml:space="preserve"> provides that the government may designate an area as unfit for habitation due to an unacceptably high risk of natural disaster.</w:t>
      </w:r>
      <w:r>
        <w:rPr>
          <w:rStyle w:val="FootnoteReference"/>
          <w:bCs/>
          <w:iCs/>
        </w:rPr>
        <w:footnoteReference w:id="144"/>
      </w:r>
      <w:r>
        <w:rPr>
          <w:bCs/>
          <w:iCs/>
          <w:lang w:val="en-GB"/>
        </w:rPr>
        <w:t xml:space="preserve"> This may provide a basis for forcibly evicting </w:t>
      </w:r>
      <w:r w:rsidR="008073B4">
        <w:rPr>
          <w:bCs/>
          <w:iCs/>
          <w:lang w:val="en-GB"/>
        </w:rPr>
        <w:t xml:space="preserve">and/or relocating </w:t>
      </w:r>
      <w:r>
        <w:rPr>
          <w:bCs/>
          <w:iCs/>
          <w:lang w:val="en-GB"/>
        </w:rPr>
        <w:t>persons living in a designated area.</w:t>
      </w:r>
    </w:p>
    <w:p w14:paraId="0F7EC398" w14:textId="77777777" w:rsidR="006F7EF2" w:rsidRPr="00D41886" w:rsidRDefault="006F7EF2" w:rsidP="00D41886">
      <w:pPr>
        <w:pStyle w:val="AllensHeading2"/>
      </w:pPr>
      <w:bookmarkStart w:id="76" w:name="_Toc512946267"/>
      <w:r>
        <w:t>Compensation for Expropriation and Relocation</w:t>
      </w:r>
      <w:bookmarkEnd w:id="76"/>
    </w:p>
    <w:p w14:paraId="0D2253B9" w14:textId="77777777" w:rsidR="006F7EF2" w:rsidRPr="00FC4B31" w:rsidRDefault="006F7EF2" w:rsidP="00D41886">
      <w:pPr>
        <w:pStyle w:val="AllensHeading3"/>
        <w:rPr>
          <w:b/>
          <w:lang w:val="en-GB"/>
        </w:rPr>
      </w:pPr>
      <w:r w:rsidRPr="00FC4B31">
        <w:rPr>
          <w:b/>
          <w:lang w:val="en-GB"/>
        </w:rPr>
        <w:t>Are there laws or regulations providing compensation for being who are relocated, forcibly evicted, or whose land is expropriated?</w:t>
      </w:r>
    </w:p>
    <w:p w14:paraId="78F287D7" w14:textId="77777777" w:rsidR="006F7EF2" w:rsidRDefault="006F7EF2" w:rsidP="00D41886">
      <w:pPr>
        <w:pStyle w:val="AllensHeading3"/>
        <w:rPr>
          <w:b/>
          <w:lang w:val="en-GB"/>
        </w:rPr>
      </w:pPr>
      <w:r w:rsidRPr="00FC4B31">
        <w:rPr>
          <w:b/>
          <w:lang w:val="en-GB"/>
        </w:rPr>
        <w:t>In practice, are these laws or regulations adhered to?</w:t>
      </w:r>
    </w:p>
    <w:p w14:paraId="0B5246AF" w14:textId="77777777" w:rsidR="006F7EF2" w:rsidRPr="00EC6DDA" w:rsidRDefault="006F7EF2" w:rsidP="00EC6DDA">
      <w:pPr>
        <w:pStyle w:val="AllensHeading4"/>
        <w:rPr>
          <w:b/>
        </w:rPr>
      </w:pPr>
      <w:r w:rsidRPr="00EC6DDA">
        <w:rPr>
          <w:b/>
        </w:rPr>
        <w:t>Compulsory acquisition</w:t>
      </w:r>
    </w:p>
    <w:p w14:paraId="6E6E598D" w14:textId="77777777" w:rsidR="006F7EF2" w:rsidRDefault="006F7EF2" w:rsidP="00A7609D">
      <w:pPr>
        <w:pStyle w:val="NormalIndent"/>
        <w:ind w:left="1418"/>
      </w:pPr>
      <w:r>
        <w:t xml:space="preserve">When land is acquired for public development projects under </w:t>
      </w:r>
      <w:r w:rsidRPr="00AB251A">
        <w:rPr>
          <w:i/>
        </w:rPr>
        <w:t>LAPI</w:t>
      </w:r>
      <w:r>
        <w:t>, the government is required to pay 'fair and adequate compensation' to landowners.</w:t>
      </w:r>
      <w:r>
        <w:rPr>
          <w:rStyle w:val="FootnoteReference"/>
        </w:rPr>
        <w:footnoteReference w:id="145"/>
      </w:r>
      <w:r>
        <w:t xml:space="preserve"> Compensation may be provided as money, land replacement or share ownership.</w:t>
      </w:r>
      <w:r>
        <w:rPr>
          <w:rStyle w:val="FootnoteReference"/>
        </w:rPr>
        <w:footnoteReference w:id="146"/>
      </w:r>
      <w:r>
        <w:t xml:space="preserve"> Compensation is also required to be paid under the </w:t>
      </w:r>
      <w:r w:rsidRPr="00AB251A">
        <w:rPr>
          <w:i/>
        </w:rPr>
        <w:t>Disaster Management Law</w:t>
      </w:r>
      <w:r>
        <w:t xml:space="preserve">. However, the </w:t>
      </w:r>
      <w:r w:rsidRPr="00AB251A">
        <w:rPr>
          <w:i/>
        </w:rPr>
        <w:t>Disaster Management Law</w:t>
      </w:r>
      <w:r>
        <w:t xml:space="preserve"> does not specify how compensation is determined, or the manner in which it can be provided.</w:t>
      </w:r>
    </w:p>
    <w:p w14:paraId="1A6E55FC" w14:textId="77777777" w:rsidR="006F7EF2" w:rsidRPr="00EC6DDA" w:rsidRDefault="006F7EF2" w:rsidP="00EC6DDA">
      <w:pPr>
        <w:pStyle w:val="AllensHeading4"/>
        <w:rPr>
          <w:b/>
        </w:rPr>
      </w:pPr>
      <w:r w:rsidRPr="00EC6DDA">
        <w:rPr>
          <w:b/>
        </w:rPr>
        <w:t>Forced eviction</w:t>
      </w:r>
    </w:p>
    <w:p w14:paraId="15E55D45" w14:textId="4DE79110" w:rsidR="006F7EF2" w:rsidRDefault="006F7EF2" w:rsidP="00EC6DDA">
      <w:pPr>
        <w:pStyle w:val="AllensHeading4"/>
        <w:numPr>
          <w:ilvl w:val="0"/>
          <w:numId w:val="0"/>
        </w:numPr>
        <w:ind w:left="1418"/>
      </w:pPr>
      <w:r>
        <w:t>Compensatio</w:t>
      </w:r>
      <w:r w:rsidR="00BA543A">
        <w:t xml:space="preserve">n and relocation assistance may, but is not required to, </w:t>
      </w:r>
      <w:r>
        <w:t xml:space="preserve">be available to residents of informal settlements who are forcefully evicted. For example, when residents </w:t>
      </w:r>
      <w:r>
        <w:lastRenderedPageBreak/>
        <w:t>of two informal settlements on the Ciliwung River in Jakarta were forcefully evicted in 2015 and 2016, they were offered compensation and resettlement housing.</w:t>
      </w:r>
      <w:r>
        <w:rPr>
          <w:rStyle w:val="FootnoteReference"/>
        </w:rPr>
        <w:footnoteReference w:id="147"/>
      </w:r>
      <w:r>
        <w:t xml:space="preserve"> Many residents were, however, unable to access compensation and relocation assistance because it was only available to persons with either a land certificate or a Jakarta identity card.</w:t>
      </w:r>
      <w:r>
        <w:rPr>
          <w:rStyle w:val="FootnoteReference"/>
        </w:rPr>
        <w:footnoteReference w:id="148"/>
      </w:r>
    </w:p>
    <w:p w14:paraId="1B37E6CD" w14:textId="77777777" w:rsidR="006F7EF2" w:rsidRPr="0010732B" w:rsidRDefault="006F7EF2" w:rsidP="00D41886">
      <w:pPr>
        <w:pStyle w:val="AllensHeading3"/>
        <w:rPr>
          <w:b/>
          <w:lang w:val="en-GB"/>
        </w:rPr>
      </w:pPr>
      <w:bookmarkStart w:id="77" w:name="ShelterCluster"/>
      <w:bookmarkEnd w:id="77"/>
      <w:r w:rsidRPr="00FC4B31">
        <w:rPr>
          <w:b/>
          <w:lang w:val="en-GB"/>
        </w:rPr>
        <w:t xml:space="preserve">Is there an active shelter cluster in the country? If not, has the shelter cluster been </w:t>
      </w:r>
      <w:r w:rsidRPr="0010732B">
        <w:rPr>
          <w:b/>
          <w:lang w:val="en-GB"/>
        </w:rPr>
        <w:t>activated during any previous disasters?</w:t>
      </w:r>
    </w:p>
    <w:p w14:paraId="4A9E0BEE" w14:textId="77777777" w:rsidR="006F7EF2" w:rsidRDefault="006F7EF2" w:rsidP="00A7609D">
      <w:pPr>
        <w:spacing w:before="0" w:line="240" w:lineRule="auto"/>
        <w:ind w:left="1390"/>
      </w:pPr>
      <w:r>
        <w:t>There is no active shelter cluster in country. However, the shelter cluster has previously been activated for the:</w:t>
      </w:r>
    </w:p>
    <w:p w14:paraId="2C3C91EA" w14:textId="77777777" w:rsidR="006F7EF2" w:rsidRDefault="006F7EF2" w:rsidP="00581781">
      <w:pPr>
        <w:pStyle w:val="Bullet3"/>
      </w:pPr>
      <w:r>
        <w:t>2006 Yogyakarta Earthquake;</w:t>
      </w:r>
    </w:p>
    <w:p w14:paraId="2AB6796D" w14:textId="77777777" w:rsidR="006F7EF2" w:rsidRDefault="006F7EF2" w:rsidP="00581781">
      <w:pPr>
        <w:pStyle w:val="Bullet3"/>
      </w:pPr>
      <w:r>
        <w:t xml:space="preserve">2009 West Java Earthquake; and </w:t>
      </w:r>
    </w:p>
    <w:p w14:paraId="355D2603" w14:textId="77777777" w:rsidR="006F7EF2" w:rsidRDefault="006F7EF2" w:rsidP="00581781">
      <w:pPr>
        <w:pStyle w:val="Bullet3"/>
      </w:pPr>
      <w:r>
        <w:t>2009 West Sumatra Earthquake.</w:t>
      </w:r>
      <w:r>
        <w:rPr>
          <w:rStyle w:val="FootnoteReference"/>
        </w:rPr>
        <w:footnoteReference w:id="149"/>
      </w:r>
    </w:p>
    <w:p w14:paraId="34192BC1" w14:textId="77777777" w:rsidR="006F7EF2" w:rsidRDefault="006F7EF2" w:rsidP="006F7EF2"/>
    <w:sectPr w:rsidR="006F7EF2" w:rsidSect="00EB68A3">
      <w:footerReference w:type="default" r:id="rId31"/>
      <w:pgSz w:w="11907" w:h="16839"/>
      <w:pgMar w:top="1701" w:right="1134" w:bottom="1134" w:left="1417" w:header="680" w:footer="567"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7BE93" w14:textId="77777777" w:rsidR="00A31281" w:rsidRDefault="00A31281" w:rsidP="006F7EF2">
      <w:pPr>
        <w:spacing w:before="0" w:line="240" w:lineRule="auto"/>
      </w:pPr>
      <w:r>
        <w:separator/>
      </w:r>
    </w:p>
  </w:endnote>
  <w:endnote w:type="continuationSeparator" w:id="0">
    <w:p w14:paraId="0B592FD9" w14:textId="77777777" w:rsidR="00A31281" w:rsidRDefault="00A31281" w:rsidP="006F7EF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old">
    <w:altName w:val="Arial"/>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7087"/>
      <w:gridCol w:w="2268"/>
    </w:tblGrid>
    <w:tr w:rsidR="00826D50" w14:paraId="3F77E975" w14:textId="77777777" w:rsidTr="001D40A6">
      <w:tc>
        <w:tcPr>
          <w:tcW w:w="7087" w:type="dxa"/>
        </w:tcPr>
        <w:p w14:paraId="4CCEF79D" w14:textId="51C08B02" w:rsidR="00826D50" w:rsidRDefault="00B02534" w:rsidP="001D40A6">
          <w:pPr>
            <w:pStyle w:val="Footer"/>
          </w:pPr>
          <w:fldSimple w:instr=" DOCPROPERTY &quot;DOCSFooter&quot;  \* MERGEFORMAT ">
            <w:r w:rsidR="00826D50">
              <w:t xml:space="preserve">sorm A0138773653v12 120641715 </w:t>
            </w:r>
          </w:fldSimple>
          <w:r w:rsidR="00826D50">
            <w:t xml:space="preserve">  </w:t>
          </w:r>
          <w:r w:rsidR="00826D50">
            <w:fldChar w:fldCharType="begin"/>
          </w:r>
          <w:r w:rsidR="00826D50">
            <w:instrText xml:space="preserve"> SAVEDATE \@ "d.M.yyyy" \* MERGEFORMAT </w:instrText>
          </w:r>
          <w:r w:rsidR="00826D50">
            <w:fldChar w:fldCharType="separate"/>
          </w:r>
          <w:r w:rsidR="00E01A31">
            <w:rPr>
              <w:noProof/>
            </w:rPr>
            <w:t>24.5.2018</w:t>
          </w:r>
          <w:r w:rsidR="00826D50">
            <w:fldChar w:fldCharType="end"/>
          </w:r>
        </w:p>
      </w:tc>
      <w:tc>
        <w:tcPr>
          <w:tcW w:w="2268" w:type="dxa"/>
        </w:tcPr>
        <w:p w14:paraId="3AFE0E50" w14:textId="21B6DC29" w:rsidR="00826D50" w:rsidRDefault="00826D50" w:rsidP="00EB68A3">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E01A31">
            <w:rPr>
              <w:noProof/>
              <w:snapToGrid w:val="0"/>
            </w:rPr>
            <w:t>2</w:t>
          </w:r>
          <w:r>
            <w:rPr>
              <w:snapToGrid w:val="0"/>
            </w:rPr>
            <w:fldChar w:fldCharType="end"/>
          </w:r>
        </w:p>
      </w:tc>
    </w:tr>
  </w:tbl>
  <w:p w14:paraId="7643F189" w14:textId="25181736" w:rsidR="00826D50" w:rsidRPr="00EB68A3" w:rsidRDefault="00826D50" w:rsidP="00EB68A3">
    <w:pPr>
      <w:pStyle w:val="Footer"/>
      <w:rPr>
        <w:sz w:val="14"/>
      </w:rPr>
    </w:pPr>
    <w:r w:rsidRPr="00EB68A3">
      <w:rPr>
        <w:sz w:val="14"/>
      </w:rPr>
      <w:t>Allens is an independent partnership operating in alliance with Linklaters LLP.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7087"/>
      <w:gridCol w:w="2268"/>
    </w:tblGrid>
    <w:tr w:rsidR="00826D50" w14:paraId="22958839" w14:textId="77777777" w:rsidTr="001D40A6">
      <w:tc>
        <w:tcPr>
          <w:tcW w:w="7087" w:type="dxa"/>
        </w:tcPr>
        <w:p w14:paraId="44B06939" w14:textId="6FA6EE58" w:rsidR="00826D50" w:rsidRDefault="00B02534" w:rsidP="001D40A6">
          <w:pPr>
            <w:pStyle w:val="Footer"/>
          </w:pPr>
          <w:fldSimple w:instr=" DOCPROPERTY &quot;DOCSFooter&quot;  \* MERGEFORMAT ">
            <w:r w:rsidR="00826D50">
              <w:t xml:space="preserve">sorm A0138773653v12 120641715 </w:t>
            </w:r>
          </w:fldSimple>
          <w:r w:rsidR="00826D50">
            <w:t xml:space="preserve">  </w:t>
          </w:r>
          <w:r w:rsidR="00826D50">
            <w:fldChar w:fldCharType="begin"/>
          </w:r>
          <w:r w:rsidR="00826D50">
            <w:instrText xml:space="preserve"> SAVEDATE \@ "d.M.yyyy" \* MERGEFORMAT </w:instrText>
          </w:r>
          <w:r w:rsidR="00826D50">
            <w:fldChar w:fldCharType="separate"/>
          </w:r>
          <w:r w:rsidR="00E01A31">
            <w:rPr>
              <w:noProof/>
            </w:rPr>
            <w:t>24.5.2018</w:t>
          </w:r>
          <w:r w:rsidR="00826D50">
            <w:fldChar w:fldCharType="end"/>
          </w:r>
        </w:p>
      </w:tc>
      <w:tc>
        <w:tcPr>
          <w:tcW w:w="2268" w:type="dxa"/>
        </w:tcPr>
        <w:p w14:paraId="3EC18EF1" w14:textId="77777777" w:rsidR="00826D50" w:rsidRDefault="00826D50" w:rsidP="00806007">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E01A31">
            <w:rPr>
              <w:noProof/>
              <w:snapToGrid w:val="0"/>
            </w:rPr>
            <w:t>27</w:t>
          </w:r>
          <w:r>
            <w:rPr>
              <w:snapToGrid w:val="0"/>
            </w:rPr>
            <w:fldChar w:fldCharType="end"/>
          </w:r>
        </w:p>
      </w:tc>
    </w:tr>
  </w:tbl>
  <w:p w14:paraId="5D97AFEC" w14:textId="77777777" w:rsidR="00826D50" w:rsidRPr="000D7899" w:rsidRDefault="00826D50" w:rsidP="000D78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25DE9" w14:textId="77777777" w:rsidR="00A31281" w:rsidRDefault="00A31281" w:rsidP="006F7EF2">
      <w:pPr>
        <w:spacing w:before="0" w:line="240" w:lineRule="auto"/>
      </w:pPr>
      <w:r>
        <w:separator/>
      </w:r>
    </w:p>
  </w:footnote>
  <w:footnote w:type="continuationSeparator" w:id="0">
    <w:p w14:paraId="2C99B46A" w14:textId="77777777" w:rsidR="00A31281" w:rsidRDefault="00A31281" w:rsidP="006F7EF2">
      <w:pPr>
        <w:spacing w:before="0" w:line="240" w:lineRule="auto"/>
      </w:pPr>
      <w:r>
        <w:continuationSeparator/>
      </w:r>
    </w:p>
  </w:footnote>
  <w:footnote w:id="1">
    <w:p w14:paraId="4C683A2E" w14:textId="07F69CE3" w:rsidR="00826D50" w:rsidRPr="00E36969" w:rsidRDefault="00826D50" w:rsidP="0067663E">
      <w:pPr>
        <w:pStyle w:val="FootnoteText"/>
        <w:rPr>
          <w:lang w:val="en-GB"/>
        </w:rPr>
      </w:pPr>
      <w:r w:rsidRPr="00E36969">
        <w:rPr>
          <w:rStyle w:val="FootnoteReference"/>
          <w:lang w:val="en-GB"/>
        </w:rPr>
        <w:footnoteRef/>
      </w:r>
      <w:r>
        <w:rPr>
          <w:lang w:val="en-GB"/>
        </w:rPr>
        <w:t xml:space="preserve"> Statistics Indonesia, '</w:t>
      </w:r>
      <w:r w:rsidRPr="001E7E59">
        <w:rPr>
          <w:lang w:val="en-GB"/>
        </w:rPr>
        <w:t>Population of Indonesia: Result</w:t>
      </w:r>
      <w:r>
        <w:rPr>
          <w:lang w:val="en-GB"/>
        </w:rPr>
        <w:t>s</w:t>
      </w:r>
      <w:r w:rsidRPr="001E7E59">
        <w:rPr>
          <w:lang w:val="en-GB"/>
        </w:rPr>
        <w:t xml:space="preserve"> of the 2015 Intercensal Population Survey</w:t>
      </w:r>
      <w:r>
        <w:rPr>
          <w:lang w:val="en-GB"/>
        </w:rPr>
        <w:t>'</w:t>
      </w:r>
      <w:r w:rsidRPr="001E7E59">
        <w:rPr>
          <w:lang w:val="en-GB"/>
        </w:rPr>
        <w:t xml:space="preserve"> </w:t>
      </w:r>
      <w:r>
        <w:rPr>
          <w:lang w:val="en-GB"/>
        </w:rPr>
        <w:t>(2015) &lt;</w:t>
      </w:r>
      <w:r w:rsidRPr="000A07CF">
        <w:rPr>
          <w:lang w:val="en-GB"/>
        </w:rPr>
        <w:t>https://bps.go.id/website/pdf_publikasi/Penduduk-Indonesia-hasil-SUPAS-2015_rev.pdf</w:t>
      </w:r>
      <w:r>
        <w:rPr>
          <w:lang w:val="en-GB"/>
        </w:rPr>
        <w:t>&gt;.</w:t>
      </w:r>
    </w:p>
  </w:footnote>
  <w:footnote w:id="2">
    <w:p w14:paraId="558CDFFC" w14:textId="77777777" w:rsidR="00826D50" w:rsidRPr="00E36969" w:rsidRDefault="00826D50" w:rsidP="0067663E">
      <w:pPr>
        <w:pStyle w:val="FootnoteText"/>
        <w:rPr>
          <w:lang w:val="en-GB"/>
        </w:rPr>
      </w:pPr>
      <w:r w:rsidRPr="00E36969">
        <w:rPr>
          <w:rStyle w:val="FootnoteReference"/>
          <w:lang w:val="en-GB"/>
        </w:rPr>
        <w:footnoteRef/>
      </w:r>
      <w:r>
        <w:rPr>
          <w:lang w:val="en-GB"/>
        </w:rPr>
        <w:t xml:space="preserve"> Central Intelligence Agency, </w:t>
      </w:r>
      <w:r w:rsidRPr="007D6CCC">
        <w:rPr>
          <w:i/>
          <w:lang w:val="en-GB"/>
        </w:rPr>
        <w:t>Indonesia</w:t>
      </w:r>
      <w:r>
        <w:rPr>
          <w:lang w:val="en-GB"/>
        </w:rPr>
        <w:t xml:space="preserve"> &lt;</w:t>
      </w:r>
      <w:r w:rsidRPr="007D6CCC">
        <w:rPr>
          <w:lang w:val="en-GB"/>
        </w:rPr>
        <w:t>https://www.cia.gov/library/publications/the-world-factbook/geos/id.html</w:t>
      </w:r>
      <w:r>
        <w:rPr>
          <w:lang w:val="en-GB"/>
        </w:rPr>
        <w:t>&gt;.</w:t>
      </w:r>
    </w:p>
  </w:footnote>
  <w:footnote w:id="3">
    <w:p w14:paraId="1879A842" w14:textId="736216E1" w:rsidR="00826D50" w:rsidRPr="00E36969" w:rsidRDefault="00826D50" w:rsidP="008426F7">
      <w:pPr>
        <w:pStyle w:val="FootnoteText"/>
        <w:rPr>
          <w:lang w:val="en-GB"/>
        </w:rPr>
      </w:pPr>
      <w:r w:rsidRPr="00E36969">
        <w:rPr>
          <w:rStyle w:val="FootnoteReference"/>
          <w:lang w:val="en-GB"/>
        </w:rPr>
        <w:footnoteRef/>
      </w:r>
      <w:r>
        <w:rPr>
          <w:lang w:val="en-GB"/>
        </w:rPr>
        <w:t xml:space="preserve"> Statistics Indonesia, '</w:t>
      </w:r>
      <w:r w:rsidRPr="001E7E59">
        <w:rPr>
          <w:lang w:val="en-GB"/>
        </w:rPr>
        <w:t>Population of Indonesia: Result</w:t>
      </w:r>
      <w:r>
        <w:rPr>
          <w:lang w:val="en-GB"/>
        </w:rPr>
        <w:t>s</w:t>
      </w:r>
      <w:r w:rsidRPr="001E7E59">
        <w:rPr>
          <w:lang w:val="en-GB"/>
        </w:rPr>
        <w:t xml:space="preserve"> of the 2015 Intercensal Population Survey</w:t>
      </w:r>
      <w:r>
        <w:rPr>
          <w:lang w:val="en-GB"/>
        </w:rPr>
        <w:t>'</w:t>
      </w:r>
      <w:r w:rsidRPr="001E7E59">
        <w:rPr>
          <w:lang w:val="en-GB"/>
        </w:rPr>
        <w:t xml:space="preserve"> </w:t>
      </w:r>
      <w:r>
        <w:rPr>
          <w:lang w:val="en-GB"/>
        </w:rPr>
        <w:t>(2015) &lt;</w:t>
      </w:r>
      <w:r w:rsidRPr="000A07CF">
        <w:rPr>
          <w:lang w:val="en-GB"/>
        </w:rPr>
        <w:t>https://bps.go.id/website/pdf_publikasi/Penduduk-Indonesia-hasil-SUPAS-2015_rev.pdf</w:t>
      </w:r>
      <w:r>
        <w:rPr>
          <w:lang w:val="en-GB"/>
        </w:rPr>
        <w:t>&gt;.</w:t>
      </w:r>
    </w:p>
  </w:footnote>
  <w:footnote w:id="4">
    <w:p w14:paraId="0E389A10" w14:textId="4D1D0921" w:rsidR="00826D50" w:rsidRPr="00E36969" w:rsidRDefault="00826D50" w:rsidP="00802038">
      <w:pPr>
        <w:pStyle w:val="FootnoteText"/>
        <w:rPr>
          <w:lang w:val="en-GB"/>
        </w:rPr>
      </w:pPr>
      <w:r w:rsidRPr="00E36969">
        <w:rPr>
          <w:rStyle w:val="FootnoteReference"/>
          <w:lang w:val="en-GB"/>
        </w:rPr>
        <w:footnoteRef/>
      </w:r>
      <w:r>
        <w:rPr>
          <w:lang w:val="en-GB"/>
        </w:rPr>
        <w:t xml:space="preserve"> Ibid.</w:t>
      </w:r>
    </w:p>
  </w:footnote>
  <w:footnote w:id="5">
    <w:p w14:paraId="6E2D2074" w14:textId="56F94BB2" w:rsidR="00826D50" w:rsidRPr="00E36969" w:rsidRDefault="00826D50" w:rsidP="00695BBB">
      <w:pPr>
        <w:pStyle w:val="FootnoteText"/>
        <w:rPr>
          <w:lang w:val="en-GB"/>
        </w:rPr>
      </w:pPr>
      <w:r w:rsidRPr="00E36969">
        <w:rPr>
          <w:rStyle w:val="FootnoteReference"/>
          <w:lang w:val="en-GB"/>
        </w:rPr>
        <w:footnoteRef/>
      </w:r>
      <w:r>
        <w:rPr>
          <w:lang w:val="en-GB"/>
        </w:rPr>
        <w:t xml:space="preserve"> US Library of Congress, </w:t>
      </w:r>
      <w:r w:rsidRPr="001E7E59">
        <w:rPr>
          <w:lang w:val="en-GB"/>
        </w:rPr>
        <w:t xml:space="preserve">'Language' </w:t>
      </w:r>
      <w:r>
        <w:rPr>
          <w:lang w:val="en-GB"/>
        </w:rPr>
        <w:t>&lt;</w:t>
      </w:r>
      <w:r w:rsidRPr="00D57F9D">
        <w:rPr>
          <w:lang w:val="en-GB"/>
        </w:rPr>
        <w:t>http://countrystudies.us/indonesia/42.htm</w:t>
      </w:r>
      <w:r>
        <w:rPr>
          <w:lang w:val="en-GB"/>
        </w:rPr>
        <w:t>&gt;.</w:t>
      </w:r>
    </w:p>
  </w:footnote>
  <w:footnote w:id="6">
    <w:p w14:paraId="072F2820" w14:textId="77777777" w:rsidR="00826D50" w:rsidRPr="00E36969" w:rsidRDefault="00826D50" w:rsidP="00695BBB">
      <w:pPr>
        <w:pStyle w:val="FootnoteText"/>
        <w:rPr>
          <w:lang w:val="en-GB"/>
        </w:rPr>
      </w:pPr>
      <w:r w:rsidRPr="00E36969">
        <w:rPr>
          <w:rStyle w:val="FootnoteReference"/>
          <w:lang w:val="en-GB"/>
        </w:rPr>
        <w:footnoteRef/>
      </w:r>
      <w:r>
        <w:rPr>
          <w:lang w:val="en-GB"/>
        </w:rPr>
        <w:t xml:space="preserve"> Ibid.</w:t>
      </w:r>
    </w:p>
  </w:footnote>
  <w:footnote w:id="7">
    <w:p w14:paraId="49006A44" w14:textId="2466D0C6" w:rsidR="00826D50" w:rsidRDefault="00826D50" w:rsidP="00BF3F74">
      <w:pPr>
        <w:pStyle w:val="FootnoteText"/>
      </w:pPr>
      <w:r>
        <w:rPr>
          <w:rStyle w:val="FootnoteReference"/>
        </w:rPr>
        <w:footnoteRef/>
      </w:r>
      <w:r>
        <w:t xml:space="preserve"> Please note that these hyperlinks are to the FAOLEX Database maintained by the Food and Agriculture Organization of the United Nations. These copies of the legislation are unofficial English translations of Indonesian legislation.</w:t>
      </w:r>
    </w:p>
  </w:footnote>
  <w:footnote w:id="8">
    <w:p w14:paraId="2FF995D6" w14:textId="2BF91A93" w:rsidR="00826D50" w:rsidRPr="005B3BEA" w:rsidRDefault="00826D50">
      <w:pPr>
        <w:pStyle w:val="FootnoteText"/>
        <w:rPr>
          <w:rFonts w:cs="Arial"/>
          <w:szCs w:val="16"/>
        </w:rPr>
      </w:pPr>
      <w:r w:rsidRPr="005B3BEA">
        <w:rPr>
          <w:rStyle w:val="FootnoteReference"/>
          <w:rFonts w:cs="Arial"/>
          <w:szCs w:val="16"/>
        </w:rPr>
        <w:footnoteRef/>
      </w:r>
      <w:r w:rsidRPr="005B3BEA">
        <w:rPr>
          <w:rFonts w:cs="Arial"/>
          <w:szCs w:val="16"/>
        </w:rPr>
        <w:t xml:space="preserve"> </w:t>
      </w:r>
      <w:r>
        <w:rPr>
          <w:rFonts w:cs="Arial"/>
          <w:szCs w:val="16"/>
        </w:rPr>
        <w:t xml:space="preserve">See </w:t>
      </w:r>
      <w:r w:rsidRPr="005B3BEA">
        <w:rPr>
          <w:rFonts w:cs="Arial"/>
          <w:szCs w:val="16"/>
        </w:rPr>
        <w:t>Jude Wallace, 'Indonesian Land Law and Admin</w:t>
      </w:r>
      <w:r>
        <w:rPr>
          <w:rFonts w:cs="Arial"/>
          <w:szCs w:val="16"/>
        </w:rPr>
        <w:t>istration'  in Tim Lindsey (ed)</w:t>
      </w:r>
      <w:r w:rsidRPr="005B3BEA">
        <w:rPr>
          <w:rFonts w:cs="Arial"/>
          <w:szCs w:val="16"/>
        </w:rPr>
        <w:t xml:space="preserve">, </w:t>
      </w:r>
      <w:r w:rsidRPr="005B3BEA">
        <w:rPr>
          <w:rFonts w:cs="Arial"/>
          <w:i/>
          <w:szCs w:val="16"/>
        </w:rPr>
        <w:t>Indonesia Law and Society</w:t>
      </w:r>
      <w:r w:rsidRPr="005B3BEA">
        <w:rPr>
          <w:rFonts w:cs="Arial"/>
          <w:szCs w:val="16"/>
        </w:rPr>
        <w:t xml:space="preserve"> (The Federation Press, 2008) 201-2.</w:t>
      </w:r>
    </w:p>
  </w:footnote>
  <w:footnote w:id="9">
    <w:p w14:paraId="14F5F222" w14:textId="68F95886" w:rsidR="00826D50" w:rsidRPr="005B3BEA" w:rsidRDefault="00826D50">
      <w:pPr>
        <w:pStyle w:val="FootnoteText"/>
        <w:rPr>
          <w:rFonts w:cs="Arial"/>
          <w:szCs w:val="16"/>
        </w:rPr>
      </w:pPr>
      <w:r w:rsidRPr="005B3BEA">
        <w:rPr>
          <w:rStyle w:val="FootnoteReference"/>
          <w:rFonts w:cs="Arial"/>
          <w:szCs w:val="16"/>
        </w:rPr>
        <w:footnoteRef/>
      </w:r>
      <w:r w:rsidRPr="005B3BEA">
        <w:rPr>
          <w:rFonts w:cs="Arial"/>
          <w:szCs w:val="16"/>
        </w:rPr>
        <w:t xml:space="preserve"> </w:t>
      </w:r>
      <w:r>
        <w:rPr>
          <w:rFonts w:cs="Arial"/>
          <w:szCs w:val="16"/>
        </w:rPr>
        <w:t>Ibid.</w:t>
      </w:r>
    </w:p>
  </w:footnote>
  <w:footnote w:id="10">
    <w:p w14:paraId="4D8277EE" w14:textId="0FD1AE5E" w:rsidR="00826D50" w:rsidRDefault="00826D50">
      <w:pPr>
        <w:pStyle w:val="FootnoteText"/>
      </w:pPr>
      <w:r>
        <w:rPr>
          <w:rStyle w:val="FootnoteReference"/>
        </w:rPr>
        <w:footnoteRef/>
      </w:r>
      <w:r>
        <w:t xml:space="preserve"> See </w:t>
      </w:r>
      <w:r w:rsidRPr="005D62B5">
        <w:t>Jude Wallace,</w:t>
      </w:r>
      <w:r>
        <w:t xml:space="preserve"> above n8, </w:t>
      </w:r>
      <w:r w:rsidRPr="005D62B5">
        <w:t xml:space="preserve"> 201-2.</w:t>
      </w:r>
    </w:p>
  </w:footnote>
  <w:footnote w:id="11">
    <w:p w14:paraId="3A56CF74" w14:textId="77777777" w:rsidR="00826D50" w:rsidRPr="005B3BEA" w:rsidRDefault="00826D50">
      <w:pPr>
        <w:pStyle w:val="FootnoteText"/>
        <w:rPr>
          <w:rFonts w:cs="Arial"/>
          <w:szCs w:val="16"/>
        </w:rPr>
      </w:pPr>
      <w:r w:rsidRPr="005B3BEA">
        <w:rPr>
          <w:rStyle w:val="FootnoteReference"/>
          <w:rFonts w:cs="Arial"/>
          <w:szCs w:val="16"/>
        </w:rPr>
        <w:footnoteRef/>
      </w:r>
      <w:r w:rsidRPr="005B3BEA">
        <w:rPr>
          <w:rFonts w:cs="Arial"/>
          <w:szCs w:val="16"/>
        </w:rPr>
        <w:t xml:space="preserve"> Mia Siscawati et al, ' Overview of Forest Tenure Reforms in Indonesia' (Center for International Forestry Research, Working Paper 223, 2017) 1.</w:t>
      </w:r>
    </w:p>
  </w:footnote>
  <w:footnote w:id="12">
    <w:p w14:paraId="2F616B76" w14:textId="1326EAC1" w:rsidR="00826D50" w:rsidRDefault="00826D50">
      <w:pPr>
        <w:pStyle w:val="FootnoteText"/>
      </w:pPr>
      <w:r w:rsidRPr="005B3BEA">
        <w:rPr>
          <w:rStyle w:val="FootnoteReference"/>
          <w:rFonts w:cs="Arial"/>
          <w:szCs w:val="16"/>
        </w:rPr>
        <w:footnoteRef/>
      </w:r>
      <w:r w:rsidRPr="005B3BEA">
        <w:rPr>
          <w:rFonts w:cs="Arial"/>
          <w:szCs w:val="16"/>
        </w:rPr>
        <w:t xml:space="preserve"> </w:t>
      </w:r>
      <w:r>
        <w:rPr>
          <w:rFonts w:cs="Arial"/>
          <w:szCs w:val="16"/>
        </w:rPr>
        <w:t>Ibid.</w:t>
      </w:r>
    </w:p>
  </w:footnote>
  <w:footnote w:id="13">
    <w:p w14:paraId="47644AEF" w14:textId="319D4044" w:rsidR="00826D50" w:rsidRPr="00E36969" w:rsidRDefault="00826D50" w:rsidP="00720152">
      <w:pPr>
        <w:pStyle w:val="FootnoteText"/>
        <w:rPr>
          <w:lang w:val="en-GB"/>
        </w:rPr>
      </w:pPr>
      <w:r w:rsidRPr="00E36969">
        <w:rPr>
          <w:rStyle w:val="FootnoteReference"/>
          <w:lang w:val="en-GB"/>
        </w:rPr>
        <w:footnoteRef/>
      </w:r>
      <w:r>
        <w:rPr>
          <w:lang w:val="en-GB"/>
        </w:rPr>
        <w:t xml:space="preserve"> </w:t>
      </w:r>
      <w:r w:rsidRPr="00066FE3">
        <w:rPr>
          <w:i/>
        </w:rPr>
        <w:t>Act No. 5 of 1960 concerning Basic Regulations on Agrarian Principles</w:t>
      </w:r>
      <w:r>
        <w:rPr>
          <w:i/>
        </w:rPr>
        <w:t xml:space="preserve"> </w:t>
      </w:r>
      <w:r>
        <w:rPr>
          <w:lang w:val="en-GB"/>
        </w:rPr>
        <w:t>art 20(1) (</w:t>
      </w:r>
      <w:r w:rsidRPr="0012731F">
        <w:rPr>
          <w:b/>
          <w:i/>
          <w:lang w:val="en-GB"/>
        </w:rPr>
        <w:t>Agrarian Law</w:t>
      </w:r>
      <w:r>
        <w:rPr>
          <w:lang w:val="en-GB"/>
        </w:rPr>
        <w:t>).</w:t>
      </w:r>
    </w:p>
  </w:footnote>
  <w:footnote w:id="14">
    <w:p w14:paraId="6D9B8E16" w14:textId="04FF26DA" w:rsidR="00826D50" w:rsidRDefault="00826D50" w:rsidP="00720152">
      <w:pPr>
        <w:pStyle w:val="FootnoteText"/>
      </w:pPr>
      <w:r>
        <w:rPr>
          <w:rStyle w:val="FootnoteReference"/>
        </w:rPr>
        <w:footnoteRef/>
      </w:r>
      <w:r>
        <w:t xml:space="preserve"> </w:t>
      </w:r>
      <w:r w:rsidRPr="0012731F">
        <w:rPr>
          <w:i/>
          <w:lang w:val="en-GB"/>
        </w:rPr>
        <w:t>Agrarian Law</w:t>
      </w:r>
      <w:r>
        <w:rPr>
          <w:lang w:val="en-GB"/>
        </w:rPr>
        <w:t xml:space="preserve"> art 21(1)(2); </w:t>
      </w:r>
      <w:r>
        <w:t>Assegaf Hamzah &amp; Partners, 'Client Update: New Regulation Clarifies Rules on Property Ownership by Non-Indonesians but Changes Little' (20 January 2016) &lt;</w:t>
      </w:r>
      <w:r w:rsidRPr="002D121F">
        <w:t>http://id.rajahtannasia.com/media/2544/ahpclientupdate-20january2016.pdf</w:t>
      </w:r>
      <w:r>
        <w:t>&gt;; Linklaters, Widyawan &amp; Partners, Allens, 'Legal Guide to Investment in Indonesia' (July 2014) &lt;</w:t>
      </w:r>
      <w:r w:rsidRPr="00B93723">
        <w:t>https://www.allens.com.au/pubs/pdf/Investing-in-Indonesia.pdf</w:t>
      </w:r>
      <w:r>
        <w:t>&gt;.</w:t>
      </w:r>
    </w:p>
  </w:footnote>
  <w:footnote w:id="15">
    <w:p w14:paraId="03A6C4FA" w14:textId="0FEFC647" w:rsidR="00826D50" w:rsidRDefault="00826D50" w:rsidP="00720152">
      <w:pPr>
        <w:pStyle w:val="FootnoteText"/>
      </w:pPr>
      <w:r>
        <w:rPr>
          <w:rStyle w:val="FootnoteReference"/>
        </w:rPr>
        <w:footnoteRef/>
      </w:r>
      <w:r>
        <w:t xml:space="preserve"> </w:t>
      </w:r>
      <w:r w:rsidRPr="0012731F">
        <w:rPr>
          <w:i/>
          <w:lang w:val="en-GB"/>
        </w:rPr>
        <w:t>Agrarian Law</w:t>
      </w:r>
      <w:r>
        <w:rPr>
          <w:lang w:val="en-GB"/>
        </w:rPr>
        <w:t xml:space="preserve"> art 21(4).</w:t>
      </w:r>
    </w:p>
  </w:footnote>
  <w:footnote w:id="16">
    <w:p w14:paraId="2FDF5C59" w14:textId="4A2BC2F9" w:rsidR="00826D50" w:rsidRPr="00E36969" w:rsidRDefault="00826D50" w:rsidP="00720152">
      <w:pPr>
        <w:pStyle w:val="FootnoteText"/>
        <w:rPr>
          <w:lang w:val="en-GB"/>
        </w:rPr>
      </w:pPr>
      <w:r w:rsidRPr="00E36969">
        <w:rPr>
          <w:rStyle w:val="FootnoteReference"/>
          <w:lang w:val="en-GB"/>
        </w:rPr>
        <w:footnoteRef/>
      </w:r>
      <w:r>
        <w:rPr>
          <w:lang w:val="en-GB"/>
        </w:rPr>
        <w:t xml:space="preserve"> Ibid art 20(2)</w:t>
      </w:r>
      <w:r w:rsidRPr="00E36969">
        <w:rPr>
          <w:lang w:val="en-GB"/>
        </w:rPr>
        <w:t>.</w:t>
      </w:r>
    </w:p>
  </w:footnote>
  <w:footnote w:id="17">
    <w:p w14:paraId="26E69EA5" w14:textId="39BEBE73" w:rsidR="00826D50" w:rsidRDefault="00826D50" w:rsidP="00720152">
      <w:pPr>
        <w:pStyle w:val="FootnoteText"/>
      </w:pPr>
      <w:r>
        <w:rPr>
          <w:rStyle w:val="FootnoteReference"/>
        </w:rPr>
        <w:footnoteRef/>
      </w:r>
      <w:r>
        <w:t xml:space="preserve"> </w:t>
      </w:r>
      <w:r>
        <w:rPr>
          <w:lang w:val="en-GB"/>
        </w:rPr>
        <w:t>Ibid art 25</w:t>
      </w:r>
      <w:r w:rsidRPr="00E36969">
        <w:rPr>
          <w:lang w:val="en-GB"/>
        </w:rPr>
        <w:t>.</w:t>
      </w:r>
    </w:p>
  </w:footnote>
  <w:footnote w:id="18">
    <w:p w14:paraId="7860F163" w14:textId="3066D2F3" w:rsidR="00826D50" w:rsidRDefault="00826D50" w:rsidP="00B947F9">
      <w:pPr>
        <w:pStyle w:val="FootnoteText"/>
      </w:pPr>
      <w:r>
        <w:rPr>
          <w:rStyle w:val="FootnoteReference"/>
        </w:rPr>
        <w:footnoteRef/>
      </w:r>
      <w:r>
        <w:t xml:space="preserve"> </w:t>
      </w:r>
      <w:r>
        <w:rPr>
          <w:lang w:val="en-GB"/>
        </w:rPr>
        <w:t>Ibid art 35.</w:t>
      </w:r>
    </w:p>
  </w:footnote>
  <w:footnote w:id="19">
    <w:p w14:paraId="3A194DD0" w14:textId="7980CD6A" w:rsidR="00826D50" w:rsidRDefault="00826D50" w:rsidP="00B947F9">
      <w:pPr>
        <w:pStyle w:val="FootnoteText"/>
      </w:pPr>
      <w:r>
        <w:rPr>
          <w:rStyle w:val="FootnoteReference"/>
        </w:rPr>
        <w:footnoteRef/>
      </w:r>
      <w:r>
        <w:t xml:space="preserve"> </w:t>
      </w:r>
      <w:r>
        <w:rPr>
          <w:lang w:val="en-GB"/>
        </w:rPr>
        <w:t>Ibid art 36(1)</w:t>
      </w:r>
      <w:r w:rsidRPr="00CD1B9F">
        <w:rPr>
          <w:lang w:val="en-GB"/>
        </w:rPr>
        <w:t>.</w:t>
      </w:r>
    </w:p>
  </w:footnote>
  <w:footnote w:id="20">
    <w:p w14:paraId="77CAFF26" w14:textId="23C0B6D2" w:rsidR="00826D50" w:rsidRDefault="00826D50" w:rsidP="00B947F9">
      <w:pPr>
        <w:pStyle w:val="FootnoteText"/>
      </w:pPr>
      <w:r>
        <w:rPr>
          <w:rStyle w:val="FootnoteReference"/>
        </w:rPr>
        <w:footnoteRef/>
      </w:r>
      <w:r>
        <w:t xml:space="preserve"> </w:t>
      </w:r>
      <w:r>
        <w:rPr>
          <w:lang w:val="en-GB"/>
        </w:rPr>
        <w:t>Ibid art 35(2)</w:t>
      </w:r>
      <w:r w:rsidRPr="00E36969">
        <w:rPr>
          <w:lang w:val="en-GB"/>
        </w:rPr>
        <w:t>.</w:t>
      </w:r>
    </w:p>
  </w:footnote>
  <w:footnote w:id="21">
    <w:p w14:paraId="67DDB76F" w14:textId="016D8DA3" w:rsidR="00826D50" w:rsidRDefault="00826D50">
      <w:pPr>
        <w:pStyle w:val="FootnoteText"/>
      </w:pPr>
      <w:r>
        <w:rPr>
          <w:rStyle w:val="FootnoteReference"/>
        </w:rPr>
        <w:footnoteRef/>
      </w:r>
      <w:r>
        <w:t xml:space="preserve"> Appraisal Indonesia, 'Land Titles in Indonesia' (27 July 2010) &lt;http://a[[raisalindonesia.com/2010/07/27/land-titles-in-indonesia/&gt;.</w:t>
      </w:r>
    </w:p>
  </w:footnote>
  <w:footnote w:id="22">
    <w:p w14:paraId="41AB45CC" w14:textId="18A8BD00" w:rsidR="00826D50" w:rsidRDefault="00826D50" w:rsidP="00B947F9">
      <w:pPr>
        <w:pStyle w:val="FootnoteText"/>
      </w:pPr>
      <w:r>
        <w:rPr>
          <w:rStyle w:val="FootnoteReference"/>
        </w:rPr>
        <w:footnoteRef/>
      </w:r>
      <w:r>
        <w:t xml:space="preserve"> </w:t>
      </w:r>
      <w:r w:rsidRPr="0012731F">
        <w:rPr>
          <w:i/>
          <w:lang w:val="en-GB"/>
        </w:rPr>
        <w:t>Agrarian Law</w:t>
      </w:r>
      <w:r>
        <w:rPr>
          <w:i/>
          <w:lang w:val="en-GB"/>
        </w:rPr>
        <w:t xml:space="preserve"> </w:t>
      </w:r>
      <w:r>
        <w:rPr>
          <w:lang w:val="en-GB"/>
        </w:rPr>
        <w:t>art 37(a)</w:t>
      </w:r>
      <w:r w:rsidRPr="00E36969">
        <w:rPr>
          <w:lang w:val="en-GB"/>
        </w:rPr>
        <w:t>.</w:t>
      </w:r>
    </w:p>
  </w:footnote>
  <w:footnote w:id="23">
    <w:p w14:paraId="62A179A6" w14:textId="75FA11A8" w:rsidR="00826D50" w:rsidRDefault="00826D50" w:rsidP="00B947F9">
      <w:pPr>
        <w:pStyle w:val="FootnoteText"/>
      </w:pPr>
      <w:r>
        <w:rPr>
          <w:rStyle w:val="FootnoteReference"/>
        </w:rPr>
        <w:footnoteRef/>
      </w:r>
      <w:r>
        <w:t xml:space="preserve"> </w:t>
      </w:r>
      <w:r>
        <w:rPr>
          <w:lang w:val="en-GB"/>
        </w:rPr>
        <w:t>Ibid 37(b)</w:t>
      </w:r>
      <w:r w:rsidRPr="00E36969">
        <w:rPr>
          <w:lang w:val="en-GB"/>
        </w:rPr>
        <w:t>.</w:t>
      </w:r>
    </w:p>
  </w:footnote>
  <w:footnote w:id="24">
    <w:p w14:paraId="67C4CDA3" w14:textId="7E7DC000" w:rsidR="00826D50" w:rsidRDefault="00826D50" w:rsidP="00B947F9">
      <w:pPr>
        <w:pStyle w:val="FootnoteText"/>
      </w:pPr>
      <w:r>
        <w:rPr>
          <w:rStyle w:val="FootnoteReference"/>
        </w:rPr>
        <w:footnoteRef/>
      </w:r>
      <w:r>
        <w:t xml:space="preserve"> </w:t>
      </w:r>
      <w:r>
        <w:rPr>
          <w:lang w:val="en-GB"/>
        </w:rPr>
        <w:t>Ibid a</w:t>
      </w:r>
      <w:r w:rsidRPr="00E36969">
        <w:rPr>
          <w:lang w:val="en-GB"/>
        </w:rPr>
        <w:t xml:space="preserve">rt </w:t>
      </w:r>
      <w:r>
        <w:rPr>
          <w:lang w:val="en-GB"/>
        </w:rPr>
        <w:t>35(3)</w:t>
      </w:r>
      <w:r w:rsidRPr="00E36969">
        <w:rPr>
          <w:lang w:val="en-GB"/>
        </w:rPr>
        <w:t>.</w:t>
      </w:r>
    </w:p>
  </w:footnote>
  <w:footnote w:id="25">
    <w:p w14:paraId="0411DB7B" w14:textId="450940AF" w:rsidR="00826D50" w:rsidRDefault="00826D50" w:rsidP="00B947F9">
      <w:pPr>
        <w:pStyle w:val="FootnoteText"/>
      </w:pPr>
      <w:r>
        <w:rPr>
          <w:rStyle w:val="FootnoteReference"/>
        </w:rPr>
        <w:footnoteRef/>
      </w:r>
      <w:r>
        <w:t xml:space="preserve"> Ibid art </w:t>
      </w:r>
      <w:r>
        <w:rPr>
          <w:lang w:val="en-GB"/>
        </w:rPr>
        <w:t>39.</w:t>
      </w:r>
    </w:p>
  </w:footnote>
  <w:footnote w:id="26">
    <w:p w14:paraId="3C1DBB6D" w14:textId="78D2EF92" w:rsidR="00826D50" w:rsidRDefault="00826D50" w:rsidP="00B947F9">
      <w:pPr>
        <w:pStyle w:val="FootnoteText"/>
      </w:pPr>
      <w:r>
        <w:rPr>
          <w:rStyle w:val="FootnoteReference"/>
        </w:rPr>
        <w:footnoteRef/>
      </w:r>
      <w:r>
        <w:t xml:space="preserve"> Ibid art 28(1).</w:t>
      </w:r>
    </w:p>
  </w:footnote>
  <w:footnote w:id="27">
    <w:p w14:paraId="5BAC11D9" w14:textId="358135ED" w:rsidR="00826D50" w:rsidRDefault="00826D50" w:rsidP="00B947F9">
      <w:pPr>
        <w:pStyle w:val="FootnoteText"/>
      </w:pPr>
      <w:r>
        <w:rPr>
          <w:rStyle w:val="FootnoteReference"/>
        </w:rPr>
        <w:footnoteRef/>
      </w:r>
      <w:r>
        <w:t xml:space="preserve"> Ibid art 28(2).</w:t>
      </w:r>
    </w:p>
  </w:footnote>
  <w:footnote w:id="28">
    <w:p w14:paraId="73359615" w14:textId="7CC71C5B" w:rsidR="00826D50" w:rsidRDefault="00826D50" w:rsidP="00B947F9">
      <w:pPr>
        <w:pStyle w:val="FootnoteText"/>
      </w:pPr>
      <w:r>
        <w:rPr>
          <w:rStyle w:val="FootnoteReference"/>
        </w:rPr>
        <w:footnoteRef/>
      </w:r>
      <w:r>
        <w:t xml:space="preserve"> Ibid.</w:t>
      </w:r>
    </w:p>
  </w:footnote>
  <w:footnote w:id="29">
    <w:p w14:paraId="69CBA52D" w14:textId="54E182E0" w:rsidR="00826D50" w:rsidRDefault="00826D50" w:rsidP="00B947F9">
      <w:pPr>
        <w:pStyle w:val="FootnoteText"/>
      </w:pPr>
      <w:r>
        <w:rPr>
          <w:rStyle w:val="FootnoteReference"/>
        </w:rPr>
        <w:footnoteRef/>
      </w:r>
      <w:r>
        <w:t xml:space="preserve"> Ibid art 29(2),(3).</w:t>
      </w:r>
    </w:p>
  </w:footnote>
  <w:footnote w:id="30">
    <w:p w14:paraId="448CB1CC" w14:textId="1A5C6CB4" w:rsidR="00826D50" w:rsidRDefault="00826D50" w:rsidP="00B947F9">
      <w:pPr>
        <w:pStyle w:val="FootnoteText"/>
      </w:pPr>
      <w:r>
        <w:rPr>
          <w:rStyle w:val="FootnoteReference"/>
        </w:rPr>
        <w:footnoteRef/>
      </w:r>
      <w:r>
        <w:t xml:space="preserve"> Ibid art 30(1),(2).</w:t>
      </w:r>
    </w:p>
  </w:footnote>
  <w:footnote w:id="31">
    <w:p w14:paraId="648DC203" w14:textId="3E1482B6" w:rsidR="00826D50" w:rsidRPr="00E36969" w:rsidRDefault="00826D50" w:rsidP="00B947F9">
      <w:pPr>
        <w:pStyle w:val="FootnoteText"/>
        <w:rPr>
          <w:lang w:val="en-GB"/>
        </w:rPr>
      </w:pPr>
      <w:r w:rsidRPr="00E36969">
        <w:rPr>
          <w:rStyle w:val="FootnoteReference"/>
          <w:lang w:val="en-GB"/>
        </w:rPr>
        <w:footnoteRef/>
      </w:r>
      <w:r>
        <w:rPr>
          <w:lang w:val="en-GB"/>
        </w:rPr>
        <w:t xml:space="preserve"> Ibid art 20(2).</w:t>
      </w:r>
    </w:p>
  </w:footnote>
  <w:footnote w:id="32">
    <w:p w14:paraId="2D58E44D" w14:textId="0AB1A8A9" w:rsidR="00826D50" w:rsidRDefault="00826D50" w:rsidP="00B947F9">
      <w:pPr>
        <w:pStyle w:val="FootnoteText"/>
      </w:pPr>
      <w:r>
        <w:rPr>
          <w:rStyle w:val="FootnoteReference"/>
        </w:rPr>
        <w:footnoteRef/>
      </w:r>
      <w:r>
        <w:t xml:space="preserve"> Ibid art 33.</w:t>
      </w:r>
    </w:p>
  </w:footnote>
  <w:footnote w:id="33">
    <w:p w14:paraId="463B3770" w14:textId="3E4E7BA5" w:rsidR="00826D50" w:rsidRDefault="00826D50">
      <w:pPr>
        <w:pStyle w:val="FootnoteText"/>
      </w:pPr>
      <w:r>
        <w:rPr>
          <w:rStyle w:val="FootnoteReference"/>
        </w:rPr>
        <w:footnoteRef/>
      </w:r>
      <w:r>
        <w:t xml:space="preserve"> Ibid art 41(2).</w:t>
      </w:r>
    </w:p>
  </w:footnote>
  <w:footnote w:id="34">
    <w:p w14:paraId="68CA98E1" w14:textId="3B7F9F8B" w:rsidR="00826D50" w:rsidRDefault="00826D50">
      <w:pPr>
        <w:pStyle w:val="FootnoteText"/>
      </w:pPr>
      <w:r>
        <w:rPr>
          <w:rStyle w:val="FootnoteReference"/>
        </w:rPr>
        <w:footnoteRef/>
      </w:r>
      <w:r>
        <w:t xml:space="preserve"> Ibid.</w:t>
      </w:r>
    </w:p>
  </w:footnote>
  <w:footnote w:id="35">
    <w:p w14:paraId="3F57DDBC" w14:textId="27D0050F" w:rsidR="00826D50" w:rsidRDefault="00826D50">
      <w:pPr>
        <w:pStyle w:val="FootnoteText"/>
      </w:pPr>
      <w:r>
        <w:rPr>
          <w:rStyle w:val="FootnoteReference"/>
        </w:rPr>
        <w:footnoteRef/>
      </w:r>
      <w:r>
        <w:t xml:space="preserve"> Ibid</w:t>
      </w:r>
      <w:r>
        <w:rPr>
          <w:lang w:val="en-GB"/>
        </w:rPr>
        <w:t>.</w:t>
      </w:r>
    </w:p>
  </w:footnote>
  <w:footnote w:id="36">
    <w:p w14:paraId="28E241A7" w14:textId="37F3EB94" w:rsidR="00826D50" w:rsidRDefault="00826D50">
      <w:pPr>
        <w:pStyle w:val="FootnoteText"/>
      </w:pPr>
      <w:r>
        <w:rPr>
          <w:rStyle w:val="FootnoteReference"/>
        </w:rPr>
        <w:footnoteRef/>
      </w:r>
      <w:r>
        <w:t xml:space="preserve"> Ibid art </w:t>
      </w:r>
      <w:r>
        <w:rPr>
          <w:lang w:val="en-GB"/>
        </w:rPr>
        <w:t>42.</w:t>
      </w:r>
    </w:p>
  </w:footnote>
  <w:footnote w:id="37">
    <w:p w14:paraId="0AFD5AAB" w14:textId="22151093" w:rsidR="00826D50" w:rsidRDefault="00826D50">
      <w:pPr>
        <w:pStyle w:val="FootnoteText"/>
      </w:pPr>
      <w:r>
        <w:rPr>
          <w:rStyle w:val="FootnoteReference"/>
        </w:rPr>
        <w:footnoteRef/>
      </w:r>
      <w:r>
        <w:t xml:space="preserve"> Ibid arts 41(1), 43(1). </w:t>
      </w:r>
    </w:p>
  </w:footnote>
  <w:footnote w:id="38">
    <w:p w14:paraId="348C1209" w14:textId="447ABABE" w:rsidR="00826D50" w:rsidRDefault="00826D50">
      <w:pPr>
        <w:pStyle w:val="FootnoteText"/>
      </w:pPr>
      <w:r>
        <w:rPr>
          <w:rStyle w:val="FootnoteReference"/>
        </w:rPr>
        <w:footnoteRef/>
      </w:r>
      <w:r>
        <w:t xml:space="preserve"> Ibid arts 41(1), 43(2).</w:t>
      </w:r>
    </w:p>
  </w:footnote>
  <w:footnote w:id="39">
    <w:p w14:paraId="7C9CBAC8" w14:textId="71B5598C" w:rsidR="00826D50" w:rsidRDefault="00826D50" w:rsidP="00720152">
      <w:pPr>
        <w:pStyle w:val="FootnoteText"/>
      </w:pPr>
      <w:r>
        <w:rPr>
          <w:rStyle w:val="FootnoteReference"/>
        </w:rPr>
        <w:footnoteRef/>
      </w:r>
      <w:r>
        <w:t xml:space="preserve"> Ibid art 44(1),(2).</w:t>
      </w:r>
    </w:p>
  </w:footnote>
  <w:footnote w:id="40">
    <w:p w14:paraId="23B690DB" w14:textId="497A8CC4" w:rsidR="00826D50" w:rsidRDefault="00826D50" w:rsidP="00720152">
      <w:pPr>
        <w:pStyle w:val="FootnoteText"/>
      </w:pPr>
      <w:r>
        <w:rPr>
          <w:rStyle w:val="FootnoteReference"/>
        </w:rPr>
        <w:footnoteRef/>
      </w:r>
      <w:r>
        <w:t xml:space="preserve"> Ibid art 45.</w:t>
      </w:r>
    </w:p>
  </w:footnote>
  <w:footnote w:id="41">
    <w:p w14:paraId="2DDFE153" w14:textId="0A8DB325" w:rsidR="00826D50" w:rsidRPr="00021E89" w:rsidRDefault="00826D50" w:rsidP="00720152">
      <w:pPr>
        <w:pStyle w:val="FootnoteText"/>
        <w:rPr>
          <w:rFonts w:cs="Arial"/>
          <w:szCs w:val="16"/>
          <w:lang w:val="en-GB"/>
        </w:rPr>
      </w:pPr>
      <w:r w:rsidRPr="00021E89">
        <w:rPr>
          <w:rStyle w:val="FootnoteReference"/>
          <w:rFonts w:cs="Arial"/>
          <w:szCs w:val="16"/>
          <w:lang w:val="en-GB"/>
        </w:rPr>
        <w:footnoteRef/>
      </w:r>
      <w:r w:rsidRPr="00021E89">
        <w:rPr>
          <w:rFonts w:cs="Arial"/>
          <w:szCs w:val="16"/>
          <w:lang w:val="en-GB"/>
        </w:rPr>
        <w:t xml:space="preserve"> </w:t>
      </w:r>
      <w:r>
        <w:rPr>
          <w:rFonts w:cs="Arial"/>
          <w:szCs w:val="16"/>
          <w:lang w:val="en-GB"/>
        </w:rPr>
        <w:t xml:space="preserve">Ibid art 3(1); </w:t>
      </w:r>
      <w:r w:rsidRPr="00B661AE">
        <w:rPr>
          <w:rFonts w:cs="Arial"/>
          <w:i/>
          <w:szCs w:val="16"/>
          <w:lang w:val="en-GB"/>
        </w:rPr>
        <w:t>Constitution of Indonesia</w:t>
      </w:r>
      <w:r>
        <w:rPr>
          <w:rFonts w:cs="Arial"/>
          <w:szCs w:val="16"/>
          <w:lang w:val="en-GB"/>
        </w:rPr>
        <w:t xml:space="preserve"> a</w:t>
      </w:r>
      <w:r w:rsidRPr="00021E89">
        <w:rPr>
          <w:rFonts w:cs="Arial"/>
          <w:szCs w:val="16"/>
          <w:lang w:val="en-GB"/>
        </w:rPr>
        <w:t>rt 18B</w:t>
      </w:r>
      <w:r>
        <w:rPr>
          <w:rFonts w:cs="Arial"/>
          <w:szCs w:val="16"/>
          <w:lang w:val="en-GB"/>
        </w:rPr>
        <w:t>(1) (</w:t>
      </w:r>
      <w:r w:rsidRPr="00B661AE">
        <w:rPr>
          <w:rFonts w:cs="Arial"/>
          <w:b/>
          <w:i/>
          <w:szCs w:val="16"/>
          <w:lang w:val="en-GB"/>
        </w:rPr>
        <w:t>Constitution</w:t>
      </w:r>
      <w:r>
        <w:rPr>
          <w:rFonts w:cs="Arial"/>
          <w:szCs w:val="16"/>
          <w:lang w:val="en-GB"/>
        </w:rPr>
        <w:t>).</w:t>
      </w:r>
    </w:p>
  </w:footnote>
  <w:footnote w:id="42">
    <w:p w14:paraId="606A2031" w14:textId="224AC7C8" w:rsidR="00826D50" w:rsidRDefault="00826D50">
      <w:pPr>
        <w:pStyle w:val="FootnoteText"/>
      </w:pPr>
      <w:r>
        <w:rPr>
          <w:rStyle w:val="FootnoteReference"/>
        </w:rPr>
        <w:footnoteRef/>
      </w:r>
      <w:r>
        <w:t xml:space="preserve"> </w:t>
      </w:r>
      <w:r w:rsidRPr="005D62B5">
        <w:t xml:space="preserve">Jude Wallace, </w:t>
      </w:r>
      <w:r>
        <w:t>above n8, 203.</w:t>
      </w:r>
    </w:p>
  </w:footnote>
  <w:footnote w:id="43">
    <w:p w14:paraId="00D3F6BC" w14:textId="150D5A95" w:rsidR="00826D50" w:rsidRPr="00021E89" w:rsidRDefault="00826D50">
      <w:pPr>
        <w:pStyle w:val="FootnoteText"/>
        <w:rPr>
          <w:rFonts w:cs="Arial"/>
          <w:szCs w:val="16"/>
        </w:rPr>
      </w:pPr>
      <w:r w:rsidRPr="00021E89">
        <w:rPr>
          <w:rStyle w:val="FootnoteReference"/>
          <w:rFonts w:cs="Arial"/>
          <w:szCs w:val="16"/>
        </w:rPr>
        <w:footnoteRef/>
      </w:r>
      <w:r w:rsidRPr="00021E89">
        <w:rPr>
          <w:rFonts w:cs="Arial"/>
          <w:szCs w:val="16"/>
        </w:rPr>
        <w:t xml:space="preserve"> </w:t>
      </w:r>
      <w:r>
        <w:rPr>
          <w:rFonts w:cs="Arial"/>
          <w:szCs w:val="16"/>
        </w:rPr>
        <w:t>Ibid.</w:t>
      </w:r>
    </w:p>
  </w:footnote>
  <w:footnote w:id="44">
    <w:p w14:paraId="5EAD4C02" w14:textId="77777777" w:rsidR="00826D50" w:rsidRDefault="00826D50">
      <w:pPr>
        <w:pStyle w:val="FootnoteText"/>
      </w:pPr>
      <w:r>
        <w:rPr>
          <w:rStyle w:val="FootnoteReference"/>
        </w:rPr>
        <w:footnoteRef/>
      </w:r>
      <w:r>
        <w:t xml:space="preserve"> Lana Winayanti and Heracles C Lang, 'Provision of Urban Services in an Informal Settlement: A Case Study of Kampung Penas Tanggul, Jakarta' 28 (2004) </w:t>
      </w:r>
      <w:r w:rsidRPr="00E97906">
        <w:rPr>
          <w:i/>
        </w:rPr>
        <w:t>Habitat International</w:t>
      </w:r>
      <w:r>
        <w:t xml:space="preserve"> 41, 42.</w:t>
      </w:r>
    </w:p>
  </w:footnote>
  <w:footnote w:id="45">
    <w:p w14:paraId="3949CE08" w14:textId="31E613BF" w:rsidR="00826D50" w:rsidRPr="00021E89" w:rsidRDefault="00826D50">
      <w:pPr>
        <w:pStyle w:val="FootnoteText"/>
        <w:rPr>
          <w:rFonts w:cs="Arial"/>
          <w:szCs w:val="16"/>
        </w:rPr>
      </w:pPr>
      <w:r w:rsidRPr="00021E89">
        <w:rPr>
          <w:rStyle w:val="FootnoteReference"/>
          <w:rFonts w:cs="Arial"/>
          <w:szCs w:val="16"/>
        </w:rPr>
        <w:footnoteRef/>
      </w:r>
      <w:r w:rsidRPr="00021E89">
        <w:rPr>
          <w:rFonts w:cs="Arial"/>
          <w:szCs w:val="16"/>
        </w:rPr>
        <w:t xml:space="preserve"> Mia Siscawati et al, </w:t>
      </w:r>
      <w:r>
        <w:rPr>
          <w:rFonts w:cs="Arial"/>
          <w:szCs w:val="16"/>
        </w:rPr>
        <w:t xml:space="preserve">above n11, </w:t>
      </w:r>
      <w:r w:rsidRPr="00021E89">
        <w:rPr>
          <w:rFonts w:cs="Arial"/>
          <w:szCs w:val="16"/>
        </w:rPr>
        <w:t>1.</w:t>
      </w:r>
    </w:p>
  </w:footnote>
  <w:footnote w:id="46">
    <w:p w14:paraId="5F71DE06" w14:textId="0E23113F" w:rsidR="00826D50" w:rsidRDefault="00826D50">
      <w:pPr>
        <w:pStyle w:val="FootnoteText"/>
      </w:pPr>
      <w:r w:rsidRPr="00021E89">
        <w:rPr>
          <w:rStyle w:val="FootnoteReference"/>
          <w:rFonts w:cs="Arial"/>
          <w:szCs w:val="16"/>
        </w:rPr>
        <w:footnoteRef/>
      </w:r>
      <w:r w:rsidRPr="00021E89">
        <w:rPr>
          <w:rFonts w:cs="Arial"/>
          <w:szCs w:val="16"/>
        </w:rPr>
        <w:t xml:space="preserve"> </w:t>
      </w:r>
      <w:r>
        <w:rPr>
          <w:rFonts w:cs="Arial"/>
          <w:szCs w:val="16"/>
        </w:rPr>
        <w:t>Ibid.</w:t>
      </w:r>
    </w:p>
  </w:footnote>
  <w:footnote w:id="47">
    <w:p w14:paraId="2E5F7335" w14:textId="4F97D9D8" w:rsidR="00826D50" w:rsidRDefault="00826D50">
      <w:pPr>
        <w:pStyle w:val="FootnoteText"/>
      </w:pPr>
      <w:r>
        <w:rPr>
          <w:rStyle w:val="FootnoteReference"/>
        </w:rPr>
        <w:footnoteRef/>
      </w:r>
      <w:r>
        <w:t xml:space="preserve"> Mia Siscawati et al, above n11, 5.</w:t>
      </w:r>
    </w:p>
  </w:footnote>
  <w:footnote w:id="48">
    <w:p w14:paraId="1ED388BB" w14:textId="60A5CB1E" w:rsidR="00826D50" w:rsidRDefault="00826D50">
      <w:pPr>
        <w:pStyle w:val="FootnoteText"/>
      </w:pPr>
      <w:r>
        <w:rPr>
          <w:rStyle w:val="FootnoteReference"/>
        </w:rPr>
        <w:footnoteRef/>
      </w:r>
      <w:r>
        <w:t xml:space="preserve"> Ibid 10. </w:t>
      </w:r>
      <w:r w:rsidRPr="003E5C08">
        <w:rPr>
          <w:i/>
        </w:rPr>
        <w:t>Forest Law</w:t>
      </w:r>
      <w:r>
        <w:t xml:space="preserve"> arts 1, 10.</w:t>
      </w:r>
    </w:p>
  </w:footnote>
  <w:footnote w:id="49">
    <w:p w14:paraId="3431248F" w14:textId="30054FBA" w:rsidR="00826D50" w:rsidRDefault="00826D50">
      <w:pPr>
        <w:pStyle w:val="FootnoteText"/>
      </w:pPr>
      <w:r>
        <w:rPr>
          <w:rStyle w:val="FootnoteReference"/>
        </w:rPr>
        <w:footnoteRef/>
      </w:r>
      <w:r>
        <w:t xml:space="preserve"> Mia Siscawati et al, above n11, 10. </w:t>
      </w:r>
      <w:r w:rsidRPr="003E5C08">
        <w:rPr>
          <w:i/>
        </w:rPr>
        <w:t>Forest Law</w:t>
      </w:r>
      <w:r>
        <w:t xml:space="preserve"> arts 1, 15. See Constitutional Court Ruling No 35 of 2013, Case Number 35/PUU-X/2012 (16 May 2013).</w:t>
      </w:r>
    </w:p>
  </w:footnote>
  <w:footnote w:id="50">
    <w:p w14:paraId="5C544562" w14:textId="56D06909" w:rsidR="00826D50" w:rsidRDefault="00826D50">
      <w:pPr>
        <w:pStyle w:val="FootnoteText"/>
      </w:pPr>
      <w:r>
        <w:rPr>
          <w:rStyle w:val="FootnoteReference"/>
        </w:rPr>
        <w:footnoteRef/>
      </w:r>
      <w:r>
        <w:t xml:space="preserve"> Mia Siscawati et al, above n11, 10. </w:t>
      </w:r>
      <w:r w:rsidRPr="003E5C08">
        <w:rPr>
          <w:i/>
        </w:rPr>
        <w:t>Forest Law</w:t>
      </w:r>
      <w:r>
        <w:t xml:space="preserve"> arts 1, 15.</w:t>
      </w:r>
    </w:p>
  </w:footnote>
  <w:footnote w:id="51">
    <w:p w14:paraId="27F6ACBA" w14:textId="145A6FA4" w:rsidR="00826D50" w:rsidRDefault="00826D50">
      <w:pPr>
        <w:pStyle w:val="FootnoteText"/>
      </w:pPr>
      <w:r>
        <w:rPr>
          <w:rStyle w:val="FootnoteReference"/>
        </w:rPr>
        <w:footnoteRef/>
      </w:r>
      <w:r>
        <w:t xml:space="preserve"> Mia Siscawati et al, above n11, 10. </w:t>
      </w:r>
      <w:r w:rsidRPr="003E5C08">
        <w:rPr>
          <w:i/>
        </w:rPr>
        <w:t>Forest Law</w:t>
      </w:r>
      <w:r>
        <w:t xml:space="preserve"> arts 1, 16.</w:t>
      </w:r>
    </w:p>
  </w:footnote>
  <w:footnote w:id="52">
    <w:p w14:paraId="3D4D132B" w14:textId="6C79933C" w:rsidR="00826D50" w:rsidRDefault="00826D50">
      <w:pPr>
        <w:pStyle w:val="FootnoteText"/>
      </w:pPr>
      <w:r>
        <w:rPr>
          <w:rStyle w:val="FootnoteReference"/>
        </w:rPr>
        <w:footnoteRef/>
      </w:r>
      <w:r>
        <w:t xml:space="preserve"> Mia Siscawati et al, above n11, 10.  </w:t>
      </w:r>
      <w:r w:rsidRPr="003E5C08">
        <w:rPr>
          <w:i/>
        </w:rPr>
        <w:t>Forest Law</w:t>
      </w:r>
      <w:r>
        <w:t xml:space="preserve"> arts 1, 16-17.</w:t>
      </w:r>
    </w:p>
  </w:footnote>
  <w:footnote w:id="53">
    <w:p w14:paraId="50E529EB" w14:textId="77777777" w:rsidR="00826D50" w:rsidRDefault="00826D50">
      <w:pPr>
        <w:pStyle w:val="FootnoteText"/>
      </w:pPr>
      <w:r>
        <w:rPr>
          <w:rStyle w:val="FootnoteReference"/>
        </w:rPr>
        <w:footnoteRef/>
      </w:r>
      <w:r>
        <w:t xml:space="preserve"> Agus Mulyana, 'What's next for customary forests in Indonesia?' </w:t>
      </w:r>
      <w:r w:rsidRPr="00E61831">
        <w:rPr>
          <w:i/>
        </w:rPr>
        <w:t>Center for International Forestry Research</w:t>
      </w:r>
      <w:r>
        <w:t xml:space="preserve"> (13 March 2017) &lt;</w:t>
      </w:r>
      <w:r w:rsidRPr="00E61831">
        <w:t>http://blog.cifor.org/48834/what-next-for-customary-forests-in-indonesia?fnl=en</w:t>
      </w:r>
      <w:r>
        <w:t>&gt;; Yahya Zakaria, 'After the Customary Forest Recognition' The Jakarta Post (26 January 2017) &lt;</w:t>
      </w:r>
      <w:r w:rsidRPr="00E61831">
        <w:t>http://www.thejakartapost.com/academia/2017/01/26/after-the-customary-forest-recognition.html</w:t>
      </w:r>
      <w:r>
        <w:t>&gt;.</w:t>
      </w:r>
    </w:p>
  </w:footnote>
  <w:footnote w:id="54">
    <w:p w14:paraId="0285F949" w14:textId="4B7533E4" w:rsidR="00826D50" w:rsidRDefault="00826D50">
      <w:pPr>
        <w:pStyle w:val="FootnoteText"/>
      </w:pPr>
      <w:r>
        <w:rPr>
          <w:rStyle w:val="FootnoteReference"/>
        </w:rPr>
        <w:footnoteRef/>
      </w:r>
      <w:r>
        <w:t xml:space="preserve"> Mia Siscawati et al, above n11, 1.</w:t>
      </w:r>
    </w:p>
  </w:footnote>
  <w:footnote w:id="55">
    <w:p w14:paraId="5D2A4DA6" w14:textId="3B57451C" w:rsidR="00826D50" w:rsidRDefault="00826D50">
      <w:pPr>
        <w:pStyle w:val="FootnoteText"/>
      </w:pPr>
      <w:r>
        <w:rPr>
          <w:rStyle w:val="FootnoteReference"/>
        </w:rPr>
        <w:footnoteRef/>
      </w:r>
      <w:r>
        <w:t xml:space="preserve"> Ibid.</w:t>
      </w:r>
    </w:p>
  </w:footnote>
  <w:footnote w:id="56">
    <w:p w14:paraId="68B921FC" w14:textId="4F5B05CB" w:rsidR="00826D50" w:rsidRDefault="00826D50" w:rsidP="00521054">
      <w:pPr>
        <w:pStyle w:val="FootnoteText"/>
      </w:pPr>
      <w:r>
        <w:rPr>
          <w:rStyle w:val="FootnoteReference"/>
        </w:rPr>
        <w:footnoteRef/>
      </w:r>
      <w:r>
        <w:t xml:space="preserve"> Ibid 11-13.  </w:t>
      </w:r>
      <w:r>
        <w:rPr>
          <w:lang w:val="en-GB"/>
        </w:rPr>
        <w:t xml:space="preserve">Community Forest Permits are established by the </w:t>
      </w:r>
      <w:r w:rsidRPr="001E7E59">
        <w:rPr>
          <w:i/>
        </w:rPr>
        <w:t>Forestry Law</w:t>
      </w:r>
      <w:r>
        <w:t xml:space="preserve">, </w:t>
      </w:r>
      <w:r w:rsidRPr="001E7E59">
        <w:rPr>
          <w:i/>
        </w:rPr>
        <w:t>Forest Regulation PP No. 6/2007</w:t>
      </w:r>
      <w:r>
        <w:t xml:space="preserve"> and </w:t>
      </w:r>
      <w:r w:rsidRPr="001E7E59">
        <w:rPr>
          <w:i/>
        </w:rPr>
        <w:t>Forest Regulation PP No. 3 of 2008</w:t>
      </w:r>
      <w:r>
        <w:t>.</w:t>
      </w:r>
    </w:p>
  </w:footnote>
  <w:footnote w:id="57">
    <w:p w14:paraId="2159B0CB" w14:textId="48709170" w:rsidR="00826D50" w:rsidRDefault="00826D50">
      <w:pPr>
        <w:pStyle w:val="FootnoteText"/>
      </w:pPr>
      <w:r>
        <w:rPr>
          <w:rStyle w:val="FootnoteReference"/>
        </w:rPr>
        <w:footnoteRef/>
      </w:r>
      <w:r>
        <w:t xml:space="preserve"> Mia Siscawati et al, above n11, 13-14. </w:t>
      </w:r>
      <w:r>
        <w:rPr>
          <w:lang w:val="en-GB"/>
        </w:rPr>
        <w:t xml:space="preserve">Village Forest Permits are established by the </w:t>
      </w:r>
      <w:r w:rsidRPr="001E7E59">
        <w:rPr>
          <w:i/>
          <w:lang w:val="en-GB"/>
        </w:rPr>
        <w:t>Forestry Law</w:t>
      </w:r>
      <w:r>
        <w:rPr>
          <w:lang w:val="en-GB"/>
        </w:rPr>
        <w:t xml:space="preserve">, </w:t>
      </w:r>
      <w:r w:rsidRPr="001E7E59">
        <w:rPr>
          <w:i/>
        </w:rPr>
        <w:t xml:space="preserve">Forest Regulation PP No. 6/2007 </w:t>
      </w:r>
      <w:r>
        <w:t xml:space="preserve">and </w:t>
      </w:r>
      <w:r w:rsidRPr="001E7E59">
        <w:rPr>
          <w:i/>
        </w:rPr>
        <w:t>Forest Regulation PP No. 3 of 2008</w:t>
      </w:r>
      <w:r>
        <w:t>.</w:t>
      </w:r>
    </w:p>
  </w:footnote>
  <w:footnote w:id="58">
    <w:p w14:paraId="08E029FA" w14:textId="0864FCEE" w:rsidR="00826D50" w:rsidRDefault="00826D50">
      <w:pPr>
        <w:pStyle w:val="FootnoteText"/>
      </w:pPr>
      <w:r>
        <w:rPr>
          <w:rStyle w:val="FootnoteReference"/>
        </w:rPr>
        <w:footnoteRef/>
      </w:r>
      <w:r>
        <w:t xml:space="preserve"> Mia Siscawati et al, above n11, 14-15. </w:t>
      </w:r>
      <w:r>
        <w:rPr>
          <w:lang w:val="en-GB"/>
        </w:rPr>
        <w:t xml:space="preserve">Village Forest Permits are established by the </w:t>
      </w:r>
      <w:r w:rsidRPr="001E7E59">
        <w:rPr>
          <w:i/>
        </w:rPr>
        <w:t>Forest Law</w:t>
      </w:r>
      <w:r>
        <w:t xml:space="preserve">, </w:t>
      </w:r>
      <w:r w:rsidRPr="001E7E59">
        <w:rPr>
          <w:i/>
        </w:rPr>
        <w:t>Forest Regulation PP No. 6/2007</w:t>
      </w:r>
      <w:r>
        <w:t xml:space="preserve"> and </w:t>
      </w:r>
      <w:r w:rsidRPr="001E7E59">
        <w:rPr>
          <w:i/>
        </w:rPr>
        <w:t>Forest Regulation PP No. 3 of 2008</w:t>
      </w:r>
      <w:r>
        <w:t>.</w:t>
      </w:r>
    </w:p>
  </w:footnote>
  <w:footnote w:id="59">
    <w:p w14:paraId="1AB70136" w14:textId="63841B32" w:rsidR="00826D50" w:rsidRDefault="00826D50">
      <w:pPr>
        <w:pStyle w:val="FootnoteText"/>
      </w:pPr>
      <w:r>
        <w:rPr>
          <w:rStyle w:val="FootnoteReference"/>
        </w:rPr>
        <w:footnoteRef/>
      </w:r>
      <w:r>
        <w:t xml:space="preserve"> Mia Siscawati et al, above n 11, 15.  The Partnership scheme is</w:t>
      </w:r>
      <w:r>
        <w:rPr>
          <w:lang w:val="en-GB"/>
        </w:rPr>
        <w:t xml:space="preserve"> established by the </w:t>
      </w:r>
      <w:r w:rsidRPr="001E7E59">
        <w:rPr>
          <w:i/>
        </w:rPr>
        <w:t>Forest Law</w:t>
      </w:r>
      <w:r>
        <w:t xml:space="preserve">, </w:t>
      </w:r>
      <w:r w:rsidRPr="001E7E59">
        <w:rPr>
          <w:i/>
        </w:rPr>
        <w:t>Forest Regulation PP No. 6/2007</w:t>
      </w:r>
      <w:r>
        <w:t xml:space="preserve"> and </w:t>
      </w:r>
      <w:r w:rsidRPr="001E7E59">
        <w:rPr>
          <w:i/>
        </w:rPr>
        <w:t>Forest Regulation PP No. 3 of 2008</w:t>
      </w:r>
      <w:r>
        <w:t>.</w:t>
      </w:r>
    </w:p>
  </w:footnote>
  <w:footnote w:id="60">
    <w:p w14:paraId="79B64097" w14:textId="6CB165FA" w:rsidR="00826D50" w:rsidRDefault="00826D50">
      <w:pPr>
        <w:pStyle w:val="FootnoteText"/>
      </w:pPr>
      <w:r>
        <w:rPr>
          <w:rStyle w:val="FootnoteReference"/>
        </w:rPr>
        <w:footnoteRef/>
      </w:r>
      <w:r>
        <w:t xml:space="preserve"> Mia Siscawati et al, above n11, 11-15.</w:t>
      </w:r>
    </w:p>
  </w:footnote>
  <w:footnote w:id="61">
    <w:p w14:paraId="5FD8E819" w14:textId="67D6A4A9" w:rsidR="00826D50" w:rsidRDefault="00826D50">
      <w:pPr>
        <w:pStyle w:val="FootnoteText"/>
      </w:pPr>
      <w:r>
        <w:rPr>
          <w:rStyle w:val="FootnoteReference"/>
        </w:rPr>
        <w:footnoteRef/>
      </w:r>
      <w:r>
        <w:t xml:space="preserve"> Ibid.</w:t>
      </w:r>
    </w:p>
  </w:footnote>
  <w:footnote w:id="62">
    <w:p w14:paraId="05D8C5D1" w14:textId="1F4CCB48" w:rsidR="00826D50" w:rsidRDefault="00826D50">
      <w:pPr>
        <w:pStyle w:val="FootnoteText"/>
      </w:pPr>
      <w:r>
        <w:rPr>
          <w:rStyle w:val="FootnoteReference"/>
        </w:rPr>
        <w:footnoteRef/>
      </w:r>
      <w:r>
        <w:t xml:space="preserve"> </w:t>
      </w:r>
      <w:r w:rsidRPr="005D62B5">
        <w:t xml:space="preserve">Jude Wallace, </w:t>
      </w:r>
      <w:r>
        <w:t xml:space="preserve">above n8, </w:t>
      </w:r>
      <w:r w:rsidRPr="005D62B5">
        <w:t>2</w:t>
      </w:r>
      <w:r>
        <w:t>13.</w:t>
      </w:r>
    </w:p>
  </w:footnote>
  <w:footnote w:id="63">
    <w:p w14:paraId="1F4D020B" w14:textId="6600846F" w:rsidR="00826D50" w:rsidRDefault="00826D50" w:rsidP="008B2820">
      <w:pPr>
        <w:pStyle w:val="FootnoteText"/>
      </w:pPr>
      <w:r>
        <w:rPr>
          <w:rStyle w:val="FootnoteReference"/>
        </w:rPr>
        <w:footnoteRef/>
      </w:r>
      <w:r>
        <w:t xml:space="preserve"> </w:t>
      </w:r>
      <w:r w:rsidRPr="00B661AE">
        <w:rPr>
          <w:i/>
        </w:rPr>
        <w:t>Agrarian Law</w:t>
      </w:r>
      <w:r>
        <w:t xml:space="preserve"> arts 19(2)(c), 23(2), 32(2) and 38(2)</w:t>
      </w:r>
      <w:r>
        <w:rPr>
          <w:lang w:val="en-GB"/>
        </w:rPr>
        <w:t>.</w:t>
      </w:r>
    </w:p>
  </w:footnote>
  <w:footnote w:id="64">
    <w:p w14:paraId="631939DB" w14:textId="62B58C0B" w:rsidR="00826D50" w:rsidRDefault="00826D50">
      <w:pPr>
        <w:pStyle w:val="FootnoteText"/>
      </w:pPr>
      <w:r>
        <w:rPr>
          <w:rStyle w:val="FootnoteReference"/>
        </w:rPr>
        <w:footnoteRef/>
      </w:r>
      <w:r>
        <w:t xml:space="preserve"> </w:t>
      </w:r>
      <w:r w:rsidRPr="00B243A7">
        <w:t>Raquel Rolnik</w:t>
      </w:r>
      <w:r>
        <w:t>, '</w:t>
      </w:r>
      <w:r w:rsidRPr="00B243A7">
        <w:t xml:space="preserve">Report of the Special Rapporteur on adequate housing as a component of the right to an adequate standard of living, and on the right to non-discrimination in this context, </w:t>
      </w:r>
      <w:r>
        <w:t xml:space="preserve">' (26 December 2013; UN Doc </w:t>
      </w:r>
      <w:r w:rsidRPr="00570709">
        <w:rPr>
          <w:lang w:val="en-GB"/>
        </w:rPr>
        <w:t>A/HRC/25/54/Add.1</w:t>
      </w:r>
      <w:r>
        <w:rPr>
          <w:lang w:val="en-GB"/>
        </w:rPr>
        <w:t>) 13.</w:t>
      </w:r>
    </w:p>
  </w:footnote>
  <w:footnote w:id="65">
    <w:p w14:paraId="6854163E" w14:textId="77777777" w:rsidR="00826D50" w:rsidRDefault="00826D50">
      <w:pPr>
        <w:pStyle w:val="FootnoteText"/>
      </w:pPr>
      <w:r>
        <w:rPr>
          <w:rStyle w:val="FootnoteReference"/>
        </w:rPr>
        <w:footnoteRef/>
      </w:r>
      <w:r>
        <w:t xml:space="preserve"> </w:t>
      </w:r>
      <w:r w:rsidRPr="00E36969">
        <w:rPr>
          <w:lang w:val="en-GB"/>
        </w:rPr>
        <w:t>Further information on AMAN can be found at https://www.aman.or.id/.</w:t>
      </w:r>
    </w:p>
  </w:footnote>
  <w:footnote w:id="66">
    <w:p w14:paraId="7CE635D7" w14:textId="0318BED4" w:rsidR="00826D50" w:rsidRDefault="00826D50">
      <w:pPr>
        <w:pStyle w:val="FootnoteText"/>
      </w:pPr>
      <w:r>
        <w:rPr>
          <w:rStyle w:val="FootnoteReference"/>
        </w:rPr>
        <w:footnoteRef/>
      </w:r>
      <w:r>
        <w:t xml:space="preserve"> 'Alliance of Indigenous Peoples of Nusantara Submit Map of Customary Area to North Sumatra Provincial Government' (Generasi, 15 December 2016) &lt;</w:t>
      </w:r>
      <w:hyperlink r:id="rId1" w:history="1">
        <w:r w:rsidRPr="00E36969">
          <w:rPr>
            <w:rStyle w:val="Hyperlink"/>
            <w:color w:val="auto"/>
            <w:lang w:val="en-GB"/>
          </w:rPr>
          <w:t>http://generasi.co.id/2016/12/aliansi-masyarakat-adat-nusantara-serahkan-peta-wilayah-adat-ke-pemrov-sumut-untuk-pengesahan/</w:t>
        </w:r>
      </w:hyperlink>
      <w:r>
        <w:t>&gt; (in Indonesian).</w:t>
      </w:r>
    </w:p>
  </w:footnote>
  <w:footnote w:id="67">
    <w:p w14:paraId="26AC79D6" w14:textId="7CEE7F85" w:rsidR="00826D50" w:rsidRPr="00E36969" w:rsidRDefault="00826D50" w:rsidP="0083404D">
      <w:pPr>
        <w:pStyle w:val="FootnoteText"/>
        <w:rPr>
          <w:lang w:val="en-GB"/>
        </w:rPr>
      </w:pPr>
      <w:r w:rsidRPr="00E36969">
        <w:rPr>
          <w:rStyle w:val="FootnoteReference"/>
          <w:lang w:val="en-GB"/>
        </w:rPr>
        <w:footnoteRef/>
      </w:r>
      <w:r>
        <w:rPr>
          <w:lang w:val="en-GB"/>
        </w:rPr>
        <w:t xml:space="preserve"> A</w:t>
      </w:r>
      <w:r w:rsidRPr="00E36969">
        <w:rPr>
          <w:lang w:val="en-GB"/>
        </w:rPr>
        <w:t xml:space="preserve"> list of National Land Agency and Land Office websites </w:t>
      </w:r>
      <w:r>
        <w:rPr>
          <w:lang w:val="en-GB"/>
        </w:rPr>
        <w:t>is</w:t>
      </w:r>
      <w:r w:rsidRPr="00E36969">
        <w:rPr>
          <w:lang w:val="en-GB"/>
        </w:rPr>
        <w:t xml:space="preserve"> available </w:t>
      </w:r>
      <w:r>
        <w:rPr>
          <w:lang w:val="en-GB"/>
        </w:rPr>
        <w:t xml:space="preserve">at the following website: </w:t>
      </w:r>
      <w:r w:rsidRPr="00E36969">
        <w:rPr>
          <w:lang w:val="en-GB"/>
        </w:rPr>
        <w:t>http://www.bpn.go.id/Tentang-Kami/Website-Kanto</w:t>
      </w:r>
      <w:r>
        <w:rPr>
          <w:lang w:val="en-GB"/>
        </w:rPr>
        <w:t>r-Wilayah-Kantor-Pertanahan.</w:t>
      </w:r>
    </w:p>
  </w:footnote>
  <w:footnote w:id="68">
    <w:p w14:paraId="41CABC77" w14:textId="4E0840C3" w:rsidR="00826D50" w:rsidRPr="00E36969" w:rsidRDefault="00826D50" w:rsidP="0083404D">
      <w:pPr>
        <w:pStyle w:val="FootnoteText"/>
        <w:rPr>
          <w:lang w:val="en-GB"/>
        </w:rPr>
      </w:pPr>
      <w:r w:rsidRPr="00E36969">
        <w:rPr>
          <w:rStyle w:val="FootnoteReference"/>
          <w:lang w:val="en-GB"/>
        </w:rPr>
        <w:footnoteRef/>
      </w:r>
      <w:r>
        <w:rPr>
          <w:lang w:val="en-GB"/>
        </w:rPr>
        <w:t xml:space="preserve"> </w:t>
      </w:r>
      <w:r w:rsidRPr="004175B2">
        <w:rPr>
          <w:i/>
          <w:lang w:val="en-GB"/>
        </w:rPr>
        <w:t>Presidential Regulation No. 20 of 2015 on National Land Agency</w:t>
      </w:r>
      <w:r>
        <w:rPr>
          <w:lang w:val="en-GB"/>
        </w:rPr>
        <w:t xml:space="preserve"> art 7; </w:t>
      </w:r>
      <w:r w:rsidRPr="004175B2">
        <w:rPr>
          <w:i/>
          <w:lang w:val="en-GB"/>
        </w:rPr>
        <w:t>Presidential Regulation No. 17 of 2015 on Ministry of Agrarian and Spatial Planning</w:t>
      </w:r>
      <w:r>
        <w:rPr>
          <w:lang w:val="en-GB"/>
        </w:rPr>
        <w:t xml:space="preserve"> arts 2 and 3.</w:t>
      </w:r>
    </w:p>
  </w:footnote>
  <w:footnote w:id="69">
    <w:p w14:paraId="19AD0423" w14:textId="2AEE29D6" w:rsidR="00826D50" w:rsidRDefault="00826D50" w:rsidP="00BC3311">
      <w:pPr>
        <w:pStyle w:val="FootnoteText"/>
      </w:pPr>
      <w:r>
        <w:rPr>
          <w:rStyle w:val="FootnoteReference"/>
        </w:rPr>
        <w:footnoteRef/>
      </w:r>
      <w:r>
        <w:t xml:space="preserve"> Mia Siscawati et al,  above n 11, 1.</w:t>
      </w:r>
    </w:p>
  </w:footnote>
  <w:footnote w:id="70">
    <w:p w14:paraId="1D848391" w14:textId="77777777" w:rsidR="00826D50" w:rsidRDefault="00826D50">
      <w:pPr>
        <w:pStyle w:val="FootnoteText"/>
      </w:pPr>
      <w:r>
        <w:rPr>
          <w:rStyle w:val="FootnoteReference"/>
        </w:rPr>
        <w:footnoteRef/>
      </w:r>
      <w:r>
        <w:t xml:space="preserve"> Fitrian Ardiansyah, Andri Akbar Marthen and Nur Amalia, 'Forest and Land-Use Governance in a Decentralized Indonesia: A Legal and Policy Review' (Center for International Forestry Research, Occasional Paper 132, 2015) 58-63.</w:t>
      </w:r>
    </w:p>
  </w:footnote>
  <w:footnote w:id="71">
    <w:p w14:paraId="7FB804C6" w14:textId="4A5DB522" w:rsidR="00826D50" w:rsidRDefault="00826D50">
      <w:pPr>
        <w:pStyle w:val="FootnoteText"/>
      </w:pPr>
      <w:r>
        <w:rPr>
          <w:rStyle w:val="FootnoteReference"/>
        </w:rPr>
        <w:footnoteRef/>
      </w:r>
      <w:r>
        <w:t xml:space="preserve"> Ibid.</w:t>
      </w:r>
    </w:p>
  </w:footnote>
  <w:footnote w:id="72">
    <w:p w14:paraId="519C1B7C" w14:textId="2104CFEC" w:rsidR="00826D50" w:rsidRDefault="00826D50">
      <w:pPr>
        <w:pStyle w:val="FootnoteText"/>
      </w:pPr>
      <w:r>
        <w:rPr>
          <w:rStyle w:val="FootnoteReference"/>
        </w:rPr>
        <w:footnoteRef/>
      </w:r>
      <w:r>
        <w:t xml:space="preserve"> </w:t>
      </w:r>
      <w:r w:rsidRPr="00DB4E13">
        <w:rPr>
          <w:i/>
        </w:rPr>
        <w:t>Agrarian Law</w:t>
      </w:r>
      <w:r>
        <w:t xml:space="preserve"> arts </w:t>
      </w:r>
      <w:r>
        <w:rPr>
          <w:lang w:val="en-GB"/>
        </w:rPr>
        <w:t>23(1), 32(1) and 38(1).</w:t>
      </w:r>
    </w:p>
  </w:footnote>
  <w:footnote w:id="73">
    <w:p w14:paraId="6CD7521D" w14:textId="08825F1A" w:rsidR="00826D50" w:rsidRPr="00E36969" w:rsidRDefault="00826D50" w:rsidP="0018726F">
      <w:pPr>
        <w:pStyle w:val="FootnoteText"/>
        <w:rPr>
          <w:lang w:val="en-GB"/>
        </w:rPr>
      </w:pPr>
      <w:r w:rsidRPr="00E36969">
        <w:rPr>
          <w:rStyle w:val="FootnoteReference"/>
          <w:lang w:val="en-GB"/>
        </w:rPr>
        <w:footnoteRef/>
      </w:r>
      <w:r>
        <w:rPr>
          <w:lang w:val="en-GB"/>
        </w:rPr>
        <w:t xml:space="preserve"> </w:t>
      </w:r>
      <w:r w:rsidRPr="00DB4E13">
        <w:rPr>
          <w:i/>
          <w:lang w:val="en-GB"/>
        </w:rPr>
        <w:t>Agrarian Law</w:t>
      </w:r>
      <w:r>
        <w:rPr>
          <w:lang w:val="en-GB"/>
        </w:rPr>
        <w:t xml:space="preserve"> art 1(2),(5). See also Gary Dean, 'Indonesian Land Law and Foreign Ownership of Land' (December 2003) &lt;</w:t>
      </w:r>
      <w:r w:rsidRPr="000757FE">
        <w:rPr>
          <w:lang w:val="en-GB"/>
        </w:rPr>
        <w:t>https://okusiassociates.com/garydean/works/indonesian-land-law.html</w:t>
      </w:r>
      <w:r>
        <w:rPr>
          <w:lang w:val="en-GB"/>
        </w:rPr>
        <w:t>&gt;.</w:t>
      </w:r>
    </w:p>
  </w:footnote>
  <w:footnote w:id="74">
    <w:p w14:paraId="1B761C39" w14:textId="50B20F5B" w:rsidR="00826D50" w:rsidRDefault="00826D50" w:rsidP="00FB0E8A">
      <w:pPr>
        <w:pStyle w:val="FootnoteText"/>
      </w:pPr>
      <w:r>
        <w:rPr>
          <w:rStyle w:val="FootnoteReference"/>
        </w:rPr>
        <w:footnoteRef/>
      </w:r>
      <w:r>
        <w:t xml:space="preserve"> </w:t>
      </w:r>
      <w:r w:rsidRPr="00A83337">
        <w:rPr>
          <w:i/>
          <w:lang w:val="en-GB"/>
        </w:rPr>
        <w:t>Ministry of Domestic Affair Regulation No. 52 of 2014 on Guidance of Acknowledgement and Protection of Masyarakat Adat</w:t>
      </w:r>
      <w:r>
        <w:rPr>
          <w:lang w:val="en-GB"/>
        </w:rPr>
        <w:t xml:space="preserve"> arts 2, 4 and 5.</w:t>
      </w:r>
    </w:p>
  </w:footnote>
  <w:footnote w:id="75">
    <w:p w14:paraId="1D256996" w14:textId="3091BF7C" w:rsidR="00826D50" w:rsidRPr="00E36969" w:rsidRDefault="00826D50" w:rsidP="00826908">
      <w:pPr>
        <w:pStyle w:val="FootnoteText"/>
        <w:rPr>
          <w:lang w:val="en-GB"/>
        </w:rPr>
      </w:pPr>
      <w:r w:rsidRPr="00E36969">
        <w:rPr>
          <w:rStyle w:val="FootnoteReference"/>
          <w:lang w:val="en-GB"/>
        </w:rPr>
        <w:footnoteRef/>
      </w:r>
      <w:r>
        <w:rPr>
          <w:lang w:val="en-GB"/>
        </w:rPr>
        <w:t xml:space="preserve"> </w:t>
      </w:r>
      <w:r w:rsidRPr="00DB4E13">
        <w:rPr>
          <w:i/>
          <w:lang w:val="en-GB"/>
        </w:rPr>
        <w:t>Regulation 10/2016</w:t>
      </w:r>
      <w:r>
        <w:rPr>
          <w:lang w:val="en-GB"/>
        </w:rPr>
        <w:t xml:space="preserve"> arts 5(1) and 6.</w:t>
      </w:r>
    </w:p>
  </w:footnote>
  <w:footnote w:id="76">
    <w:p w14:paraId="47139A2E" w14:textId="1F69AEF2" w:rsidR="00826D50" w:rsidRDefault="00826D50">
      <w:pPr>
        <w:pStyle w:val="FootnoteText"/>
      </w:pPr>
      <w:r>
        <w:rPr>
          <w:rStyle w:val="FootnoteReference"/>
        </w:rPr>
        <w:footnoteRef/>
      </w:r>
      <w:r>
        <w:t xml:space="preserve"> Ibid art 4.</w:t>
      </w:r>
    </w:p>
  </w:footnote>
  <w:footnote w:id="77">
    <w:p w14:paraId="09774FA8" w14:textId="2BF279C1" w:rsidR="00826D50" w:rsidRPr="00E36969" w:rsidRDefault="00826D50" w:rsidP="00826908">
      <w:pPr>
        <w:pStyle w:val="FootnoteText"/>
        <w:rPr>
          <w:lang w:val="en-GB"/>
        </w:rPr>
      </w:pPr>
      <w:r w:rsidRPr="00E36969">
        <w:rPr>
          <w:rStyle w:val="FootnoteReference"/>
          <w:lang w:val="en-GB"/>
        </w:rPr>
        <w:footnoteRef/>
      </w:r>
      <w:r>
        <w:rPr>
          <w:lang w:val="en-GB"/>
        </w:rPr>
        <w:t xml:space="preserve"> Telephone Enquiry by Linklaters Jakarta with the </w:t>
      </w:r>
      <w:r w:rsidRPr="00E36969">
        <w:rPr>
          <w:lang w:val="en-GB"/>
        </w:rPr>
        <w:t xml:space="preserve">Legal Division of </w:t>
      </w:r>
      <w:r>
        <w:rPr>
          <w:lang w:val="en-GB"/>
        </w:rPr>
        <w:t xml:space="preserve">the </w:t>
      </w:r>
      <w:r w:rsidRPr="00E36969">
        <w:rPr>
          <w:rFonts w:cstheme="minorHAnsi"/>
          <w:lang w:val="en-GB"/>
        </w:rPr>
        <w:t xml:space="preserve">National Land Agency </w:t>
      </w:r>
      <w:r w:rsidRPr="00E36969">
        <w:rPr>
          <w:lang w:val="en-GB"/>
        </w:rPr>
        <w:t>on 5 December 2016.</w:t>
      </w:r>
    </w:p>
  </w:footnote>
  <w:footnote w:id="78">
    <w:p w14:paraId="413784E5" w14:textId="78FA0F48" w:rsidR="00826D50" w:rsidRPr="00E36969" w:rsidRDefault="00826D50" w:rsidP="00826908">
      <w:pPr>
        <w:pStyle w:val="FootnoteText"/>
        <w:rPr>
          <w:lang w:val="en-GB"/>
        </w:rPr>
      </w:pPr>
      <w:r w:rsidRPr="00E36969">
        <w:rPr>
          <w:rStyle w:val="FootnoteReference"/>
          <w:lang w:val="en-GB"/>
        </w:rPr>
        <w:footnoteRef/>
      </w:r>
      <w:r w:rsidRPr="00E36969">
        <w:rPr>
          <w:lang w:val="en-GB"/>
        </w:rPr>
        <w:t xml:space="preserve"> </w:t>
      </w:r>
      <w:r>
        <w:rPr>
          <w:lang w:val="en-GB"/>
        </w:rPr>
        <w:t xml:space="preserve">Please see discussion in </w:t>
      </w:r>
      <w:hyperlink w:anchor="StatutoryTenure" w:history="1">
        <w:r w:rsidRPr="00C252C0">
          <w:rPr>
            <w:rStyle w:val="Hyperlink"/>
            <w:color w:val="auto"/>
            <w:u w:val="none"/>
            <w:lang w:val="en-GB"/>
          </w:rPr>
          <w:t>section 2.2(a)(i) above</w:t>
        </w:r>
      </w:hyperlink>
      <w:r w:rsidRPr="00C252C0">
        <w:rPr>
          <w:lang w:val="en-GB"/>
        </w:rPr>
        <w:t>.</w:t>
      </w:r>
    </w:p>
  </w:footnote>
  <w:footnote w:id="79">
    <w:p w14:paraId="09F22D1F" w14:textId="3675628E" w:rsidR="00826D50" w:rsidRDefault="00826D50">
      <w:pPr>
        <w:pStyle w:val="FootnoteText"/>
      </w:pPr>
      <w:r>
        <w:rPr>
          <w:rStyle w:val="FootnoteReference"/>
        </w:rPr>
        <w:footnoteRef/>
      </w:r>
      <w:r>
        <w:t xml:space="preserve"> </w:t>
      </w:r>
      <w:r w:rsidRPr="005D62B5">
        <w:rPr>
          <w:lang w:val="en-GB"/>
        </w:rPr>
        <w:t xml:space="preserve"> </w:t>
      </w:r>
      <w:r w:rsidRPr="005D62B5">
        <w:t xml:space="preserve">Jude Wallace, </w:t>
      </w:r>
      <w:r>
        <w:t xml:space="preserve">above n8, </w:t>
      </w:r>
      <w:r w:rsidRPr="005D62B5">
        <w:t>201-2.</w:t>
      </w:r>
    </w:p>
  </w:footnote>
  <w:footnote w:id="80">
    <w:p w14:paraId="2AB9AF44" w14:textId="1147BCC3" w:rsidR="00826D50" w:rsidRDefault="00826D50">
      <w:pPr>
        <w:pStyle w:val="FootnoteText"/>
      </w:pPr>
      <w:r>
        <w:rPr>
          <w:rStyle w:val="FootnoteReference"/>
        </w:rPr>
        <w:footnoteRef/>
      </w:r>
      <w:r>
        <w:t xml:space="preserve"> Ibid.</w:t>
      </w:r>
    </w:p>
  </w:footnote>
  <w:footnote w:id="81">
    <w:p w14:paraId="75D9DB9A" w14:textId="0D3B1360" w:rsidR="00826D50" w:rsidRDefault="00826D50">
      <w:pPr>
        <w:pStyle w:val="FootnoteText"/>
      </w:pPr>
      <w:r>
        <w:rPr>
          <w:rStyle w:val="FootnoteReference"/>
        </w:rPr>
        <w:footnoteRef/>
      </w:r>
      <w:r>
        <w:t xml:space="preserve"> </w:t>
      </w:r>
      <w:r w:rsidRPr="00B243A7">
        <w:t>Raquel Rolnik</w:t>
      </w:r>
      <w:r>
        <w:t>, above n64,</w:t>
      </w:r>
      <w:r>
        <w:rPr>
          <w:lang w:val="en-GB"/>
        </w:rPr>
        <w:t xml:space="preserve"> 19.</w:t>
      </w:r>
    </w:p>
  </w:footnote>
  <w:footnote w:id="82">
    <w:p w14:paraId="3085959A" w14:textId="0E88D1D2" w:rsidR="00826D50" w:rsidRDefault="00826D50" w:rsidP="00183D37">
      <w:pPr>
        <w:pStyle w:val="FootnoteText"/>
      </w:pPr>
      <w:r>
        <w:rPr>
          <w:rStyle w:val="FootnoteReference"/>
        </w:rPr>
        <w:footnoteRef/>
      </w:r>
      <w:r>
        <w:t xml:space="preserve"> </w:t>
      </w:r>
      <w:r w:rsidRPr="005D62B5">
        <w:t xml:space="preserve">Jude Wallace, </w:t>
      </w:r>
      <w:r>
        <w:t xml:space="preserve">above n8, </w:t>
      </w:r>
      <w:r w:rsidRPr="005D62B5">
        <w:t>201-2.</w:t>
      </w:r>
    </w:p>
  </w:footnote>
  <w:footnote w:id="83">
    <w:p w14:paraId="0FC8FCE1" w14:textId="020F92C2" w:rsidR="00826D50" w:rsidRDefault="00826D50">
      <w:pPr>
        <w:pStyle w:val="FootnoteText"/>
      </w:pPr>
      <w:r>
        <w:rPr>
          <w:rStyle w:val="FootnoteReference"/>
        </w:rPr>
        <w:footnoteRef/>
      </w:r>
      <w:r>
        <w:t xml:space="preserve"> </w:t>
      </w:r>
      <w:r w:rsidRPr="000D2AE6">
        <w:rPr>
          <w:i/>
        </w:rPr>
        <w:t>Elucidation of Government Regulation of Republic of Indonesia No. 24 of 1997 re Land Registration</w:t>
      </w:r>
      <w:r>
        <w:t xml:space="preserve"> art 24(1)(k).</w:t>
      </w:r>
    </w:p>
  </w:footnote>
  <w:footnote w:id="84">
    <w:p w14:paraId="2C9A059A" w14:textId="0659F0A5" w:rsidR="00826D50" w:rsidRDefault="00826D50">
      <w:pPr>
        <w:pStyle w:val="FootnoteText"/>
      </w:pPr>
      <w:r>
        <w:rPr>
          <w:rStyle w:val="FootnoteReference"/>
        </w:rPr>
        <w:footnoteRef/>
      </w:r>
      <w:r>
        <w:t xml:space="preserve"> Ibid art 24(1)(f),(g) and (k).</w:t>
      </w:r>
    </w:p>
  </w:footnote>
  <w:footnote w:id="85">
    <w:p w14:paraId="2BD5B1D3" w14:textId="62FA0DB8" w:rsidR="00826D50" w:rsidRDefault="00826D50">
      <w:pPr>
        <w:pStyle w:val="FootnoteText"/>
      </w:pPr>
      <w:r>
        <w:rPr>
          <w:rStyle w:val="FootnoteReference"/>
        </w:rPr>
        <w:footnoteRef/>
      </w:r>
      <w:r>
        <w:t xml:space="preserve"> </w:t>
      </w:r>
      <w:r w:rsidRPr="00E36969">
        <w:rPr>
          <w:lang w:val="en-GB"/>
        </w:rPr>
        <w:t xml:space="preserve">Ratih Baiduri, </w:t>
      </w:r>
      <w:r>
        <w:rPr>
          <w:lang w:val="en-GB"/>
        </w:rPr>
        <w:t>'</w:t>
      </w:r>
      <w:r w:rsidRPr="00E36969">
        <w:rPr>
          <w:lang w:val="en-GB"/>
        </w:rPr>
        <w:t>The Meaning and Dimensions of Work: Women Traders Toba-Batak (Inang-Inang) in Me</w:t>
      </w:r>
      <w:r>
        <w:rPr>
          <w:lang w:val="en-GB"/>
        </w:rPr>
        <w:t xml:space="preserve">dan, North Sumatera, Indonesia' </w:t>
      </w:r>
      <w:r w:rsidRPr="00A473EB">
        <w:rPr>
          <w:i/>
          <w:lang w:val="en-GB"/>
        </w:rPr>
        <w:t>International Journal of Humanities and Social Science</w:t>
      </w:r>
      <w:r w:rsidRPr="00E36969">
        <w:rPr>
          <w:lang w:val="en-GB"/>
        </w:rPr>
        <w:t xml:space="preserve"> </w:t>
      </w:r>
      <w:r>
        <w:rPr>
          <w:lang w:val="en-GB"/>
        </w:rPr>
        <w:t>4(1) (</w:t>
      </w:r>
      <w:r w:rsidRPr="00E36969">
        <w:rPr>
          <w:lang w:val="en-GB"/>
        </w:rPr>
        <w:t>2004</w:t>
      </w:r>
      <w:r>
        <w:rPr>
          <w:lang w:val="en-GB"/>
        </w:rPr>
        <w:t>) 68.</w:t>
      </w:r>
    </w:p>
  </w:footnote>
  <w:footnote w:id="86">
    <w:p w14:paraId="4013AD11" w14:textId="653A418A" w:rsidR="00826D50" w:rsidRDefault="00826D50">
      <w:pPr>
        <w:pStyle w:val="FootnoteText"/>
      </w:pPr>
      <w:r>
        <w:rPr>
          <w:rStyle w:val="FootnoteReference"/>
        </w:rPr>
        <w:footnoteRef/>
      </w:r>
      <w:r>
        <w:t xml:space="preserve"> </w:t>
      </w:r>
      <w:r w:rsidRPr="00E36969">
        <w:rPr>
          <w:lang w:val="en-GB"/>
        </w:rPr>
        <w:t xml:space="preserve">Torop </w:t>
      </w:r>
      <w:r>
        <w:rPr>
          <w:lang w:val="en-GB"/>
        </w:rPr>
        <w:t>Eriyanto Sabar Nainggolan, '</w:t>
      </w:r>
      <w:r w:rsidRPr="00E36969">
        <w:rPr>
          <w:i/>
          <w:iCs/>
          <w:lang w:val="en-GB"/>
        </w:rPr>
        <w:t>Kedudukan Anak Perempuan dalam Hukum Waris Adat pada Masyarakat Batak Toba di Kecamatan Pontianak Kota di Kota Pontianak</w:t>
      </w:r>
      <w:r>
        <w:rPr>
          <w:i/>
          <w:iCs/>
          <w:lang w:val="en-GB"/>
        </w:rPr>
        <w:t xml:space="preserve">' </w:t>
      </w:r>
      <w:r>
        <w:rPr>
          <w:iCs/>
          <w:lang w:val="en-GB"/>
        </w:rPr>
        <w:t>(</w:t>
      </w:r>
      <w:r>
        <w:rPr>
          <w:lang w:val="en-GB"/>
        </w:rPr>
        <w:t xml:space="preserve">Women's Position in the Law of Traditional Inheritance in Toba Batak Community in Pontianak </w:t>
      </w:r>
      <w:r w:rsidRPr="00E36969">
        <w:rPr>
          <w:lang w:val="en-GB"/>
        </w:rPr>
        <w:t>City</w:t>
      </w:r>
      <w:r>
        <w:rPr>
          <w:lang w:val="en-GB"/>
        </w:rPr>
        <w:t xml:space="preserve">) (Masters Thesis, Dipenogoro University, </w:t>
      </w:r>
      <w:r w:rsidRPr="00E36969">
        <w:rPr>
          <w:lang w:val="en-GB"/>
        </w:rPr>
        <w:t>2005</w:t>
      </w:r>
      <w:r>
        <w:rPr>
          <w:lang w:val="en-GB"/>
        </w:rPr>
        <w:t>) &lt;</w:t>
      </w:r>
      <w:hyperlink r:id="rId2" w:history="1">
        <w:r w:rsidRPr="00A473EB">
          <w:rPr>
            <w:rStyle w:val="Hyperlink"/>
            <w:color w:val="auto"/>
            <w:u w:val="none"/>
            <w:lang w:val="en-GB"/>
          </w:rPr>
          <w:t>http://eprints.undip.ac.id/15914/1/Torop_Eriyanto_SN.pdf</w:t>
        </w:r>
      </w:hyperlink>
      <w:r w:rsidRPr="00A473EB">
        <w:rPr>
          <w:rStyle w:val="Hyperlink"/>
          <w:color w:val="auto"/>
          <w:u w:val="none"/>
          <w:lang w:val="en-GB"/>
        </w:rPr>
        <w:t>&gt;.</w:t>
      </w:r>
    </w:p>
  </w:footnote>
  <w:footnote w:id="87">
    <w:p w14:paraId="4DE32E9B" w14:textId="30852D2F" w:rsidR="00826D50" w:rsidRDefault="00826D50">
      <w:pPr>
        <w:pStyle w:val="FootnoteText"/>
      </w:pPr>
      <w:r>
        <w:rPr>
          <w:rStyle w:val="FootnoteReference"/>
        </w:rPr>
        <w:footnoteRef/>
      </w:r>
      <w:r>
        <w:t xml:space="preserve"> Ibid.</w:t>
      </w:r>
    </w:p>
  </w:footnote>
  <w:footnote w:id="88">
    <w:p w14:paraId="1F7FCA73" w14:textId="6D04A40B" w:rsidR="00826D50" w:rsidRPr="00A83B51" w:rsidRDefault="00826D50" w:rsidP="00E6007D">
      <w:pPr>
        <w:pStyle w:val="FootnoteText"/>
        <w:rPr>
          <w:b/>
          <w:bCs/>
        </w:rPr>
      </w:pPr>
      <w:r w:rsidRPr="00E36969">
        <w:rPr>
          <w:rStyle w:val="FootnoteReference"/>
          <w:lang w:val="en-GB"/>
        </w:rPr>
        <w:footnoteRef/>
      </w:r>
      <w:r>
        <w:rPr>
          <w:lang w:val="en-GB"/>
        </w:rPr>
        <w:t xml:space="preserve"> </w:t>
      </w:r>
      <w:r w:rsidRPr="00E36969">
        <w:rPr>
          <w:lang w:val="en-GB"/>
        </w:rPr>
        <w:t xml:space="preserve">Abdul Muthalib, </w:t>
      </w:r>
      <w:r>
        <w:rPr>
          <w:lang w:val="en-GB"/>
        </w:rPr>
        <w:t>'</w:t>
      </w:r>
      <w:r w:rsidRPr="00A83B51">
        <w:rPr>
          <w:bCs/>
          <w:i/>
        </w:rPr>
        <w:t>Pelaksanaan Jual Beli Tanah Dalam Masyarakat Adat Karo Studi Di Kecamatan Juhar Kabupaten Karo</w:t>
      </w:r>
      <w:r w:rsidRPr="00A83B51">
        <w:rPr>
          <w:bCs/>
        </w:rPr>
        <w:t xml:space="preserve">' </w:t>
      </w:r>
      <w:r>
        <w:rPr>
          <w:bCs/>
        </w:rPr>
        <w:t>(</w:t>
      </w:r>
      <w:r w:rsidRPr="00E36969">
        <w:rPr>
          <w:lang w:val="en-GB"/>
        </w:rPr>
        <w:t>Implementation of Land Purchas</w:t>
      </w:r>
      <w:r>
        <w:rPr>
          <w:lang w:val="en-GB"/>
        </w:rPr>
        <w:t xml:space="preserve">e in Customary Society of Karo: </w:t>
      </w:r>
      <w:r w:rsidRPr="00E36969">
        <w:rPr>
          <w:lang w:val="en-GB"/>
        </w:rPr>
        <w:t>Case Study in Juh</w:t>
      </w:r>
      <w:r>
        <w:rPr>
          <w:lang w:val="en-GB"/>
        </w:rPr>
        <w:t>ar Sub-district, Karo District) (Masters Thesis, University of North Sumatra, 2010) &lt;</w:t>
      </w:r>
      <w:r w:rsidRPr="00A83B51">
        <w:t>http://repository.usu.ac.id/handle/123456789/16836</w:t>
      </w:r>
      <w:r>
        <w:rPr>
          <w:lang w:val="en-GB"/>
        </w:rPr>
        <w:t>&gt;</w:t>
      </w:r>
      <w:r w:rsidRPr="00E36969">
        <w:rPr>
          <w:lang w:val="en-GB"/>
        </w:rPr>
        <w:t>.</w:t>
      </w:r>
    </w:p>
  </w:footnote>
  <w:footnote w:id="89">
    <w:p w14:paraId="048664F7" w14:textId="260480E6" w:rsidR="00826D50" w:rsidRPr="00E36969" w:rsidRDefault="00826D50" w:rsidP="00E6007D">
      <w:pPr>
        <w:pStyle w:val="FootnoteText"/>
        <w:rPr>
          <w:lang w:val="en-GB"/>
        </w:rPr>
      </w:pPr>
      <w:r w:rsidRPr="00E36969">
        <w:rPr>
          <w:rStyle w:val="FootnoteReference"/>
          <w:lang w:val="en-GB"/>
        </w:rPr>
        <w:footnoteRef/>
      </w:r>
      <w:r>
        <w:rPr>
          <w:lang w:val="en-GB"/>
        </w:rPr>
        <w:t xml:space="preserve"> Andy Syahruji and Balai Kiyu, '</w:t>
      </w:r>
      <w:r w:rsidRPr="00A83B51">
        <w:rPr>
          <w:i/>
          <w:lang w:val="en-GB"/>
        </w:rPr>
        <w:t>Masyarakat Adat Dayak Kiyu Meratus, Kalimantan Selatan</w:t>
      </w:r>
      <w:r>
        <w:rPr>
          <w:lang w:val="en-GB"/>
        </w:rPr>
        <w:t>'</w:t>
      </w:r>
      <w:r w:rsidRPr="00E36969">
        <w:rPr>
          <w:lang w:val="en-GB"/>
        </w:rPr>
        <w:t xml:space="preserve"> </w:t>
      </w:r>
      <w:r>
        <w:rPr>
          <w:lang w:val="en-GB"/>
        </w:rPr>
        <w:t>(</w:t>
      </w:r>
      <w:r w:rsidRPr="00E36969">
        <w:rPr>
          <w:lang w:val="en-GB"/>
        </w:rPr>
        <w:t>Indigenous Group of Dayak Kiyu Meratus, South Kalimantan</w:t>
      </w:r>
      <w:r>
        <w:rPr>
          <w:lang w:val="en-GB"/>
        </w:rPr>
        <w:t>) (Forest for the Future, 2013) &lt;</w:t>
      </w:r>
      <w:hyperlink r:id="rId3" w:history="1">
        <w:r w:rsidRPr="00A83B51">
          <w:rPr>
            <w:rStyle w:val="Hyperlink"/>
            <w:color w:val="auto"/>
            <w:u w:val="none"/>
            <w:lang w:val="en-GB"/>
          </w:rPr>
          <w:t>http://www.downtoearth-indonesia.org/sites/downtoearth-indonesia.org/files/R-5-Meratus.pdf</w:t>
        </w:r>
      </w:hyperlink>
      <w:r w:rsidRPr="00A83B51">
        <w:rPr>
          <w:rStyle w:val="Hyperlink"/>
          <w:color w:val="auto"/>
          <w:u w:val="none"/>
          <w:lang w:val="en-GB"/>
        </w:rPr>
        <w:t>&gt;.</w:t>
      </w:r>
    </w:p>
  </w:footnote>
  <w:footnote w:id="90">
    <w:p w14:paraId="2541A731" w14:textId="07390BA5" w:rsidR="00826D50" w:rsidRPr="001C2BFB" w:rsidRDefault="00826D50" w:rsidP="00560C2E">
      <w:pPr>
        <w:pStyle w:val="FootnoteText"/>
      </w:pPr>
      <w:r w:rsidRPr="00E36969">
        <w:rPr>
          <w:rStyle w:val="FootnoteReference"/>
          <w:lang w:val="en-GB"/>
        </w:rPr>
        <w:footnoteRef/>
      </w:r>
      <w:r>
        <w:rPr>
          <w:lang w:val="en-GB"/>
        </w:rPr>
        <w:t xml:space="preserve"> </w:t>
      </w:r>
      <w:r w:rsidRPr="00386FEF">
        <w:rPr>
          <w:lang w:val="en-GB"/>
        </w:rPr>
        <w:t>'</w:t>
      </w:r>
      <w:r w:rsidRPr="00386FEF">
        <w:rPr>
          <w:bCs/>
        </w:rPr>
        <w:t>Harga Tanah di Toraja Utara Ditentukan Kerbau</w:t>
      </w:r>
      <w:r>
        <w:rPr>
          <w:bCs/>
        </w:rPr>
        <w:t>' (Land Prices in North Toraja paid in Buffalo) (TribunTimur, 3 December 2014) &lt;</w:t>
      </w:r>
      <w:r w:rsidRPr="00560C2E">
        <w:rPr>
          <w:bCs/>
        </w:rPr>
        <w:t>http://makassar.tribunnews.com/2014/12/03/harga-tanah-di-toraja-utara-ditentukan-kerbau</w:t>
      </w:r>
      <w:r>
        <w:rPr>
          <w:bCs/>
        </w:rPr>
        <w:t>&gt;; Malto Datuan, '</w:t>
      </w:r>
      <w:r w:rsidRPr="00560C2E">
        <w:t>Kerbau Dalam Tradisi Masyarakat Toraja</w:t>
      </w:r>
      <w:r>
        <w:t>' (Buffalo in Traditional Toraja Society, May 2013) &lt;</w:t>
      </w:r>
      <w:hyperlink r:id="rId4" w:history="1">
        <w:r w:rsidRPr="00560C2E">
          <w:rPr>
            <w:rStyle w:val="Hyperlink"/>
            <w:color w:val="auto"/>
            <w:lang w:val="en-GB"/>
          </w:rPr>
          <w:t>h</w:t>
        </w:r>
        <w:r w:rsidRPr="00E36969">
          <w:rPr>
            <w:rStyle w:val="Hyperlink"/>
            <w:color w:val="auto"/>
            <w:lang w:val="en-GB"/>
          </w:rPr>
          <w:t>ttps://msdatuan.wordpress.com/artikel/kerbau-dalam-tradisi-masyarakat-toraja/</w:t>
        </w:r>
      </w:hyperlink>
      <w:r>
        <w:t>&gt;.</w:t>
      </w:r>
    </w:p>
  </w:footnote>
  <w:footnote w:id="91">
    <w:p w14:paraId="4440FF33" w14:textId="1A6BB5C2" w:rsidR="00826D50" w:rsidRPr="00E36969" w:rsidRDefault="00826D50" w:rsidP="00E6007D">
      <w:pPr>
        <w:pStyle w:val="FootnoteText"/>
        <w:rPr>
          <w:lang w:val="en-GB"/>
        </w:rPr>
      </w:pPr>
      <w:r w:rsidRPr="00E36969">
        <w:rPr>
          <w:rStyle w:val="FootnoteReference"/>
          <w:lang w:val="en-GB"/>
        </w:rPr>
        <w:footnoteRef/>
      </w:r>
      <w:r>
        <w:rPr>
          <w:lang w:val="en-GB"/>
        </w:rPr>
        <w:t xml:space="preserve"> </w:t>
      </w:r>
      <w:r w:rsidRPr="00560C2E">
        <w:rPr>
          <w:i/>
          <w:lang w:val="en-GB"/>
        </w:rPr>
        <w:t xml:space="preserve">West Sumatra Regional Government </w:t>
      </w:r>
      <w:r>
        <w:rPr>
          <w:i/>
          <w:lang w:val="en-GB"/>
        </w:rPr>
        <w:t xml:space="preserve">Regulation </w:t>
      </w:r>
      <w:r w:rsidRPr="00560C2E">
        <w:rPr>
          <w:i/>
          <w:lang w:val="en-GB"/>
        </w:rPr>
        <w:t>No. 16 of 2008 on Communal Rights and their Usage</w:t>
      </w:r>
      <w:r w:rsidRPr="00E36969">
        <w:rPr>
          <w:lang w:val="en-GB"/>
        </w:rPr>
        <w:t xml:space="preserve">.  </w:t>
      </w:r>
    </w:p>
  </w:footnote>
  <w:footnote w:id="92">
    <w:p w14:paraId="0C8B0DD0" w14:textId="77777777" w:rsidR="00826D50" w:rsidRDefault="00826D50" w:rsidP="00333125">
      <w:pPr>
        <w:pStyle w:val="FootnoteText"/>
      </w:pPr>
      <w:r>
        <w:rPr>
          <w:rStyle w:val="FootnoteReference"/>
        </w:rPr>
        <w:footnoteRef/>
      </w:r>
      <w:r>
        <w:t xml:space="preserve"> Paul McCarthy, 'The Case of Jakarta, Indonesia' (</w:t>
      </w:r>
      <w:r w:rsidRPr="009C50A5">
        <w:t xml:space="preserve">Understanding Slums: Case Studies for the Global Report on Human Settlements 2003 </w:t>
      </w:r>
      <w:r>
        <w:t>, University College London) &lt;</w:t>
      </w:r>
      <w:r w:rsidRPr="009C50A5">
        <w:t>http://www.ucl.ac.uk/dpu-projects/Global_Report/pdfs/Jakarta.pdf</w:t>
      </w:r>
      <w:r>
        <w:t>&gt; 1.</w:t>
      </w:r>
    </w:p>
  </w:footnote>
  <w:footnote w:id="93">
    <w:p w14:paraId="4D9DA693" w14:textId="2C424377" w:rsidR="00826D50" w:rsidRDefault="00826D50">
      <w:pPr>
        <w:pStyle w:val="FootnoteText"/>
      </w:pPr>
      <w:r>
        <w:rPr>
          <w:rStyle w:val="FootnoteReference"/>
        </w:rPr>
        <w:footnoteRef/>
      </w:r>
      <w:r>
        <w:t xml:space="preserve"> Ibid; Jieming Zhu and Hendricus Andy Simarmata, 'Formal Land Rights Versus Informal Land Rights: Governance For Sustainable Urbanization in the Jakarta Metropolitan Region, Indonesia' </w:t>
      </w:r>
      <w:r>
        <w:rPr>
          <w:i/>
        </w:rPr>
        <w:t xml:space="preserve">Land Use Policy </w:t>
      </w:r>
      <w:r>
        <w:t xml:space="preserve">43 (2015) 63, 65; Helga Leitner and Eric Sheppard, 'From Kampungs to Condos? Contested accumulations through displacement in Jakarta' 0(0) (2017) </w:t>
      </w:r>
      <w:r>
        <w:rPr>
          <w:i/>
        </w:rPr>
        <w:t>Environment and Planning</w:t>
      </w:r>
      <w:r>
        <w:t xml:space="preserve"> 1, 8.</w:t>
      </w:r>
    </w:p>
  </w:footnote>
  <w:footnote w:id="94">
    <w:p w14:paraId="340C3037" w14:textId="56BF4BFB" w:rsidR="00826D50" w:rsidRPr="009C50A5" w:rsidRDefault="00826D50">
      <w:pPr>
        <w:pStyle w:val="FootnoteText"/>
      </w:pPr>
      <w:r>
        <w:rPr>
          <w:rStyle w:val="FootnoteReference"/>
        </w:rPr>
        <w:footnoteRef/>
      </w:r>
      <w:r>
        <w:t xml:space="preserve"> Paul McCarthy, above n92, 1.</w:t>
      </w:r>
    </w:p>
  </w:footnote>
  <w:footnote w:id="95">
    <w:p w14:paraId="52A28D83" w14:textId="77777777" w:rsidR="00826D50" w:rsidRDefault="00826D50" w:rsidP="009470AC">
      <w:pPr>
        <w:pStyle w:val="FootnoteText"/>
        <w:keepLines/>
      </w:pPr>
      <w:r>
        <w:rPr>
          <w:rStyle w:val="FootnoteReference"/>
        </w:rPr>
        <w:footnoteRef/>
      </w:r>
      <w:r>
        <w:t xml:space="preserve"> World Bank and </w:t>
      </w:r>
      <w:r w:rsidRPr="00134E2A">
        <w:t>Mayors’ Task Force on Climate Change,</w:t>
      </w:r>
      <w:r>
        <w:t xml:space="preserve"> </w:t>
      </w:r>
      <w:r w:rsidRPr="00134E2A">
        <w:t>Disaster Risk and the Urban Poor</w:t>
      </w:r>
      <w:r>
        <w:t>, 'Jakarta – Urban Challenges in a Changing Climate' &lt;</w:t>
      </w:r>
      <w:r w:rsidRPr="00134E2A">
        <w:t>http://documents.worldbank.org/curated/en/132781468039870805/pdf/650180WP0Box360ange0Jakarta0English.pdf</w:t>
      </w:r>
      <w:r>
        <w:t>&gt; 1, 10, 14.</w:t>
      </w:r>
    </w:p>
  </w:footnote>
  <w:footnote w:id="96">
    <w:p w14:paraId="411BCB22" w14:textId="7ADEC877" w:rsidR="00826D50" w:rsidRPr="0081700B" w:rsidRDefault="00826D50" w:rsidP="0081700B">
      <w:pPr>
        <w:pStyle w:val="FootnoteText"/>
      </w:pPr>
      <w:r>
        <w:rPr>
          <w:rStyle w:val="FootnoteReference"/>
        </w:rPr>
        <w:footnoteRef/>
      </w:r>
      <w:r>
        <w:t xml:space="preserve"> Helga Leitner and Eric Sheppard, above n93, 9 citing</w:t>
      </w:r>
      <w:r w:rsidRPr="0081700B">
        <w:rPr>
          <w:i/>
        </w:rPr>
        <w:t xml:space="preserve"> Perda 8/2007</w:t>
      </w:r>
      <w:r>
        <w:t>.</w:t>
      </w:r>
    </w:p>
  </w:footnote>
  <w:footnote w:id="97">
    <w:p w14:paraId="624CAA72" w14:textId="0C250F17" w:rsidR="00826D50" w:rsidRDefault="00826D50" w:rsidP="004B3CBC">
      <w:pPr>
        <w:pStyle w:val="FootnoteText"/>
      </w:pPr>
      <w:r>
        <w:rPr>
          <w:rStyle w:val="FootnoteReference"/>
        </w:rPr>
        <w:footnoteRef/>
      </w:r>
      <w:r>
        <w:t xml:space="preserve"> World Bank and </w:t>
      </w:r>
      <w:r w:rsidRPr="00134E2A">
        <w:t>Mayors’ Task Force on Climate Change,</w:t>
      </w:r>
      <w:r>
        <w:t xml:space="preserve"> </w:t>
      </w:r>
      <w:r w:rsidRPr="00134E2A">
        <w:t>Disaster Risk and the Urban Poor</w:t>
      </w:r>
      <w:r>
        <w:t>, above n95, 21; Helga Leitner and Eric Sheppard, above n 93, 12.</w:t>
      </w:r>
    </w:p>
  </w:footnote>
  <w:footnote w:id="98">
    <w:p w14:paraId="3233C21D" w14:textId="7E3392F2" w:rsidR="00826D50" w:rsidRDefault="00826D50" w:rsidP="00340C3C">
      <w:pPr>
        <w:pStyle w:val="FootnoteText"/>
      </w:pPr>
      <w:r>
        <w:rPr>
          <w:rStyle w:val="FootnoteReference"/>
        </w:rPr>
        <w:footnoteRef/>
      </w:r>
      <w:r>
        <w:t xml:space="preserve"> World Bank and </w:t>
      </w:r>
      <w:r w:rsidRPr="00134E2A">
        <w:t>Mayors’ Task Force on Climate Change,</w:t>
      </w:r>
      <w:r>
        <w:t xml:space="preserve"> </w:t>
      </w:r>
      <w:r w:rsidRPr="00134E2A">
        <w:t>Disaster Risk and the Urban Poor</w:t>
      </w:r>
      <w:r>
        <w:t>, above n95, 21; Chris Coulihan, 'An Incremental Intervention in Jakarta: An Empowering Infrastructural Approach for Upgrading Informal Settlements' (Masters Thesis, University of Massachusetts Amherst, May 2017) &lt;</w:t>
      </w:r>
      <w:r w:rsidRPr="00F91365">
        <w:t>http://scholarworks.umass.edu/cgi/viewcontent.cgi?article=1000&amp;context=la_theses</w:t>
      </w:r>
      <w:r>
        <w:t>&gt;.</w:t>
      </w:r>
    </w:p>
  </w:footnote>
  <w:footnote w:id="99">
    <w:p w14:paraId="06AA9F31" w14:textId="77777777" w:rsidR="00826D50" w:rsidRPr="00EC24F5" w:rsidRDefault="00826D50">
      <w:pPr>
        <w:pStyle w:val="FootnoteText"/>
      </w:pPr>
      <w:r>
        <w:rPr>
          <w:rStyle w:val="FootnoteReference"/>
        </w:rPr>
        <w:footnoteRef/>
      </w:r>
      <w:r>
        <w:t xml:space="preserve"> Derek Vollmer and Adrienne Gret-Regamey, 'Rivers as Municipal Infrastructure: Demand for Environmental Services in Informal Settlements Along an Indonesian River; </w:t>
      </w:r>
      <w:r>
        <w:rPr>
          <w:i/>
        </w:rPr>
        <w:t>Global Environmental Change</w:t>
      </w:r>
      <w:r>
        <w:t xml:space="preserve"> 23(6) (2013) 1548.</w:t>
      </w:r>
    </w:p>
  </w:footnote>
  <w:footnote w:id="100">
    <w:p w14:paraId="5AA9C74F" w14:textId="4C39FC1B" w:rsidR="00826D50" w:rsidRDefault="00826D50" w:rsidP="005F677F">
      <w:pPr>
        <w:pStyle w:val="FootnoteText"/>
      </w:pPr>
      <w:r>
        <w:rPr>
          <w:rStyle w:val="FootnoteReference"/>
        </w:rPr>
        <w:footnoteRef/>
      </w:r>
      <w:r>
        <w:t xml:space="preserve"> Devisari Tunas and Andrea Peresthu, 'The Self-Help Housing in Indonesia: The Only Option for the Poor?' 34 (2010) </w:t>
      </w:r>
      <w:r w:rsidRPr="009E4015">
        <w:rPr>
          <w:i/>
        </w:rPr>
        <w:t>Habitat International</w:t>
      </w:r>
      <w:r>
        <w:t xml:space="preserve"> 315, 320; Lana Winayanti and Heracles C Lang, above n44, 54.</w:t>
      </w:r>
    </w:p>
  </w:footnote>
  <w:footnote w:id="101">
    <w:p w14:paraId="3E4FF77E" w14:textId="2F0C7B5D" w:rsidR="00826D50" w:rsidRDefault="00826D50">
      <w:pPr>
        <w:pStyle w:val="FootnoteText"/>
      </w:pPr>
      <w:r>
        <w:rPr>
          <w:rStyle w:val="FootnoteReference"/>
        </w:rPr>
        <w:footnoteRef/>
      </w:r>
      <w:r>
        <w:t xml:space="preserve"> Lana Winayanti and Heracles C Lang, above n44, 42.</w:t>
      </w:r>
    </w:p>
  </w:footnote>
  <w:footnote w:id="102">
    <w:p w14:paraId="1A76CD1A" w14:textId="1CD9DC4A" w:rsidR="00826D50" w:rsidRDefault="00826D50">
      <w:pPr>
        <w:pStyle w:val="FootnoteText"/>
      </w:pPr>
      <w:r>
        <w:rPr>
          <w:rStyle w:val="FootnoteReference"/>
        </w:rPr>
        <w:footnoteRef/>
      </w:r>
      <w:r>
        <w:t xml:space="preserve"> Ibid.</w:t>
      </w:r>
    </w:p>
  </w:footnote>
  <w:footnote w:id="103">
    <w:p w14:paraId="1CD675CA" w14:textId="77777777" w:rsidR="00826D50" w:rsidRDefault="00826D50">
      <w:pPr>
        <w:pStyle w:val="FootnoteText"/>
      </w:pPr>
      <w:r>
        <w:rPr>
          <w:rStyle w:val="FootnoteReference"/>
        </w:rPr>
        <w:footnoteRef/>
      </w:r>
      <w:r>
        <w:t xml:space="preserve"> Ibid 54.</w:t>
      </w:r>
    </w:p>
  </w:footnote>
  <w:footnote w:id="104">
    <w:p w14:paraId="6A719821" w14:textId="77777777" w:rsidR="00826D50" w:rsidRDefault="00826D50" w:rsidP="00992A24">
      <w:pPr>
        <w:pStyle w:val="FootnoteText"/>
      </w:pPr>
      <w:r>
        <w:rPr>
          <w:rStyle w:val="FootnoteReference"/>
        </w:rPr>
        <w:footnoteRef/>
      </w:r>
      <w:r>
        <w:t xml:space="preserve"> </w:t>
      </w:r>
      <w:r w:rsidRPr="00E6007D">
        <w:rPr>
          <w:bCs/>
          <w:iCs/>
          <w:lang w:val="en-GB"/>
        </w:rPr>
        <w:t>Supreme Court Decision No. 179</w:t>
      </w:r>
      <w:r>
        <w:rPr>
          <w:bCs/>
          <w:iCs/>
          <w:lang w:val="en-GB"/>
        </w:rPr>
        <w:t xml:space="preserve"> K</w:t>
      </w:r>
      <w:r w:rsidRPr="00E6007D">
        <w:rPr>
          <w:bCs/>
          <w:iCs/>
          <w:lang w:val="en-GB"/>
        </w:rPr>
        <w:t>/Sip/1961</w:t>
      </w:r>
      <w:r>
        <w:rPr>
          <w:bCs/>
          <w:iCs/>
          <w:lang w:val="en-GB"/>
        </w:rPr>
        <w:t>.</w:t>
      </w:r>
    </w:p>
  </w:footnote>
  <w:footnote w:id="105">
    <w:p w14:paraId="22E60A59" w14:textId="4F25F9E4" w:rsidR="00826D50" w:rsidRDefault="00826D50" w:rsidP="00992A24">
      <w:pPr>
        <w:pStyle w:val="FootnoteText"/>
      </w:pPr>
      <w:r>
        <w:rPr>
          <w:rStyle w:val="FootnoteReference"/>
        </w:rPr>
        <w:footnoteRef/>
      </w:r>
      <w:r>
        <w:t xml:space="preserve"> </w:t>
      </w:r>
      <w:r w:rsidRPr="00DB4E13">
        <w:rPr>
          <w:rFonts w:cs="Arial"/>
          <w:i/>
          <w:lang w:val="en-GB" w:eastAsia="zh-CN" w:bidi="hi-IN"/>
        </w:rPr>
        <w:t xml:space="preserve">Law No. 1 of 1974 on </w:t>
      </w:r>
      <w:r w:rsidRPr="00DB4E13">
        <w:rPr>
          <w:rFonts w:cs="Arial"/>
          <w:i/>
          <w:color w:val="0F0F0F"/>
          <w:lang w:val="en-GB" w:eastAsia="zh-CN" w:bidi="hi-IN"/>
        </w:rPr>
        <w:t>Marriage</w:t>
      </w:r>
      <w:r>
        <w:rPr>
          <w:rFonts w:cs="Arial"/>
          <w:color w:val="0F0F0F"/>
          <w:lang w:val="en-GB" w:eastAsia="zh-CN" w:bidi="hi-IN"/>
        </w:rPr>
        <w:t xml:space="preserve"> art 31(1),(2).</w:t>
      </w:r>
    </w:p>
  </w:footnote>
  <w:footnote w:id="106">
    <w:p w14:paraId="6E27C26F" w14:textId="7349302F" w:rsidR="00826D50" w:rsidRPr="00E36969" w:rsidRDefault="00826D50" w:rsidP="0037125E">
      <w:pPr>
        <w:pStyle w:val="FootnoteText"/>
        <w:rPr>
          <w:lang w:val="en-GB"/>
        </w:rPr>
      </w:pPr>
      <w:r w:rsidRPr="00E36969">
        <w:rPr>
          <w:rStyle w:val="FootnoteReference"/>
          <w:lang w:val="en-GB"/>
        </w:rPr>
        <w:footnoteRef/>
      </w:r>
      <w:r>
        <w:rPr>
          <w:lang w:val="en-GB"/>
        </w:rPr>
        <w:t xml:space="preserve"> </w:t>
      </w:r>
      <w:r w:rsidRPr="00A90D25">
        <w:rPr>
          <w:i/>
          <w:lang w:val="en-GB"/>
        </w:rPr>
        <w:t xml:space="preserve">Ministry of Agrarian and Spatial Planning Circular Letter No. 4/SE/I/2015 on Age Restriction in Land Services </w:t>
      </w:r>
      <w:r>
        <w:rPr>
          <w:lang w:val="en-GB"/>
        </w:rPr>
        <w:t xml:space="preserve">point 5; </w:t>
      </w:r>
      <w:r w:rsidRPr="00DB4E13">
        <w:rPr>
          <w:i/>
          <w:lang w:val="en-GB"/>
        </w:rPr>
        <w:t>Law No. 30 of 2004 on Notarial Title</w:t>
      </w:r>
      <w:r>
        <w:rPr>
          <w:lang w:val="en-GB"/>
        </w:rPr>
        <w:t xml:space="preserve"> art 39(1)</w:t>
      </w:r>
      <w:r w:rsidRPr="00E36969">
        <w:rPr>
          <w:lang w:val="en-GB"/>
        </w:rPr>
        <w:t>.</w:t>
      </w:r>
    </w:p>
  </w:footnote>
  <w:footnote w:id="107">
    <w:p w14:paraId="065B0ED2" w14:textId="77777777" w:rsidR="00826D50" w:rsidRDefault="00826D50">
      <w:pPr>
        <w:pStyle w:val="FootnoteText"/>
      </w:pPr>
      <w:r>
        <w:rPr>
          <w:rStyle w:val="FootnoteReference"/>
        </w:rPr>
        <w:footnoteRef/>
      </w:r>
      <w:r>
        <w:t xml:space="preserve"> Caitlin Kieran et al, 'Examining Gender Inequalities in Land Rights Indicators in Asia' (2015) &lt;</w:t>
      </w:r>
      <w:r w:rsidRPr="00535B6B">
        <w:t>http://ageconsearch.umn.edu/bitstream/211848/2/Kieran-Examining</w:t>
      </w:r>
      <w:r>
        <w:t xml:space="preserve"> per cent</w:t>
      </w:r>
      <w:r w:rsidRPr="00535B6B">
        <w:t>20Gender</w:t>
      </w:r>
      <w:r>
        <w:t xml:space="preserve"> per cent</w:t>
      </w:r>
      <w:r w:rsidRPr="00535B6B">
        <w:t>20Inequalities</w:t>
      </w:r>
      <w:r>
        <w:t xml:space="preserve"> per cent</w:t>
      </w:r>
      <w:r w:rsidRPr="00535B6B">
        <w:t>20in</w:t>
      </w:r>
      <w:r>
        <w:t xml:space="preserve"> per cent</w:t>
      </w:r>
      <w:r w:rsidRPr="00535B6B">
        <w:t>20Land</w:t>
      </w:r>
      <w:r>
        <w:t xml:space="preserve"> per cent</w:t>
      </w:r>
      <w:r w:rsidRPr="00535B6B">
        <w:t>20Rights</w:t>
      </w:r>
      <w:r>
        <w:t xml:space="preserve"> per cent</w:t>
      </w:r>
      <w:r w:rsidRPr="00535B6B">
        <w:t>20Indicators</w:t>
      </w:r>
      <w:r>
        <w:t xml:space="preserve"> per cent</w:t>
      </w:r>
      <w:r w:rsidRPr="00535B6B">
        <w:t>20in</w:t>
      </w:r>
      <w:r>
        <w:t xml:space="preserve"> per cent</w:t>
      </w:r>
      <w:r w:rsidRPr="00535B6B">
        <w:t>20Asia-1118.pdf</w:t>
      </w:r>
      <w:r>
        <w:t>&gt;.</w:t>
      </w:r>
    </w:p>
  </w:footnote>
  <w:footnote w:id="108">
    <w:p w14:paraId="6E543061" w14:textId="3D79484A" w:rsidR="00826D50" w:rsidRPr="00E36969" w:rsidRDefault="00826D50" w:rsidP="00535B6B">
      <w:pPr>
        <w:pStyle w:val="FootnoteText"/>
        <w:rPr>
          <w:lang w:val="en-GB"/>
        </w:rPr>
      </w:pPr>
      <w:r w:rsidRPr="00E36969">
        <w:rPr>
          <w:rStyle w:val="FootnoteReference"/>
          <w:lang w:val="en-GB"/>
        </w:rPr>
        <w:footnoteRef/>
      </w:r>
      <w:r>
        <w:rPr>
          <w:lang w:val="en-GB"/>
        </w:rPr>
        <w:t xml:space="preserve"> '</w:t>
      </w:r>
      <w:r w:rsidRPr="001E7E59">
        <w:rPr>
          <w:rFonts w:cs="Arial"/>
          <w:i/>
          <w:lang w:val="en-CA"/>
        </w:rPr>
        <w:t>Sistem Hukum dan Patriarki, Perempuan Mengalami Diskriminasi Kepemilikan Tanah</w:t>
      </w:r>
      <w:r>
        <w:rPr>
          <w:lang w:val="en-GB"/>
        </w:rPr>
        <w:t xml:space="preserve">' </w:t>
      </w:r>
      <w:r w:rsidRPr="004D2345">
        <w:t xml:space="preserve">(Women Experiencing Discrimination under a Patriarchal Land System) </w:t>
      </w:r>
      <w:r>
        <w:rPr>
          <w:lang w:val="en-GB"/>
        </w:rPr>
        <w:t>(EduNews, 13 January 2017) &lt;</w:t>
      </w:r>
      <w:r w:rsidRPr="00E36969">
        <w:rPr>
          <w:lang w:val="en-GB"/>
        </w:rPr>
        <w:t>https://www.edunews.id/news/sistem-hukum-dan-patriarki-perempuan-mengalami-diskriminasi-kepemilikan-tanah/</w:t>
      </w:r>
      <w:r>
        <w:rPr>
          <w:lang w:val="en-GB"/>
        </w:rPr>
        <w:t>&gt;.</w:t>
      </w:r>
    </w:p>
  </w:footnote>
  <w:footnote w:id="109">
    <w:p w14:paraId="2ED0EBE1" w14:textId="67B33350" w:rsidR="00826D50" w:rsidRPr="002D4DFB" w:rsidRDefault="00826D50" w:rsidP="00712076">
      <w:pPr>
        <w:pStyle w:val="FootnoteText"/>
        <w:tabs>
          <w:tab w:val="left" w:pos="284"/>
        </w:tabs>
      </w:pPr>
      <w:r w:rsidRPr="00E36969">
        <w:rPr>
          <w:rStyle w:val="FootnoteReference"/>
          <w:lang w:val="en-GB"/>
        </w:rPr>
        <w:footnoteRef/>
      </w:r>
      <w:r>
        <w:t xml:space="preserve"> Silvia Hanani, '</w:t>
      </w:r>
      <w:r>
        <w:rPr>
          <w:i/>
        </w:rPr>
        <w:t>T</w:t>
      </w:r>
      <w:r w:rsidRPr="001C2BFB">
        <w:rPr>
          <w:i/>
        </w:rPr>
        <w:t xml:space="preserve">anah </w:t>
      </w:r>
      <w:r>
        <w:rPr>
          <w:i/>
        </w:rPr>
        <w:t xml:space="preserve">Ulayat Dan Kemiskinan Perempuan </w:t>
      </w:r>
      <w:r w:rsidRPr="001C2BFB">
        <w:rPr>
          <w:i/>
        </w:rPr>
        <w:t>Di Ranah Matrilinial'</w:t>
      </w:r>
      <w:r>
        <w:t xml:space="preserve"> (Customary Land and Women's Poverty in Matrilineal Systems) 3(1) (2013) </w:t>
      </w:r>
      <w:r>
        <w:rPr>
          <w:i/>
        </w:rPr>
        <w:t>Jurnal Ilmiah Kajian Gender</w:t>
      </w:r>
      <w:r>
        <w:t xml:space="preserve"> (Journal of Gender Studies) 27.</w:t>
      </w:r>
    </w:p>
  </w:footnote>
  <w:footnote w:id="110">
    <w:p w14:paraId="1FF5ED22" w14:textId="38038B3B" w:rsidR="00826D50" w:rsidRPr="00E36969" w:rsidRDefault="00826D50" w:rsidP="00830D1F">
      <w:pPr>
        <w:pStyle w:val="FootnoteText"/>
        <w:rPr>
          <w:lang w:val="en-GB"/>
        </w:rPr>
      </w:pPr>
      <w:r w:rsidRPr="00E36969">
        <w:rPr>
          <w:rStyle w:val="FootnoteReference"/>
          <w:lang w:val="en-GB"/>
        </w:rPr>
        <w:footnoteRef/>
      </w:r>
      <w:r>
        <w:t xml:space="preserve"> See, eg, 'Warga Bentrok di Timika, Korban Terus Bertambah' (Clash between Residents in Timika, Victim Count Increasing) (</w:t>
      </w:r>
      <w:r w:rsidRPr="00DD766E">
        <w:rPr>
          <w:i/>
        </w:rPr>
        <w:t>Suara Pembaruan</w:t>
      </w:r>
      <w:r>
        <w:t xml:space="preserve">, 11 March 2014) </w:t>
      </w:r>
      <w:r w:rsidRPr="00DD766E">
        <w:t>&lt;</w:t>
      </w:r>
      <w:hyperlink r:id="rId5" w:history="1">
        <w:r w:rsidRPr="00DD766E">
          <w:rPr>
            <w:rStyle w:val="Hyperlink"/>
            <w:color w:val="auto"/>
            <w:u w:val="none"/>
            <w:lang w:val="en-GB"/>
          </w:rPr>
          <w:t>http://sp.beritasatu.com/home/warga-bentrok-di-timika-korban-terus-bertambah/50941</w:t>
        </w:r>
      </w:hyperlink>
      <w:r w:rsidRPr="00DD766E">
        <w:rPr>
          <w:lang w:val="en-GB"/>
        </w:rPr>
        <w:t>&gt;.</w:t>
      </w:r>
    </w:p>
  </w:footnote>
  <w:footnote w:id="111">
    <w:p w14:paraId="3896F563" w14:textId="6F6805A1" w:rsidR="00826D50" w:rsidRPr="008E02BC" w:rsidRDefault="00826D50" w:rsidP="00976189">
      <w:pPr>
        <w:pStyle w:val="FootnoteText"/>
        <w:rPr>
          <w:rFonts w:cs="Arial"/>
          <w:szCs w:val="16"/>
          <w:lang w:val="en-GB"/>
        </w:rPr>
      </w:pPr>
      <w:r w:rsidRPr="00E36969">
        <w:rPr>
          <w:rStyle w:val="FootnoteReference"/>
          <w:lang w:val="en-GB"/>
        </w:rPr>
        <w:footnoteRef/>
      </w:r>
      <w:r>
        <w:rPr>
          <w:lang w:val="en-GB"/>
        </w:rPr>
        <w:t xml:space="preserve"> </w:t>
      </w:r>
      <w:r>
        <w:rPr>
          <w:rFonts w:cs="Arial"/>
          <w:szCs w:val="16"/>
          <w:lang w:val="en-GB"/>
        </w:rPr>
        <w:t>A</w:t>
      </w:r>
      <w:r w:rsidRPr="00E36969">
        <w:rPr>
          <w:rFonts w:cs="Arial"/>
          <w:szCs w:val="16"/>
          <w:lang w:val="en-GB"/>
        </w:rPr>
        <w:t xml:space="preserve"> challenge to the lawfulness of a land certificate issued by the </w:t>
      </w:r>
      <w:r>
        <w:rPr>
          <w:rFonts w:cs="Arial"/>
          <w:szCs w:val="16"/>
          <w:lang w:val="en-GB"/>
        </w:rPr>
        <w:t xml:space="preserve">NLA must be </w:t>
      </w:r>
      <w:r w:rsidRPr="00E36969">
        <w:rPr>
          <w:rFonts w:cs="Arial"/>
          <w:szCs w:val="16"/>
          <w:lang w:val="en-GB"/>
        </w:rPr>
        <w:t xml:space="preserve">submitted to the administrative court, which has the authority to annul unlawful certificates and licenses. </w:t>
      </w:r>
      <w:r>
        <w:rPr>
          <w:rFonts w:cs="Arial"/>
          <w:szCs w:val="16"/>
          <w:lang w:val="en-GB"/>
        </w:rPr>
        <w:t>Most other land disputes are heard by the civil courts, including competing claims of ownership. Disputes involving allegations of criminal conduct are heard by the criminal courts.</w:t>
      </w:r>
    </w:p>
  </w:footnote>
  <w:footnote w:id="112">
    <w:p w14:paraId="1250AE1C" w14:textId="66719E4E" w:rsidR="00826D50" w:rsidRPr="008E02BC" w:rsidRDefault="00826D50" w:rsidP="00197B32">
      <w:pPr>
        <w:pStyle w:val="FootnoteText"/>
        <w:rPr>
          <w:rFonts w:cs="Arial"/>
          <w:szCs w:val="16"/>
          <w:lang w:val="en-GB"/>
        </w:rPr>
      </w:pPr>
      <w:r w:rsidRPr="008E02BC">
        <w:rPr>
          <w:rStyle w:val="FootnoteReference"/>
          <w:rFonts w:cs="Arial"/>
          <w:szCs w:val="16"/>
          <w:lang w:val="en-GB"/>
        </w:rPr>
        <w:footnoteRef/>
      </w:r>
      <w:r w:rsidRPr="008E02BC">
        <w:rPr>
          <w:rFonts w:cs="Arial"/>
          <w:szCs w:val="16"/>
          <w:lang w:val="en-GB"/>
        </w:rPr>
        <w:t xml:space="preserve"> </w:t>
      </w:r>
      <w:r w:rsidRPr="008F4D98">
        <w:rPr>
          <w:rFonts w:cs="Arial"/>
          <w:i/>
          <w:szCs w:val="16"/>
          <w:lang w:val="en-GB"/>
        </w:rPr>
        <w:t>Ministry of Agrarian Regulation No. 11 of 2006 on Land Dispute Settlement</w:t>
      </w:r>
      <w:r>
        <w:rPr>
          <w:rFonts w:cs="Arial"/>
          <w:szCs w:val="16"/>
          <w:lang w:val="en-GB"/>
        </w:rPr>
        <w:t xml:space="preserve"> art 11(3).</w:t>
      </w:r>
      <w:r w:rsidRPr="008E02BC">
        <w:rPr>
          <w:rFonts w:cs="Arial"/>
          <w:szCs w:val="16"/>
          <w:lang w:val="en-GB"/>
        </w:rPr>
        <w:t xml:space="preserve"> </w:t>
      </w:r>
    </w:p>
  </w:footnote>
  <w:footnote w:id="113">
    <w:p w14:paraId="3C34252A" w14:textId="6EB0C25F" w:rsidR="00826D50" w:rsidRPr="008E02BC" w:rsidRDefault="00826D50" w:rsidP="008057E7">
      <w:pPr>
        <w:pStyle w:val="FootnoteText"/>
        <w:rPr>
          <w:lang w:val="en-GB"/>
        </w:rPr>
      </w:pPr>
      <w:r w:rsidRPr="008E02BC">
        <w:rPr>
          <w:rStyle w:val="FootnoteReference"/>
          <w:lang w:val="en-GB"/>
        </w:rPr>
        <w:footnoteRef/>
      </w:r>
      <w:r w:rsidRPr="008E02BC">
        <w:rPr>
          <w:lang w:val="en-GB"/>
        </w:rPr>
        <w:t xml:space="preserve"> </w:t>
      </w:r>
      <w:r>
        <w:rPr>
          <w:lang w:val="en-GB"/>
        </w:rPr>
        <w:t>Ibid art 24</w:t>
      </w:r>
      <w:r w:rsidRPr="008E02BC">
        <w:rPr>
          <w:lang w:val="en-GB"/>
        </w:rPr>
        <w:t xml:space="preserve">.  </w:t>
      </w:r>
    </w:p>
  </w:footnote>
  <w:footnote w:id="114">
    <w:p w14:paraId="26F05853" w14:textId="0E1DC619" w:rsidR="00826D50" w:rsidRPr="008E02BC" w:rsidRDefault="00826D50" w:rsidP="008422AB">
      <w:pPr>
        <w:pStyle w:val="FootnoteText"/>
        <w:rPr>
          <w:rFonts w:cs="Arial"/>
          <w:szCs w:val="16"/>
        </w:rPr>
      </w:pPr>
      <w:r w:rsidRPr="008E02BC">
        <w:rPr>
          <w:rStyle w:val="FootnoteReference"/>
          <w:rFonts w:cs="Arial"/>
          <w:szCs w:val="16"/>
        </w:rPr>
        <w:footnoteRef/>
      </w:r>
      <w:r w:rsidRPr="008E02BC">
        <w:rPr>
          <w:rFonts w:cs="Arial"/>
          <w:szCs w:val="16"/>
        </w:rPr>
        <w:t xml:space="preserve"> </w:t>
      </w:r>
      <w:r w:rsidRPr="00DB4E13">
        <w:rPr>
          <w:rFonts w:cs="Arial"/>
          <w:i/>
          <w:szCs w:val="16"/>
        </w:rPr>
        <w:t>Constitution</w:t>
      </w:r>
      <w:r w:rsidRPr="008E02BC">
        <w:rPr>
          <w:rFonts w:cs="Arial"/>
          <w:szCs w:val="16"/>
        </w:rPr>
        <w:t xml:space="preserve"> arts 27(1), 28I and 28D; </w:t>
      </w:r>
      <w:r w:rsidRPr="00DB4E13">
        <w:rPr>
          <w:rFonts w:cs="Arial"/>
          <w:i/>
          <w:szCs w:val="16"/>
          <w:lang w:val="en-GB"/>
        </w:rPr>
        <w:t>Agrarian Law</w:t>
      </w:r>
      <w:r w:rsidRPr="008E02BC">
        <w:rPr>
          <w:rFonts w:cs="Arial"/>
          <w:szCs w:val="16"/>
          <w:lang w:val="en-GB"/>
        </w:rPr>
        <w:t xml:space="preserve"> art 9(2).</w:t>
      </w:r>
    </w:p>
  </w:footnote>
  <w:footnote w:id="115">
    <w:p w14:paraId="6D793F97" w14:textId="46EBD83E" w:rsidR="00826D50" w:rsidRPr="008E02BC" w:rsidRDefault="00826D50">
      <w:pPr>
        <w:pStyle w:val="FootnoteText"/>
        <w:rPr>
          <w:rFonts w:cs="Arial"/>
          <w:szCs w:val="16"/>
        </w:rPr>
      </w:pPr>
      <w:r w:rsidRPr="008E02BC">
        <w:rPr>
          <w:rStyle w:val="FootnoteReference"/>
          <w:rFonts w:cs="Arial"/>
          <w:szCs w:val="16"/>
        </w:rPr>
        <w:footnoteRef/>
      </w:r>
      <w:r w:rsidRPr="008E02BC">
        <w:rPr>
          <w:rFonts w:cs="Arial"/>
          <w:szCs w:val="16"/>
        </w:rPr>
        <w:t xml:space="preserve"> </w:t>
      </w:r>
      <w:r>
        <w:rPr>
          <w:rFonts w:cs="Arial"/>
          <w:i/>
          <w:szCs w:val="16"/>
        </w:rPr>
        <w:t>Agrarian Law</w:t>
      </w:r>
      <w:r>
        <w:rPr>
          <w:rFonts w:cs="Arial"/>
          <w:szCs w:val="16"/>
        </w:rPr>
        <w:t xml:space="preserve"> arts 21(1), 30(1) and 36(1).</w:t>
      </w:r>
    </w:p>
  </w:footnote>
  <w:footnote w:id="116">
    <w:p w14:paraId="5F898315" w14:textId="77777777" w:rsidR="00826D50" w:rsidRPr="008E02BC" w:rsidRDefault="00826D50">
      <w:pPr>
        <w:pStyle w:val="FootnoteText"/>
        <w:rPr>
          <w:rFonts w:cs="Arial"/>
          <w:szCs w:val="16"/>
        </w:rPr>
      </w:pPr>
      <w:r w:rsidRPr="008E02BC">
        <w:rPr>
          <w:rStyle w:val="FootnoteReference"/>
          <w:rFonts w:cs="Arial"/>
          <w:szCs w:val="16"/>
        </w:rPr>
        <w:footnoteRef/>
      </w:r>
      <w:r w:rsidRPr="008E02BC">
        <w:rPr>
          <w:rFonts w:cs="Arial"/>
          <w:szCs w:val="16"/>
        </w:rPr>
        <w:t xml:space="preserve"> </w:t>
      </w:r>
      <w:r w:rsidRPr="00DB4E13">
        <w:rPr>
          <w:rFonts w:cs="Arial"/>
          <w:i/>
          <w:szCs w:val="16"/>
          <w:lang w:val="en"/>
        </w:rPr>
        <w:t>Law No. 62 of 1958 on Law on the Citizenship of the Republic of Indonesia</w:t>
      </w:r>
      <w:r w:rsidRPr="008E02BC">
        <w:rPr>
          <w:rFonts w:cs="Arial"/>
          <w:szCs w:val="16"/>
          <w:lang w:val="en"/>
        </w:rPr>
        <w:t xml:space="preserve"> arts 1, 5.</w:t>
      </w:r>
    </w:p>
  </w:footnote>
  <w:footnote w:id="117">
    <w:p w14:paraId="3976A6CE" w14:textId="77777777" w:rsidR="00826D50" w:rsidRPr="00E76FAA" w:rsidRDefault="00826D50">
      <w:pPr>
        <w:pStyle w:val="FootnoteText"/>
        <w:rPr>
          <w:rFonts w:cs="Arial"/>
          <w:szCs w:val="16"/>
        </w:rPr>
      </w:pPr>
      <w:r w:rsidRPr="008E02BC">
        <w:rPr>
          <w:rStyle w:val="FootnoteReference"/>
          <w:rFonts w:cs="Arial"/>
          <w:szCs w:val="16"/>
        </w:rPr>
        <w:footnoteRef/>
      </w:r>
      <w:r w:rsidRPr="008E02BC">
        <w:rPr>
          <w:rFonts w:cs="Arial"/>
          <w:szCs w:val="16"/>
        </w:rPr>
        <w:t xml:space="preserve"> Ibid.</w:t>
      </w:r>
    </w:p>
  </w:footnote>
  <w:footnote w:id="118">
    <w:p w14:paraId="17E9EF13" w14:textId="77777777" w:rsidR="00826D50" w:rsidRDefault="00826D50">
      <w:pPr>
        <w:pStyle w:val="FootnoteText"/>
      </w:pPr>
      <w:r>
        <w:rPr>
          <w:rStyle w:val="FootnoteReference"/>
        </w:rPr>
        <w:footnoteRef/>
      </w:r>
      <w:r>
        <w:t xml:space="preserve"> Bambang Muryanto, 'Minister Defends Yogyakarta's Racist Policy on Land Ownership' (The Jakarta Post, 4 September 2015) &lt;</w:t>
      </w:r>
      <w:r w:rsidRPr="00535B6B">
        <w:t>http://www.thejakartapost.com/news/2015/09/04/minister-defends-yogyakarta-s-racist-policy-land-ownership.html</w:t>
      </w:r>
      <w:r>
        <w:t>&gt;.</w:t>
      </w:r>
    </w:p>
  </w:footnote>
  <w:footnote w:id="119">
    <w:p w14:paraId="04857543" w14:textId="77777777" w:rsidR="00826D50" w:rsidRPr="00E76FAA" w:rsidRDefault="00826D50">
      <w:pPr>
        <w:pStyle w:val="FootnoteText"/>
        <w:rPr>
          <w:rFonts w:cs="Arial"/>
          <w:szCs w:val="16"/>
        </w:rPr>
      </w:pPr>
      <w:r w:rsidRPr="00E76FAA">
        <w:rPr>
          <w:rStyle w:val="FootnoteReference"/>
          <w:rFonts w:cs="Arial"/>
          <w:szCs w:val="16"/>
        </w:rPr>
        <w:footnoteRef/>
      </w:r>
      <w:r w:rsidRPr="00E76FAA">
        <w:rPr>
          <w:rFonts w:cs="Arial"/>
          <w:szCs w:val="16"/>
        </w:rPr>
        <w:t xml:space="preserve"> See, eg, Vincent Bevins, 'Ethnic Chinese Still Grapple with Discrimination Despite Generations in Indonesia' (Washington Post, 18 March 2017) &lt;https://www.washingtonpost.com/world/asia_pacific/ethnic-chinese-still-grapple-with-discrimination-despite-generations-in-indonesia/2017/03/17/4abba780-0444-11e7-ad5b-d22680e18d10_story.html?utm_term=.b38991748abb&gt;; Coconuts Jakarta, 'Yogyakarta Government Denies Chinese-Indonesian Land Ownership because she is "Non-Native"' (15 April 2016) &lt;https://coconuts.co/jakarta/news/yogyakarta-government-denies-chinese-indonesian-land-ownership-because-she-non-native/&gt;.</w:t>
      </w:r>
    </w:p>
  </w:footnote>
  <w:footnote w:id="120">
    <w:p w14:paraId="0EF03826" w14:textId="77777777" w:rsidR="00826D50" w:rsidRPr="00E76FAA" w:rsidRDefault="00826D50">
      <w:pPr>
        <w:pStyle w:val="FootnoteText"/>
        <w:rPr>
          <w:rFonts w:cs="Arial"/>
          <w:szCs w:val="16"/>
        </w:rPr>
      </w:pPr>
      <w:r w:rsidRPr="00E76FAA">
        <w:rPr>
          <w:rStyle w:val="FootnoteReference"/>
          <w:rFonts w:cs="Arial"/>
          <w:szCs w:val="16"/>
        </w:rPr>
        <w:footnoteRef/>
      </w:r>
      <w:r w:rsidRPr="00E76FAA">
        <w:rPr>
          <w:rFonts w:cs="Arial"/>
          <w:szCs w:val="16"/>
        </w:rPr>
        <w:t xml:space="preserve"> Human Rights Watch, 'Indonesia: Persecution of Gafatar Religious Group' (29 March 2016) &lt;https://www.hrw.org/news/2016/03/29/indonesia-persecution-gafatar-religious-group&gt;; Amnesty International, 'Indonesia: Religious Minority Members Forcibly Evicted From West Kalimantan' (Public Statement, 28 January 2016) &lt;</w:t>
      </w:r>
      <w:r w:rsidRPr="00E76FAA">
        <w:rPr>
          <w:rFonts w:cs="Arial"/>
          <w:iCs/>
          <w:szCs w:val="16"/>
        </w:rPr>
        <w:t>https://www.amnesty.org/download/Documents/ASA2133512016ENGLISH.pdf</w:t>
      </w:r>
      <w:r w:rsidRPr="00E76FAA">
        <w:rPr>
          <w:rFonts w:cs="Arial"/>
          <w:szCs w:val="16"/>
        </w:rPr>
        <w:t>&gt;.</w:t>
      </w:r>
    </w:p>
  </w:footnote>
  <w:footnote w:id="121">
    <w:p w14:paraId="30A6D51C" w14:textId="77777777" w:rsidR="00826D50" w:rsidRDefault="00826D50">
      <w:pPr>
        <w:pStyle w:val="FootnoteText"/>
      </w:pPr>
      <w:r w:rsidRPr="00E76FAA">
        <w:rPr>
          <w:rStyle w:val="FootnoteReference"/>
          <w:rFonts w:cs="Arial"/>
          <w:szCs w:val="16"/>
        </w:rPr>
        <w:footnoteRef/>
      </w:r>
      <w:r w:rsidRPr="00E76FAA">
        <w:rPr>
          <w:rFonts w:cs="Arial"/>
          <w:szCs w:val="16"/>
        </w:rPr>
        <w:t xml:space="preserve"> Ibid.</w:t>
      </w:r>
    </w:p>
  </w:footnote>
  <w:footnote w:id="122">
    <w:p w14:paraId="0B4A5BB5" w14:textId="77777777" w:rsidR="00826D50" w:rsidRDefault="00826D50">
      <w:pPr>
        <w:pStyle w:val="FootnoteText"/>
      </w:pPr>
      <w:r>
        <w:rPr>
          <w:rStyle w:val="FootnoteReference"/>
        </w:rPr>
        <w:footnoteRef/>
      </w:r>
      <w:r>
        <w:t xml:space="preserve"> Hery Listyawati, 'Regulation on Abandoned Land: A Comparative Study between Indonesian and Australian Laws' (2004, Australian National University); </w:t>
      </w:r>
      <w:r w:rsidRPr="000D2AE6">
        <w:rPr>
          <w:i/>
        </w:rPr>
        <w:t>Elucidation of Government Regulation of Republic of Indonesia No. 24 of 1997 re Land Registration</w:t>
      </w:r>
      <w:r>
        <w:t>, art 32.</w:t>
      </w:r>
    </w:p>
  </w:footnote>
  <w:footnote w:id="123">
    <w:p w14:paraId="3EACDBA3" w14:textId="34DB72AB" w:rsidR="00826D50" w:rsidRDefault="00826D50">
      <w:pPr>
        <w:pStyle w:val="FootnoteText"/>
      </w:pPr>
      <w:r>
        <w:rPr>
          <w:rStyle w:val="FootnoteReference"/>
        </w:rPr>
        <w:footnoteRef/>
      </w:r>
      <w:r>
        <w:t xml:space="preserve"> Hery Listyawati, above n122.</w:t>
      </w:r>
    </w:p>
  </w:footnote>
  <w:footnote w:id="124">
    <w:p w14:paraId="0872CE7D" w14:textId="77777777" w:rsidR="00826D50" w:rsidRDefault="00826D50">
      <w:pPr>
        <w:pStyle w:val="FootnoteText"/>
      </w:pPr>
      <w:r>
        <w:rPr>
          <w:rStyle w:val="FootnoteReference"/>
        </w:rPr>
        <w:footnoteRef/>
      </w:r>
      <w:r>
        <w:t xml:space="preserve"> Ibid.</w:t>
      </w:r>
    </w:p>
  </w:footnote>
  <w:footnote w:id="125">
    <w:p w14:paraId="376855D2" w14:textId="77777777" w:rsidR="00826D50" w:rsidRDefault="00826D50">
      <w:pPr>
        <w:pStyle w:val="FootnoteText"/>
      </w:pPr>
      <w:r>
        <w:rPr>
          <w:rStyle w:val="FootnoteReference"/>
        </w:rPr>
        <w:footnoteRef/>
      </w:r>
      <w:r>
        <w:t xml:space="preserve"> Internal Displacement Monitoring Centre, 'Indonesia IDP Figure Analysis' (July 2015) &lt;</w:t>
      </w:r>
      <w:r w:rsidRPr="00F123DF">
        <w:t>http://www.internal-displacement.org/south-and-south-east-asia/indonesia/figures-analysis</w:t>
      </w:r>
      <w:r>
        <w:t>&gt;.</w:t>
      </w:r>
    </w:p>
  </w:footnote>
  <w:footnote w:id="126">
    <w:p w14:paraId="38B12CE9" w14:textId="77777777" w:rsidR="00826D50" w:rsidRDefault="00826D50">
      <w:pPr>
        <w:pStyle w:val="FootnoteText"/>
      </w:pPr>
      <w:r>
        <w:rPr>
          <w:rStyle w:val="FootnoteReference"/>
        </w:rPr>
        <w:footnoteRef/>
      </w:r>
      <w:r>
        <w:t xml:space="preserve"> Ibid.</w:t>
      </w:r>
    </w:p>
  </w:footnote>
  <w:footnote w:id="127">
    <w:p w14:paraId="0014B566" w14:textId="2BF009E1" w:rsidR="00826D50" w:rsidRDefault="00826D50">
      <w:pPr>
        <w:pStyle w:val="FootnoteText"/>
      </w:pPr>
      <w:r>
        <w:rPr>
          <w:rStyle w:val="FootnoteReference"/>
        </w:rPr>
        <w:footnoteRef/>
      </w:r>
      <w:r>
        <w:t xml:space="preserve"> </w:t>
      </w:r>
      <w:r w:rsidRPr="00B243A7">
        <w:t>Raquel Rolnik</w:t>
      </w:r>
      <w:r>
        <w:t>, above n64,</w:t>
      </w:r>
      <w:r>
        <w:rPr>
          <w:lang w:val="en-GB"/>
        </w:rPr>
        <w:t xml:space="preserve"> 19.</w:t>
      </w:r>
    </w:p>
  </w:footnote>
  <w:footnote w:id="128">
    <w:p w14:paraId="357FB9DC" w14:textId="77777777" w:rsidR="00826D50" w:rsidRDefault="00826D50">
      <w:pPr>
        <w:pStyle w:val="FootnoteText"/>
      </w:pPr>
      <w:r>
        <w:rPr>
          <w:rStyle w:val="FootnoteReference"/>
        </w:rPr>
        <w:footnoteRef/>
      </w:r>
      <w:r>
        <w:t xml:space="preserve"> Ibid</w:t>
      </w:r>
      <w:r>
        <w:rPr>
          <w:lang w:val="en-GB"/>
        </w:rPr>
        <w:t xml:space="preserve"> 15-17.</w:t>
      </w:r>
    </w:p>
  </w:footnote>
  <w:footnote w:id="129">
    <w:p w14:paraId="000A026C" w14:textId="6BF0E526" w:rsidR="00826D50" w:rsidRDefault="00826D50">
      <w:pPr>
        <w:pStyle w:val="FootnoteText"/>
      </w:pPr>
      <w:r>
        <w:rPr>
          <w:rStyle w:val="FootnoteReference"/>
        </w:rPr>
        <w:footnoteRef/>
      </w:r>
      <w:r>
        <w:t xml:space="preserve"> Helga Leitner and Eric Sheppard, above n93, 9 citing</w:t>
      </w:r>
      <w:r w:rsidRPr="0081700B">
        <w:rPr>
          <w:i/>
        </w:rPr>
        <w:t xml:space="preserve"> Perda 8/2007</w:t>
      </w:r>
      <w:r>
        <w:t>.</w:t>
      </w:r>
    </w:p>
  </w:footnote>
  <w:footnote w:id="130">
    <w:p w14:paraId="1B0B8DA7" w14:textId="77777777" w:rsidR="00826D50" w:rsidRDefault="00826D50">
      <w:pPr>
        <w:pStyle w:val="FootnoteText"/>
      </w:pPr>
      <w:r>
        <w:rPr>
          <w:rStyle w:val="FootnoteReference"/>
        </w:rPr>
        <w:footnoteRef/>
      </w:r>
      <w:r>
        <w:t xml:space="preserve"> Ibid 12-13.</w:t>
      </w:r>
    </w:p>
  </w:footnote>
  <w:footnote w:id="131">
    <w:p w14:paraId="2545FDC9" w14:textId="142E3E5C" w:rsidR="00826D50" w:rsidRPr="00D53F15" w:rsidRDefault="00826D50" w:rsidP="00DB2E73">
      <w:pPr>
        <w:pStyle w:val="FootnoteText"/>
        <w:rPr>
          <w:lang w:val="en-GB"/>
        </w:rPr>
      </w:pPr>
      <w:r w:rsidRPr="00D53F15">
        <w:rPr>
          <w:rStyle w:val="FootnoteReference"/>
          <w:lang w:val="en-GB"/>
        </w:rPr>
        <w:footnoteRef/>
      </w:r>
      <w:r>
        <w:rPr>
          <w:lang w:val="en-GB"/>
        </w:rPr>
        <w:t xml:space="preserve"> Jakarta Legal Aid Institute, '</w:t>
      </w:r>
      <w:r w:rsidRPr="008F4D98">
        <w:rPr>
          <w:i/>
        </w:rPr>
        <w:t xml:space="preserve">Atas Nama Pembangunan: Laporan </w:t>
      </w:r>
      <w:r>
        <w:rPr>
          <w:i/>
        </w:rPr>
        <w:t>Penggusuran Paksa Di Wilayah DKI</w:t>
      </w:r>
      <w:r w:rsidRPr="008F4D98">
        <w:rPr>
          <w:i/>
        </w:rPr>
        <w:t xml:space="preserve"> Jakarta Tahun 2015</w:t>
      </w:r>
      <w:r>
        <w:t xml:space="preserve">' </w:t>
      </w:r>
      <w:r>
        <w:rPr>
          <w:lang w:val="en-GB"/>
        </w:rPr>
        <w:t>(In the Name of Development: Report on Forced Evictions in the DKI Jakarta Region in 2015) (22 February 2016) &lt;</w:t>
      </w:r>
      <w:hyperlink r:id="rId6" w:history="1">
        <w:r w:rsidRPr="00D53F15">
          <w:rPr>
            <w:rStyle w:val="Hyperlink"/>
            <w:color w:val="auto"/>
            <w:lang w:val="en-GB"/>
          </w:rPr>
          <w:t>http://www.bantuanhukum.or.id/web/wp-content/uploads/2016/02/Laporan-Penggusuran-2015_LBHJ_web.pdf</w:t>
        </w:r>
      </w:hyperlink>
      <w:r>
        <w:rPr>
          <w:rStyle w:val="Hyperlink"/>
          <w:color w:val="auto"/>
          <w:lang w:val="en-GB"/>
        </w:rPr>
        <w:t>&gt;.</w:t>
      </w:r>
    </w:p>
  </w:footnote>
  <w:footnote w:id="132">
    <w:p w14:paraId="0925DF64" w14:textId="5918A97E" w:rsidR="00826D50" w:rsidRPr="00E36969" w:rsidRDefault="00826D50" w:rsidP="00176D2E">
      <w:pPr>
        <w:pStyle w:val="FootnoteText"/>
        <w:rPr>
          <w:lang w:val="en-GB"/>
        </w:rPr>
      </w:pPr>
      <w:r w:rsidRPr="00E36969">
        <w:rPr>
          <w:rStyle w:val="FootnoteReference"/>
          <w:lang w:val="en-GB"/>
        </w:rPr>
        <w:footnoteRef/>
      </w:r>
      <w:r>
        <w:rPr>
          <w:lang w:val="en-GB"/>
        </w:rPr>
        <w:t xml:space="preserve"> </w:t>
      </w:r>
      <w:r w:rsidRPr="001B1CE3">
        <w:rPr>
          <w:i/>
        </w:rPr>
        <w:t>Law No. 2 of 2012 on Land Acquisition for the Public Interest</w:t>
      </w:r>
      <w:r>
        <w:rPr>
          <w:i/>
        </w:rPr>
        <w:t xml:space="preserve"> </w:t>
      </w:r>
      <w:r>
        <w:t>art 10 (</w:t>
      </w:r>
      <w:r w:rsidRPr="00DB4E13">
        <w:rPr>
          <w:b/>
          <w:i/>
        </w:rPr>
        <w:t>LAPI</w:t>
      </w:r>
      <w:r>
        <w:t>).</w:t>
      </w:r>
    </w:p>
  </w:footnote>
  <w:footnote w:id="133">
    <w:p w14:paraId="0CF7AADD" w14:textId="2FCBE49C" w:rsidR="00826D50" w:rsidRDefault="00826D50" w:rsidP="00176D2E">
      <w:pPr>
        <w:pStyle w:val="FootnoteText"/>
      </w:pPr>
      <w:r>
        <w:rPr>
          <w:rStyle w:val="FootnoteReference"/>
        </w:rPr>
        <w:footnoteRef/>
      </w:r>
      <w:r>
        <w:t xml:space="preserve"> Ibid art 5(1)</w:t>
      </w:r>
      <w:r>
        <w:rPr>
          <w:lang w:val="en-GB"/>
        </w:rPr>
        <w:t>.</w:t>
      </w:r>
    </w:p>
  </w:footnote>
  <w:footnote w:id="134">
    <w:p w14:paraId="1462A838" w14:textId="46E761CC" w:rsidR="00826D50" w:rsidRDefault="00826D50" w:rsidP="00176D2E">
      <w:pPr>
        <w:pStyle w:val="FootnoteText"/>
      </w:pPr>
      <w:r>
        <w:rPr>
          <w:rStyle w:val="FootnoteReference"/>
        </w:rPr>
        <w:footnoteRef/>
      </w:r>
      <w:r>
        <w:t xml:space="preserve"> Ibid arts 19 and 20.</w:t>
      </w:r>
    </w:p>
  </w:footnote>
  <w:footnote w:id="135">
    <w:p w14:paraId="27DC2E35" w14:textId="29C86213" w:rsidR="00826D50" w:rsidRDefault="00826D50" w:rsidP="00176D2E">
      <w:pPr>
        <w:pStyle w:val="FootnoteText"/>
      </w:pPr>
      <w:r>
        <w:rPr>
          <w:rStyle w:val="FootnoteReference"/>
        </w:rPr>
        <w:footnoteRef/>
      </w:r>
      <w:r>
        <w:t xml:space="preserve"> Ibid arts 20, 21 and 22.</w:t>
      </w:r>
    </w:p>
  </w:footnote>
  <w:footnote w:id="136">
    <w:p w14:paraId="44E57421" w14:textId="2E8EF19D" w:rsidR="00826D50" w:rsidRDefault="00826D50" w:rsidP="00176D2E">
      <w:pPr>
        <w:pStyle w:val="FootnoteText"/>
      </w:pPr>
      <w:r>
        <w:rPr>
          <w:rStyle w:val="FootnoteReference"/>
        </w:rPr>
        <w:footnoteRef/>
      </w:r>
      <w:r>
        <w:t xml:space="preserve"> Ibid art 22.</w:t>
      </w:r>
    </w:p>
  </w:footnote>
  <w:footnote w:id="137">
    <w:p w14:paraId="31A4FDC4" w14:textId="3DBF90BB" w:rsidR="00826D50" w:rsidRDefault="00826D50" w:rsidP="00176D2E">
      <w:pPr>
        <w:pStyle w:val="FootnoteText"/>
      </w:pPr>
      <w:r>
        <w:rPr>
          <w:rStyle w:val="FootnoteReference"/>
        </w:rPr>
        <w:footnoteRef/>
      </w:r>
      <w:r>
        <w:t xml:space="preserve"> Ibid.</w:t>
      </w:r>
    </w:p>
  </w:footnote>
  <w:footnote w:id="138">
    <w:p w14:paraId="21A811A3" w14:textId="58705845" w:rsidR="00826D50" w:rsidRDefault="00826D50" w:rsidP="00176D2E">
      <w:pPr>
        <w:pStyle w:val="FootnoteText"/>
      </w:pPr>
      <w:r>
        <w:rPr>
          <w:rStyle w:val="FootnoteReference"/>
        </w:rPr>
        <w:footnoteRef/>
      </w:r>
      <w:r>
        <w:t xml:space="preserve"> Ibid art 27.</w:t>
      </w:r>
    </w:p>
  </w:footnote>
  <w:footnote w:id="139">
    <w:p w14:paraId="47B94DFD" w14:textId="7F6D3337" w:rsidR="00826D50" w:rsidRDefault="00826D50" w:rsidP="00176D2E">
      <w:pPr>
        <w:pStyle w:val="FootnoteText"/>
      </w:pPr>
      <w:r>
        <w:rPr>
          <w:rStyle w:val="FootnoteReference"/>
        </w:rPr>
        <w:footnoteRef/>
      </w:r>
      <w:r>
        <w:t xml:space="preserve"> Ibid arts 37 and 38.</w:t>
      </w:r>
    </w:p>
  </w:footnote>
  <w:footnote w:id="140">
    <w:p w14:paraId="2AF1D075" w14:textId="5E4A50B6" w:rsidR="00826D50" w:rsidRDefault="00826D50" w:rsidP="00176D2E">
      <w:pPr>
        <w:pStyle w:val="FootnoteText"/>
      </w:pPr>
      <w:r>
        <w:rPr>
          <w:rStyle w:val="FootnoteReference"/>
        </w:rPr>
        <w:footnoteRef/>
      </w:r>
      <w:r>
        <w:t xml:space="preserve"> Ibid art 41.</w:t>
      </w:r>
    </w:p>
  </w:footnote>
  <w:footnote w:id="141">
    <w:p w14:paraId="19D6E169" w14:textId="42318D17" w:rsidR="00826D50" w:rsidRDefault="00826D50" w:rsidP="00DB2E73">
      <w:pPr>
        <w:pStyle w:val="FootnoteText"/>
      </w:pPr>
      <w:r>
        <w:rPr>
          <w:rStyle w:val="FootnoteReference"/>
        </w:rPr>
        <w:footnoteRef/>
      </w:r>
      <w:r>
        <w:t xml:space="preserve"> Ibid.</w:t>
      </w:r>
    </w:p>
  </w:footnote>
  <w:footnote w:id="142">
    <w:p w14:paraId="639248DE" w14:textId="53D9DEAD" w:rsidR="00826D50" w:rsidRDefault="00826D50">
      <w:pPr>
        <w:pStyle w:val="FootnoteText"/>
      </w:pPr>
      <w:r>
        <w:rPr>
          <w:rStyle w:val="FootnoteReference"/>
        </w:rPr>
        <w:footnoteRef/>
      </w:r>
      <w:r>
        <w:t xml:space="preserve"> </w:t>
      </w:r>
      <w:r w:rsidRPr="009C790D">
        <w:rPr>
          <w:i/>
        </w:rPr>
        <w:t>Law No. 24 of 2007 concerning Disaster Management</w:t>
      </w:r>
      <w:r>
        <w:t xml:space="preserve"> art </w:t>
      </w:r>
      <w:r w:rsidRPr="00E36969">
        <w:rPr>
          <w:lang w:val="en-GB"/>
        </w:rPr>
        <w:t xml:space="preserve">32 </w:t>
      </w:r>
      <w:r>
        <w:t xml:space="preserve">(the </w:t>
      </w:r>
      <w:r w:rsidRPr="00CE5BA3">
        <w:rPr>
          <w:b/>
          <w:i/>
        </w:rPr>
        <w:t>Disaster Management Law</w:t>
      </w:r>
      <w:r>
        <w:t>)</w:t>
      </w:r>
      <w:r w:rsidRPr="00E36969">
        <w:rPr>
          <w:lang w:val="en-GB"/>
        </w:rPr>
        <w:t>.</w:t>
      </w:r>
    </w:p>
  </w:footnote>
  <w:footnote w:id="143">
    <w:p w14:paraId="7E0250AD" w14:textId="05EE421D" w:rsidR="00826D50" w:rsidRDefault="00826D50">
      <w:pPr>
        <w:pStyle w:val="FootnoteText"/>
      </w:pPr>
      <w:r>
        <w:rPr>
          <w:rStyle w:val="FootnoteReference"/>
        </w:rPr>
        <w:footnoteRef/>
      </w:r>
      <w:r>
        <w:t xml:space="preserve"> Ibid art 1.</w:t>
      </w:r>
    </w:p>
  </w:footnote>
  <w:footnote w:id="144">
    <w:p w14:paraId="39DDE97F" w14:textId="77ABD0B8" w:rsidR="00826D50" w:rsidRDefault="00826D50">
      <w:pPr>
        <w:pStyle w:val="FootnoteText"/>
      </w:pPr>
      <w:r>
        <w:rPr>
          <w:rStyle w:val="FootnoteReference"/>
        </w:rPr>
        <w:footnoteRef/>
      </w:r>
      <w:r>
        <w:t xml:space="preserve"> </w:t>
      </w:r>
      <w:r w:rsidRPr="008F4D98">
        <w:rPr>
          <w:i/>
        </w:rPr>
        <w:t>LAPI</w:t>
      </w:r>
      <w:r>
        <w:t xml:space="preserve"> art 32(1)(b).</w:t>
      </w:r>
    </w:p>
  </w:footnote>
  <w:footnote w:id="145">
    <w:p w14:paraId="11536F27" w14:textId="04391398" w:rsidR="00826D50" w:rsidRDefault="00826D50">
      <w:pPr>
        <w:pStyle w:val="FootnoteText"/>
      </w:pPr>
      <w:r>
        <w:rPr>
          <w:rStyle w:val="FootnoteReference"/>
        </w:rPr>
        <w:footnoteRef/>
      </w:r>
      <w:r>
        <w:t xml:space="preserve"> </w:t>
      </w:r>
      <w:r w:rsidRPr="008F4D98">
        <w:rPr>
          <w:i/>
        </w:rPr>
        <w:t>LAPI</w:t>
      </w:r>
      <w:r>
        <w:t xml:space="preserve"> art 9</w:t>
      </w:r>
      <w:r>
        <w:rPr>
          <w:bCs/>
          <w:iCs/>
          <w:lang w:val="en-GB"/>
        </w:rPr>
        <w:t>.</w:t>
      </w:r>
    </w:p>
  </w:footnote>
  <w:footnote w:id="146">
    <w:p w14:paraId="48DBDF9E" w14:textId="7BBE2EB5" w:rsidR="00826D50" w:rsidRPr="00296367" w:rsidRDefault="00826D50">
      <w:pPr>
        <w:pStyle w:val="FootnoteText"/>
        <w:rPr>
          <w:bCs/>
          <w:iCs/>
          <w:lang w:val="en-GB"/>
        </w:rPr>
      </w:pPr>
      <w:r>
        <w:rPr>
          <w:rStyle w:val="FootnoteReference"/>
        </w:rPr>
        <w:footnoteRef/>
      </w:r>
      <w:r>
        <w:t xml:space="preserve"> </w:t>
      </w:r>
      <w:r w:rsidRPr="008F4D98">
        <w:rPr>
          <w:i/>
        </w:rPr>
        <w:t xml:space="preserve">LAPI </w:t>
      </w:r>
      <w:r>
        <w:t>art 36.</w:t>
      </w:r>
    </w:p>
  </w:footnote>
  <w:footnote w:id="147">
    <w:p w14:paraId="361E8FEF" w14:textId="1532D745" w:rsidR="00826D50" w:rsidRDefault="00826D50">
      <w:pPr>
        <w:pStyle w:val="FootnoteText"/>
      </w:pPr>
      <w:r>
        <w:rPr>
          <w:rStyle w:val="FootnoteReference"/>
        </w:rPr>
        <w:footnoteRef/>
      </w:r>
      <w:r>
        <w:t xml:space="preserve"> Helga Leitner and Eric Sheppard, above n93, 9 citing</w:t>
      </w:r>
      <w:r w:rsidRPr="0081700B">
        <w:rPr>
          <w:i/>
        </w:rPr>
        <w:t xml:space="preserve"> Perda 8/2007</w:t>
      </w:r>
      <w:r>
        <w:t>.</w:t>
      </w:r>
    </w:p>
  </w:footnote>
  <w:footnote w:id="148">
    <w:p w14:paraId="4D848E01" w14:textId="77777777" w:rsidR="00826D50" w:rsidRDefault="00826D50" w:rsidP="007A2610">
      <w:pPr>
        <w:pStyle w:val="FootnoteText"/>
      </w:pPr>
      <w:r>
        <w:rPr>
          <w:rStyle w:val="FootnoteReference"/>
        </w:rPr>
        <w:footnoteRef/>
      </w:r>
      <w:r>
        <w:t xml:space="preserve"> Ibid.</w:t>
      </w:r>
    </w:p>
  </w:footnote>
  <w:footnote w:id="149">
    <w:p w14:paraId="71488F75" w14:textId="77777777" w:rsidR="00826D50" w:rsidRDefault="00826D50">
      <w:pPr>
        <w:pStyle w:val="FootnoteText"/>
      </w:pPr>
      <w:r>
        <w:rPr>
          <w:rStyle w:val="FootnoteReference"/>
        </w:rPr>
        <w:footnoteRef/>
      </w:r>
      <w:r>
        <w:t xml:space="preserve"> Global Shelter Cluster, 'Indonesia' &lt;</w:t>
      </w:r>
      <w:r w:rsidRPr="0010732B">
        <w:t>https://www.sheltercluster.org/asiapacific/indonesia</w:t>
      </w:r>
      <w: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46635" w14:textId="4DA1CAC5" w:rsidR="00826D50" w:rsidRPr="00EB68A3" w:rsidRDefault="00826D50" w:rsidP="00EB68A3">
    <w:pPr>
      <w:pStyle w:val="Header"/>
    </w:pPr>
    <w:r w:rsidRPr="00EB68A3">
      <w:rPr>
        <w:noProof/>
        <w:lang w:val="es-EC" w:eastAsia="es-EC"/>
      </w:rPr>
      <w:drawing>
        <wp:anchor distT="0" distB="0" distL="114300" distR="114300" simplePos="0" relativeHeight="251665408" behindDoc="0" locked="0" layoutInCell="1" allowOverlap="1" wp14:anchorId="1198C64D" wp14:editId="1EC88108">
          <wp:simplePos x="0" y="0"/>
          <wp:positionH relativeFrom="column">
            <wp:posOffset>-505460</wp:posOffset>
          </wp:positionH>
          <wp:positionV relativeFrom="paragraph">
            <wp:posOffset>-17145</wp:posOffset>
          </wp:positionV>
          <wp:extent cx="4067810" cy="509905"/>
          <wp:effectExtent l="0" t="0" r="889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009" t="26174" r="5188" b="31543"/>
                  <a:stretch/>
                </pic:blipFill>
                <pic:spPr bwMode="auto">
                  <a:xfrm>
                    <a:off x="0" y="0"/>
                    <a:ext cx="4067810" cy="509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68A3">
      <w:rPr>
        <w:noProof/>
        <w:lang w:val="es-EC" w:eastAsia="es-EC"/>
      </w:rPr>
      <w:drawing>
        <wp:anchor distT="0" distB="0" distL="114300" distR="114300" simplePos="0" relativeHeight="251664384" behindDoc="0" locked="0" layoutInCell="1" allowOverlap="1" wp14:anchorId="27D021A5" wp14:editId="26A18DC5">
          <wp:simplePos x="0" y="0"/>
          <wp:positionH relativeFrom="column">
            <wp:posOffset>4012565</wp:posOffset>
          </wp:positionH>
          <wp:positionV relativeFrom="paragraph">
            <wp:posOffset>-216230</wp:posOffset>
          </wp:positionV>
          <wp:extent cx="2562225" cy="73279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9766"/>
                  <a:stretch/>
                </pic:blipFill>
                <pic:spPr bwMode="auto">
                  <a:xfrm>
                    <a:off x="0" y="0"/>
                    <a:ext cx="2562225"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8985E" w14:textId="2EE36813" w:rsidR="00826D50" w:rsidRDefault="00826D50">
    <w:pPr>
      <w:pStyle w:val="Header"/>
    </w:pPr>
    <w:r w:rsidRPr="00EB68A3">
      <w:rPr>
        <w:noProof/>
        <w:lang w:val="es-EC" w:eastAsia="es-EC"/>
      </w:rPr>
      <w:drawing>
        <wp:anchor distT="0" distB="0" distL="114300" distR="114300" simplePos="0" relativeHeight="251661312" behindDoc="0" locked="0" layoutInCell="1" allowOverlap="1" wp14:anchorId="4E8010FB" wp14:editId="704C5F06">
          <wp:simplePos x="0" y="0"/>
          <wp:positionH relativeFrom="column">
            <wp:posOffset>3990340</wp:posOffset>
          </wp:positionH>
          <wp:positionV relativeFrom="paragraph">
            <wp:posOffset>-172085</wp:posOffset>
          </wp:positionV>
          <wp:extent cx="2561590" cy="73215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9766"/>
                  <a:stretch/>
                </pic:blipFill>
                <pic:spPr bwMode="auto">
                  <a:xfrm>
                    <a:off x="0" y="0"/>
                    <a:ext cx="2561590" cy="732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68A3">
      <w:rPr>
        <w:noProof/>
        <w:lang w:val="es-EC" w:eastAsia="es-EC"/>
      </w:rPr>
      <w:drawing>
        <wp:anchor distT="0" distB="0" distL="114300" distR="114300" simplePos="0" relativeHeight="251662336" behindDoc="0" locked="0" layoutInCell="1" allowOverlap="1" wp14:anchorId="1AB3E879" wp14:editId="355A9D2C">
          <wp:simplePos x="0" y="0"/>
          <wp:positionH relativeFrom="column">
            <wp:posOffset>-527050</wp:posOffset>
          </wp:positionH>
          <wp:positionV relativeFrom="paragraph">
            <wp:posOffset>25705</wp:posOffset>
          </wp:positionV>
          <wp:extent cx="4067810" cy="509905"/>
          <wp:effectExtent l="0" t="0" r="889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009" t="26174" r="5188" b="31543"/>
                  <a:stretch/>
                </pic:blipFill>
                <pic:spPr bwMode="auto">
                  <a:xfrm>
                    <a:off x="0" y="0"/>
                    <a:ext cx="4067810" cy="509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7053"/>
      <w:gridCol w:w="2303"/>
    </w:tblGrid>
    <w:tr w:rsidR="00826D50" w:rsidRPr="004F2551" w14:paraId="15BBC098" w14:textId="77777777" w:rsidTr="00001962">
      <w:trPr>
        <w:trHeight w:hRule="exact" w:val="900"/>
      </w:trPr>
      <w:tc>
        <w:tcPr>
          <w:tcW w:w="6946" w:type="dxa"/>
          <w:vAlign w:val="bottom"/>
        </w:tcPr>
        <w:p w14:paraId="6341AD90" w14:textId="77777777" w:rsidR="00826D50" w:rsidRDefault="00826D50" w:rsidP="00001962">
          <w:pPr>
            <w:pStyle w:val="HeaderTitle"/>
            <w:spacing w:before="100" w:line="288" w:lineRule="auto"/>
            <w:rPr>
              <w:noProof w:val="0"/>
            </w:rPr>
          </w:pPr>
          <w:r>
            <w:rPr>
              <w:noProof w:val="0"/>
            </w:rPr>
            <w:fldChar w:fldCharType="begin"/>
          </w:r>
          <w:r>
            <w:rPr>
              <w:noProof w:val="0"/>
            </w:rPr>
            <w:instrText xml:space="preserve"> REF \* CHARFORMAT AgreementTitle \h  \* MERGEFORMAT </w:instrText>
          </w:r>
          <w:r>
            <w:rPr>
              <w:noProof w:val="0"/>
            </w:rPr>
          </w:r>
          <w:r>
            <w:rPr>
              <w:noProof w:val="0"/>
            </w:rPr>
            <w:fldChar w:fldCharType="end"/>
          </w:r>
        </w:p>
      </w:tc>
      <w:tc>
        <w:tcPr>
          <w:tcW w:w="2268" w:type="dxa"/>
          <w:vAlign w:val="bottom"/>
        </w:tcPr>
        <w:p w14:paraId="69AC656C" w14:textId="77777777" w:rsidR="00826D50" w:rsidRPr="004F2551" w:rsidRDefault="00826D50" w:rsidP="00001962">
          <w:pPr>
            <w:jc w:val="right"/>
          </w:pPr>
          <w:r>
            <w:rPr>
              <w:noProof/>
              <w:lang w:val="es-EC" w:eastAsia="es-EC"/>
            </w:rPr>
            <w:drawing>
              <wp:inline distT="0" distB="0" distL="0" distR="0" wp14:anchorId="0D31AA44" wp14:editId="455DA1E8">
                <wp:extent cx="1442085" cy="132080"/>
                <wp:effectExtent l="0" t="0" r="5715" b="127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085" cy="132080"/>
                        </a:xfrm>
                        <a:prstGeom prst="rect">
                          <a:avLst/>
                        </a:prstGeom>
                        <a:noFill/>
                        <a:ln>
                          <a:noFill/>
                        </a:ln>
                      </pic:spPr>
                    </pic:pic>
                  </a:graphicData>
                </a:graphic>
              </wp:inline>
            </w:drawing>
          </w:r>
        </w:p>
      </w:tc>
    </w:tr>
  </w:tbl>
  <w:p w14:paraId="5ED85152" w14:textId="77777777" w:rsidR="00826D50" w:rsidRPr="00806007" w:rsidRDefault="00826D50" w:rsidP="008060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3BF0"/>
    <w:multiLevelType w:val="hybridMultilevel"/>
    <w:tmpl w:val="5D087F58"/>
    <w:lvl w:ilvl="0" w:tplc="0C090001">
      <w:start w:val="1"/>
      <w:numFmt w:val="bullet"/>
      <w:lvlText w:val=""/>
      <w:lvlJc w:val="left"/>
      <w:pPr>
        <w:ind w:left="3904" w:hanging="360"/>
      </w:pPr>
      <w:rPr>
        <w:rFonts w:ascii="Symbol" w:hAnsi="Symbol" w:hint="default"/>
      </w:rPr>
    </w:lvl>
    <w:lvl w:ilvl="1" w:tplc="0C090003" w:tentative="1">
      <w:start w:val="1"/>
      <w:numFmt w:val="bullet"/>
      <w:lvlText w:val="o"/>
      <w:lvlJc w:val="left"/>
      <w:pPr>
        <w:ind w:left="4624" w:hanging="360"/>
      </w:pPr>
      <w:rPr>
        <w:rFonts w:ascii="Courier New" w:hAnsi="Courier New" w:cs="Courier New" w:hint="default"/>
      </w:rPr>
    </w:lvl>
    <w:lvl w:ilvl="2" w:tplc="0C090005" w:tentative="1">
      <w:start w:val="1"/>
      <w:numFmt w:val="bullet"/>
      <w:lvlText w:val=""/>
      <w:lvlJc w:val="left"/>
      <w:pPr>
        <w:ind w:left="5344" w:hanging="360"/>
      </w:pPr>
      <w:rPr>
        <w:rFonts w:ascii="Wingdings" w:hAnsi="Wingdings" w:hint="default"/>
      </w:rPr>
    </w:lvl>
    <w:lvl w:ilvl="3" w:tplc="0C090001" w:tentative="1">
      <w:start w:val="1"/>
      <w:numFmt w:val="bullet"/>
      <w:lvlText w:val=""/>
      <w:lvlJc w:val="left"/>
      <w:pPr>
        <w:ind w:left="6064" w:hanging="360"/>
      </w:pPr>
      <w:rPr>
        <w:rFonts w:ascii="Symbol" w:hAnsi="Symbol" w:hint="default"/>
      </w:rPr>
    </w:lvl>
    <w:lvl w:ilvl="4" w:tplc="0C090003" w:tentative="1">
      <w:start w:val="1"/>
      <w:numFmt w:val="bullet"/>
      <w:lvlText w:val="o"/>
      <w:lvlJc w:val="left"/>
      <w:pPr>
        <w:ind w:left="6784" w:hanging="360"/>
      </w:pPr>
      <w:rPr>
        <w:rFonts w:ascii="Courier New" w:hAnsi="Courier New" w:cs="Courier New" w:hint="default"/>
      </w:rPr>
    </w:lvl>
    <w:lvl w:ilvl="5" w:tplc="0C090005" w:tentative="1">
      <w:start w:val="1"/>
      <w:numFmt w:val="bullet"/>
      <w:lvlText w:val=""/>
      <w:lvlJc w:val="left"/>
      <w:pPr>
        <w:ind w:left="7504" w:hanging="360"/>
      </w:pPr>
      <w:rPr>
        <w:rFonts w:ascii="Wingdings" w:hAnsi="Wingdings" w:hint="default"/>
      </w:rPr>
    </w:lvl>
    <w:lvl w:ilvl="6" w:tplc="0C090001" w:tentative="1">
      <w:start w:val="1"/>
      <w:numFmt w:val="bullet"/>
      <w:lvlText w:val=""/>
      <w:lvlJc w:val="left"/>
      <w:pPr>
        <w:ind w:left="8224" w:hanging="360"/>
      </w:pPr>
      <w:rPr>
        <w:rFonts w:ascii="Symbol" w:hAnsi="Symbol" w:hint="default"/>
      </w:rPr>
    </w:lvl>
    <w:lvl w:ilvl="7" w:tplc="0C090003" w:tentative="1">
      <w:start w:val="1"/>
      <w:numFmt w:val="bullet"/>
      <w:lvlText w:val="o"/>
      <w:lvlJc w:val="left"/>
      <w:pPr>
        <w:ind w:left="8944" w:hanging="360"/>
      </w:pPr>
      <w:rPr>
        <w:rFonts w:ascii="Courier New" w:hAnsi="Courier New" w:cs="Courier New" w:hint="default"/>
      </w:rPr>
    </w:lvl>
    <w:lvl w:ilvl="8" w:tplc="0C090005" w:tentative="1">
      <w:start w:val="1"/>
      <w:numFmt w:val="bullet"/>
      <w:lvlText w:val=""/>
      <w:lvlJc w:val="left"/>
      <w:pPr>
        <w:ind w:left="9664" w:hanging="360"/>
      </w:pPr>
      <w:rPr>
        <w:rFonts w:ascii="Wingdings" w:hAnsi="Wingdings" w:hint="default"/>
      </w:rPr>
    </w:lvl>
  </w:abstractNum>
  <w:abstractNum w:abstractNumId="1">
    <w:nsid w:val="121329BB"/>
    <w:multiLevelType w:val="multilevel"/>
    <w:tmpl w:val="BC5A37E6"/>
    <w:lvl w:ilvl="0">
      <w:start w:val="1"/>
      <w:numFmt w:val="bullet"/>
      <w:pStyle w:val="Bullet1"/>
      <w:lvlText w:val="•"/>
      <w:lvlJc w:val="left"/>
      <w:pPr>
        <w:ind w:left="709" w:hanging="709"/>
      </w:pPr>
      <w:rPr>
        <w:rFonts w:ascii="Garamond" w:hAnsi="Garamond" w:hint="default"/>
        <w:color w:val="000000" w:themeColor="text1"/>
      </w:rPr>
    </w:lvl>
    <w:lvl w:ilvl="1">
      <w:start w:val="1"/>
      <w:numFmt w:val="bullet"/>
      <w:pStyle w:val="Bullet2"/>
      <w:lvlText w:val="•"/>
      <w:lvlJc w:val="left"/>
      <w:pPr>
        <w:ind w:left="1418" w:hanging="709"/>
      </w:pPr>
      <w:rPr>
        <w:rFonts w:ascii="Garamond" w:hAnsi="Garamond" w:hint="default"/>
        <w:color w:val="000000" w:themeColor="text1"/>
      </w:rPr>
    </w:lvl>
    <w:lvl w:ilvl="2">
      <w:start w:val="1"/>
      <w:numFmt w:val="bullet"/>
      <w:pStyle w:val="Bullet3"/>
      <w:lvlText w:val="•"/>
      <w:lvlJc w:val="left"/>
      <w:pPr>
        <w:ind w:left="2127" w:hanging="709"/>
      </w:pPr>
      <w:rPr>
        <w:rFonts w:ascii="Garamond" w:hAnsi="Garamond" w:hint="default"/>
        <w:color w:val="000000" w:themeColor="text1"/>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7"/>
      <w:lvlJc w:val="left"/>
      <w:pPr>
        <w:ind w:left="4963" w:hanging="709"/>
      </w:pPr>
      <w:rPr>
        <w:rFonts w:hint="default"/>
      </w:rPr>
    </w:lvl>
    <w:lvl w:ilvl="7">
      <w:start w:val="1"/>
      <w:numFmt w:val="none"/>
      <w:lvlText w:val="%8"/>
      <w:lvlJc w:val="left"/>
      <w:pPr>
        <w:ind w:left="5672" w:hanging="709"/>
      </w:pPr>
      <w:rPr>
        <w:rFonts w:hint="default"/>
      </w:rPr>
    </w:lvl>
    <w:lvl w:ilvl="8">
      <w:start w:val="1"/>
      <w:numFmt w:val="none"/>
      <w:lvlText w:val=""/>
      <w:lvlJc w:val="left"/>
      <w:pPr>
        <w:ind w:left="6381" w:hanging="709"/>
      </w:pPr>
      <w:rPr>
        <w:rFonts w:hint="default"/>
      </w:rPr>
    </w:lvl>
  </w:abstractNum>
  <w:abstractNum w:abstractNumId="2">
    <w:nsid w:val="23494D9F"/>
    <w:multiLevelType w:val="hybridMultilevel"/>
    <w:tmpl w:val="25E897F6"/>
    <w:lvl w:ilvl="0" w:tplc="0C090001">
      <w:start w:val="1"/>
      <w:numFmt w:val="bullet"/>
      <w:lvlText w:val=""/>
      <w:lvlJc w:val="left"/>
      <w:pPr>
        <w:ind w:left="3196" w:hanging="360"/>
      </w:pPr>
      <w:rPr>
        <w:rFonts w:ascii="Symbol" w:hAnsi="Symbol" w:hint="default"/>
      </w:rPr>
    </w:lvl>
    <w:lvl w:ilvl="1" w:tplc="0C090003" w:tentative="1">
      <w:start w:val="1"/>
      <w:numFmt w:val="bullet"/>
      <w:lvlText w:val="o"/>
      <w:lvlJc w:val="left"/>
      <w:pPr>
        <w:ind w:left="3916" w:hanging="360"/>
      </w:pPr>
      <w:rPr>
        <w:rFonts w:ascii="Courier New" w:hAnsi="Courier New" w:cs="Courier New" w:hint="default"/>
      </w:rPr>
    </w:lvl>
    <w:lvl w:ilvl="2" w:tplc="0C090005" w:tentative="1">
      <w:start w:val="1"/>
      <w:numFmt w:val="bullet"/>
      <w:lvlText w:val=""/>
      <w:lvlJc w:val="left"/>
      <w:pPr>
        <w:ind w:left="4636" w:hanging="360"/>
      </w:pPr>
      <w:rPr>
        <w:rFonts w:ascii="Wingdings" w:hAnsi="Wingdings" w:hint="default"/>
      </w:rPr>
    </w:lvl>
    <w:lvl w:ilvl="3" w:tplc="0C090001" w:tentative="1">
      <w:start w:val="1"/>
      <w:numFmt w:val="bullet"/>
      <w:lvlText w:val=""/>
      <w:lvlJc w:val="left"/>
      <w:pPr>
        <w:ind w:left="5356" w:hanging="360"/>
      </w:pPr>
      <w:rPr>
        <w:rFonts w:ascii="Symbol" w:hAnsi="Symbol" w:hint="default"/>
      </w:rPr>
    </w:lvl>
    <w:lvl w:ilvl="4" w:tplc="0C090003" w:tentative="1">
      <w:start w:val="1"/>
      <w:numFmt w:val="bullet"/>
      <w:lvlText w:val="o"/>
      <w:lvlJc w:val="left"/>
      <w:pPr>
        <w:ind w:left="6076" w:hanging="360"/>
      </w:pPr>
      <w:rPr>
        <w:rFonts w:ascii="Courier New" w:hAnsi="Courier New" w:cs="Courier New" w:hint="default"/>
      </w:rPr>
    </w:lvl>
    <w:lvl w:ilvl="5" w:tplc="0C090005" w:tentative="1">
      <w:start w:val="1"/>
      <w:numFmt w:val="bullet"/>
      <w:lvlText w:val=""/>
      <w:lvlJc w:val="left"/>
      <w:pPr>
        <w:ind w:left="6796" w:hanging="360"/>
      </w:pPr>
      <w:rPr>
        <w:rFonts w:ascii="Wingdings" w:hAnsi="Wingdings" w:hint="default"/>
      </w:rPr>
    </w:lvl>
    <w:lvl w:ilvl="6" w:tplc="0C090001" w:tentative="1">
      <w:start w:val="1"/>
      <w:numFmt w:val="bullet"/>
      <w:lvlText w:val=""/>
      <w:lvlJc w:val="left"/>
      <w:pPr>
        <w:ind w:left="7516" w:hanging="360"/>
      </w:pPr>
      <w:rPr>
        <w:rFonts w:ascii="Symbol" w:hAnsi="Symbol" w:hint="default"/>
      </w:rPr>
    </w:lvl>
    <w:lvl w:ilvl="7" w:tplc="0C090003" w:tentative="1">
      <w:start w:val="1"/>
      <w:numFmt w:val="bullet"/>
      <w:lvlText w:val="o"/>
      <w:lvlJc w:val="left"/>
      <w:pPr>
        <w:ind w:left="8236" w:hanging="360"/>
      </w:pPr>
      <w:rPr>
        <w:rFonts w:ascii="Courier New" w:hAnsi="Courier New" w:cs="Courier New" w:hint="default"/>
      </w:rPr>
    </w:lvl>
    <w:lvl w:ilvl="8" w:tplc="0C090005" w:tentative="1">
      <w:start w:val="1"/>
      <w:numFmt w:val="bullet"/>
      <w:lvlText w:val=""/>
      <w:lvlJc w:val="left"/>
      <w:pPr>
        <w:ind w:left="8956" w:hanging="360"/>
      </w:pPr>
      <w:rPr>
        <w:rFonts w:ascii="Wingdings" w:hAnsi="Wingdings" w:hint="default"/>
      </w:rPr>
    </w:lvl>
  </w:abstractNum>
  <w:abstractNum w:abstractNumId="3">
    <w:nsid w:val="25A732CC"/>
    <w:multiLevelType w:val="multilevel"/>
    <w:tmpl w:val="50483CFA"/>
    <w:styleLink w:val="engage"/>
    <w:lvl w:ilvl="0">
      <w:start w:val="1"/>
      <w:numFmt w:val="decimal"/>
      <w:lvlText w:val="%1"/>
      <w:lvlJc w:val="left"/>
      <w:pPr>
        <w:tabs>
          <w:tab w:val="num" w:pos="567"/>
        </w:tabs>
        <w:ind w:left="567" w:hanging="567"/>
      </w:pPr>
      <w:rPr>
        <w:rFonts w:ascii="Arial" w:hAnsi="Arial" w:hint="default"/>
        <w:b/>
        <w:i w:val="0"/>
        <w:sz w:val="13"/>
      </w:rPr>
    </w:lvl>
    <w:lvl w:ilvl="1">
      <w:start w:val="1"/>
      <w:numFmt w:val="decimal"/>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34AF5D61"/>
    <w:multiLevelType w:val="hybridMultilevel"/>
    <w:tmpl w:val="13BA27D0"/>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5">
    <w:nsid w:val="3D5A7286"/>
    <w:multiLevelType w:val="multilevel"/>
    <w:tmpl w:val="CCF44110"/>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rPr>
    </w:lvl>
    <w:lvl w:ilvl="2">
      <w:start w:val="1"/>
      <w:numFmt w:val="lowerLetter"/>
      <w:pStyle w:val="AllensHeading3"/>
      <w:lvlText w:val="(%3)"/>
      <w:lvlJc w:val="left"/>
      <w:pPr>
        <w:tabs>
          <w:tab w:val="num" w:pos="1418"/>
        </w:tabs>
        <w:ind w:left="1418" w:hanging="709"/>
      </w:pPr>
      <w:rPr>
        <w:rFonts w:hint="default"/>
      </w:rPr>
    </w:lvl>
    <w:lvl w:ilvl="3">
      <w:start w:val="1"/>
      <w:numFmt w:val="lowerRoman"/>
      <w:pStyle w:val="AllensHeading4"/>
      <w:lvlText w:val="(%4)"/>
      <w:lvlJc w:val="left"/>
      <w:pPr>
        <w:tabs>
          <w:tab w:val="num" w:pos="2126"/>
        </w:tabs>
        <w:ind w:left="2126" w:hanging="708"/>
      </w:pPr>
      <w:rPr>
        <w:rFonts w:hint="default"/>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709"/>
      </w:pPr>
      <w:rPr>
        <w:rFonts w:hint="default"/>
      </w:rPr>
    </w:lvl>
    <w:lvl w:ilvl="8">
      <w:start w:val="1"/>
      <w:numFmt w:val="none"/>
      <w:lvlRestart w:val="0"/>
      <w:lvlText w:val=""/>
      <w:lvlJc w:val="left"/>
      <w:pPr>
        <w:ind w:left="0" w:firstLine="1418"/>
      </w:pPr>
      <w:rPr>
        <w:rFonts w:hint="default"/>
      </w:rPr>
    </w:lvl>
  </w:abstractNum>
  <w:abstractNum w:abstractNumId="6">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A131872"/>
    <w:multiLevelType w:val="hybridMultilevel"/>
    <w:tmpl w:val="E6000EEA"/>
    <w:lvl w:ilvl="0" w:tplc="0C090001">
      <w:start w:val="1"/>
      <w:numFmt w:val="bullet"/>
      <w:lvlText w:val=""/>
      <w:lvlJc w:val="left"/>
      <w:pPr>
        <w:ind w:left="3196" w:hanging="360"/>
      </w:pPr>
      <w:rPr>
        <w:rFonts w:ascii="Symbol" w:hAnsi="Symbol" w:hint="default"/>
      </w:rPr>
    </w:lvl>
    <w:lvl w:ilvl="1" w:tplc="0C090003" w:tentative="1">
      <w:start w:val="1"/>
      <w:numFmt w:val="bullet"/>
      <w:lvlText w:val="o"/>
      <w:lvlJc w:val="left"/>
      <w:pPr>
        <w:ind w:left="3916" w:hanging="360"/>
      </w:pPr>
      <w:rPr>
        <w:rFonts w:ascii="Courier New" w:hAnsi="Courier New" w:cs="Courier New" w:hint="default"/>
      </w:rPr>
    </w:lvl>
    <w:lvl w:ilvl="2" w:tplc="0C090005" w:tentative="1">
      <w:start w:val="1"/>
      <w:numFmt w:val="bullet"/>
      <w:lvlText w:val=""/>
      <w:lvlJc w:val="left"/>
      <w:pPr>
        <w:ind w:left="4636" w:hanging="360"/>
      </w:pPr>
      <w:rPr>
        <w:rFonts w:ascii="Wingdings" w:hAnsi="Wingdings" w:hint="default"/>
      </w:rPr>
    </w:lvl>
    <w:lvl w:ilvl="3" w:tplc="0C090001" w:tentative="1">
      <w:start w:val="1"/>
      <w:numFmt w:val="bullet"/>
      <w:lvlText w:val=""/>
      <w:lvlJc w:val="left"/>
      <w:pPr>
        <w:ind w:left="5356" w:hanging="360"/>
      </w:pPr>
      <w:rPr>
        <w:rFonts w:ascii="Symbol" w:hAnsi="Symbol" w:hint="default"/>
      </w:rPr>
    </w:lvl>
    <w:lvl w:ilvl="4" w:tplc="0C090003" w:tentative="1">
      <w:start w:val="1"/>
      <w:numFmt w:val="bullet"/>
      <w:lvlText w:val="o"/>
      <w:lvlJc w:val="left"/>
      <w:pPr>
        <w:ind w:left="6076" w:hanging="360"/>
      </w:pPr>
      <w:rPr>
        <w:rFonts w:ascii="Courier New" w:hAnsi="Courier New" w:cs="Courier New" w:hint="default"/>
      </w:rPr>
    </w:lvl>
    <w:lvl w:ilvl="5" w:tplc="0C090005" w:tentative="1">
      <w:start w:val="1"/>
      <w:numFmt w:val="bullet"/>
      <w:lvlText w:val=""/>
      <w:lvlJc w:val="left"/>
      <w:pPr>
        <w:ind w:left="6796" w:hanging="360"/>
      </w:pPr>
      <w:rPr>
        <w:rFonts w:ascii="Wingdings" w:hAnsi="Wingdings" w:hint="default"/>
      </w:rPr>
    </w:lvl>
    <w:lvl w:ilvl="6" w:tplc="0C090001" w:tentative="1">
      <w:start w:val="1"/>
      <w:numFmt w:val="bullet"/>
      <w:lvlText w:val=""/>
      <w:lvlJc w:val="left"/>
      <w:pPr>
        <w:ind w:left="7516" w:hanging="360"/>
      </w:pPr>
      <w:rPr>
        <w:rFonts w:ascii="Symbol" w:hAnsi="Symbol" w:hint="default"/>
      </w:rPr>
    </w:lvl>
    <w:lvl w:ilvl="7" w:tplc="0C090003" w:tentative="1">
      <w:start w:val="1"/>
      <w:numFmt w:val="bullet"/>
      <w:lvlText w:val="o"/>
      <w:lvlJc w:val="left"/>
      <w:pPr>
        <w:ind w:left="8236" w:hanging="360"/>
      </w:pPr>
      <w:rPr>
        <w:rFonts w:ascii="Courier New" w:hAnsi="Courier New" w:cs="Courier New" w:hint="default"/>
      </w:rPr>
    </w:lvl>
    <w:lvl w:ilvl="8" w:tplc="0C090005" w:tentative="1">
      <w:start w:val="1"/>
      <w:numFmt w:val="bullet"/>
      <w:lvlText w:val=""/>
      <w:lvlJc w:val="left"/>
      <w:pPr>
        <w:ind w:left="8956" w:hanging="360"/>
      </w:pPr>
      <w:rPr>
        <w:rFonts w:ascii="Wingdings" w:hAnsi="Wingdings" w:hint="default"/>
      </w:rPr>
    </w:lvl>
  </w:abstractNum>
  <w:abstractNum w:abstractNumId="8">
    <w:nsid w:val="7BE859CD"/>
    <w:multiLevelType w:val="multilevel"/>
    <w:tmpl w:val="5EA8E7C0"/>
    <w:lvl w:ilvl="0">
      <w:start w:val="1"/>
      <w:numFmt w:val="bullet"/>
      <w:pStyle w:val="bullet5"/>
      <w:lvlText w:val=""/>
      <w:lvlJc w:val="left"/>
      <w:pPr>
        <w:tabs>
          <w:tab w:val="num" w:pos="3515"/>
        </w:tabs>
        <w:ind w:left="3515" w:hanging="68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num w:numId="1">
    <w:abstractNumId w:val="6"/>
  </w:num>
  <w:num w:numId="2">
    <w:abstractNumId w:val="8"/>
  </w:num>
  <w:num w:numId="3">
    <w:abstractNumId w:val="3"/>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6">
    <w:abstractNumId w:val="1"/>
  </w:num>
  <w:num w:numId="7">
    <w:abstractNumId w:val="2"/>
  </w:num>
  <w:num w:numId="8">
    <w:abstractNumId w:val="7"/>
  </w:num>
  <w:num w:numId="9">
    <w:abstractNumId w:val="4"/>
  </w:num>
  <w:num w:numId="1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811"/>
    <w:rsid w:val="00000A7D"/>
    <w:rsid w:val="00001962"/>
    <w:rsid w:val="00003A07"/>
    <w:rsid w:val="00006062"/>
    <w:rsid w:val="00006351"/>
    <w:rsid w:val="000079AF"/>
    <w:rsid w:val="00013119"/>
    <w:rsid w:val="0001466E"/>
    <w:rsid w:val="00015D3B"/>
    <w:rsid w:val="000169CD"/>
    <w:rsid w:val="00016CBF"/>
    <w:rsid w:val="00016D1D"/>
    <w:rsid w:val="0001704C"/>
    <w:rsid w:val="00017CC9"/>
    <w:rsid w:val="00021E89"/>
    <w:rsid w:val="00022235"/>
    <w:rsid w:val="000235EF"/>
    <w:rsid w:val="000240DE"/>
    <w:rsid w:val="000248B3"/>
    <w:rsid w:val="00024E19"/>
    <w:rsid w:val="00024F57"/>
    <w:rsid w:val="00027006"/>
    <w:rsid w:val="00027B1E"/>
    <w:rsid w:val="00031740"/>
    <w:rsid w:val="0003378C"/>
    <w:rsid w:val="000340F1"/>
    <w:rsid w:val="000365F5"/>
    <w:rsid w:val="00040D0B"/>
    <w:rsid w:val="00040E9F"/>
    <w:rsid w:val="00041042"/>
    <w:rsid w:val="000413EE"/>
    <w:rsid w:val="000415AF"/>
    <w:rsid w:val="00042445"/>
    <w:rsid w:val="0004606D"/>
    <w:rsid w:val="00046891"/>
    <w:rsid w:val="000469DA"/>
    <w:rsid w:val="00046B5D"/>
    <w:rsid w:val="00050BD8"/>
    <w:rsid w:val="00050E42"/>
    <w:rsid w:val="00050E5C"/>
    <w:rsid w:val="00053619"/>
    <w:rsid w:val="00054088"/>
    <w:rsid w:val="00054C6A"/>
    <w:rsid w:val="000550B1"/>
    <w:rsid w:val="00060128"/>
    <w:rsid w:val="00061621"/>
    <w:rsid w:val="00061F3E"/>
    <w:rsid w:val="0006346C"/>
    <w:rsid w:val="00066F3F"/>
    <w:rsid w:val="00066FE3"/>
    <w:rsid w:val="000707F8"/>
    <w:rsid w:val="00070FC2"/>
    <w:rsid w:val="00071F54"/>
    <w:rsid w:val="00072449"/>
    <w:rsid w:val="00074212"/>
    <w:rsid w:val="000757FE"/>
    <w:rsid w:val="00076493"/>
    <w:rsid w:val="00076557"/>
    <w:rsid w:val="00076FB6"/>
    <w:rsid w:val="000776C5"/>
    <w:rsid w:val="00082B07"/>
    <w:rsid w:val="000868B2"/>
    <w:rsid w:val="00086AEB"/>
    <w:rsid w:val="00086E2C"/>
    <w:rsid w:val="00087DA3"/>
    <w:rsid w:val="00090B7E"/>
    <w:rsid w:val="000931B2"/>
    <w:rsid w:val="0009597B"/>
    <w:rsid w:val="00096CF3"/>
    <w:rsid w:val="00097071"/>
    <w:rsid w:val="00097C79"/>
    <w:rsid w:val="000A0446"/>
    <w:rsid w:val="000A07CF"/>
    <w:rsid w:val="000A1AB4"/>
    <w:rsid w:val="000A1E66"/>
    <w:rsid w:val="000A3745"/>
    <w:rsid w:val="000A3ABB"/>
    <w:rsid w:val="000A425D"/>
    <w:rsid w:val="000A432D"/>
    <w:rsid w:val="000B010E"/>
    <w:rsid w:val="000B0DF7"/>
    <w:rsid w:val="000B0F81"/>
    <w:rsid w:val="000B3896"/>
    <w:rsid w:val="000B3AEF"/>
    <w:rsid w:val="000B3CB6"/>
    <w:rsid w:val="000B5AF0"/>
    <w:rsid w:val="000B7143"/>
    <w:rsid w:val="000C0DCB"/>
    <w:rsid w:val="000C1540"/>
    <w:rsid w:val="000C17D7"/>
    <w:rsid w:val="000C1A4E"/>
    <w:rsid w:val="000C5201"/>
    <w:rsid w:val="000C55A0"/>
    <w:rsid w:val="000C5C8C"/>
    <w:rsid w:val="000C65CD"/>
    <w:rsid w:val="000C73AC"/>
    <w:rsid w:val="000C75B6"/>
    <w:rsid w:val="000C7C35"/>
    <w:rsid w:val="000C7D5B"/>
    <w:rsid w:val="000D00CE"/>
    <w:rsid w:val="000D1C1A"/>
    <w:rsid w:val="000D2647"/>
    <w:rsid w:val="000D26E3"/>
    <w:rsid w:val="000D2AE6"/>
    <w:rsid w:val="000D5311"/>
    <w:rsid w:val="000D5CE6"/>
    <w:rsid w:val="000D6AF3"/>
    <w:rsid w:val="000D75DD"/>
    <w:rsid w:val="000D7899"/>
    <w:rsid w:val="000E560A"/>
    <w:rsid w:val="000E6686"/>
    <w:rsid w:val="000E6C28"/>
    <w:rsid w:val="000E6F20"/>
    <w:rsid w:val="000E6FB9"/>
    <w:rsid w:val="000E7E26"/>
    <w:rsid w:val="000F1B66"/>
    <w:rsid w:val="000F2F61"/>
    <w:rsid w:val="000F47B0"/>
    <w:rsid w:val="000F6491"/>
    <w:rsid w:val="000F7D98"/>
    <w:rsid w:val="00100076"/>
    <w:rsid w:val="001022CF"/>
    <w:rsid w:val="0010439F"/>
    <w:rsid w:val="00105D72"/>
    <w:rsid w:val="001066C6"/>
    <w:rsid w:val="0010732B"/>
    <w:rsid w:val="001079FD"/>
    <w:rsid w:val="00110191"/>
    <w:rsid w:val="0011027C"/>
    <w:rsid w:val="0011057A"/>
    <w:rsid w:val="00112020"/>
    <w:rsid w:val="00113EF1"/>
    <w:rsid w:val="00113FB8"/>
    <w:rsid w:val="00115040"/>
    <w:rsid w:val="00115418"/>
    <w:rsid w:val="00116DBC"/>
    <w:rsid w:val="00117D56"/>
    <w:rsid w:val="001226B5"/>
    <w:rsid w:val="001227A4"/>
    <w:rsid w:val="0012382C"/>
    <w:rsid w:val="00124380"/>
    <w:rsid w:val="001254C8"/>
    <w:rsid w:val="00125DEC"/>
    <w:rsid w:val="0012731F"/>
    <w:rsid w:val="00127ED7"/>
    <w:rsid w:val="001305AA"/>
    <w:rsid w:val="00133276"/>
    <w:rsid w:val="00134025"/>
    <w:rsid w:val="0013497F"/>
    <w:rsid w:val="00134A23"/>
    <w:rsid w:val="00134E2A"/>
    <w:rsid w:val="00137B26"/>
    <w:rsid w:val="001402D8"/>
    <w:rsid w:val="00141356"/>
    <w:rsid w:val="0014232F"/>
    <w:rsid w:val="00144D10"/>
    <w:rsid w:val="001470BB"/>
    <w:rsid w:val="001474A0"/>
    <w:rsid w:val="00147DCE"/>
    <w:rsid w:val="00150F2B"/>
    <w:rsid w:val="001510ED"/>
    <w:rsid w:val="00152BE7"/>
    <w:rsid w:val="00154DED"/>
    <w:rsid w:val="00156355"/>
    <w:rsid w:val="00157364"/>
    <w:rsid w:val="00157F0E"/>
    <w:rsid w:val="00160682"/>
    <w:rsid w:val="00163D2F"/>
    <w:rsid w:val="00165A74"/>
    <w:rsid w:val="00167481"/>
    <w:rsid w:val="00167617"/>
    <w:rsid w:val="00167B6D"/>
    <w:rsid w:val="00170528"/>
    <w:rsid w:val="001734A8"/>
    <w:rsid w:val="001769E4"/>
    <w:rsid w:val="00176D2E"/>
    <w:rsid w:val="00177B73"/>
    <w:rsid w:val="00180975"/>
    <w:rsid w:val="00180E17"/>
    <w:rsid w:val="00183D37"/>
    <w:rsid w:val="00185505"/>
    <w:rsid w:val="00185A20"/>
    <w:rsid w:val="0018726F"/>
    <w:rsid w:val="00191B75"/>
    <w:rsid w:val="0019321E"/>
    <w:rsid w:val="001936A3"/>
    <w:rsid w:val="00194C73"/>
    <w:rsid w:val="001951FA"/>
    <w:rsid w:val="00195EFD"/>
    <w:rsid w:val="001965A1"/>
    <w:rsid w:val="001973BB"/>
    <w:rsid w:val="0019742C"/>
    <w:rsid w:val="00197B32"/>
    <w:rsid w:val="001A0645"/>
    <w:rsid w:val="001A0C15"/>
    <w:rsid w:val="001A0CC2"/>
    <w:rsid w:val="001A229F"/>
    <w:rsid w:val="001A3C8D"/>
    <w:rsid w:val="001A51A5"/>
    <w:rsid w:val="001A5326"/>
    <w:rsid w:val="001A6CCD"/>
    <w:rsid w:val="001A73B2"/>
    <w:rsid w:val="001A760B"/>
    <w:rsid w:val="001A7FE0"/>
    <w:rsid w:val="001B0FD0"/>
    <w:rsid w:val="001B1772"/>
    <w:rsid w:val="001B1CE3"/>
    <w:rsid w:val="001B200B"/>
    <w:rsid w:val="001B255B"/>
    <w:rsid w:val="001B2790"/>
    <w:rsid w:val="001B38B3"/>
    <w:rsid w:val="001B410D"/>
    <w:rsid w:val="001B524C"/>
    <w:rsid w:val="001B60B5"/>
    <w:rsid w:val="001B78BF"/>
    <w:rsid w:val="001B7D9D"/>
    <w:rsid w:val="001C1825"/>
    <w:rsid w:val="001C1A74"/>
    <w:rsid w:val="001C2BFB"/>
    <w:rsid w:val="001C3BA4"/>
    <w:rsid w:val="001C3E26"/>
    <w:rsid w:val="001C48EA"/>
    <w:rsid w:val="001C582E"/>
    <w:rsid w:val="001C6268"/>
    <w:rsid w:val="001C6C32"/>
    <w:rsid w:val="001C7C92"/>
    <w:rsid w:val="001C7CE1"/>
    <w:rsid w:val="001D064B"/>
    <w:rsid w:val="001D08B1"/>
    <w:rsid w:val="001D138F"/>
    <w:rsid w:val="001D40A6"/>
    <w:rsid w:val="001D45CA"/>
    <w:rsid w:val="001D4732"/>
    <w:rsid w:val="001D5051"/>
    <w:rsid w:val="001D51E4"/>
    <w:rsid w:val="001D6786"/>
    <w:rsid w:val="001D6DFE"/>
    <w:rsid w:val="001E3625"/>
    <w:rsid w:val="001E3A65"/>
    <w:rsid w:val="001E3D9B"/>
    <w:rsid w:val="001E4D70"/>
    <w:rsid w:val="001E53DD"/>
    <w:rsid w:val="001E6836"/>
    <w:rsid w:val="001E7382"/>
    <w:rsid w:val="001E73E3"/>
    <w:rsid w:val="001E7E59"/>
    <w:rsid w:val="001F2D01"/>
    <w:rsid w:val="001F3151"/>
    <w:rsid w:val="001F3233"/>
    <w:rsid w:val="001F3814"/>
    <w:rsid w:val="001F4514"/>
    <w:rsid w:val="002003FF"/>
    <w:rsid w:val="00200448"/>
    <w:rsid w:val="00202C60"/>
    <w:rsid w:val="00202C6B"/>
    <w:rsid w:val="00203EC3"/>
    <w:rsid w:val="00205876"/>
    <w:rsid w:val="00206520"/>
    <w:rsid w:val="00206762"/>
    <w:rsid w:val="00210E99"/>
    <w:rsid w:val="002143B0"/>
    <w:rsid w:val="00214F7A"/>
    <w:rsid w:val="002152C7"/>
    <w:rsid w:val="0021551A"/>
    <w:rsid w:val="00216A2A"/>
    <w:rsid w:val="0022101B"/>
    <w:rsid w:val="00222848"/>
    <w:rsid w:val="0022411E"/>
    <w:rsid w:val="0022497C"/>
    <w:rsid w:val="00226C4E"/>
    <w:rsid w:val="00226E63"/>
    <w:rsid w:val="0022751F"/>
    <w:rsid w:val="002325EF"/>
    <w:rsid w:val="002339FF"/>
    <w:rsid w:val="00233EEC"/>
    <w:rsid w:val="00234185"/>
    <w:rsid w:val="00240DCC"/>
    <w:rsid w:val="00242486"/>
    <w:rsid w:val="00243474"/>
    <w:rsid w:val="00243A9E"/>
    <w:rsid w:val="00244AAC"/>
    <w:rsid w:val="00244F04"/>
    <w:rsid w:val="002455CD"/>
    <w:rsid w:val="00246279"/>
    <w:rsid w:val="0024631B"/>
    <w:rsid w:val="00247F62"/>
    <w:rsid w:val="00250444"/>
    <w:rsid w:val="00250BA9"/>
    <w:rsid w:val="002525A2"/>
    <w:rsid w:val="00252E94"/>
    <w:rsid w:val="00253100"/>
    <w:rsid w:val="00253878"/>
    <w:rsid w:val="00256D45"/>
    <w:rsid w:val="002601BB"/>
    <w:rsid w:val="00261067"/>
    <w:rsid w:val="00261DD7"/>
    <w:rsid w:val="00267187"/>
    <w:rsid w:val="00272C39"/>
    <w:rsid w:val="0027361F"/>
    <w:rsid w:val="00274906"/>
    <w:rsid w:val="00276BF3"/>
    <w:rsid w:val="00277469"/>
    <w:rsid w:val="00277C3A"/>
    <w:rsid w:val="00277DC0"/>
    <w:rsid w:val="00282A13"/>
    <w:rsid w:val="0028327A"/>
    <w:rsid w:val="00283372"/>
    <w:rsid w:val="00283902"/>
    <w:rsid w:val="00283C31"/>
    <w:rsid w:val="00284720"/>
    <w:rsid w:val="0028538C"/>
    <w:rsid w:val="00287F5F"/>
    <w:rsid w:val="00292026"/>
    <w:rsid w:val="00292BC7"/>
    <w:rsid w:val="00293248"/>
    <w:rsid w:val="002954C3"/>
    <w:rsid w:val="00296248"/>
    <w:rsid w:val="00296367"/>
    <w:rsid w:val="0029761F"/>
    <w:rsid w:val="002A08EE"/>
    <w:rsid w:val="002A1427"/>
    <w:rsid w:val="002A146A"/>
    <w:rsid w:val="002A4A4B"/>
    <w:rsid w:val="002B1055"/>
    <w:rsid w:val="002B1220"/>
    <w:rsid w:val="002B1E4C"/>
    <w:rsid w:val="002B2FEA"/>
    <w:rsid w:val="002B45B9"/>
    <w:rsid w:val="002B4E5A"/>
    <w:rsid w:val="002B4FD1"/>
    <w:rsid w:val="002B51D3"/>
    <w:rsid w:val="002B63A4"/>
    <w:rsid w:val="002B7A27"/>
    <w:rsid w:val="002B7E4F"/>
    <w:rsid w:val="002C00D5"/>
    <w:rsid w:val="002C09F3"/>
    <w:rsid w:val="002D009C"/>
    <w:rsid w:val="002D0B6A"/>
    <w:rsid w:val="002D0C40"/>
    <w:rsid w:val="002D0C72"/>
    <w:rsid w:val="002D121F"/>
    <w:rsid w:val="002D1DAD"/>
    <w:rsid w:val="002D3BE7"/>
    <w:rsid w:val="002D4DFB"/>
    <w:rsid w:val="002D7574"/>
    <w:rsid w:val="002D7CE3"/>
    <w:rsid w:val="002E023B"/>
    <w:rsid w:val="002E1DA0"/>
    <w:rsid w:val="002E2621"/>
    <w:rsid w:val="002E6322"/>
    <w:rsid w:val="002F0174"/>
    <w:rsid w:val="002F0A48"/>
    <w:rsid w:val="002F1D8B"/>
    <w:rsid w:val="002F32BF"/>
    <w:rsid w:val="002F38DD"/>
    <w:rsid w:val="002F66CA"/>
    <w:rsid w:val="002F7D48"/>
    <w:rsid w:val="00300797"/>
    <w:rsid w:val="003009BF"/>
    <w:rsid w:val="0030221C"/>
    <w:rsid w:val="003026D2"/>
    <w:rsid w:val="00304F84"/>
    <w:rsid w:val="00306591"/>
    <w:rsid w:val="003073B8"/>
    <w:rsid w:val="00307807"/>
    <w:rsid w:val="0031059C"/>
    <w:rsid w:val="00311934"/>
    <w:rsid w:val="00312C02"/>
    <w:rsid w:val="003138B0"/>
    <w:rsid w:val="00313EC4"/>
    <w:rsid w:val="003140E5"/>
    <w:rsid w:val="00317E41"/>
    <w:rsid w:val="00324168"/>
    <w:rsid w:val="003242CC"/>
    <w:rsid w:val="003257B3"/>
    <w:rsid w:val="00325B7B"/>
    <w:rsid w:val="00326468"/>
    <w:rsid w:val="0032788B"/>
    <w:rsid w:val="00327A74"/>
    <w:rsid w:val="00333125"/>
    <w:rsid w:val="00334211"/>
    <w:rsid w:val="0033487D"/>
    <w:rsid w:val="0034043C"/>
    <w:rsid w:val="00340899"/>
    <w:rsid w:val="00340C3C"/>
    <w:rsid w:val="0034133A"/>
    <w:rsid w:val="0034148A"/>
    <w:rsid w:val="003421C6"/>
    <w:rsid w:val="00345840"/>
    <w:rsid w:val="00346FAD"/>
    <w:rsid w:val="0035007B"/>
    <w:rsid w:val="003501B7"/>
    <w:rsid w:val="00350637"/>
    <w:rsid w:val="00351B43"/>
    <w:rsid w:val="003526E3"/>
    <w:rsid w:val="00352C60"/>
    <w:rsid w:val="0035682A"/>
    <w:rsid w:val="00361863"/>
    <w:rsid w:val="00362B05"/>
    <w:rsid w:val="0036472E"/>
    <w:rsid w:val="0037053D"/>
    <w:rsid w:val="0037125E"/>
    <w:rsid w:val="0037199D"/>
    <w:rsid w:val="003731B7"/>
    <w:rsid w:val="003732D4"/>
    <w:rsid w:val="0037347C"/>
    <w:rsid w:val="00375069"/>
    <w:rsid w:val="00375317"/>
    <w:rsid w:val="00375AE6"/>
    <w:rsid w:val="003763CF"/>
    <w:rsid w:val="0037675A"/>
    <w:rsid w:val="003771CC"/>
    <w:rsid w:val="003813D3"/>
    <w:rsid w:val="003817F1"/>
    <w:rsid w:val="00381D8B"/>
    <w:rsid w:val="0038220B"/>
    <w:rsid w:val="00382912"/>
    <w:rsid w:val="00383E3E"/>
    <w:rsid w:val="00384D71"/>
    <w:rsid w:val="00385A41"/>
    <w:rsid w:val="00386FEF"/>
    <w:rsid w:val="00393FBD"/>
    <w:rsid w:val="003A0E89"/>
    <w:rsid w:val="003A1923"/>
    <w:rsid w:val="003A4BFD"/>
    <w:rsid w:val="003A5E7C"/>
    <w:rsid w:val="003B098D"/>
    <w:rsid w:val="003B26FA"/>
    <w:rsid w:val="003B3286"/>
    <w:rsid w:val="003B34F3"/>
    <w:rsid w:val="003B457D"/>
    <w:rsid w:val="003B5F26"/>
    <w:rsid w:val="003B6F30"/>
    <w:rsid w:val="003C0562"/>
    <w:rsid w:val="003C079F"/>
    <w:rsid w:val="003C28C2"/>
    <w:rsid w:val="003C4409"/>
    <w:rsid w:val="003C45E2"/>
    <w:rsid w:val="003C4738"/>
    <w:rsid w:val="003C5624"/>
    <w:rsid w:val="003C5CD4"/>
    <w:rsid w:val="003C6A1D"/>
    <w:rsid w:val="003C7380"/>
    <w:rsid w:val="003C73D0"/>
    <w:rsid w:val="003D0802"/>
    <w:rsid w:val="003D3940"/>
    <w:rsid w:val="003D4675"/>
    <w:rsid w:val="003D4B6F"/>
    <w:rsid w:val="003D5956"/>
    <w:rsid w:val="003D6A51"/>
    <w:rsid w:val="003D73D2"/>
    <w:rsid w:val="003D7512"/>
    <w:rsid w:val="003E034E"/>
    <w:rsid w:val="003E0526"/>
    <w:rsid w:val="003E0F57"/>
    <w:rsid w:val="003E2DD2"/>
    <w:rsid w:val="003E34AA"/>
    <w:rsid w:val="003E5C08"/>
    <w:rsid w:val="003E67D0"/>
    <w:rsid w:val="003E7D35"/>
    <w:rsid w:val="003E7E2E"/>
    <w:rsid w:val="003F2EE7"/>
    <w:rsid w:val="003F2F7E"/>
    <w:rsid w:val="003F347B"/>
    <w:rsid w:val="003F3D01"/>
    <w:rsid w:val="003F40C0"/>
    <w:rsid w:val="003F5078"/>
    <w:rsid w:val="003F50B7"/>
    <w:rsid w:val="003F5DF5"/>
    <w:rsid w:val="004001ED"/>
    <w:rsid w:val="004006E1"/>
    <w:rsid w:val="00401DAF"/>
    <w:rsid w:val="00402744"/>
    <w:rsid w:val="00402CFE"/>
    <w:rsid w:val="00405378"/>
    <w:rsid w:val="004055D3"/>
    <w:rsid w:val="00405BBB"/>
    <w:rsid w:val="004071B1"/>
    <w:rsid w:val="004072AD"/>
    <w:rsid w:val="00411469"/>
    <w:rsid w:val="00411838"/>
    <w:rsid w:val="00413430"/>
    <w:rsid w:val="004158C0"/>
    <w:rsid w:val="00415EA2"/>
    <w:rsid w:val="004175B2"/>
    <w:rsid w:val="00420246"/>
    <w:rsid w:val="00420DBC"/>
    <w:rsid w:val="0042138C"/>
    <w:rsid w:val="00422D2C"/>
    <w:rsid w:val="0042334F"/>
    <w:rsid w:val="00424FE6"/>
    <w:rsid w:val="0043001B"/>
    <w:rsid w:val="00433FC6"/>
    <w:rsid w:val="00434624"/>
    <w:rsid w:val="00434F8E"/>
    <w:rsid w:val="004355A7"/>
    <w:rsid w:val="004367FB"/>
    <w:rsid w:val="00436F25"/>
    <w:rsid w:val="00440282"/>
    <w:rsid w:val="00440C08"/>
    <w:rsid w:val="00441BD4"/>
    <w:rsid w:val="0044329E"/>
    <w:rsid w:val="004432A6"/>
    <w:rsid w:val="004435BD"/>
    <w:rsid w:val="004442F0"/>
    <w:rsid w:val="00447F6C"/>
    <w:rsid w:val="00453905"/>
    <w:rsid w:val="004567BE"/>
    <w:rsid w:val="0046037C"/>
    <w:rsid w:val="00460E12"/>
    <w:rsid w:val="004622DC"/>
    <w:rsid w:val="00463F2A"/>
    <w:rsid w:val="00466B7B"/>
    <w:rsid w:val="00467E11"/>
    <w:rsid w:val="00471427"/>
    <w:rsid w:val="00471947"/>
    <w:rsid w:val="00472AB4"/>
    <w:rsid w:val="004735FF"/>
    <w:rsid w:val="00474817"/>
    <w:rsid w:val="004770CC"/>
    <w:rsid w:val="004775F0"/>
    <w:rsid w:val="004823B3"/>
    <w:rsid w:val="00482CE3"/>
    <w:rsid w:val="00483690"/>
    <w:rsid w:val="00484934"/>
    <w:rsid w:val="00487FBC"/>
    <w:rsid w:val="0049031A"/>
    <w:rsid w:val="00490675"/>
    <w:rsid w:val="004914C6"/>
    <w:rsid w:val="00492FA0"/>
    <w:rsid w:val="00492FD4"/>
    <w:rsid w:val="00493053"/>
    <w:rsid w:val="00494944"/>
    <w:rsid w:val="00494A44"/>
    <w:rsid w:val="004950B0"/>
    <w:rsid w:val="004966FC"/>
    <w:rsid w:val="00496C62"/>
    <w:rsid w:val="00497969"/>
    <w:rsid w:val="004A111B"/>
    <w:rsid w:val="004A1A47"/>
    <w:rsid w:val="004A2088"/>
    <w:rsid w:val="004A39B1"/>
    <w:rsid w:val="004B021D"/>
    <w:rsid w:val="004B3CBC"/>
    <w:rsid w:val="004B6087"/>
    <w:rsid w:val="004B6D8F"/>
    <w:rsid w:val="004B6E0D"/>
    <w:rsid w:val="004C3F44"/>
    <w:rsid w:val="004C49B2"/>
    <w:rsid w:val="004C64F3"/>
    <w:rsid w:val="004D2345"/>
    <w:rsid w:val="004D2A5A"/>
    <w:rsid w:val="004D2E2D"/>
    <w:rsid w:val="004D2F41"/>
    <w:rsid w:val="004D440F"/>
    <w:rsid w:val="004D4E05"/>
    <w:rsid w:val="004D732D"/>
    <w:rsid w:val="004E16C2"/>
    <w:rsid w:val="004E3838"/>
    <w:rsid w:val="004E3B7F"/>
    <w:rsid w:val="004E4DD1"/>
    <w:rsid w:val="004E523F"/>
    <w:rsid w:val="004E538C"/>
    <w:rsid w:val="004E6F58"/>
    <w:rsid w:val="004F018B"/>
    <w:rsid w:val="004F0A60"/>
    <w:rsid w:val="004F0D2E"/>
    <w:rsid w:val="004F0F03"/>
    <w:rsid w:val="004F12D2"/>
    <w:rsid w:val="004F2067"/>
    <w:rsid w:val="004F243D"/>
    <w:rsid w:val="004F34A9"/>
    <w:rsid w:val="004F34D7"/>
    <w:rsid w:val="004F4314"/>
    <w:rsid w:val="004F56A4"/>
    <w:rsid w:val="004F56BF"/>
    <w:rsid w:val="004F666C"/>
    <w:rsid w:val="005009DF"/>
    <w:rsid w:val="00500B02"/>
    <w:rsid w:val="0050113A"/>
    <w:rsid w:val="005015E9"/>
    <w:rsid w:val="00501A91"/>
    <w:rsid w:val="005026C2"/>
    <w:rsid w:val="00502781"/>
    <w:rsid w:val="00503D1B"/>
    <w:rsid w:val="0050468F"/>
    <w:rsid w:val="00504F5B"/>
    <w:rsid w:val="00506277"/>
    <w:rsid w:val="005141B2"/>
    <w:rsid w:val="005152F5"/>
    <w:rsid w:val="0051530E"/>
    <w:rsid w:val="00516E96"/>
    <w:rsid w:val="005207C1"/>
    <w:rsid w:val="00521054"/>
    <w:rsid w:val="00524A7D"/>
    <w:rsid w:val="005274DE"/>
    <w:rsid w:val="00527501"/>
    <w:rsid w:val="005278B5"/>
    <w:rsid w:val="00531733"/>
    <w:rsid w:val="00532849"/>
    <w:rsid w:val="005339CD"/>
    <w:rsid w:val="00535B6B"/>
    <w:rsid w:val="00536054"/>
    <w:rsid w:val="005371AF"/>
    <w:rsid w:val="00540CA1"/>
    <w:rsid w:val="00542009"/>
    <w:rsid w:val="00543720"/>
    <w:rsid w:val="00543BD0"/>
    <w:rsid w:val="00544138"/>
    <w:rsid w:val="00552227"/>
    <w:rsid w:val="00552F88"/>
    <w:rsid w:val="0055477F"/>
    <w:rsid w:val="00554827"/>
    <w:rsid w:val="00554E8D"/>
    <w:rsid w:val="00555A87"/>
    <w:rsid w:val="00560C2E"/>
    <w:rsid w:val="00561FEF"/>
    <w:rsid w:val="00562859"/>
    <w:rsid w:val="005646F3"/>
    <w:rsid w:val="00565EFD"/>
    <w:rsid w:val="00570709"/>
    <w:rsid w:val="00573959"/>
    <w:rsid w:val="00573C9E"/>
    <w:rsid w:val="00574131"/>
    <w:rsid w:val="00574EBB"/>
    <w:rsid w:val="0057549E"/>
    <w:rsid w:val="005767B5"/>
    <w:rsid w:val="00581584"/>
    <w:rsid w:val="00581781"/>
    <w:rsid w:val="0058263B"/>
    <w:rsid w:val="005900E1"/>
    <w:rsid w:val="0059058F"/>
    <w:rsid w:val="00590D96"/>
    <w:rsid w:val="00592C83"/>
    <w:rsid w:val="005933E7"/>
    <w:rsid w:val="005A0BE5"/>
    <w:rsid w:val="005A24C5"/>
    <w:rsid w:val="005A3375"/>
    <w:rsid w:val="005A4CCB"/>
    <w:rsid w:val="005A4ECE"/>
    <w:rsid w:val="005A60C0"/>
    <w:rsid w:val="005A65E5"/>
    <w:rsid w:val="005A76D5"/>
    <w:rsid w:val="005B12B9"/>
    <w:rsid w:val="005B136E"/>
    <w:rsid w:val="005B3A68"/>
    <w:rsid w:val="005B3BEA"/>
    <w:rsid w:val="005B3D3B"/>
    <w:rsid w:val="005B3D48"/>
    <w:rsid w:val="005B4294"/>
    <w:rsid w:val="005B4592"/>
    <w:rsid w:val="005B45C3"/>
    <w:rsid w:val="005B49CF"/>
    <w:rsid w:val="005B4F1E"/>
    <w:rsid w:val="005B63E7"/>
    <w:rsid w:val="005B7049"/>
    <w:rsid w:val="005C0117"/>
    <w:rsid w:val="005C09E7"/>
    <w:rsid w:val="005C2109"/>
    <w:rsid w:val="005D1F38"/>
    <w:rsid w:val="005D62B5"/>
    <w:rsid w:val="005D6A31"/>
    <w:rsid w:val="005D7121"/>
    <w:rsid w:val="005D7D54"/>
    <w:rsid w:val="005E0338"/>
    <w:rsid w:val="005E2072"/>
    <w:rsid w:val="005E2114"/>
    <w:rsid w:val="005E269D"/>
    <w:rsid w:val="005E3D0D"/>
    <w:rsid w:val="005E7618"/>
    <w:rsid w:val="005E7C29"/>
    <w:rsid w:val="005F29E4"/>
    <w:rsid w:val="005F633B"/>
    <w:rsid w:val="005F677F"/>
    <w:rsid w:val="005F6A3E"/>
    <w:rsid w:val="005F7741"/>
    <w:rsid w:val="00600BE5"/>
    <w:rsid w:val="00600D3D"/>
    <w:rsid w:val="0060145E"/>
    <w:rsid w:val="006019D4"/>
    <w:rsid w:val="006021EA"/>
    <w:rsid w:val="006030EA"/>
    <w:rsid w:val="006067E5"/>
    <w:rsid w:val="00606B85"/>
    <w:rsid w:val="00606DBD"/>
    <w:rsid w:val="006122ED"/>
    <w:rsid w:val="006127A7"/>
    <w:rsid w:val="00613939"/>
    <w:rsid w:val="00613A3C"/>
    <w:rsid w:val="0061447E"/>
    <w:rsid w:val="006147C7"/>
    <w:rsid w:val="006158FD"/>
    <w:rsid w:val="00615E9B"/>
    <w:rsid w:val="00615FF8"/>
    <w:rsid w:val="00616097"/>
    <w:rsid w:val="00616D18"/>
    <w:rsid w:val="006172D0"/>
    <w:rsid w:val="00622C17"/>
    <w:rsid w:val="00623ED5"/>
    <w:rsid w:val="00624B8D"/>
    <w:rsid w:val="0063239C"/>
    <w:rsid w:val="00632FC0"/>
    <w:rsid w:val="0063353B"/>
    <w:rsid w:val="006358CC"/>
    <w:rsid w:val="00635A0A"/>
    <w:rsid w:val="00636575"/>
    <w:rsid w:val="00637095"/>
    <w:rsid w:val="006374F4"/>
    <w:rsid w:val="00637DFF"/>
    <w:rsid w:val="006407DF"/>
    <w:rsid w:val="00640EC7"/>
    <w:rsid w:val="00642B39"/>
    <w:rsid w:val="006479CE"/>
    <w:rsid w:val="00650485"/>
    <w:rsid w:val="00650EDB"/>
    <w:rsid w:val="006519F7"/>
    <w:rsid w:val="0065218A"/>
    <w:rsid w:val="00652F5C"/>
    <w:rsid w:val="00653A1A"/>
    <w:rsid w:val="00655176"/>
    <w:rsid w:val="00655762"/>
    <w:rsid w:val="00655D83"/>
    <w:rsid w:val="006577FE"/>
    <w:rsid w:val="00657FE5"/>
    <w:rsid w:val="00660368"/>
    <w:rsid w:val="006605A1"/>
    <w:rsid w:val="00661045"/>
    <w:rsid w:val="00663C28"/>
    <w:rsid w:val="006649F2"/>
    <w:rsid w:val="006658DC"/>
    <w:rsid w:val="00665E91"/>
    <w:rsid w:val="00666EDB"/>
    <w:rsid w:val="006678F4"/>
    <w:rsid w:val="006733F1"/>
    <w:rsid w:val="00673A57"/>
    <w:rsid w:val="00674B5F"/>
    <w:rsid w:val="0067663E"/>
    <w:rsid w:val="00677631"/>
    <w:rsid w:val="00677FE2"/>
    <w:rsid w:val="00680A2A"/>
    <w:rsid w:val="0068181A"/>
    <w:rsid w:val="00682545"/>
    <w:rsid w:val="00683A38"/>
    <w:rsid w:val="00683B8F"/>
    <w:rsid w:val="00683C8B"/>
    <w:rsid w:val="0068441A"/>
    <w:rsid w:val="0068609B"/>
    <w:rsid w:val="00687D21"/>
    <w:rsid w:val="00691FA2"/>
    <w:rsid w:val="00693238"/>
    <w:rsid w:val="00694DB1"/>
    <w:rsid w:val="00695BBB"/>
    <w:rsid w:val="006A00AB"/>
    <w:rsid w:val="006A1D55"/>
    <w:rsid w:val="006A21B5"/>
    <w:rsid w:val="006A36BE"/>
    <w:rsid w:val="006A3CF6"/>
    <w:rsid w:val="006A4029"/>
    <w:rsid w:val="006A58E1"/>
    <w:rsid w:val="006A72F2"/>
    <w:rsid w:val="006B0C62"/>
    <w:rsid w:val="006B1E31"/>
    <w:rsid w:val="006B31BA"/>
    <w:rsid w:val="006B339B"/>
    <w:rsid w:val="006B396C"/>
    <w:rsid w:val="006B4750"/>
    <w:rsid w:val="006B4F59"/>
    <w:rsid w:val="006B5E9E"/>
    <w:rsid w:val="006B71B1"/>
    <w:rsid w:val="006B7665"/>
    <w:rsid w:val="006B7B81"/>
    <w:rsid w:val="006C0029"/>
    <w:rsid w:val="006C0DED"/>
    <w:rsid w:val="006C356C"/>
    <w:rsid w:val="006C412F"/>
    <w:rsid w:val="006C4BA7"/>
    <w:rsid w:val="006C5AFD"/>
    <w:rsid w:val="006D10F5"/>
    <w:rsid w:val="006D2530"/>
    <w:rsid w:val="006D69B4"/>
    <w:rsid w:val="006E1B31"/>
    <w:rsid w:val="006E1B56"/>
    <w:rsid w:val="006E3811"/>
    <w:rsid w:val="006F2A3D"/>
    <w:rsid w:val="006F5A4D"/>
    <w:rsid w:val="006F77C1"/>
    <w:rsid w:val="006F7B7E"/>
    <w:rsid w:val="006F7D34"/>
    <w:rsid w:val="006F7EF2"/>
    <w:rsid w:val="00700BB2"/>
    <w:rsid w:val="00701543"/>
    <w:rsid w:val="0070231E"/>
    <w:rsid w:val="00705298"/>
    <w:rsid w:val="00705541"/>
    <w:rsid w:val="007106F9"/>
    <w:rsid w:val="00712076"/>
    <w:rsid w:val="0071231A"/>
    <w:rsid w:val="00713A13"/>
    <w:rsid w:val="00715DDF"/>
    <w:rsid w:val="007169A6"/>
    <w:rsid w:val="00716D7A"/>
    <w:rsid w:val="007178CA"/>
    <w:rsid w:val="00720152"/>
    <w:rsid w:val="00720925"/>
    <w:rsid w:val="0072252A"/>
    <w:rsid w:val="00724241"/>
    <w:rsid w:val="00724E4D"/>
    <w:rsid w:val="00727801"/>
    <w:rsid w:val="007304A6"/>
    <w:rsid w:val="007350E0"/>
    <w:rsid w:val="00735A2E"/>
    <w:rsid w:val="00736AAF"/>
    <w:rsid w:val="007400E8"/>
    <w:rsid w:val="00741F35"/>
    <w:rsid w:val="007431AD"/>
    <w:rsid w:val="00743CBD"/>
    <w:rsid w:val="00744EFB"/>
    <w:rsid w:val="00744F01"/>
    <w:rsid w:val="00745E52"/>
    <w:rsid w:val="00747562"/>
    <w:rsid w:val="00750BE5"/>
    <w:rsid w:val="00750CFC"/>
    <w:rsid w:val="007513DF"/>
    <w:rsid w:val="007513E0"/>
    <w:rsid w:val="007529FA"/>
    <w:rsid w:val="007532AF"/>
    <w:rsid w:val="00753DB1"/>
    <w:rsid w:val="0075622C"/>
    <w:rsid w:val="00757436"/>
    <w:rsid w:val="00761F71"/>
    <w:rsid w:val="00765100"/>
    <w:rsid w:val="007655EA"/>
    <w:rsid w:val="0076642A"/>
    <w:rsid w:val="00766FA7"/>
    <w:rsid w:val="00766FB7"/>
    <w:rsid w:val="007713B9"/>
    <w:rsid w:val="0077452B"/>
    <w:rsid w:val="00774944"/>
    <w:rsid w:val="0077650A"/>
    <w:rsid w:val="00780717"/>
    <w:rsid w:val="00781988"/>
    <w:rsid w:val="00781A5B"/>
    <w:rsid w:val="00786BEF"/>
    <w:rsid w:val="00786ECB"/>
    <w:rsid w:val="00787D92"/>
    <w:rsid w:val="00791408"/>
    <w:rsid w:val="007914F7"/>
    <w:rsid w:val="007918EE"/>
    <w:rsid w:val="00791933"/>
    <w:rsid w:val="00792DB4"/>
    <w:rsid w:val="00792E90"/>
    <w:rsid w:val="00793585"/>
    <w:rsid w:val="00795682"/>
    <w:rsid w:val="00795DDD"/>
    <w:rsid w:val="00796003"/>
    <w:rsid w:val="00796846"/>
    <w:rsid w:val="00796A25"/>
    <w:rsid w:val="007A0274"/>
    <w:rsid w:val="007A0D1E"/>
    <w:rsid w:val="007A2284"/>
    <w:rsid w:val="007A2610"/>
    <w:rsid w:val="007A3C7C"/>
    <w:rsid w:val="007A4A81"/>
    <w:rsid w:val="007A4CAE"/>
    <w:rsid w:val="007A5391"/>
    <w:rsid w:val="007A55B6"/>
    <w:rsid w:val="007B0CE8"/>
    <w:rsid w:val="007B104C"/>
    <w:rsid w:val="007B1D56"/>
    <w:rsid w:val="007B26B1"/>
    <w:rsid w:val="007B56AF"/>
    <w:rsid w:val="007B5DB2"/>
    <w:rsid w:val="007B5EF5"/>
    <w:rsid w:val="007B66D3"/>
    <w:rsid w:val="007B7601"/>
    <w:rsid w:val="007C07D1"/>
    <w:rsid w:val="007C0A84"/>
    <w:rsid w:val="007C117B"/>
    <w:rsid w:val="007C1ADC"/>
    <w:rsid w:val="007C1C25"/>
    <w:rsid w:val="007C2245"/>
    <w:rsid w:val="007C2A3A"/>
    <w:rsid w:val="007C2A67"/>
    <w:rsid w:val="007C32F7"/>
    <w:rsid w:val="007C5650"/>
    <w:rsid w:val="007C6339"/>
    <w:rsid w:val="007C6EAF"/>
    <w:rsid w:val="007C773E"/>
    <w:rsid w:val="007D20F9"/>
    <w:rsid w:val="007D267D"/>
    <w:rsid w:val="007D5666"/>
    <w:rsid w:val="007D652F"/>
    <w:rsid w:val="007D6CCC"/>
    <w:rsid w:val="007D7897"/>
    <w:rsid w:val="007E0978"/>
    <w:rsid w:val="007E1C10"/>
    <w:rsid w:val="007E3B4F"/>
    <w:rsid w:val="007E6252"/>
    <w:rsid w:val="007E6B7A"/>
    <w:rsid w:val="007F24FC"/>
    <w:rsid w:val="007F2560"/>
    <w:rsid w:val="007F381F"/>
    <w:rsid w:val="007F4A9C"/>
    <w:rsid w:val="007F6B0C"/>
    <w:rsid w:val="008003EA"/>
    <w:rsid w:val="008019A6"/>
    <w:rsid w:val="00801CB8"/>
    <w:rsid w:val="00802038"/>
    <w:rsid w:val="008049B4"/>
    <w:rsid w:val="008057E7"/>
    <w:rsid w:val="00806007"/>
    <w:rsid w:val="00806A5C"/>
    <w:rsid w:val="008073B4"/>
    <w:rsid w:val="00807F7F"/>
    <w:rsid w:val="00810485"/>
    <w:rsid w:val="008147A5"/>
    <w:rsid w:val="00815009"/>
    <w:rsid w:val="00816316"/>
    <w:rsid w:val="00816EED"/>
    <w:rsid w:val="0081700B"/>
    <w:rsid w:val="008215D8"/>
    <w:rsid w:val="00821E90"/>
    <w:rsid w:val="0082205B"/>
    <w:rsid w:val="008234B3"/>
    <w:rsid w:val="00824C02"/>
    <w:rsid w:val="00825AB3"/>
    <w:rsid w:val="00826852"/>
    <w:rsid w:val="00826908"/>
    <w:rsid w:val="00826D50"/>
    <w:rsid w:val="008276D6"/>
    <w:rsid w:val="00827C95"/>
    <w:rsid w:val="008301A4"/>
    <w:rsid w:val="00830D1F"/>
    <w:rsid w:val="008324C4"/>
    <w:rsid w:val="00833DA0"/>
    <w:rsid w:val="0083404D"/>
    <w:rsid w:val="00834E75"/>
    <w:rsid w:val="00835E77"/>
    <w:rsid w:val="00836DCB"/>
    <w:rsid w:val="00836F1E"/>
    <w:rsid w:val="008422AB"/>
    <w:rsid w:val="008426F7"/>
    <w:rsid w:val="00843527"/>
    <w:rsid w:val="008438CB"/>
    <w:rsid w:val="008445DB"/>
    <w:rsid w:val="0085043E"/>
    <w:rsid w:val="0085114F"/>
    <w:rsid w:val="0085145B"/>
    <w:rsid w:val="00851A2C"/>
    <w:rsid w:val="0085487F"/>
    <w:rsid w:val="00857603"/>
    <w:rsid w:val="00861423"/>
    <w:rsid w:val="00862AF8"/>
    <w:rsid w:val="00862F54"/>
    <w:rsid w:val="00863758"/>
    <w:rsid w:val="00863CB0"/>
    <w:rsid w:val="00865E57"/>
    <w:rsid w:val="0086686C"/>
    <w:rsid w:val="00866B80"/>
    <w:rsid w:val="00866BC8"/>
    <w:rsid w:val="00871279"/>
    <w:rsid w:val="00873603"/>
    <w:rsid w:val="00876E9C"/>
    <w:rsid w:val="00880257"/>
    <w:rsid w:val="008803AA"/>
    <w:rsid w:val="00880A9C"/>
    <w:rsid w:val="008814AE"/>
    <w:rsid w:val="00882508"/>
    <w:rsid w:val="00882FC9"/>
    <w:rsid w:val="00884266"/>
    <w:rsid w:val="00884316"/>
    <w:rsid w:val="008846C7"/>
    <w:rsid w:val="00884C73"/>
    <w:rsid w:val="00886458"/>
    <w:rsid w:val="00887FCD"/>
    <w:rsid w:val="00892F45"/>
    <w:rsid w:val="00893825"/>
    <w:rsid w:val="00893A94"/>
    <w:rsid w:val="00894A46"/>
    <w:rsid w:val="00895CAF"/>
    <w:rsid w:val="00897518"/>
    <w:rsid w:val="008977A8"/>
    <w:rsid w:val="008A0A76"/>
    <w:rsid w:val="008A18F9"/>
    <w:rsid w:val="008A25FE"/>
    <w:rsid w:val="008A2740"/>
    <w:rsid w:val="008A4062"/>
    <w:rsid w:val="008A40EE"/>
    <w:rsid w:val="008A4EFD"/>
    <w:rsid w:val="008A659C"/>
    <w:rsid w:val="008B03C3"/>
    <w:rsid w:val="008B04E4"/>
    <w:rsid w:val="008B07CC"/>
    <w:rsid w:val="008B2820"/>
    <w:rsid w:val="008B2D5D"/>
    <w:rsid w:val="008B32EE"/>
    <w:rsid w:val="008B3842"/>
    <w:rsid w:val="008B3A4B"/>
    <w:rsid w:val="008B53C9"/>
    <w:rsid w:val="008B7310"/>
    <w:rsid w:val="008C0A9E"/>
    <w:rsid w:val="008C192A"/>
    <w:rsid w:val="008C371A"/>
    <w:rsid w:val="008C6AC1"/>
    <w:rsid w:val="008C6F1A"/>
    <w:rsid w:val="008C75EB"/>
    <w:rsid w:val="008C79EF"/>
    <w:rsid w:val="008D0488"/>
    <w:rsid w:val="008D12D8"/>
    <w:rsid w:val="008E02BC"/>
    <w:rsid w:val="008E0C7A"/>
    <w:rsid w:val="008E26AB"/>
    <w:rsid w:val="008E2C22"/>
    <w:rsid w:val="008E4D5A"/>
    <w:rsid w:val="008E7536"/>
    <w:rsid w:val="008E75C7"/>
    <w:rsid w:val="008F0218"/>
    <w:rsid w:val="008F2FB3"/>
    <w:rsid w:val="008F4D98"/>
    <w:rsid w:val="008F6236"/>
    <w:rsid w:val="008F6A24"/>
    <w:rsid w:val="008F7482"/>
    <w:rsid w:val="008F7979"/>
    <w:rsid w:val="00900AB5"/>
    <w:rsid w:val="00900B30"/>
    <w:rsid w:val="009056CB"/>
    <w:rsid w:val="0090668C"/>
    <w:rsid w:val="00913941"/>
    <w:rsid w:val="00915DEA"/>
    <w:rsid w:val="009200D9"/>
    <w:rsid w:val="00920A37"/>
    <w:rsid w:val="00921B1A"/>
    <w:rsid w:val="0092340F"/>
    <w:rsid w:val="0092407F"/>
    <w:rsid w:val="009242C0"/>
    <w:rsid w:val="00924A7A"/>
    <w:rsid w:val="009265E2"/>
    <w:rsid w:val="00926CCA"/>
    <w:rsid w:val="00927730"/>
    <w:rsid w:val="0093144B"/>
    <w:rsid w:val="00932BA3"/>
    <w:rsid w:val="00932C97"/>
    <w:rsid w:val="00932DA7"/>
    <w:rsid w:val="00936C63"/>
    <w:rsid w:val="0093715B"/>
    <w:rsid w:val="00940423"/>
    <w:rsid w:val="00941202"/>
    <w:rsid w:val="00942FF0"/>
    <w:rsid w:val="00944B87"/>
    <w:rsid w:val="00945331"/>
    <w:rsid w:val="00946925"/>
    <w:rsid w:val="00946A68"/>
    <w:rsid w:val="009470AC"/>
    <w:rsid w:val="00947C17"/>
    <w:rsid w:val="00950625"/>
    <w:rsid w:val="009515B4"/>
    <w:rsid w:val="0095173F"/>
    <w:rsid w:val="00951882"/>
    <w:rsid w:val="00952A05"/>
    <w:rsid w:val="00952C38"/>
    <w:rsid w:val="00952E56"/>
    <w:rsid w:val="00953DAE"/>
    <w:rsid w:val="00954B83"/>
    <w:rsid w:val="00955822"/>
    <w:rsid w:val="00956C46"/>
    <w:rsid w:val="00960AEC"/>
    <w:rsid w:val="00960CAE"/>
    <w:rsid w:val="00961FBA"/>
    <w:rsid w:val="00963621"/>
    <w:rsid w:val="00964C61"/>
    <w:rsid w:val="00967F2D"/>
    <w:rsid w:val="00970619"/>
    <w:rsid w:val="00973B23"/>
    <w:rsid w:val="009745A9"/>
    <w:rsid w:val="00974634"/>
    <w:rsid w:val="009752E9"/>
    <w:rsid w:val="00976189"/>
    <w:rsid w:val="0098104D"/>
    <w:rsid w:val="00981995"/>
    <w:rsid w:val="00982120"/>
    <w:rsid w:val="00982441"/>
    <w:rsid w:val="00987696"/>
    <w:rsid w:val="009916AC"/>
    <w:rsid w:val="009926CF"/>
    <w:rsid w:val="00992A24"/>
    <w:rsid w:val="00997A61"/>
    <w:rsid w:val="009A3638"/>
    <w:rsid w:val="009A4647"/>
    <w:rsid w:val="009A4CEF"/>
    <w:rsid w:val="009A7A2F"/>
    <w:rsid w:val="009A7AFF"/>
    <w:rsid w:val="009B05EC"/>
    <w:rsid w:val="009B091A"/>
    <w:rsid w:val="009B39BA"/>
    <w:rsid w:val="009B4425"/>
    <w:rsid w:val="009B454D"/>
    <w:rsid w:val="009B5ECE"/>
    <w:rsid w:val="009B7DED"/>
    <w:rsid w:val="009C0F6F"/>
    <w:rsid w:val="009C50A5"/>
    <w:rsid w:val="009C790D"/>
    <w:rsid w:val="009D14D7"/>
    <w:rsid w:val="009D3554"/>
    <w:rsid w:val="009D5600"/>
    <w:rsid w:val="009E0133"/>
    <w:rsid w:val="009E07E1"/>
    <w:rsid w:val="009E1E43"/>
    <w:rsid w:val="009E2BBA"/>
    <w:rsid w:val="009E2EAB"/>
    <w:rsid w:val="009E34D2"/>
    <w:rsid w:val="009E3D9B"/>
    <w:rsid w:val="009E4015"/>
    <w:rsid w:val="009E46E4"/>
    <w:rsid w:val="009E4B82"/>
    <w:rsid w:val="009E6F13"/>
    <w:rsid w:val="009E7692"/>
    <w:rsid w:val="009E7C4B"/>
    <w:rsid w:val="009E7C57"/>
    <w:rsid w:val="009F01F5"/>
    <w:rsid w:val="009F0BE5"/>
    <w:rsid w:val="009F180F"/>
    <w:rsid w:val="009F4301"/>
    <w:rsid w:val="009F4D84"/>
    <w:rsid w:val="009F52C8"/>
    <w:rsid w:val="009F7EC2"/>
    <w:rsid w:val="00A00F29"/>
    <w:rsid w:val="00A02F67"/>
    <w:rsid w:val="00A030D0"/>
    <w:rsid w:val="00A03681"/>
    <w:rsid w:val="00A03AED"/>
    <w:rsid w:val="00A047DE"/>
    <w:rsid w:val="00A0662F"/>
    <w:rsid w:val="00A06801"/>
    <w:rsid w:val="00A102C2"/>
    <w:rsid w:val="00A121B3"/>
    <w:rsid w:val="00A141AE"/>
    <w:rsid w:val="00A206B8"/>
    <w:rsid w:val="00A20A7F"/>
    <w:rsid w:val="00A22B83"/>
    <w:rsid w:val="00A2578A"/>
    <w:rsid w:val="00A25D58"/>
    <w:rsid w:val="00A31004"/>
    <w:rsid w:val="00A31281"/>
    <w:rsid w:val="00A32114"/>
    <w:rsid w:val="00A33864"/>
    <w:rsid w:val="00A34579"/>
    <w:rsid w:val="00A349C4"/>
    <w:rsid w:val="00A34DB7"/>
    <w:rsid w:val="00A42E88"/>
    <w:rsid w:val="00A44499"/>
    <w:rsid w:val="00A450D6"/>
    <w:rsid w:val="00A451B5"/>
    <w:rsid w:val="00A473EB"/>
    <w:rsid w:val="00A507E1"/>
    <w:rsid w:val="00A51E41"/>
    <w:rsid w:val="00A523C0"/>
    <w:rsid w:val="00A5321F"/>
    <w:rsid w:val="00A54D9A"/>
    <w:rsid w:val="00A55AE2"/>
    <w:rsid w:val="00A56E06"/>
    <w:rsid w:val="00A600EC"/>
    <w:rsid w:val="00A60E4F"/>
    <w:rsid w:val="00A61E96"/>
    <w:rsid w:val="00A627D2"/>
    <w:rsid w:val="00A65615"/>
    <w:rsid w:val="00A66211"/>
    <w:rsid w:val="00A71CA8"/>
    <w:rsid w:val="00A724C9"/>
    <w:rsid w:val="00A72D53"/>
    <w:rsid w:val="00A73118"/>
    <w:rsid w:val="00A7609D"/>
    <w:rsid w:val="00A77524"/>
    <w:rsid w:val="00A779A1"/>
    <w:rsid w:val="00A80085"/>
    <w:rsid w:val="00A810DE"/>
    <w:rsid w:val="00A81EA4"/>
    <w:rsid w:val="00A828DD"/>
    <w:rsid w:val="00A82967"/>
    <w:rsid w:val="00A83337"/>
    <w:rsid w:val="00A83B51"/>
    <w:rsid w:val="00A8570E"/>
    <w:rsid w:val="00A86450"/>
    <w:rsid w:val="00A86541"/>
    <w:rsid w:val="00A875B4"/>
    <w:rsid w:val="00A90AC8"/>
    <w:rsid w:val="00A90D25"/>
    <w:rsid w:val="00A90FC3"/>
    <w:rsid w:val="00A92E45"/>
    <w:rsid w:val="00A964EF"/>
    <w:rsid w:val="00A96DF1"/>
    <w:rsid w:val="00AA08BA"/>
    <w:rsid w:val="00AA0B4C"/>
    <w:rsid w:val="00AA0CC3"/>
    <w:rsid w:val="00AA2B58"/>
    <w:rsid w:val="00AA31F2"/>
    <w:rsid w:val="00AA3CCF"/>
    <w:rsid w:val="00AA3E1E"/>
    <w:rsid w:val="00AA49C3"/>
    <w:rsid w:val="00AA4D6A"/>
    <w:rsid w:val="00AA4E1F"/>
    <w:rsid w:val="00AA5337"/>
    <w:rsid w:val="00AA7FF0"/>
    <w:rsid w:val="00AB0013"/>
    <w:rsid w:val="00AB251A"/>
    <w:rsid w:val="00AB334D"/>
    <w:rsid w:val="00AB37CC"/>
    <w:rsid w:val="00AB5030"/>
    <w:rsid w:val="00AB5C74"/>
    <w:rsid w:val="00AB7276"/>
    <w:rsid w:val="00AC37F8"/>
    <w:rsid w:val="00AC4873"/>
    <w:rsid w:val="00AD15EA"/>
    <w:rsid w:val="00AD2395"/>
    <w:rsid w:val="00AD3424"/>
    <w:rsid w:val="00AD4ADC"/>
    <w:rsid w:val="00AD4D0F"/>
    <w:rsid w:val="00AD5A9F"/>
    <w:rsid w:val="00AE01BC"/>
    <w:rsid w:val="00AE0639"/>
    <w:rsid w:val="00AE06D5"/>
    <w:rsid w:val="00AE0776"/>
    <w:rsid w:val="00AE4433"/>
    <w:rsid w:val="00AE487F"/>
    <w:rsid w:val="00AE6FB5"/>
    <w:rsid w:val="00AF1A60"/>
    <w:rsid w:val="00AF41CB"/>
    <w:rsid w:val="00AF5474"/>
    <w:rsid w:val="00AF64CE"/>
    <w:rsid w:val="00AF7AE6"/>
    <w:rsid w:val="00B02534"/>
    <w:rsid w:val="00B02E3F"/>
    <w:rsid w:val="00B045C9"/>
    <w:rsid w:val="00B04806"/>
    <w:rsid w:val="00B05AFC"/>
    <w:rsid w:val="00B06369"/>
    <w:rsid w:val="00B07122"/>
    <w:rsid w:val="00B077F7"/>
    <w:rsid w:val="00B12C76"/>
    <w:rsid w:val="00B1364A"/>
    <w:rsid w:val="00B147E2"/>
    <w:rsid w:val="00B14C86"/>
    <w:rsid w:val="00B163D1"/>
    <w:rsid w:val="00B16CBB"/>
    <w:rsid w:val="00B17E5F"/>
    <w:rsid w:val="00B213C1"/>
    <w:rsid w:val="00B25A8F"/>
    <w:rsid w:val="00B25E9F"/>
    <w:rsid w:val="00B2688E"/>
    <w:rsid w:val="00B27049"/>
    <w:rsid w:val="00B315CF"/>
    <w:rsid w:val="00B333C6"/>
    <w:rsid w:val="00B3340F"/>
    <w:rsid w:val="00B33848"/>
    <w:rsid w:val="00B33B60"/>
    <w:rsid w:val="00B35B4E"/>
    <w:rsid w:val="00B37AD7"/>
    <w:rsid w:val="00B42118"/>
    <w:rsid w:val="00B43DBC"/>
    <w:rsid w:val="00B447F8"/>
    <w:rsid w:val="00B452C0"/>
    <w:rsid w:val="00B45FDE"/>
    <w:rsid w:val="00B46910"/>
    <w:rsid w:val="00B46A1F"/>
    <w:rsid w:val="00B46C77"/>
    <w:rsid w:val="00B50B8A"/>
    <w:rsid w:val="00B51CDF"/>
    <w:rsid w:val="00B528C2"/>
    <w:rsid w:val="00B536ED"/>
    <w:rsid w:val="00B53ACC"/>
    <w:rsid w:val="00B5592A"/>
    <w:rsid w:val="00B55BDE"/>
    <w:rsid w:val="00B57357"/>
    <w:rsid w:val="00B57DF5"/>
    <w:rsid w:val="00B60439"/>
    <w:rsid w:val="00B613A0"/>
    <w:rsid w:val="00B632A5"/>
    <w:rsid w:val="00B6462E"/>
    <w:rsid w:val="00B64813"/>
    <w:rsid w:val="00B6551E"/>
    <w:rsid w:val="00B661AE"/>
    <w:rsid w:val="00B70F05"/>
    <w:rsid w:val="00B71B89"/>
    <w:rsid w:val="00B7360D"/>
    <w:rsid w:val="00B74CB3"/>
    <w:rsid w:val="00B74F09"/>
    <w:rsid w:val="00B76D8D"/>
    <w:rsid w:val="00B77F11"/>
    <w:rsid w:val="00B82E66"/>
    <w:rsid w:val="00B84752"/>
    <w:rsid w:val="00B84C8D"/>
    <w:rsid w:val="00B84C8F"/>
    <w:rsid w:val="00B85DA6"/>
    <w:rsid w:val="00B86E43"/>
    <w:rsid w:val="00B873CA"/>
    <w:rsid w:val="00B87C40"/>
    <w:rsid w:val="00B87EA1"/>
    <w:rsid w:val="00B908DA"/>
    <w:rsid w:val="00B90F06"/>
    <w:rsid w:val="00B9346F"/>
    <w:rsid w:val="00B93723"/>
    <w:rsid w:val="00B94226"/>
    <w:rsid w:val="00B947F9"/>
    <w:rsid w:val="00B95C1A"/>
    <w:rsid w:val="00BA0C23"/>
    <w:rsid w:val="00BA0E92"/>
    <w:rsid w:val="00BA23D6"/>
    <w:rsid w:val="00BA3216"/>
    <w:rsid w:val="00BA3F50"/>
    <w:rsid w:val="00BA44F0"/>
    <w:rsid w:val="00BA543A"/>
    <w:rsid w:val="00BB09C7"/>
    <w:rsid w:val="00BB326C"/>
    <w:rsid w:val="00BB48DF"/>
    <w:rsid w:val="00BB4C8F"/>
    <w:rsid w:val="00BB5225"/>
    <w:rsid w:val="00BB75E0"/>
    <w:rsid w:val="00BC0F0D"/>
    <w:rsid w:val="00BC2616"/>
    <w:rsid w:val="00BC3311"/>
    <w:rsid w:val="00BC341D"/>
    <w:rsid w:val="00BC4C4C"/>
    <w:rsid w:val="00BC4FA5"/>
    <w:rsid w:val="00BC5A9B"/>
    <w:rsid w:val="00BC5FD6"/>
    <w:rsid w:val="00BD2E03"/>
    <w:rsid w:val="00BD373F"/>
    <w:rsid w:val="00BD464C"/>
    <w:rsid w:val="00BD5B32"/>
    <w:rsid w:val="00BD7138"/>
    <w:rsid w:val="00BD74B0"/>
    <w:rsid w:val="00BE0A0A"/>
    <w:rsid w:val="00BE0AFA"/>
    <w:rsid w:val="00BE10EF"/>
    <w:rsid w:val="00BE1A88"/>
    <w:rsid w:val="00BE795B"/>
    <w:rsid w:val="00BF18D9"/>
    <w:rsid w:val="00BF1EF2"/>
    <w:rsid w:val="00BF25BE"/>
    <w:rsid w:val="00BF3F74"/>
    <w:rsid w:val="00BF4014"/>
    <w:rsid w:val="00BF4684"/>
    <w:rsid w:val="00BF5471"/>
    <w:rsid w:val="00BF6739"/>
    <w:rsid w:val="00BF699F"/>
    <w:rsid w:val="00C0013A"/>
    <w:rsid w:val="00C00F4F"/>
    <w:rsid w:val="00C00FB2"/>
    <w:rsid w:val="00C01474"/>
    <w:rsid w:val="00C017A8"/>
    <w:rsid w:val="00C01893"/>
    <w:rsid w:val="00C032A3"/>
    <w:rsid w:val="00C043D3"/>
    <w:rsid w:val="00C04754"/>
    <w:rsid w:val="00C0491E"/>
    <w:rsid w:val="00C06607"/>
    <w:rsid w:val="00C07EB0"/>
    <w:rsid w:val="00C10BB6"/>
    <w:rsid w:val="00C115D7"/>
    <w:rsid w:val="00C1190A"/>
    <w:rsid w:val="00C1376B"/>
    <w:rsid w:val="00C13A38"/>
    <w:rsid w:val="00C14FD1"/>
    <w:rsid w:val="00C174FB"/>
    <w:rsid w:val="00C21ED9"/>
    <w:rsid w:val="00C22293"/>
    <w:rsid w:val="00C23609"/>
    <w:rsid w:val="00C252C0"/>
    <w:rsid w:val="00C27663"/>
    <w:rsid w:val="00C31563"/>
    <w:rsid w:val="00C31935"/>
    <w:rsid w:val="00C335F0"/>
    <w:rsid w:val="00C33CD6"/>
    <w:rsid w:val="00C34F54"/>
    <w:rsid w:val="00C37DBF"/>
    <w:rsid w:val="00C40A47"/>
    <w:rsid w:val="00C4164E"/>
    <w:rsid w:val="00C417C7"/>
    <w:rsid w:val="00C41C43"/>
    <w:rsid w:val="00C42995"/>
    <w:rsid w:val="00C45CB9"/>
    <w:rsid w:val="00C45EEA"/>
    <w:rsid w:val="00C4781C"/>
    <w:rsid w:val="00C51796"/>
    <w:rsid w:val="00C51E39"/>
    <w:rsid w:val="00C52A56"/>
    <w:rsid w:val="00C54A27"/>
    <w:rsid w:val="00C54C5F"/>
    <w:rsid w:val="00C54E8E"/>
    <w:rsid w:val="00C553DA"/>
    <w:rsid w:val="00C5617B"/>
    <w:rsid w:val="00C60172"/>
    <w:rsid w:val="00C611C4"/>
    <w:rsid w:val="00C62468"/>
    <w:rsid w:val="00C667A2"/>
    <w:rsid w:val="00C70BE2"/>
    <w:rsid w:val="00C7138F"/>
    <w:rsid w:val="00C72562"/>
    <w:rsid w:val="00C746C3"/>
    <w:rsid w:val="00C76C34"/>
    <w:rsid w:val="00C76DC9"/>
    <w:rsid w:val="00C77A29"/>
    <w:rsid w:val="00C80044"/>
    <w:rsid w:val="00C801CB"/>
    <w:rsid w:val="00C8074E"/>
    <w:rsid w:val="00C81400"/>
    <w:rsid w:val="00C81404"/>
    <w:rsid w:val="00C8168C"/>
    <w:rsid w:val="00C81A43"/>
    <w:rsid w:val="00C82EB5"/>
    <w:rsid w:val="00C8302F"/>
    <w:rsid w:val="00C83320"/>
    <w:rsid w:val="00C846AD"/>
    <w:rsid w:val="00C8599E"/>
    <w:rsid w:val="00C87F2B"/>
    <w:rsid w:val="00C92C8D"/>
    <w:rsid w:val="00C92FBC"/>
    <w:rsid w:val="00C93DFD"/>
    <w:rsid w:val="00C95C66"/>
    <w:rsid w:val="00CA0EFC"/>
    <w:rsid w:val="00CA5263"/>
    <w:rsid w:val="00CA7747"/>
    <w:rsid w:val="00CB1086"/>
    <w:rsid w:val="00CB10E4"/>
    <w:rsid w:val="00CB1A0A"/>
    <w:rsid w:val="00CB211D"/>
    <w:rsid w:val="00CB4E0B"/>
    <w:rsid w:val="00CB679A"/>
    <w:rsid w:val="00CC08A7"/>
    <w:rsid w:val="00CC1959"/>
    <w:rsid w:val="00CC1D05"/>
    <w:rsid w:val="00CC2861"/>
    <w:rsid w:val="00CC51FE"/>
    <w:rsid w:val="00CC5334"/>
    <w:rsid w:val="00CD14A7"/>
    <w:rsid w:val="00CD1B9F"/>
    <w:rsid w:val="00CD2636"/>
    <w:rsid w:val="00CD2975"/>
    <w:rsid w:val="00CD6595"/>
    <w:rsid w:val="00CD71B5"/>
    <w:rsid w:val="00CD7CE5"/>
    <w:rsid w:val="00CE006E"/>
    <w:rsid w:val="00CE0AA5"/>
    <w:rsid w:val="00CE13A1"/>
    <w:rsid w:val="00CE1C14"/>
    <w:rsid w:val="00CE2682"/>
    <w:rsid w:val="00CE27FA"/>
    <w:rsid w:val="00CE2F92"/>
    <w:rsid w:val="00CE3370"/>
    <w:rsid w:val="00CE3523"/>
    <w:rsid w:val="00CE38FD"/>
    <w:rsid w:val="00CE3A8A"/>
    <w:rsid w:val="00CE482F"/>
    <w:rsid w:val="00CE5BA3"/>
    <w:rsid w:val="00CF1190"/>
    <w:rsid w:val="00CF1CE9"/>
    <w:rsid w:val="00CF24A3"/>
    <w:rsid w:val="00CF2F2F"/>
    <w:rsid w:val="00CF6642"/>
    <w:rsid w:val="00D00DA7"/>
    <w:rsid w:val="00D01924"/>
    <w:rsid w:val="00D01F83"/>
    <w:rsid w:val="00D02C69"/>
    <w:rsid w:val="00D0390C"/>
    <w:rsid w:val="00D0398E"/>
    <w:rsid w:val="00D03BC0"/>
    <w:rsid w:val="00D03F57"/>
    <w:rsid w:val="00D047CE"/>
    <w:rsid w:val="00D04A9F"/>
    <w:rsid w:val="00D04D76"/>
    <w:rsid w:val="00D05BA7"/>
    <w:rsid w:val="00D062EF"/>
    <w:rsid w:val="00D070A0"/>
    <w:rsid w:val="00D07750"/>
    <w:rsid w:val="00D102A5"/>
    <w:rsid w:val="00D1139E"/>
    <w:rsid w:val="00D12A94"/>
    <w:rsid w:val="00D13363"/>
    <w:rsid w:val="00D13700"/>
    <w:rsid w:val="00D155C6"/>
    <w:rsid w:val="00D2401C"/>
    <w:rsid w:val="00D24728"/>
    <w:rsid w:val="00D24777"/>
    <w:rsid w:val="00D25168"/>
    <w:rsid w:val="00D251A2"/>
    <w:rsid w:val="00D25D00"/>
    <w:rsid w:val="00D25FDA"/>
    <w:rsid w:val="00D2787C"/>
    <w:rsid w:val="00D30DBD"/>
    <w:rsid w:val="00D30E73"/>
    <w:rsid w:val="00D31C3A"/>
    <w:rsid w:val="00D32F82"/>
    <w:rsid w:val="00D34318"/>
    <w:rsid w:val="00D3536F"/>
    <w:rsid w:val="00D35FD2"/>
    <w:rsid w:val="00D41886"/>
    <w:rsid w:val="00D41D5C"/>
    <w:rsid w:val="00D421C1"/>
    <w:rsid w:val="00D447CA"/>
    <w:rsid w:val="00D50448"/>
    <w:rsid w:val="00D51EA1"/>
    <w:rsid w:val="00D52210"/>
    <w:rsid w:val="00D528DD"/>
    <w:rsid w:val="00D53CF2"/>
    <w:rsid w:val="00D53F15"/>
    <w:rsid w:val="00D559A9"/>
    <w:rsid w:val="00D56676"/>
    <w:rsid w:val="00D57F9D"/>
    <w:rsid w:val="00D60C45"/>
    <w:rsid w:val="00D61034"/>
    <w:rsid w:val="00D639D0"/>
    <w:rsid w:val="00D64FDE"/>
    <w:rsid w:val="00D652DD"/>
    <w:rsid w:val="00D6541E"/>
    <w:rsid w:val="00D668B5"/>
    <w:rsid w:val="00D67DC9"/>
    <w:rsid w:val="00D7053E"/>
    <w:rsid w:val="00D730B1"/>
    <w:rsid w:val="00D736C8"/>
    <w:rsid w:val="00D741C5"/>
    <w:rsid w:val="00D75C65"/>
    <w:rsid w:val="00D7602C"/>
    <w:rsid w:val="00D76C75"/>
    <w:rsid w:val="00D80ACD"/>
    <w:rsid w:val="00D815E5"/>
    <w:rsid w:val="00D818BD"/>
    <w:rsid w:val="00D92208"/>
    <w:rsid w:val="00D93838"/>
    <w:rsid w:val="00D942B9"/>
    <w:rsid w:val="00D9719A"/>
    <w:rsid w:val="00D97A16"/>
    <w:rsid w:val="00DA0508"/>
    <w:rsid w:val="00DA2FBB"/>
    <w:rsid w:val="00DA539B"/>
    <w:rsid w:val="00DA6117"/>
    <w:rsid w:val="00DA6D0D"/>
    <w:rsid w:val="00DA71BF"/>
    <w:rsid w:val="00DA76B4"/>
    <w:rsid w:val="00DA7D26"/>
    <w:rsid w:val="00DB017A"/>
    <w:rsid w:val="00DB2823"/>
    <w:rsid w:val="00DB2E73"/>
    <w:rsid w:val="00DB453C"/>
    <w:rsid w:val="00DB465D"/>
    <w:rsid w:val="00DB4E13"/>
    <w:rsid w:val="00DB75C2"/>
    <w:rsid w:val="00DB7927"/>
    <w:rsid w:val="00DB7F96"/>
    <w:rsid w:val="00DC036A"/>
    <w:rsid w:val="00DC18FB"/>
    <w:rsid w:val="00DC5282"/>
    <w:rsid w:val="00DC7CBA"/>
    <w:rsid w:val="00DC7CC1"/>
    <w:rsid w:val="00DD1AF1"/>
    <w:rsid w:val="00DD3479"/>
    <w:rsid w:val="00DD4698"/>
    <w:rsid w:val="00DD5F98"/>
    <w:rsid w:val="00DD67F6"/>
    <w:rsid w:val="00DD766E"/>
    <w:rsid w:val="00DE0195"/>
    <w:rsid w:val="00DE1EF5"/>
    <w:rsid w:val="00DE2AB6"/>
    <w:rsid w:val="00DE3258"/>
    <w:rsid w:val="00DE42FE"/>
    <w:rsid w:val="00DE5CC8"/>
    <w:rsid w:val="00DE6C58"/>
    <w:rsid w:val="00DF029F"/>
    <w:rsid w:val="00DF63C9"/>
    <w:rsid w:val="00E01A31"/>
    <w:rsid w:val="00E0377F"/>
    <w:rsid w:val="00E03BA7"/>
    <w:rsid w:val="00E04126"/>
    <w:rsid w:val="00E04D76"/>
    <w:rsid w:val="00E06555"/>
    <w:rsid w:val="00E07766"/>
    <w:rsid w:val="00E101D5"/>
    <w:rsid w:val="00E1127B"/>
    <w:rsid w:val="00E118C5"/>
    <w:rsid w:val="00E11BE9"/>
    <w:rsid w:val="00E221AD"/>
    <w:rsid w:val="00E22E05"/>
    <w:rsid w:val="00E2429B"/>
    <w:rsid w:val="00E248BF"/>
    <w:rsid w:val="00E253F4"/>
    <w:rsid w:val="00E26018"/>
    <w:rsid w:val="00E26D9C"/>
    <w:rsid w:val="00E2772D"/>
    <w:rsid w:val="00E322E7"/>
    <w:rsid w:val="00E33A8F"/>
    <w:rsid w:val="00E34455"/>
    <w:rsid w:val="00E344A7"/>
    <w:rsid w:val="00E35737"/>
    <w:rsid w:val="00E36041"/>
    <w:rsid w:val="00E36969"/>
    <w:rsid w:val="00E37B47"/>
    <w:rsid w:val="00E37D55"/>
    <w:rsid w:val="00E41987"/>
    <w:rsid w:val="00E426B6"/>
    <w:rsid w:val="00E42777"/>
    <w:rsid w:val="00E4337C"/>
    <w:rsid w:val="00E439DE"/>
    <w:rsid w:val="00E451C7"/>
    <w:rsid w:val="00E463F0"/>
    <w:rsid w:val="00E47DF5"/>
    <w:rsid w:val="00E50FC5"/>
    <w:rsid w:val="00E5155C"/>
    <w:rsid w:val="00E53EF6"/>
    <w:rsid w:val="00E54075"/>
    <w:rsid w:val="00E54AC6"/>
    <w:rsid w:val="00E5536A"/>
    <w:rsid w:val="00E5713B"/>
    <w:rsid w:val="00E6007D"/>
    <w:rsid w:val="00E60C68"/>
    <w:rsid w:val="00E61831"/>
    <w:rsid w:val="00E64627"/>
    <w:rsid w:val="00E655EE"/>
    <w:rsid w:val="00E65C36"/>
    <w:rsid w:val="00E67AF3"/>
    <w:rsid w:val="00E67D3B"/>
    <w:rsid w:val="00E70168"/>
    <w:rsid w:val="00E7242E"/>
    <w:rsid w:val="00E72BDC"/>
    <w:rsid w:val="00E74D37"/>
    <w:rsid w:val="00E75E9F"/>
    <w:rsid w:val="00E76FAA"/>
    <w:rsid w:val="00E773FD"/>
    <w:rsid w:val="00E8083A"/>
    <w:rsid w:val="00E841E6"/>
    <w:rsid w:val="00E847AB"/>
    <w:rsid w:val="00E84810"/>
    <w:rsid w:val="00E866F6"/>
    <w:rsid w:val="00E9475B"/>
    <w:rsid w:val="00E94F3C"/>
    <w:rsid w:val="00E95339"/>
    <w:rsid w:val="00E974E4"/>
    <w:rsid w:val="00E97773"/>
    <w:rsid w:val="00E97906"/>
    <w:rsid w:val="00EA1326"/>
    <w:rsid w:val="00EA1AB6"/>
    <w:rsid w:val="00EA1B0C"/>
    <w:rsid w:val="00EA2128"/>
    <w:rsid w:val="00EA225C"/>
    <w:rsid w:val="00EA2AB0"/>
    <w:rsid w:val="00EA2C45"/>
    <w:rsid w:val="00EA4380"/>
    <w:rsid w:val="00EA5188"/>
    <w:rsid w:val="00EA596E"/>
    <w:rsid w:val="00EA5DC6"/>
    <w:rsid w:val="00EB036F"/>
    <w:rsid w:val="00EB0E57"/>
    <w:rsid w:val="00EB114E"/>
    <w:rsid w:val="00EB18BE"/>
    <w:rsid w:val="00EB1DBB"/>
    <w:rsid w:val="00EB2C0F"/>
    <w:rsid w:val="00EB4821"/>
    <w:rsid w:val="00EB4921"/>
    <w:rsid w:val="00EB4E84"/>
    <w:rsid w:val="00EB5BAC"/>
    <w:rsid w:val="00EB68A3"/>
    <w:rsid w:val="00EC09A8"/>
    <w:rsid w:val="00EC0BA1"/>
    <w:rsid w:val="00EC1E94"/>
    <w:rsid w:val="00EC1F06"/>
    <w:rsid w:val="00EC24F5"/>
    <w:rsid w:val="00EC2AC7"/>
    <w:rsid w:val="00EC2F09"/>
    <w:rsid w:val="00EC3358"/>
    <w:rsid w:val="00EC3AAC"/>
    <w:rsid w:val="00EC6DDA"/>
    <w:rsid w:val="00ED045D"/>
    <w:rsid w:val="00ED0CC8"/>
    <w:rsid w:val="00ED11D7"/>
    <w:rsid w:val="00ED1AC9"/>
    <w:rsid w:val="00ED22DC"/>
    <w:rsid w:val="00ED4A74"/>
    <w:rsid w:val="00ED4AB1"/>
    <w:rsid w:val="00ED502D"/>
    <w:rsid w:val="00EE0102"/>
    <w:rsid w:val="00EE1C2E"/>
    <w:rsid w:val="00EE3AA0"/>
    <w:rsid w:val="00EE3C13"/>
    <w:rsid w:val="00EE3D4E"/>
    <w:rsid w:val="00EE501E"/>
    <w:rsid w:val="00EE531F"/>
    <w:rsid w:val="00EE5A6D"/>
    <w:rsid w:val="00EF0AFB"/>
    <w:rsid w:val="00EF2DBE"/>
    <w:rsid w:val="00EF5437"/>
    <w:rsid w:val="00EF588E"/>
    <w:rsid w:val="00F011A3"/>
    <w:rsid w:val="00F02A78"/>
    <w:rsid w:val="00F0362E"/>
    <w:rsid w:val="00F0384E"/>
    <w:rsid w:val="00F07A05"/>
    <w:rsid w:val="00F10BF9"/>
    <w:rsid w:val="00F123DF"/>
    <w:rsid w:val="00F125CD"/>
    <w:rsid w:val="00F13F8F"/>
    <w:rsid w:val="00F1452B"/>
    <w:rsid w:val="00F15316"/>
    <w:rsid w:val="00F16F14"/>
    <w:rsid w:val="00F220B5"/>
    <w:rsid w:val="00F223FA"/>
    <w:rsid w:val="00F2400D"/>
    <w:rsid w:val="00F2618A"/>
    <w:rsid w:val="00F26562"/>
    <w:rsid w:val="00F26F0A"/>
    <w:rsid w:val="00F30455"/>
    <w:rsid w:val="00F30FCE"/>
    <w:rsid w:val="00F31710"/>
    <w:rsid w:val="00F320B7"/>
    <w:rsid w:val="00F32908"/>
    <w:rsid w:val="00F3295B"/>
    <w:rsid w:val="00F348AF"/>
    <w:rsid w:val="00F36A45"/>
    <w:rsid w:val="00F37379"/>
    <w:rsid w:val="00F377F0"/>
    <w:rsid w:val="00F40AD3"/>
    <w:rsid w:val="00F41205"/>
    <w:rsid w:val="00F41813"/>
    <w:rsid w:val="00F41A4D"/>
    <w:rsid w:val="00F442BA"/>
    <w:rsid w:val="00F456B3"/>
    <w:rsid w:val="00F45B9A"/>
    <w:rsid w:val="00F45C7E"/>
    <w:rsid w:val="00F468BF"/>
    <w:rsid w:val="00F504A9"/>
    <w:rsid w:val="00F544B0"/>
    <w:rsid w:val="00F56310"/>
    <w:rsid w:val="00F569B6"/>
    <w:rsid w:val="00F60810"/>
    <w:rsid w:val="00F60953"/>
    <w:rsid w:val="00F652C9"/>
    <w:rsid w:val="00F673D9"/>
    <w:rsid w:val="00F67730"/>
    <w:rsid w:val="00F67836"/>
    <w:rsid w:val="00F70550"/>
    <w:rsid w:val="00F7220D"/>
    <w:rsid w:val="00F72E5F"/>
    <w:rsid w:val="00F73798"/>
    <w:rsid w:val="00F74740"/>
    <w:rsid w:val="00F75917"/>
    <w:rsid w:val="00F77F34"/>
    <w:rsid w:val="00F80237"/>
    <w:rsid w:val="00F818DD"/>
    <w:rsid w:val="00F82122"/>
    <w:rsid w:val="00F82551"/>
    <w:rsid w:val="00F837DF"/>
    <w:rsid w:val="00F86E66"/>
    <w:rsid w:val="00F87D12"/>
    <w:rsid w:val="00F87F3A"/>
    <w:rsid w:val="00F90AAB"/>
    <w:rsid w:val="00F91365"/>
    <w:rsid w:val="00F91556"/>
    <w:rsid w:val="00F915D6"/>
    <w:rsid w:val="00F92DEA"/>
    <w:rsid w:val="00F9462B"/>
    <w:rsid w:val="00F949FA"/>
    <w:rsid w:val="00F96A3C"/>
    <w:rsid w:val="00FA11F2"/>
    <w:rsid w:val="00FA1A2B"/>
    <w:rsid w:val="00FA47C4"/>
    <w:rsid w:val="00FA5247"/>
    <w:rsid w:val="00FA65D2"/>
    <w:rsid w:val="00FA6D1C"/>
    <w:rsid w:val="00FA7175"/>
    <w:rsid w:val="00FA71AF"/>
    <w:rsid w:val="00FB0E8A"/>
    <w:rsid w:val="00FB1FCC"/>
    <w:rsid w:val="00FB29D5"/>
    <w:rsid w:val="00FB418B"/>
    <w:rsid w:val="00FB456E"/>
    <w:rsid w:val="00FB468B"/>
    <w:rsid w:val="00FB653E"/>
    <w:rsid w:val="00FB78A0"/>
    <w:rsid w:val="00FB7CD6"/>
    <w:rsid w:val="00FC0005"/>
    <w:rsid w:val="00FC0735"/>
    <w:rsid w:val="00FC11A8"/>
    <w:rsid w:val="00FC1C37"/>
    <w:rsid w:val="00FC2CEB"/>
    <w:rsid w:val="00FC32BF"/>
    <w:rsid w:val="00FC3F04"/>
    <w:rsid w:val="00FC4994"/>
    <w:rsid w:val="00FC4B31"/>
    <w:rsid w:val="00FD2E4B"/>
    <w:rsid w:val="00FD4883"/>
    <w:rsid w:val="00FD64A6"/>
    <w:rsid w:val="00FD6542"/>
    <w:rsid w:val="00FD734B"/>
    <w:rsid w:val="00FE00DB"/>
    <w:rsid w:val="00FE09B6"/>
    <w:rsid w:val="00FE0FEA"/>
    <w:rsid w:val="00FE18F0"/>
    <w:rsid w:val="00FE2470"/>
    <w:rsid w:val="00FE24C0"/>
    <w:rsid w:val="00FE2CBD"/>
    <w:rsid w:val="00FE30D7"/>
    <w:rsid w:val="00FE4283"/>
    <w:rsid w:val="00FE5182"/>
    <w:rsid w:val="00FF1FF1"/>
    <w:rsid w:val="00FF261C"/>
    <w:rsid w:val="00FF2E03"/>
    <w:rsid w:val="00FF2FD5"/>
    <w:rsid w:val="00FF3683"/>
    <w:rsid w:val="00FF3C37"/>
    <w:rsid w:val="00FF544E"/>
    <w:rsid w:val="00FF73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73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9" w:uiPriority="39"/>
    <w:lsdException w:name="Normal Indent" w:qFormat="1"/>
    <w:lsdException w:name="header" w:qFormat="1"/>
    <w:lsdException w:name="footer" w:qFormat="1"/>
    <w:lsdException w:name="caption" w:qFormat="1"/>
    <w:lsdException w:name="footnote reference" w:uiPriority="99"/>
    <w:lsdException w:name="List 3" w:semiHidden="0" w:unhideWhenUsed="0"/>
    <w:lsdException w:name="List 4" w:semiHidden="0" w:unhideWhenUsed="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HTML Cite" w:uiPriority="99"/>
    <w:lsdException w:name="No List"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915DEA"/>
    <w:pPr>
      <w:spacing w:before="100" w:line="288" w:lineRule="auto"/>
    </w:pPr>
    <w:rPr>
      <w:rFonts w:ascii="Arial" w:hAnsi="Arial"/>
      <w:lang w:val="en-AU" w:eastAsia="en-US"/>
    </w:rPr>
  </w:style>
  <w:style w:type="paragraph" w:styleId="Heading1">
    <w:name w:val="heading 1"/>
    <w:basedOn w:val="Normal"/>
    <w:next w:val="Normal"/>
    <w:link w:val="Heading1Char"/>
    <w:qFormat/>
    <w:rsid w:val="00386FEF"/>
    <w:pPr>
      <w:keepNext/>
      <w:keepLines/>
      <w:spacing w:before="480"/>
      <w:outlineLvl w:val="0"/>
    </w:pPr>
    <w:rPr>
      <w:rFonts w:asciiTheme="majorHAnsi" w:eastAsiaTheme="majorEastAsia" w:hAnsiTheme="majorHAnsi" w:cstheme="majorBidi"/>
      <w:b/>
      <w:bCs/>
      <w:color w:val="830046" w:themeColor="accent1" w:themeShade="BF"/>
      <w:sz w:val="28"/>
      <w:szCs w:val="28"/>
    </w:rPr>
  </w:style>
  <w:style w:type="paragraph" w:styleId="Heading2">
    <w:name w:val="heading 2"/>
    <w:basedOn w:val="Normal"/>
    <w:next w:val="Normal"/>
    <w:link w:val="Heading2Char"/>
    <w:qFormat/>
    <w:rsid w:val="00A83B51"/>
    <w:pPr>
      <w:keepNext/>
      <w:keepLines/>
      <w:spacing w:before="200"/>
      <w:outlineLvl w:val="1"/>
    </w:pPr>
    <w:rPr>
      <w:rFonts w:asciiTheme="majorHAnsi" w:eastAsiaTheme="majorEastAsia" w:hAnsiTheme="majorHAnsi" w:cstheme="majorBidi"/>
      <w:b/>
      <w:bCs/>
      <w:color w:val="AF005F"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4">
    <w:name w:val="bullet 4"/>
    <w:basedOn w:val="Normal"/>
    <w:rsid w:val="00097071"/>
    <w:pPr>
      <w:numPr>
        <w:numId w:val="1"/>
      </w:numPr>
      <w:tabs>
        <w:tab w:val="clear" w:pos="2608"/>
        <w:tab w:val="num" w:pos="360"/>
      </w:tabs>
      <w:spacing w:after="140" w:line="290" w:lineRule="auto"/>
      <w:ind w:left="0" w:firstLine="0"/>
      <w:jc w:val="both"/>
      <w:outlineLvl w:val="3"/>
    </w:pPr>
    <w:rPr>
      <w:kern w:val="20"/>
    </w:rPr>
  </w:style>
  <w:style w:type="paragraph" w:customStyle="1" w:styleId="bullet5">
    <w:name w:val="bullet 5"/>
    <w:basedOn w:val="Normal"/>
    <w:rsid w:val="00097071"/>
    <w:pPr>
      <w:numPr>
        <w:numId w:val="2"/>
      </w:numPr>
      <w:spacing w:after="140" w:line="290" w:lineRule="auto"/>
      <w:jc w:val="both"/>
      <w:outlineLvl w:val="4"/>
    </w:pPr>
    <w:rPr>
      <w:kern w:val="20"/>
    </w:rPr>
  </w:style>
  <w:style w:type="paragraph" w:styleId="Title">
    <w:name w:val="Title"/>
    <w:basedOn w:val="Normal"/>
    <w:qFormat/>
    <w:rsid w:val="00915DEA"/>
    <w:pPr>
      <w:keepNext/>
      <w:spacing w:before="0" w:after="60"/>
    </w:pPr>
    <w:rPr>
      <w:sz w:val="32"/>
    </w:rPr>
  </w:style>
  <w:style w:type="paragraph" w:styleId="Footer">
    <w:name w:val="footer"/>
    <w:basedOn w:val="Normal"/>
    <w:link w:val="FooterChar"/>
    <w:qFormat/>
    <w:rsid w:val="00915DEA"/>
    <w:pPr>
      <w:spacing w:before="40" w:line="240" w:lineRule="auto"/>
    </w:pPr>
    <w:rPr>
      <w:sz w:val="16"/>
    </w:rPr>
  </w:style>
  <w:style w:type="character" w:styleId="FootnoteReference">
    <w:name w:val="footnote reference"/>
    <w:uiPriority w:val="99"/>
    <w:rsid w:val="00097071"/>
    <w:rPr>
      <w:rFonts w:ascii="Arial" w:hAnsi="Arial"/>
      <w:kern w:val="2"/>
      <w:vertAlign w:val="superscript"/>
      <w:lang w:val="id-ID"/>
    </w:rPr>
  </w:style>
  <w:style w:type="paragraph" w:styleId="FootnoteText">
    <w:name w:val="footnote text"/>
    <w:basedOn w:val="Normal"/>
    <w:rsid w:val="00915DEA"/>
    <w:rPr>
      <w:sz w:val="16"/>
    </w:rPr>
  </w:style>
  <w:style w:type="paragraph" w:styleId="Header">
    <w:name w:val="header"/>
    <w:basedOn w:val="Normal"/>
    <w:qFormat/>
    <w:rsid w:val="00915DEA"/>
    <w:pPr>
      <w:spacing w:before="0" w:line="240" w:lineRule="auto"/>
    </w:pPr>
    <w:rPr>
      <w:sz w:val="16"/>
    </w:rPr>
  </w:style>
  <w:style w:type="character" w:styleId="Hyperlink">
    <w:name w:val="Hyperlink"/>
    <w:uiPriority w:val="99"/>
    <w:rsid w:val="00915DEA"/>
    <w:rPr>
      <w:color w:val="0000FF"/>
      <w:u w:val="single"/>
    </w:rPr>
  </w:style>
  <w:style w:type="paragraph" w:styleId="TOC1">
    <w:name w:val="toc 1"/>
    <w:basedOn w:val="Normal"/>
    <w:next w:val="TOC2"/>
    <w:uiPriority w:val="39"/>
    <w:qFormat/>
    <w:rsid w:val="00915DEA"/>
    <w:pPr>
      <w:tabs>
        <w:tab w:val="right" w:pos="9354"/>
      </w:tabs>
      <w:spacing w:line="240" w:lineRule="auto"/>
      <w:ind w:left="709" w:hanging="709"/>
    </w:pPr>
    <w:rPr>
      <w:rFonts w:ascii="Arial Bold" w:hAnsi="Arial Bold"/>
      <w:b/>
      <w:noProof/>
    </w:rPr>
  </w:style>
  <w:style w:type="paragraph" w:styleId="TOC2">
    <w:name w:val="toc 2"/>
    <w:basedOn w:val="Normal"/>
    <w:uiPriority w:val="39"/>
    <w:qFormat/>
    <w:rsid w:val="00915DEA"/>
    <w:pPr>
      <w:tabs>
        <w:tab w:val="right" w:pos="9354"/>
      </w:tabs>
      <w:spacing w:before="60" w:line="240" w:lineRule="auto"/>
      <w:ind w:left="1418" w:hanging="709"/>
    </w:pPr>
    <w:rPr>
      <w:noProof/>
    </w:rPr>
  </w:style>
  <w:style w:type="table" w:styleId="TableGrid">
    <w:name w:val="Table Grid"/>
    <w:basedOn w:val="TableNormal"/>
    <w:rsid w:val="00915DEA"/>
    <w:rPr>
      <w:rFonts w:asciiTheme="minorHAnsi" w:eastAsiaTheme="minorHAnsi" w:hAnsiTheme="minorHAnsi" w:cstheme="minorBidi"/>
      <w:sz w:val="22"/>
      <w:szCs w:val="22"/>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lensHeading1">
    <w:name w:val="Allens Heading 1"/>
    <w:basedOn w:val="Normal"/>
    <w:next w:val="AllensHeading2"/>
    <w:qFormat/>
    <w:rsid w:val="00915DEA"/>
    <w:pPr>
      <w:keepNext/>
      <w:numPr>
        <w:numId w:val="5"/>
      </w:numPr>
      <w:spacing w:before="200"/>
      <w:outlineLvl w:val="0"/>
    </w:pPr>
    <w:rPr>
      <w:b/>
      <w:sz w:val="22"/>
    </w:rPr>
  </w:style>
  <w:style w:type="paragraph" w:customStyle="1" w:styleId="AllensHeading2">
    <w:name w:val="Allens Heading 2"/>
    <w:basedOn w:val="Normal"/>
    <w:next w:val="NormalIndent"/>
    <w:qFormat/>
    <w:rsid w:val="00915DEA"/>
    <w:pPr>
      <w:keepNext/>
      <w:numPr>
        <w:ilvl w:val="1"/>
        <w:numId w:val="5"/>
      </w:numPr>
      <w:spacing w:before="160"/>
      <w:outlineLvl w:val="1"/>
    </w:pPr>
    <w:rPr>
      <w:b/>
      <w:sz w:val="21"/>
    </w:rPr>
  </w:style>
  <w:style w:type="paragraph" w:styleId="NormalIndent">
    <w:name w:val="Normal Indent"/>
    <w:basedOn w:val="Normal"/>
    <w:rsid w:val="00915DEA"/>
    <w:pPr>
      <w:ind w:left="709"/>
    </w:pPr>
  </w:style>
  <w:style w:type="paragraph" w:customStyle="1" w:styleId="AllensHeading3">
    <w:name w:val="Allens Heading 3"/>
    <w:basedOn w:val="Normal"/>
    <w:qFormat/>
    <w:rsid w:val="00915DEA"/>
    <w:pPr>
      <w:numPr>
        <w:ilvl w:val="2"/>
        <w:numId w:val="5"/>
      </w:numPr>
    </w:pPr>
  </w:style>
  <w:style w:type="paragraph" w:customStyle="1" w:styleId="AllensHeading4">
    <w:name w:val="Allens Heading 4"/>
    <w:basedOn w:val="Normal"/>
    <w:qFormat/>
    <w:rsid w:val="00915DEA"/>
    <w:pPr>
      <w:numPr>
        <w:ilvl w:val="3"/>
        <w:numId w:val="5"/>
      </w:numPr>
      <w:ind w:left="2127" w:hanging="709"/>
    </w:pPr>
  </w:style>
  <w:style w:type="paragraph" w:customStyle="1" w:styleId="AllensHeading5">
    <w:name w:val="Allens Heading 5"/>
    <w:basedOn w:val="Normal"/>
    <w:qFormat/>
    <w:rsid w:val="00915DEA"/>
    <w:pPr>
      <w:numPr>
        <w:ilvl w:val="4"/>
        <w:numId w:val="5"/>
      </w:numPr>
    </w:pPr>
  </w:style>
  <w:style w:type="paragraph" w:customStyle="1" w:styleId="AllensHeading6">
    <w:name w:val="Allens Heading 6"/>
    <w:basedOn w:val="Normal"/>
    <w:qFormat/>
    <w:rsid w:val="00915DEA"/>
    <w:pPr>
      <w:numPr>
        <w:ilvl w:val="5"/>
        <w:numId w:val="5"/>
      </w:numPr>
    </w:pPr>
  </w:style>
  <w:style w:type="paragraph" w:styleId="BodyText">
    <w:name w:val="Body Text"/>
    <w:basedOn w:val="Normal"/>
    <w:qFormat/>
    <w:rsid w:val="00915DEA"/>
    <w:pPr>
      <w:spacing w:before="0" w:line="240" w:lineRule="auto"/>
    </w:pPr>
  </w:style>
  <w:style w:type="paragraph" w:customStyle="1" w:styleId="Bullet1">
    <w:name w:val="Bullet 1"/>
    <w:basedOn w:val="Normal"/>
    <w:qFormat/>
    <w:rsid w:val="00915DEA"/>
    <w:pPr>
      <w:numPr>
        <w:numId w:val="6"/>
      </w:numPr>
    </w:pPr>
    <w:rPr>
      <w:lang w:eastAsia="en-AU"/>
    </w:rPr>
  </w:style>
  <w:style w:type="paragraph" w:customStyle="1" w:styleId="Bullet2">
    <w:name w:val="Bullet 2"/>
    <w:basedOn w:val="Normal"/>
    <w:qFormat/>
    <w:rsid w:val="001B1CE3"/>
    <w:pPr>
      <w:numPr>
        <w:ilvl w:val="1"/>
        <w:numId w:val="6"/>
      </w:numPr>
      <w:tabs>
        <w:tab w:val="num" w:pos="2127"/>
      </w:tabs>
      <w:ind w:left="2127"/>
    </w:pPr>
  </w:style>
  <w:style w:type="paragraph" w:customStyle="1" w:styleId="Bullet3">
    <w:name w:val="Bullet 3"/>
    <w:basedOn w:val="Normal"/>
    <w:qFormat/>
    <w:rsid w:val="00581781"/>
    <w:pPr>
      <w:numPr>
        <w:ilvl w:val="2"/>
        <w:numId w:val="6"/>
      </w:numPr>
    </w:pPr>
    <w:rPr>
      <w:lang w:val="en-GB"/>
    </w:rPr>
  </w:style>
  <w:style w:type="paragraph" w:customStyle="1" w:styleId="ContentsHeading">
    <w:name w:val="Contents Heading"/>
    <w:basedOn w:val="Normal"/>
    <w:next w:val="Normal"/>
    <w:qFormat/>
    <w:rsid w:val="00915DEA"/>
    <w:pPr>
      <w:spacing w:before="0"/>
    </w:pPr>
    <w:rPr>
      <w:b/>
      <w:sz w:val="22"/>
    </w:rPr>
  </w:style>
  <w:style w:type="paragraph" w:customStyle="1" w:styleId="HeaderTitle">
    <w:name w:val="Header Title"/>
    <w:basedOn w:val="Normal"/>
    <w:qFormat/>
    <w:rsid w:val="00915DEA"/>
    <w:pPr>
      <w:spacing w:before="60" w:line="240" w:lineRule="auto"/>
    </w:pPr>
    <w:rPr>
      <w:noProof/>
    </w:rPr>
  </w:style>
  <w:style w:type="numbering" w:customStyle="1" w:styleId="engage">
    <w:name w:val="engage"/>
    <w:pPr>
      <w:numPr>
        <w:numId w:val="3"/>
      </w:numPr>
    </w:pPr>
  </w:style>
  <w:style w:type="character" w:customStyle="1" w:styleId="Heading2Char">
    <w:name w:val="Heading 2 Char"/>
    <w:basedOn w:val="DefaultParagraphFont"/>
    <w:link w:val="Heading2"/>
    <w:rsid w:val="00A83B51"/>
    <w:rPr>
      <w:rFonts w:asciiTheme="majorHAnsi" w:eastAsiaTheme="majorEastAsia" w:hAnsiTheme="majorHAnsi" w:cstheme="majorBidi"/>
      <w:b/>
      <w:bCs/>
      <w:color w:val="AF005F" w:themeColor="accent1"/>
      <w:sz w:val="26"/>
      <w:szCs w:val="26"/>
      <w:lang w:val="en-AU" w:eastAsia="en-US"/>
    </w:rPr>
  </w:style>
  <w:style w:type="character" w:customStyle="1" w:styleId="Heading1Char">
    <w:name w:val="Heading 1 Char"/>
    <w:basedOn w:val="DefaultParagraphFont"/>
    <w:link w:val="Heading1"/>
    <w:rsid w:val="00386FEF"/>
    <w:rPr>
      <w:rFonts w:asciiTheme="majorHAnsi" w:eastAsiaTheme="majorEastAsia" w:hAnsiTheme="majorHAnsi" w:cstheme="majorBidi"/>
      <w:b/>
      <w:bCs/>
      <w:color w:val="830046" w:themeColor="accent1" w:themeShade="BF"/>
      <w:sz w:val="28"/>
      <w:szCs w:val="28"/>
      <w:lang w:val="en-AU" w:eastAsia="en-US"/>
    </w:rPr>
  </w:style>
  <w:style w:type="paragraph" w:customStyle="1" w:styleId="GeneralHeading1">
    <w:name w:val="General Heading 1"/>
    <w:basedOn w:val="Normal"/>
    <w:next w:val="Normal"/>
    <w:qFormat/>
    <w:rsid w:val="00542009"/>
    <w:pPr>
      <w:keepNext/>
      <w:spacing w:before="200"/>
    </w:pPr>
    <w:rPr>
      <w:b/>
      <w:sz w:val="22"/>
      <w:lang w:eastAsia="en-AU"/>
    </w:rPr>
  </w:style>
  <w:style w:type="table" w:customStyle="1" w:styleId="TableGrid1">
    <w:name w:val="Table Grid1"/>
    <w:basedOn w:val="TableNormal"/>
    <w:next w:val="TableGrid"/>
    <w:rsid w:val="00542009"/>
    <w:rPr>
      <w:rFonts w:ascii="Arial" w:hAnsi="Arial"/>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semiHidden/>
    <w:unhideWhenUsed/>
    <w:rsid w:val="00865E57"/>
    <w:rPr>
      <w:color w:val="ECC4DA" w:themeColor="followedHyperlink"/>
      <w:u w:val="single"/>
    </w:rPr>
  </w:style>
  <w:style w:type="character" w:customStyle="1" w:styleId="FooterChar">
    <w:name w:val="Footer Char"/>
    <w:basedOn w:val="DefaultParagraphFont"/>
    <w:link w:val="Footer"/>
    <w:rsid w:val="00EB68A3"/>
    <w:rPr>
      <w:rFonts w:ascii="Arial" w:hAnsi="Arial"/>
      <w:sz w:val="16"/>
      <w:lang w:val="en-AU" w:eastAsia="en-US"/>
    </w:rPr>
  </w:style>
  <w:style w:type="paragraph" w:styleId="BalloonText">
    <w:name w:val="Balloon Text"/>
    <w:basedOn w:val="Normal"/>
    <w:link w:val="BalloonTextChar"/>
    <w:semiHidden/>
    <w:unhideWhenUsed/>
    <w:rsid w:val="00744F0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44F01"/>
    <w:rPr>
      <w:rFonts w:ascii="Tahoma" w:hAnsi="Tahoma" w:cs="Tahoma"/>
      <w:sz w:val="16"/>
      <w:szCs w:val="16"/>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9" w:uiPriority="39"/>
    <w:lsdException w:name="Normal Indent" w:qFormat="1"/>
    <w:lsdException w:name="header" w:qFormat="1"/>
    <w:lsdException w:name="footer" w:qFormat="1"/>
    <w:lsdException w:name="caption" w:qFormat="1"/>
    <w:lsdException w:name="footnote reference" w:uiPriority="99"/>
    <w:lsdException w:name="List 3" w:semiHidden="0" w:unhideWhenUsed="0"/>
    <w:lsdException w:name="List 4" w:semiHidden="0" w:unhideWhenUsed="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HTML Cite" w:uiPriority="99"/>
    <w:lsdException w:name="No List"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915DEA"/>
    <w:pPr>
      <w:spacing w:before="100" w:line="288" w:lineRule="auto"/>
    </w:pPr>
    <w:rPr>
      <w:rFonts w:ascii="Arial" w:hAnsi="Arial"/>
      <w:lang w:val="en-AU" w:eastAsia="en-US"/>
    </w:rPr>
  </w:style>
  <w:style w:type="paragraph" w:styleId="Heading1">
    <w:name w:val="heading 1"/>
    <w:basedOn w:val="Normal"/>
    <w:next w:val="Normal"/>
    <w:link w:val="Heading1Char"/>
    <w:qFormat/>
    <w:rsid w:val="00386FEF"/>
    <w:pPr>
      <w:keepNext/>
      <w:keepLines/>
      <w:spacing w:before="480"/>
      <w:outlineLvl w:val="0"/>
    </w:pPr>
    <w:rPr>
      <w:rFonts w:asciiTheme="majorHAnsi" w:eastAsiaTheme="majorEastAsia" w:hAnsiTheme="majorHAnsi" w:cstheme="majorBidi"/>
      <w:b/>
      <w:bCs/>
      <w:color w:val="830046" w:themeColor="accent1" w:themeShade="BF"/>
      <w:sz w:val="28"/>
      <w:szCs w:val="28"/>
    </w:rPr>
  </w:style>
  <w:style w:type="paragraph" w:styleId="Heading2">
    <w:name w:val="heading 2"/>
    <w:basedOn w:val="Normal"/>
    <w:next w:val="Normal"/>
    <w:link w:val="Heading2Char"/>
    <w:qFormat/>
    <w:rsid w:val="00A83B51"/>
    <w:pPr>
      <w:keepNext/>
      <w:keepLines/>
      <w:spacing w:before="200"/>
      <w:outlineLvl w:val="1"/>
    </w:pPr>
    <w:rPr>
      <w:rFonts w:asciiTheme="majorHAnsi" w:eastAsiaTheme="majorEastAsia" w:hAnsiTheme="majorHAnsi" w:cstheme="majorBidi"/>
      <w:b/>
      <w:bCs/>
      <w:color w:val="AF005F"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4">
    <w:name w:val="bullet 4"/>
    <w:basedOn w:val="Normal"/>
    <w:rsid w:val="00097071"/>
    <w:pPr>
      <w:numPr>
        <w:numId w:val="1"/>
      </w:numPr>
      <w:tabs>
        <w:tab w:val="clear" w:pos="2608"/>
        <w:tab w:val="num" w:pos="360"/>
      </w:tabs>
      <w:spacing w:after="140" w:line="290" w:lineRule="auto"/>
      <w:ind w:left="0" w:firstLine="0"/>
      <w:jc w:val="both"/>
      <w:outlineLvl w:val="3"/>
    </w:pPr>
    <w:rPr>
      <w:kern w:val="20"/>
    </w:rPr>
  </w:style>
  <w:style w:type="paragraph" w:customStyle="1" w:styleId="bullet5">
    <w:name w:val="bullet 5"/>
    <w:basedOn w:val="Normal"/>
    <w:rsid w:val="00097071"/>
    <w:pPr>
      <w:numPr>
        <w:numId w:val="2"/>
      </w:numPr>
      <w:spacing w:after="140" w:line="290" w:lineRule="auto"/>
      <w:jc w:val="both"/>
      <w:outlineLvl w:val="4"/>
    </w:pPr>
    <w:rPr>
      <w:kern w:val="20"/>
    </w:rPr>
  </w:style>
  <w:style w:type="paragraph" w:styleId="Title">
    <w:name w:val="Title"/>
    <w:basedOn w:val="Normal"/>
    <w:qFormat/>
    <w:rsid w:val="00915DEA"/>
    <w:pPr>
      <w:keepNext/>
      <w:spacing w:before="0" w:after="60"/>
    </w:pPr>
    <w:rPr>
      <w:sz w:val="32"/>
    </w:rPr>
  </w:style>
  <w:style w:type="paragraph" w:styleId="Footer">
    <w:name w:val="footer"/>
    <w:basedOn w:val="Normal"/>
    <w:link w:val="FooterChar"/>
    <w:qFormat/>
    <w:rsid w:val="00915DEA"/>
    <w:pPr>
      <w:spacing w:before="40" w:line="240" w:lineRule="auto"/>
    </w:pPr>
    <w:rPr>
      <w:sz w:val="16"/>
    </w:rPr>
  </w:style>
  <w:style w:type="character" w:styleId="FootnoteReference">
    <w:name w:val="footnote reference"/>
    <w:uiPriority w:val="99"/>
    <w:rsid w:val="00097071"/>
    <w:rPr>
      <w:rFonts w:ascii="Arial" w:hAnsi="Arial"/>
      <w:kern w:val="2"/>
      <w:vertAlign w:val="superscript"/>
      <w:lang w:val="id-ID"/>
    </w:rPr>
  </w:style>
  <w:style w:type="paragraph" w:styleId="FootnoteText">
    <w:name w:val="footnote text"/>
    <w:basedOn w:val="Normal"/>
    <w:rsid w:val="00915DEA"/>
    <w:rPr>
      <w:sz w:val="16"/>
    </w:rPr>
  </w:style>
  <w:style w:type="paragraph" w:styleId="Header">
    <w:name w:val="header"/>
    <w:basedOn w:val="Normal"/>
    <w:qFormat/>
    <w:rsid w:val="00915DEA"/>
    <w:pPr>
      <w:spacing w:before="0" w:line="240" w:lineRule="auto"/>
    </w:pPr>
    <w:rPr>
      <w:sz w:val="16"/>
    </w:rPr>
  </w:style>
  <w:style w:type="character" w:styleId="Hyperlink">
    <w:name w:val="Hyperlink"/>
    <w:uiPriority w:val="99"/>
    <w:rsid w:val="00915DEA"/>
    <w:rPr>
      <w:color w:val="0000FF"/>
      <w:u w:val="single"/>
    </w:rPr>
  </w:style>
  <w:style w:type="paragraph" w:styleId="TOC1">
    <w:name w:val="toc 1"/>
    <w:basedOn w:val="Normal"/>
    <w:next w:val="TOC2"/>
    <w:uiPriority w:val="39"/>
    <w:qFormat/>
    <w:rsid w:val="00915DEA"/>
    <w:pPr>
      <w:tabs>
        <w:tab w:val="right" w:pos="9354"/>
      </w:tabs>
      <w:spacing w:line="240" w:lineRule="auto"/>
      <w:ind w:left="709" w:hanging="709"/>
    </w:pPr>
    <w:rPr>
      <w:rFonts w:ascii="Arial Bold" w:hAnsi="Arial Bold"/>
      <w:b/>
      <w:noProof/>
    </w:rPr>
  </w:style>
  <w:style w:type="paragraph" w:styleId="TOC2">
    <w:name w:val="toc 2"/>
    <w:basedOn w:val="Normal"/>
    <w:uiPriority w:val="39"/>
    <w:qFormat/>
    <w:rsid w:val="00915DEA"/>
    <w:pPr>
      <w:tabs>
        <w:tab w:val="right" w:pos="9354"/>
      </w:tabs>
      <w:spacing w:before="60" w:line="240" w:lineRule="auto"/>
      <w:ind w:left="1418" w:hanging="709"/>
    </w:pPr>
    <w:rPr>
      <w:noProof/>
    </w:rPr>
  </w:style>
  <w:style w:type="table" w:styleId="TableGrid">
    <w:name w:val="Table Grid"/>
    <w:basedOn w:val="TableNormal"/>
    <w:rsid w:val="00915DEA"/>
    <w:rPr>
      <w:rFonts w:asciiTheme="minorHAnsi" w:eastAsiaTheme="minorHAnsi" w:hAnsiTheme="minorHAnsi" w:cstheme="minorBidi"/>
      <w:sz w:val="22"/>
      <w:szCs w:val="22"/>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lensHeading1">
    <w:name w:val="Allens Heading 1"/>
    <w:basedOn w:val="Normal"/>
    <w:next w:val="AllensHeading2"/>
    <w:qFormat/>
    <w:rsid w:val="00915DEA"/>
    <w:pPr>
      <w:keepNext/>
      <w:numPr>
        <w:numId w:val="5"/>
      </w:numPr>
      <w:spacing w:before="200"/>
      <w:outlineLvl w:val="0"/>
    </w:pPr>
    <w:rPr>
      <w:b/>
      <w:sz w:val="22"/>
    </w:rPr>
  </w:style>
  <w:style w:type="paragraph" w:customStyle="1" w:styleId="AllensHeading2">
    <w:name w:val="Allens Heading 2"/>
    <w:basedOn w:val="Normal"/>
    <w:next w:val="NormalIndent"/>
    <w:qFormat/>
    <w:rsid w:val="00915DEA"/>
    <w:pPr>
      <w:keepNext/>
      <w:numPr>
        <w:ilvl w:val="1"/>
        <w:numId w:val="5"/>
      </w:numPr>
      <w:spacing w:before="160"/>
      <w:outlineLvl w:val="1"/>
    </w:pPr>
    <w:rPr>
      <w:b/>
      <w:sz w:val="21"/>
    </w:rPr>
  </w:style>
  <w:style w:type="paragraph" w:styleId="NormalIndent">
    <w:name w:val="Normal Indent"/>
    <w:basedOn w:val="Normal"/>
    <w:rsid w:val="00915DEA"/>
    <w:pPr>
      <w:ind w:left="709"/>
    </w:pPr>
  </w:style>
  <w:style w:type="paragraph" w:customStyle="1" w:styleId="AllensHeading3">
    <w:name w:val="Allens Heading 3"/>
    <w:basedOn w:val="Normal"/>
    <w:qFormat/>
    <w:rsid w:val="00915DEA"/>
    <w:pPr>
      <w:numPr>
        <w:ilvl w:val="2"/>
        <w:numId w:val="5"/>
      </w:numPr>
    </w:pPr>
  </w:style>
  <w:style w:type="paragraph" w:customStyle="1" w:styleId="AllensHeading4">
    <w:name w:val="Allens Heading 4"/>
    <w:basedOn w:val="Normal"/>
    <w:qFormat/>
    <w:rsid w:val="00915DEA"/>
    <w:pPr>
      <w:numPr>
        <w:ilvl w:val="3"/>
        <w:numId w:val="5"/>
      </w:numPr>
      <w:ind w:left="2127" w:hanging="709"/>
    </w:pPr>
  </w:style>
  <w:style w:type="paragraph" w:customStyle="1" w:styleId="AllensHeading5">
    <w:name w:val="Allens Heading 5"/>
    <w:basedOn w:val="Normal"/>
    <w:qFormat/>
    <w:rsid w:val="00915DEA"/>
    <w:pPr>
      <w:numPr>
        <w:ilvl w:val="4"/>
        <w:numId w:val="5"/>
      </w:numPr>
    </w:pPr>
  </w:style>
  <w:style w:type="paragraph" w:customStyle="1" w:styleId="AllensHeading6">
    <w:name w:val="Allens Heading 6"/>
    <w:basedOn w:val="Normal"/>
    <w:qFormat/>
    <w:rsid w:val="00915DEA"/>
    <w:pPr>
      <w:numPr>
        <w:ilvl w:val="5"/>
        <w:numId w:val="5"/>
      </w:numPr>
    </w:pPr>
  </w:style>
  <w:style w:type="paragraph" w:styleId="BodyText">
    <w:name w:val="Body Text"/>
    <w:basedOn w:val="Normal"/>
    <w:qFormat/>
    <w:rsid w:val="00915DEA"/>
    <w:pPr>
      <w:spacing w:before="0" w:line="240" w:lineRule="auto"/>
    </w:pPr>
  </w:style>
  <w:style w:type="paragraph" w:customStyle="1" w:styleId="Bullet1">
    <w:name w:val="Bullet 1"/>
    <w:basedOn w:val="Normal"/>
    <w:qFormat/>
    <w:rsid w:val="00915DEA"/>
    <w:pPr>
      <w:numPr>
        <w:numId w:val="6"/>
      </w:numPr>
    </w:pPr>
    <w:rPr>
      <w:lang w:eastAsia="en-AU"/>
    </w:rPr>
  </w:style>
  <w:style w:type="paragraph" w:customStyle="1" w:styleId="Bullet2">
    <w:name w:val="Bullet 2"/>
    <w:basedOn w:val="Normal"/>
    <w:qFormat/>
    <w:rsid w:val="001B1CE3"/>
    <w:pPr>
      <w:numPr>
        <w:ilvl w:val="1"/>
        <w:numId w:val="6"/>
      </w:numPr>
      <w:tabs>
        <w:tab w:val="num" w:pos="2127"/>
      </w:tabs>
      <w:ind w:left="2127"/>
    </w:pPr>
  </w:style>
  <w:style w:type="paragraph" w:customStyle="1" w:styleId="Bullet3">
    <w:name w:val="Bullet 3"/>
    <w:basedOn w:val="Normal"/>
    <w:qFormat/>
    <w:rsid w:val="00581781"/>
    <w:pPr>
      <w:numPr>
        <w:ilvl w:val="2"/>
        <w:numId w:val="6"/>
      </w:numPr>
    </w:pPr>
    <w:rPr>
      <w:lang w:val="en-GB"/>
    </w:rPr>
  </w:style>
  <w:style w:type="paragraph" w:customStyle="1" w:styleId="ContentsHeading">
    <w:name w:val="Contents Heading"/>
    <w:basedOn w:val="Normal"/>
    <w:next w:val="Normal"/>
    <w:qFormat/>
    <w:rsid w:val="00915DEA"/>
    <w:pPr>
      <w:spacing w:before="0"/>
    </w:pPr>
    <w:rPr>
      <w:b/>
      <w:sz w:val="22"/>
    </w:rPr>
  </w:style>
  <w:style w:type="paragraph" w:customStyle="1" w:styleId="HeaderTitle">
    <w:name w:val="Header Title"/>
    <w:basedOn w:val="Normal"/>
    <w:qFormat/>
    <w:rsid w:val="00915DEA"/>
    <w:pPr>
      <w:spacing w:before="60" w:line="240" w:lineRule="auto"/>
    </w:pPr>
    <w:rPr>
      <w:noProof/>
    </w:rPr>
  </w:style>
  <w:style w:type="numbering" w:customStyle="1" w:styleId="engage">
    <w:name w:val="engage"/>
    <w:pPr>
      <w:numPr>
        <w:numId w:val="3"/>
      </w:numPr>
    </w:pPr>
  </w:style>
  <w:style w:type="character" w:customStyle="1" w:styleId="Heading2Char">
    <w:name w:val="Heading 2 Char"/>
    <w:basedOn w:val="DefaultParagraphFont"/>
    <w:link w:val="Heading2"/>
    <w:rsid w:val="00A83B51"/>
    <w:rPr>
      <w:rFonts w:asciiTheme="majorHAnsi" w:eastAsiaTheme="majorEastAsia" w:hAnsiTheme="majorHAnsi" w:cstheme="majorBidi"/>
      <w:b/>
      <w:bCs/>
      <w:color w:val="AF005F" w:themeColor="accent1"/>
      <w:sz w:val="26"/>
      <w:szCs w:val="26"/>
      <w:lang w:val="en-AU" w:eastAsia="en-US"/>
    </w:rPr>
  </w:style>
  <w:style w:type="character" w:customStyle="1" w:styleId="Heading1Char">
    <w:name w:val="Heading 1 Char"/>
    <w:basedOn w:val="DefaultParagraphFont"/>
    <w:link w:val="Heading1"/>
    <w:rsid w:val="00386FEF"/>
    <w:rPr>
      <w:rFonts w:asciiTheme="majorHAnsi" w:eastAsiaTheme="majorEastAsia" w:hAnsiTheme="majorHAnsi" w:cstheme="majorBidi"/>
      <w:b/>
      <w:bCs/>
      <w:color w:val="830046" w:themeColor="accent1" w:themeShade="BF"/>
      <w:sz w:val="28"/>
      <w:szCs w:val="28"/>
      <w:lang w:val="en-AU" w:eastAsia="en-US"/>
    </w:rPr>
  </w:style>
  <w:style w:type="paragraph" w:customStyle="1" w:styleId="GeneralHeading1">
    <w:name w:val="General Heading 1"/>
    <w:basedOn w:val="Normal"/>
    <w:next w:val="Normal"/>
    <w:qFormat/>
    <w:rsid w:val="00542009"/>
    <w:pPr>
      <w:keepNext/>
      <w:spacing w:before="200"/>
    </w:pPr>
    <w:rPr>
      <w:b/>
      <w:sz w:val="22"/>
      <w:lang w:eastAsia="en-AU"/>
    </w:rPr>
  </w:style>
  <w:style w:type="table" w:customStyle="1" w:styleId="TableGrid1">
    <w:name w:val="Table Grid1"/>
    <w:basedOn w:val="TableNormal"/>
    <w:next w:val="TableGrid"/>
    <w:rsid w:val="00542009"/>
    <w:rPr>
      <w:rFonts w:ascii="Arial" w:hAnsi="Arial"/>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semiHidden/>
    <w:unhideWhenUsed/>
    <w:rsid w:val="00865E57"/>
    <w:rPr>
      <w:color w:val="ECC4DA" w:themeColor="followedHyperlink"/>
      <w:u w:val="single"/>
    </w:rPr>
  </w:style>
  <w:style w:type="character" w:customStyle="1" w:styleId="FooterChar">
    <w:name w:val="Footer Char"/>
    <w:basedOn w:val="DefaultParagraphFont"/>
    <w:link w:val="Footer"/>
    <w:rsid w:val="00EB68A3"/>
    <w:rPr>
      <w:rFonts w:ascii="Arial" w:hAnsi="Arial"/>
      <w:sz w:val="16"/>
      <w:lang w:val="en-AU" w:eastAsia="en-US"/>
    </w:rPr>
  </w:style>
  <w:style w:type="paragraph" w:styleId="BalloonText">
    <w:name w:val="Balloon Text"/>
    <w:basedOn w:val="Normal"/>
    <w:link w:val="BalloonTextChar"/>
    <w:semiHidden/>
    <w:unhideWhenUsed/>
    <w:rsid w:val="00744F0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44F01"/>
    <w:rPr>
      <w:rFonts w:ascii="Tahoma" w:hAnsi="Tahoma" w:cs="Tahoma"/>
      <w:sz w:val="16"/>
      <w:szCs w:val="1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318875">
      <w:bodyDiv w:val="1"/>
      <w:marLeft w:val="0"/>
      <w:marRight w:val="0"/>
      <w:marTop w:val="0"/>
      <w:marBottom w:val="0"/>
      <w:divBdr>
        <w:top w:val="none" w:sz="0" w:space="0" w:color="auto"/>
        <w:left w:val="none" w:sz="0" w:space="0" w:color="auto"/>
        <w:bottom w:val="none" w:sz="0" w:space="0" w:color="auto"/>
        <w:right w:val="none" w:sz="0" w:space="0" w:color="auto"/>
      </w:divBdr>
    </w:div>
    <w:div w:id="356930279">
      <w:bodyDiv w:val="1"/>
      <w:marLeft w:val="0"/>
      <w:marRight w:val="0"/>
      <w:marTop w:val="0"/>
      <w:marBottom w:val="0"/>
      <w:divBdr>
        <w:top w:val="none" w:sz="0" w:space="0" w:color="auto"/>
        <w:left w:val="none" w:sz="0" w:space="0" w:color="auto"/>
        <w:bottom w:val="none" w:sz="0" w:space="0" w:color="auto"/>
        <w:right w:val="none" w:sz="0" w:space="0" w:color="auto"/>
      </w:divBdr>
    </w:div>
    <w:div w:id="366876798">
      <w:bodyDiv w:val="1"/>
      <w:marLeft w:val="0"/>
      <w:marRight w:val="0"/>
      <w:marTop w:val="0"/>
      <w:marBottom w:val="0"/>
      <w:divBdr>
        <w:top w:val="none" w:sz="0" w:space="0" w:color="auto"/>
        <w:left w:val="none" w:sz="0" w:space="0" w:color="auto"/>
        <w:bottom w:val="none" w:sz="0" w:space="0" w:color="auto"/>
        <w:right w:val="none" w:sz="0" w:space="0" w:color="auto"/>
      </w:divBdr>
    </w:div>
    <w:div w:id="507255502">
      <w:bodyDiv w:val="1"/>
      <w:marLeft w:val="0"/>
      <w:marRight w:val="0"/>
      <w:marTop w:val="0"/>
      <w:marBottom w:val="0"/>
      <w:divBdr>
        <w:top w:val="none" w:sz="0" w:space="0" w:color="auto"/>
        <w:left w:val="none" w:sz="0" w:space="0" w:color="auto"/>
        <w:bottom w:val="none" w:sz="0" w:space="0" w:color="auto"/>
        <w:right w:val="none" w:sz="0" w:space="0" w:color="auto"/>
      </w:divBdr>
    </w:div>
    <w:div w:id="777412992">
      <w:bodyDiv w:val="1"/>
      <w:marLeft w:val="0"/>
      <w:marRight w:val="0"/>
      <w:marTop w:val="0"/>
      <w:marBottom w:val="0"/>
      <w:divBdr>
        <w:top w:val="none" w:sz="0" w:space="0" w:color="auto"/>
        <w:left w:val="none" w:sz="0" w:space="0" w:color="auto"/>
        <w:bottom w:val="none" w:sz="0" w:space="0" w:color="auto"/>
        <w:right w:val="none" w:sz="0" w:space="0" w:color="auto"/>
      </w:divBdr>
    </w:div>
    <w:div w:id="832524548">
      <w:bodyDiv w:val="1"/>
      <w:marLeft w:val="0"/>
      <w:marRight w:val="0"/>
      <w:marTop w:val="0"/>
      <w:marBottom w:val="0"/>
      <w:divBdr>
        <w:top w:val="none" w:sz="0" w:space="0" w:color="auto"/>
        <w:left w:val="none" w:sz="0" w:space="0" w:color="auto"/>
        <w:bottom w:val="none" w:sz="0" w:space="0" w:color="auto"/>
        <w:right w:val="none" w:sz="0" w:space="0" w:color="auto"/>
      </w:divBdr>
    </w:div>
    <w:div w:id="1079249852">
      <w:bodyDiv w:val="1"/>
      <w:marLeft w:val="0"/>
      <w:marRight w:val="0"/>
      <w:marTop w:val="0"/>
      <w:marBottom w:val="0"/>
      <w:divBdr>
        <w:top w:val="none" w:sz="0" w:space="0" w:color="auto"/>
        <w:left w:val="none" w:sz="0" w:space="0" w:color="auto"/>
        <w:bottom w:val="none" w:sz="0" w:space="0" w:color="auto"/>
        <w:right w:val="none" w:sz="0" w:space="0" w:color="auto"/>
      </w:divBdr>
    </w:div>
    <w:div w:id="1511989282">
      <w:bodyDiv w:val="1"/>
      <w:marLeft w:val="0"/>
      <w:marRight w:val="0"/>
      <w:marTop w:val="0"/>
      <w:marBottom w:val="0"/>
      <w:divBdr>
        <w:top w:val="none" w:sz="0" w:space="0" w:color="auto"/>
        <w:left w:val="none" w:sz="0" w:space="0" w:color="auto"/>
        <w:bottom w:val="none" w:sz="0" w:space="0" w:color="auto"/>
        <w:right w:val="none" w:sz="0" w:space="0" w:color="auto"/>
      </w:divBdr>
    </w:div>
    <w:div w:id="183383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fao.org/faolex/results/details/en/?details=LEX-FAOC003920" TargetMode="External"/><Relationship Id="rId26" Type="http://schemas.openxmlformats.org/officeDocument/2006/relationships/diagramData" Target="diagrams/data2.xml"/><Relationship Id="rId3" Type="http://schemas.openxmlformats.org/officeDocument/2006/relationships/styles" Target="styles.xml"/><Relationship Id="rId21" Type="http://schemas.openxmlformats.org/officeDocument/2006/relationships/diagramData" Target="diagrams/data1.xml"/><Relationship Id="rId7" Type="http://schemas.openxmlformats.org/officeDocument/2006/relationships/footnotes" Target="footnotes.xml"/><Relationship Id="rId12" Type="http://schemas.openxmlformats.org/officeDocument/2006/relationships/hyperlink" Target="http://extwprlegs1.fao.org/docs/pdf/ins163446.pdf" TargetMode="External"/><Relationship Id="rId17" Type="http://schemas.openxmlformats.org/officeDocument/2006/relationships/image" Target="media/image4.gif"/><Relationship Id="rId25" Type="http://schemas.microsoft.com/office/2007/relationships/diagramDrawing" Target="diagrams/drawing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extwprlegs1.fao.org/docs/pdf/ins163446.pdf" TargetMode="External"/><Relationship Id="rId29"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o.org/faolex/results/details/en/c/LEX-FAOC036649/" TargetMode="External"/><Relationship Id="rId24" Type="http://schemas.openxmlformats.org/officeDocument/2006/relationships/diagramColors" Target="diagrams/colors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diagramQuickStyle" Target="diagrams/quickStyle1.xml"/><Relationship Id="rId28" Type="http://schemas.openxmlformats.org/officeDocument/2006/relationships/diagramQuickStyle" Target="diagrams/quickStyle2.xml"/><Relationship Id="rId10" Type="http://schemas.openxmlformats.org/officeDocument/2006/relationships/hyperlink" Target="http://www.fao.org/faolex/results/details/en/?details=LEX-FAOC003920" TargetMode="External"/><Relationship Id="rId19" Type="http://schemas.openxmlformats.org/officeDocument/2006/relationships/hyperlink" Target="http://www.fao.org/faolex/results/details/en/c/LEX-FAOC036649/"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lemarshall@redcross.org.au" TargetMode="External"/><Relationship Id="rId14" Type="http://schemas.openxmlformats.org/officeDocument/2006/relationships/header" Target="header2.xml"/><Relationship Id="rId22" Type="http://schemas.openxmlformats.org/officeDocument/2006/relationships/diagramLayout" Target="diagrams/layout1.xml"/><Relationship Id="rId27" Type="http://schemas.openxmlformats.org/officeDocument/2006/relationships/diagramLayout" Target="diagrams/layout2.xml"/><Relationship Id="rId30" Type="http://schemas.microsoft.com/office/2007/relationships/diagramDrawing" Target="diagrams/drawing2.xml"/></Relationships>
</file>

<file path=word/_rels/footnotes.xml.rels><?xml version="1.0" encoding="UTF-8" standalone="yes"?>
<Relationships xmlns="http://schemas.openxmlformats.org/package/2006/relationships"><Relationship Id="rId3" Type="http://schemas.openxmlformats.org/officeDocument/2006/relationships/hyperlink" Target="http://www.downtoearth-indonesia.org/sites/downtoearth-indonesia.org/files/R-5-Meratus.pdf" TargetMode="External"/><Relationship Id="rId2" Type="http://schemas.openxmlformats.org/officeDocument/2006/relationships/hyperlink" Target="http://eprints.undip.ac.id/15914/1/Torop_Eriyanto_SN.pdf" TargetMode="External"/><Relationship Id="rId1" Type="http://schemas.openxmlformats.org/officeDocument/2006/relationships/hyperlink" Target="http://generasi.co.id/2016/12/aliansi-masyarakat-adat-nusantara-serahkan-peta-wilayah-adat-ke-pemrov-sumut-untuk-pengesahan/" TargetMode="External"/><Relationship Id="rId6" Type="http://schemas.openxmlformats.org/officeDocument/2006/relationships/hyperlink" Target="http://www.bantuanhukum.or.id/web/wp-content/uploads/2016/02/Laporan-Penggusuran-2015_LBHJ_web.pdf" TargetMode="External"/><Relationship Id="rId5" Type="http://schemas.openxmlformats.org/officeDocument/2006/relationships/hyperlink" Target="http://sp.beritasatu.com/home/warga-bentrok-di-timika-korban-terus-bertambah/50941" TargetMode="External"/><Relationship Id="rId4" Type="http://schemas.openxmlformats.org/officeDocument/2006/relationships/hyperlink" Target="https://msdatuan.wordpress.com/artikel/kerbau-dalam-tradisi-masyarakat-toraj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5B92DD-1E45-47C0-A5E9-78BE16159C94}"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AU"/>
        </a:p>
      </dgm:t>
    </dgm:pt>
    <dgm:pt modelId="{B97A9FBA-FA7D-4A93-A878-E21DA8AE4DEC}">
      <dgm:prSet phldrT="[Text]" custT="1"/>
      <dgm:spPr>
        <a:solidFill>
          <a:schemeClr val="tx1"/>
        </a:solidFill>
      </dgm:spPr>
      <dgm:t>
        <a:bodyPr/>
        <a:lstStyle/>
        <a:p>
          <a:pPr algn="ctr"/>
          <a:r>
            <a:rPr lang="en-AU" sz="900"/>
            <a:t>Indonesian Land</a:t>
          </a:r>
        </a:p>
      </dgm:t>
    </dgm:pt>
    <dgm:pt modelId="{F59DDDC7-2875-4FE6-A38F-12A5569515C8}" type="parTrans" cxnId="{FA9E1674-8EF5-411C-972A-47223B800EA8}">
      <dgm:prSet/>
      <dgm:spPr/>
      <dgm:t>
        <a:bodyPr/>
        <a:lstStyle/>
        <a:p>
          <a:pPr algn="ctr"/>
          <a:endParaRPr lang="en-AU"/>
        </a:p>
      </dgm:t>
    </dgm:pt>
    <dgm:pt modelId="{FB4F67B9-FADA-43F8-B83C-7135EBFD9908}" type="sibTrans" cxnId="{FA9E1674-8EF5-411C-972A-47223B800EA8}">
      <dgm:prSet/>
      <dgm:spPr/>
      <dgm:t>
        <a:bodyPr/>
        <a:lstStyle/>
        <a:p>
          <a:pPr algn="ctr"/>
          <a:endParaRPr lang="en-AU"/>
        </a:p>
      </dgm:t>
    </dgm:pt>
    <dgm:pt modelId="{C422C568-4AD8-402B-9651-2EE2B5255795}">
      <dgm:prSet phldrT="[Text]" custT="1"/>
      <dgm:spPr>
        <a:solidFill>
          <a:schemeClr val="bg2"/>
        </a:solidFill>
      </dgm:spPr>
      <dgm:t>
        <a:bodyPr/>
        <a:lstStyle/>
        <a:p>
          <a:pPr algn="ctr"/>
          <a:r>
            <a:rPr lang="en-AU" sz="900"/>
            <a:t>Forest Land</a:t>
          </a:r>
        </a:p>
      </dgm:t>
    </dgm:pt>
    <dgm:pt modelId="{7AA4F725-B134-4090-892C-95328E0AF395}" type="parTrans" cxnId="{B7CACA0D-036F-4EA8-ACEE-3A798DC794F1}">
      <dgm:prSet/>
      <dgm:spPr>
        <a:ln>
          <a:solidFill>
            <a:schemeClr val="tx1">
              <a:lumMod val="50000"/>
              <a:lumOff val="50000"/>
            </a:schemeClr>
          </a:solidFill>
        </a:ln>
      </dgm:spPr>
      <dgm:t>
        <a:bodyPr/>
        <a:lstStyle/>
        <a:p>
          <a:pPr algn="ctr"/>
          <a:endParaRPr lang="en-AU"/>
        </a:p>
      </dgm:t>
    </dgm:pt>
    <dgm:pt modelId="{3D0F5EB9-3CAC-43AF-A9AA-96573076B88D}" type="sibTrans" cxnId="{B7CACA0D-036F-4EA8-ACEE-3A798DC794F1}">
      <dgm:prSet/>
      <dgm:spPr/>
      <dgm:t>
        <a:bodyPr/>
        <a:lstStyle/>
        <a:p>
          <a:pPr algn="ctr"/>
          <a:endParaRPr lang="en-AU"/>
        </a:p>
      </dgm:t>
    </dgm:pt>
    <dgm:pt modelId="{AAE90EDB-B166-4634-B48C-789998E4668C}">
      <dgm:prSet phldrT="[Text]" custT="1"/>
      <dgm:spPr>
        <a:solidFill>
          <a:schemeClr val="tx1">
            <a:lumMod val="50000"/>
            <a:lumOff val="50000"/>
          </a:schemeClr>
        </a:solidFill>
      </dgm:spPr>
      <dgm:t>
        <a:bodyPr/>
        <a:lstStyle/>
        <a:p>
          <a:pPr algn="ctr"/>
          <a:r>
            <a:rPr lang="en-AU" sz="900"/>
            <a:t>Agrarian Law Land</a:t>
          </a:r>
        </a:p>
      </dgm:t>
    </dgm:pt>
    <dgm:pt modelId="{8BDEAB94-859C-41AE-AA76-47F6819EDA4A}" type="parTrans" cxnId="{B7209270-5EE4-4DF0-8A95-7462140F8EA8}">
      <dgm:prSet/>
      <dgm:spPr>
        <a:ln>
          <a:solidFill>
            <a:schemeClr val="tx1">
              <a:lumMod val="50000"/>
              <a:lumOff val="50000"/>
            </a:schemeClr>
          </a:solidFill>
        </a:ln>
      </dgm:spPr>
      <dgm:t>
        <a:bodyPr/>
        <a:lstStyle/>
        <a:p>
          <a:pPr algn="ctr"/>
          <a:endParaRPr lang="en-AU"/>
        </a:p>
      </dgm:t>
    </dgm:pt>
    <dgm:pt modelId="{58D93EC6-2BC3-4B77-BDE4-112949C932F0}" type="sibTrans" cxnId="{B7209270-5EE4-4DF0-8A95-7462140F8EA8}">
      <dgm:prSet/>
      <dgm:spPr/>
      <dgm:t>
        <a:bodyPr/>
        <a:lstStyle/>
        <a:p>
          <a:pPr algn="ctr"/>
          <a:endParaRPr lang="en-AU"/>
        </a:p>
      </dgm:t>
    </dgm:pt>
    <dgm:pt modelId="{647B8E5F-A52A-4EB8-8B01-B26D8CDE55BC}">
      <dgm:prSet phldrT="[Text]" custT="1"/>
      <dgm:spPr>
        <a:solidFill>
          <a:srgbClr val="0070C0"/>
        </a:solidFill>
      </dgm:spPr>
      <dgm:t>
        <a:bodyPr/>
        <a:lstStyle/>
        <a:p>
          <a:pPr algn="ctr"/>
          <a:r>
            <a:rPr lang="en-AU" sz="900"/>
            <a:t>Customary tenure</a:t>
          </a:r>
        </a:p>
      </dgm:t>
    </dgm:pt>
    <dgm:pt modelId="{5B2708E8-8E85-4802-B0EC-8828D61B878F}" type="parTrans" cxnId="{3B67B1C9-88B5-419B-8966-C069410CB03A}">
      <dgm:prSet/>
      <dgm:spPr>
        <a:ln>
          <a:solidFill>
            <a:schemeClr val="tx1">
              <a:lumMod val="50000"/>
              <a:lumOff val="50000"/>
            </a:schemeClr>
          </a:solidFill>
        </a:ln>
      </dgm:spPr>
      <dgm:t>
        <a:bodyPr/>
        <a:lstStyle/>
        <a:p>
          <a:pPr algn="ctr"/>
          <a:endParaRPr lang="en-AU"/>
        </a:p>
      </dgm:t>
    </dgm:pt>
    <dgm:pt modelId="{ECCA884A-FD5A-40E7-8AE6-6B3AD5BF1704}" type="sibTrans" cxnId="{3B67B1C9-88B5-419B-8966-C069410CB03A}">
      <dgm:prSet/>
      <dgm:spPr/>
      <dgm:t>
        <a:bodyPr/>
        <a:lstStyle/>
        <a:p>
          <a:pPr algn="ctr"/>
          <a:endParaRPr lang="en-AU"/>
        </a:p>
      </dgm:t>
    </dgm:pt>
    <dgm:pt modelId="{C48C0499-69E0-4111-9BC2-C0D0ED20A512}">
      <dgm:prSet phldrT="[Text]" custT="1"/>
      <dgm:spPr/>
      <dgm:t>
        <a:bodyPr/>
        <a:lstStyle/>
        <a:p>
          <a:pPr algn="ctr"/>
          <a:r>
            <a:rPr lang="en-AU" sz="900"/>
            <a:t>Statutory tenure</a:t>
          </a:r>
        </a:p>
      </dgm:t>
    </dgm:pt>
    <dgm:pt modelId="{EBADF59F-1363-480D-91EA-48C07C0EA40F}" type="parTrans" cxnId="{09D14788-232A-4260-8876-8FE60223DA93}">
      <dgm:prSet/>
      <dgm:spPr>
        <a:ln>
          <a:solidFill>
            <a:schemeClr val="tx1">
              <a:lumMod val="50000"/>
              <a:lumOff val="50000"/>
            </a:schemeClr>
          </a:solidFill>
        </a:ln>
      </dgm:spPr>
      <dgm:t>
        <a:bodyPr/>
        <a:lstStyle/>
        <a:p>
          <a:pPr algn="ctr"/>
          <a:endParaRPr lang="en-AU"/>
        </a:p>
      </dgm:t>
    </dgm:pt>
    <dgm:pt modelId="{7555515B-85B7-4816-B5BF-CBC7521564E3}" type="sibTrans" cxnId="{09D14788-232A-4260-8876-8FE60223DA93}">
      <dgm:prSet/>
      <dgm:spPr/>
      <dgm:t>
        <a:bodyPr/>
        <a:lstStyle/>
        <a:p>
          <a:pPr algn="ctr"/>
          <a:endParaRPr lang="en-AU"/>
        </a:p>
      </dgm:t>
    </dgm:pt>
    <dgm:pt modelId="{07F6A7CF-B43D-48D3-A744-61234EFDD87B}">
      <dgm:prSet phldrT="[Text]" custT="1"/>
      <dgm:spPr>
        <a:solidFill>
          <a:srgbClr val="0070C0"/>
        </a:solidFill>
      </dgm:spPr>
      <dgm:t>
        <a:bodyPr/>
        <a:lstStyle/>
        <a:p>
          <a:pPr algn="ctr"/>
          <a:r>
            <a:rPr lang="en-AU" sz="900"/>
            <a:t>Customary tenure</a:t>
          </a:r>
        </a:p>
      </dgm:t>
    </dgm:pt>
    <dgm:pt modelId="{D1332114-C0CD-4554-8047-B47524327DBD}" type="parTrans" cxnId="{00D6F282-1481-4370-A38C-D15B82EF077E}">
      <dgm:prSet/>
      <dgm:spPr>
        <a:ln>
          <a:solidFill>
            <a:schemeClr val="tx1">
              <a:lumMod val="50000"/>
              <a:lumOff val="50000"/>
            </a:schemeClr>
          </a:solidFill>
        </a:ln>
      </dgm:spPr>
      <dgm:t>
        <a:bodyPr/>
        <a:lstStyle/>
        <a:p>
          <a:pPr algn="ctr"/>
          <a:endParaRPr lang="en-AU"/>
        </a:p>
      </dgm:t>
    </dgm:pt>
    <dgm:pt modelId="{632416EF-2D74-4C94-A6C1-60B3DF0A441E}" type="sibTrans" cxnId="{00D6F282-1481-4370-A38C-D15B82EF077E}">
      <dgm:prSet/>
      <dgm:spPr/>
      <dgm:t>
        <a:bodyPr/>
        <a:lstStyle/>
        <a:p>
          <a:pPr algn="ctr"/>
          <a:endParaRPr lang="en-AU"/>
        </a:p>
      </dgm:t>
    </dgm:pt>
    <dgm:pt modelId="{303F55E1-9484-4476-8E51-D49AC99B116A}">
      <dgm:prSet phldrT="[Text]" custT="1"/>
      <dgm:spPr/>
      <dgm:t>
        <a:bodyPr/>
        <a:lstStyle/>
        <a:p>
          <a:pPr algn="ctr"/>
          <a:r>
            <a:rPr lang="en-AU" sz="900"/>
            <a:t>Statutory tenure</a:t>
          </a:r>
        </a:p>
      </dgm:t>
    </dgm:pt>
    <dgm:pt modelId="{B434AE3A-7216-454F-8D09-BEA5DA40DC33}" type="parTrans" cxnId="{B3F078A2-EEE8-40D1-851F-7DAFFCF81B72}">
      <dgm:prSet/>
      <dgm:spPr>
        <a:ln>
          <a:solidFill>
            <a:schemeClr val="tx1">
              <a:lumMod val="50000"/>
              <a:lumOff val="50000"/>
            </a:schemeClr>
          </a:solidFill>
        </a:ln>
      </dgm:spPr>
      <dgm:t>
        <a:bodyPr/>
        <a:lstStyle/>
        <a:p>
          <a:pPr algn="ctr"/>
          <a:endParaRPr lang="en-AU"/>
        </a:p>
      </dgm:t>
    </dgm:pt>
    <dgm:pt modelId="{156DBFB8-FA82-4C7F-8C90-47D9D237155C}" type="sibTrans" cxnId="{B3F078A2-EEE8-40D1-851F-7DAFFCF81B72}">
      <dgm:prSet/>
      <dgm:spPr/>
      <dgm:t>
        <a:bodyPr/>
        <a:lstStyle/>
        <a:p>
          <a:pPr algn="ctr"/>
          <a:endParaRPr lang="en-AU"/>
        </a:p>
      </dgm:t>
    </dgm:pt>
    <dgm:pt modelId="{2DDD6F8D-FEE3-4655-BB02-52BD376E773E}" type="pres">
      <dgm:prSet presAssocID="{B05B92DD-1E45-47C0-A5E9-78BE16159C94}" presName="diagram" presStyleCnt="0">
        <dgm:presLayoutVars>
          <dgm:chPref val="1"/>
          <dgm:dir/>
          <dgm:animOne val="branch"/>
          <dgm:animLvl val="lvl"/>
          <dgm:resizeHandles val="exact"/>
        </dgm:presLayoutVars>
      </dgm:prSet>
      <dgm:spPr/>
      <dgm:t>
        <a:bodyPr/>
        <a:lstStyle/>
        <a:p>
          <a:endParaRPr lang="en-AU"/>
        </a:p>
      </dgm:t>
    </dgm:pt>
    <dgm:pt modelId="{61FE1DC3-0BEE-486D-B34E-8D3DD46F4C9C}" type="pres">
      <dgm:prSet presAssocID="{B97A9FBA-FA7D-4A93-A878-E21DA8AE4DEC}" presName="root1" presStyleCnt="0"/>
      <dgm:spPr/>
    </dgm:pt>
    <dgm:pt modelId="{A85A17C3-693B-44AB-AB90-6918E0CF0C19}" type="pres">
      <dgm:prSet presAssocID="{B97A9FBA-FA7D-4A93-A878-E21DA8AE4DEC}" presName="LevelOneTextNode" presStyleLbl="node0" presStyleIdx="0" presStyleCnt="1">
        <dgm:presLayoutVars>
          <dgm:chPref val="3"/>
        </dgm:presLayoutVars>
      </dgm:prSet>
      <dgm:spPr/>
      <dgm:t>
        <a:bodyPr/>
        <a:lstStyle/>
        <a:p>
          <a:endParaRPr lang="en-AU"/>
        </a:p>
      </dgm:t>
    </dgm:pt>
    <dgm:pt modelId="{FDE45D5B-913A-4B45-A60A-EC913FF74F2E}" type="pres">
      <dgm:prSet presAssocID="{B97A9FBA-FA7D-4A93-A878-E21DA8AE4DEC}" presName="level2hierChild" presStyleCnt="0"/>
      <dgm:spPr/>
    </dgm:pt>
    <dgm:pt modelId="{A7235764-2AF9-40A1-8F16-76FE97EDDC51}" type="pres">
      <dgm:prSet presAssocID="{7AA4F725-B134-4090-892C-95328E0AF395}" presName="conn2-1" presStyleLbl="parChTrans1D2" presStyleIdx="0" presStyleCnt="2"/>
      <dgm:spPr/>
      <dgm:t>
        <a:bodyPr/>
        <a:lstStyle/>
        <a:p>
          <a:endParaRPr lang="en-AU"/>
        </a:p>
      </dgm:t>
    </dgm:pt>
    <dgm:pt modelId="{EABFC029-8D9F-48F7-A3EA-547C7C29AC7F}" type="pres">
      <dgm:prSet presAssocID="{7AA4F725-B134-4090-892C-95328E0AF395}" presName="connTx" presStyleLbl="parChTrans1D2" presStyleIdx="0" presStyleCnt="2"/>
      <dgm:spPr/>
      <dgm:t>
        <a:bodyPr/>
        <a:lstStyle/>
        <a:p>
          <a:endParaRPr lang="en-AU"/>
        </a:p>
      </dgm:t>
    </dgm:pt>
    <dgm:pt modelId="{466F8CC9-C033-4DCC-BCAC-22B0620DD6E6}" type="pres">
      <dgm:prSet presAssocID="{C422C568-4AD8-402B-9651-2EE2B5255795}" presName="root2" presStyleCnt="0"/>
      <dgm:spPr/>
    </dgm:pt>
    <dgm:pt modelId="{8865591C-73DB-438A-AAA5-4E0F2B6416AD}" type="pres">
      <dgm:prSet presAssocID="{C422C568-4AD8-402B-9651-2EE2B5255795}" presName="LevelTwoTextNode" presStyleLbl="node2" presStyleIdx="0" presStyleCnt="2">
        <dgm:presLayoutVars>
          <dgm:chPref val="3"/>
        </dgm:presLayoutVars>
      </dgm:prSet>
      <dgm:spPr/>
      <dgm:t>
        <a:bodyPr/>
        <a:lstStyle/>
        <a:p>
          <a:endParaRPr lang="en-AU"/>
        </a:p>
      </dgm:t>
    </dgm:pt>
    <dgm:pt modelId="{C8757E0D-A36F-41E8-A222-E70706591BE6}" type="pres">
      <dgm:prSet presAssocID="{C422C568-4AD8-402B-9651-2EE2B5255795}" presName="level3hierChild" presStyleCnt="0"/>
      <dgm:spPr/>
    </dgm:pt>
    <dgm:pt modelId="{230395AE-F33F-43E8-B7E0-1CC819AE4EB3}" type="pres">
      <dgm:prSet presAssocID="{EBADF59F-1363-480D-91EA-48C07C0EA40F}" presName="conn2-1" presStyleLbl="parChTrans1D3" presStyleIdx="0" presStyleCnt="4"/>
      <dgm:spPr/>
      <dgm:t>
        <a:bodyPr/>
        <a:lstStyle/>
        <a:p>
          <a:endParaRPr lang="en-AU"/>
        </a:p>
      </dgm:t>
    </dgm:pt>
    <dgm:pt modelId="{467B5B88-CCED-4DA6-A311-473DDDC3B953}" type="pres">
      <dgm:prSet presAssocID="{EBADF59F-1363-480D-91EA-48C07C0EA40F}" presName="connTx" presStyleLbl="parChTrans1D3" presStyleIdx="0" presStyleCnt="4"/>
      <dgm:spPr/>
      <dgm:t>
        <a:bodyPr/>
        <a:lstStyle/>
        <a:p>
          <a:endParaRPr lang="en-AU"/>
        </a:p>
      </dgm:t>
    </dgm:pt>
    <dgm:pt modelId="{96FC70E0-19ED-4471-9FF6-83AE0C78B200}" type="pres">
      <dgm:prSet presAssocID="{C48C0499-69E0-4111-9BC2-C0D0ED20A512}" presName="root2" presStyleCnt="0"/>
      <dgm:spPr/>
    </dgm:pt>
    <dgm:pt modelId="{49BD98D4-694D-499C-9665-9734C2EE810C}" type="pres">
      <dgm:prSet presAssocID="{C48C0499-69E0-4111-9BC2-C0D0ED20A512}" presName="LevelTwoTextNode" presStyleLbl="node3" presStyleIdx="0" presStyleCnt="4">
        <dgm:presLayoutVars>
          <dgm:chPref val="3"/>
        </dgm:presLayoutVars>
      </dgm:prSet>
      <dgm:spPr/>
      <dgm:t>
        <a:bodyPr/>
        <a:lstStyle/>
        <a:p>
          <a:endParaRPr lang="en-AU"/>
        </a:p>
      </dgm:t>
    </dgm:pt>
    <dgm:pt modelId="{4D1908DB-5CCA-437B-8319-3FA35E38D588}" type="pres">
      <dgm:prSet presAssocID="{C48C0499-69E0-4111-9BC2-C0D0ED20A512}" presName="level3hierChild" presStyleCnt="0"/>
      <dgm:spPr/>
    </dgm:pt>
    <dgm:pt modelId="{629B5B61-26EA-4D64-9E8F-5CB7D21F82E1}" type="pres">
      <dgm:prSet presAssocID="{5B2708E8-8E85-4802-B0EC-8828D61B878F}" presName="conn2-1" presStyleLbl="parChTrans1D3" presStyleIdx="1" presStyleCnt="4"/>
      <dgm:spPr/>
      <dgm:t>
        <a:bodyPr/>
        <a:lstStyle/>
        <a:p>
          <a:endParaRPr lang="en-AU"/>
        </a:p>
      </dgm:t>
    </dgm:pt>
    <dgm:pt modelId="{642EA1F0-F9CD-4E1A-8AFF-5AF3770F1DD6}" type="pres">
      <dgm:prSet presAssocID="{5B2708E8-8E85-4802-B0EC-8828D61B878F}" presName="connTx" presStyleLbl="parChTrans1D3" presStyleIdx="1" presStyleCnt="4"/>
      <dgm:spPr/>
      <dgm:t>
        <a:bodyPr/>
        <a:lstStyle/>
        <a:p>
          <a:endParaRPr lang="en-AU"/>
        </a:p>
      </dgm:t>
    </dgm:pt>
    <dgm:pt modelId="{72E81CFD-2496-4F44-A51E-E6DA83F028A9}" type="pres">
      <dgm:prSet presAssocID="{647B8E5F-A52A-4EB8-8B01-B26D8CDE55BC}" presName="root2" presStyleCnt="0"/>
      <dgm:spPr/>
    </dgm:pt>
    <dgm:pt modelId="{D3BB1DA7-EDD6-47F9-976B-DFE0CC26CAA7}" type="pres">
      <dgm:prSet presAssocID="{647B8E5F-A52A-4EB8-8B01-B26D8CDE55BC}" presName="LevelTwoTextNode" presStyleLbl="node3" presStyleIdx="1" presStyleCnt="4">
        <dgm:presLayoutVars>
          <dgm:chPref val="3"/>
        </dgm:presLayoutVars>
      </dgm:prSet>
      <dgm:spPr/>
      <dgm:t>
        <a:bodyPr/>
        <a:lstStyle/>
        <a:p>
          <a:endParaRPr lang="en-AU"/>
        </a:p>
      </dgm:t>
    </dgm:pt>
    <dgm:pt modelId="{EDED3E8D-17A3-44D3-9396-9429331DF201}" type="pres">
      <dgm:prSet presAssocID="{647B8E5F-A52A-4EB8-8B01-B26D8CDE55BC}" presName="level3hierChild" presStyleCnt="0"/>
      <dgm:spPr/>
    </dgm:pt>
    <dgm:pt modelId="{5791F3E8-4BF4-4DE5-B9E8-FF48531D2831}" type="pres">
      <dgm:prSet presAssocID="{8BDEAB94-859C-41AE-AA76-47F6819EDA4A}" presName="conn2-1" presStyleLbl="parChTrans1D2" presStyleIdx="1" presStyleCnt="2"/>
      <dgm:spPr/>
      <dgm:t>
        <a:bodyPr/>
        <a:lstStyle/>
        <a:p>
          <a:endParaRPr lang="en-AU"/>
        </a:p>
      </dgm:t>
    </dgm:pt>
    <dgm:pt modelId="{FB1992B4-860F-4D3E-BC6D-EA4A709A5561}" type="pres">
      <dgm:prSet presAssocID="{8BDEAB94-859C-41AE-AA76-47F6819EDA4A}" presName="connTx" presStyleLbl="parChTrans1D2" presStyleIdx="1" presStyleCnt="2"/>
      <dgm:spPr/>
      <dgm:t>
        <a:bodyPr/>
        <a:lstStyle/>
        <a:p>
          <a:endParaRPr lang="en-AU"/>
        </a:p>
      </dgm:t>
    </dgm:pt>
    <dgm:pt modelId="{FB554B37-8CA9-4247-8CA9-12EFE0B4E762}" type="pres">
      <dgm:prSet presAssocID="{AAE90EDB-B166-4634-B48C-789998E4668C}" presName="root2" presStyleCnt="0"/>
      <dgm:spPr/>
    </dgm:pt>
    <dgm:pt modelId="{15E9280C-B248-4EEB-8A23-3CB8F9A2A658}" type="pres">
      <dgm:prSet presAssocID="{AAE90EDB-B166-4634-B48C-789998E4668C}" presName="LevelTwoTextNode" presStyleLbl="node2" presStyleIdx="1" presStyleCnt="2">
        <dgm:presLayoutVars>
          <dgm:chPref val="3"/>
        </dgm:presLayoutVars>
      </dgm:prSet>
      <dgm:spPr/>
      <dgm:t>
        <a:bodyPr/>
        <a:lstStyle/>
        <a:p>
          <a:endParaRPr lang="en-AU"/>
        </a:p>
      </dgm:t>
    </dgm:pt>
    <dgm:pt modelId="{F50859FD-5221-40F8-9BF0-BBA7E764A778}" type="pres">
      <dgm:prSet presAssocID="{AAE90EDB-B166-4634-B48C-789998E4668C}" presName="level3hierChild" presStyleCnt="0"/>
      <dgm:spPr/>
    </dgm:pt>
    <dgm:pt modelId="{804D144B-9A49-48D0-903E-C5A2FC84424F}" type="pres">
      <dgm:prSet presAssocID="{B434AE3A-7216-454F-8D09-BEA5DA40DC33}" presName="conn2-1" presStyleLbl="parChTrans1D3" presStyleIdx="2" presStyleCnt="4"/>
      <dgm:spPr/>
      <dgm:t>
        <a:bodyPr/>
        <a:lstStyle/>
        <a:p>
          <a:endParaRPr lang="en-AU"/>
        </a:p>
      </dgm:t>
    </dgm:pt>
    <dgm:pt modelId="{B1D463C6-DF3F-4412-882A-D581786E5A7E}" type="pres">
      <dgm:prSet presAssocID="{B434AE3A-7216-454F-8D09-BEA5DA40DC33}" presName="connTx" presStyleLbl="parChTrans1D3" presStyleIdx="2" presStyleCnt="4"/>
      <dgm:spPr/>
      <dgm:t>
        <a:bodyPr/>
        <a:lstStyle/>
        <a:p>
          <a:endParaRPr lang="en-AU"/>
        </a:p>
      </dgm:t>
    </dgm:pt>
    <dgm:pt modelId="{505D506A-A1FD-4776-A9CF-25D9F360D717}" type="pres">
      <dgm:prSet presAssocID="{303F55E1-9484-4476-8E51-D49AC99B116A}" presName="root2" presStyleCnt="0"/>
      <dgm:spPr/>
    </dgm:pt>
    <dgm:pt modelId="{8A71AA40-9379-48F2-9D43-91939EBD8D65}" type="pres">
      <dgm:prSet presAssocID="{303F55E1-9484-4476-8E51-D49AC99B116A}" presName="LevelTwoTextNode" presStyleLbl="node3" presStyleIdx="2" presStyleCnt="4">
        <dgm:presLayoutVars>
          <dgm:chPref val="3"/>
        </dgm:presLayoutVars>
      </dgm:prSet>
      <dgm:spPr/>
      <dgm:t>
        <a:bodyPr/>
        <a:lstStyle/>
        <a:p>
          <a:endParaRPr lang="en-AU"/>
        </a:p>
      </dgm:t>
    </dgm:pt>
    <dgm:pt modelId="{2B0ADB83-C76A-4CB6-9A9D-311CFC9FCB7A}" type="pres">
      <dgm:prSet presAssocID="{303F55E1-9484-4476-8E51-D49AC99B116A}" presName="level3hierChild" presStyleCnt="0"/>
      <dgm:spPr/>
    </dgm:pt>
    <dgm:pt modelId="{BF460059-C092-439F-999E-40AA5DDDC837}" type="pres">
      <dgm:prSet presAssocID="{D1332114-C0CD-4554-8047-B47524327DBD}" presName="conn2-1" presStyleLbl="parChTrans1D3" presStyleIdx="3" presStyleCnt="4"/>
      <dgm:spPr/>
      <dgm:t>
        <a:bodyPr/>
        <a:lstStyle/>
        <a:p>
          <a:endParaRPr lang="en-AU"/>
        </a:p>
      </dgm:t>
    </dgm:pt>
    <dgm:pt modelId="{D63F34E5-FF7D-45E7-A415-50A05451387C}" type="pres">
      <dgm:prSet presAssocID="{D1332114-C0CD-4554-8047-B47524327DBD}" presName="connTx" presStyleLbl="parChTrans1D3" presStyleIdx="3" presStyleCnt="4"/>
      <dgm:spPr/>
      <dgm:t>
        <a:bodyPr/>
        <a:lstStyle/>
        <a:p>
          <a:endParaRPr lang="en-AU"/>
        </a:p>
      </dgm:t>
    </dgm:pt>
    <dgm:pt modelId="{09A3CEE2-E475-4519-98EF-F9B4AFEC20BF}" type="pres">
      <dgm:prSet presAssocID="{07F6A7CF-B43D-48D3-A744-61234EFDD87B}" presName="root2" presStyleCnt="0"/>
      <dgm:spPr/>
    </dgm:pt>
    <dgm:pt modelId="{0BDE6BC9-0CE5-43F7-A351-20BF27B78137}" type="pres">
      <dgm:prSet presAssocID="{07F6A7CF-B43D-48D3-A744-61234EFDD87B}" presName="LevelTwoTextNode" presStyleLbl="node3" presStyleIdx="3" presStyleCnt="4">
        <dgm:presLayoutVars>
          <dgm:chPref val="3"/>
        </dgm:presLayoutVars>
      </dgm:prSet>
      <dgm:spPr/>
      <dgm:t>
        <a:bodyPr/>
        <a:lstStyle/>
        <a:p>
          <a:endParaRPr lang="en-AU"/>
        </a:p>
      </dgm:t>
    </dgm:pt>
    <dgm:pt modelId="{396B2801-ED21-4716-9A9B-6620CD51C17D}" type="pres">
      <dgm:prSet presAssocID="{07F6A7CF-B43D-48D3-A744-61234EFDD87B}" presName="level3hierChild" presStyleCnt="0"/>
      <dgm:spPr/>
    </dgm:pt>
  </dgm:ptLst>
  <dgm:cxnLst>
    <dgm:cxn modelId="{0F8E31AA-2155-4962-A2C6-86FED78F75AE}" type="presOf" srcId="{C422C568-4AD8-402B-9651-2EE2B5255795}" destId="{8865591C-73DB-438A-AAA5-4E0F2B6416AD}" srcOrd="0" destOrd="0" presId="urn:microsoft.com/office/officeart/2005/8/layout/hierarchy2"/>
    <dgm:cxn modelId="{C9E72110-1390-409A-907E-28A864BFBF22}" type="presOf" srcId="{8BDEAB94-859C-41AE-AA76-47F6819EDA4A}" destId="{5791F3E8-4BF4-4DE5-B9E8-FF48531D2831}" srcOrd="0" destOrd="0" presId="urn:microsoft.com/office/officeart/2005/8/layout/hierarchy2"/>
    <dgm:cxn modelId="{F8C08037-8737-4545-8561-84C6E3E9EED2}" type="presOf" srcId="{B434AE3A-7216-454F-8D09-BEA5DA40DC33}" destId="{B1D463C6-DF3F-4412-882A-D581786E5A7E}" srcOrd="1" destOrd="0" presId="urn:microsoft.com/office/officeart/2005/8/layout/hierarchy2"/>
    <dgm:cxn modelId="{561A8422-154B-420C-B44F-C7D5AA77BCB3}" type="presOf" srcId="{AAE90EDB-B166-4634-B48C-789998E4668C}" destId="{15E9280C-B248-4EEB-8A23-3CB8F9A2A658}" srcOrd="0" destOrd="0" presId="urn:microsoft.com/office/officeart/2005/8/layout/hierarchy2"/>
    <dgm:cxn modelId="{9539134D-08C6-4983-A34D-57804CBC8EE9}" type="presOf" srcId="{B434AE3A-7216-454F-8D09-BEA5DA40DC33}" destId="{804D144B-9A49-48D0-903E-C5A2FC84424F}" srcOrd="0" destOrd="0" presId="urn:microsoft.com/office/officeart/2005/8/layout/hierarchy2"/>
    <dgm:cxn modelId="{B7209270-5EE4-4DF0-8A95-7462140F8EA8}" srcId="{B97A9FBA-FA7D-4A93-A878-E21DA8AE4DEC}" destId="{AAE90EDB-B166-4634-B48C-789998E4668C}" srcOrd="1" destOrd="0" parTransId="{8BDEAB94-859C-41AE-AA76-47F6819EDA4A}" sibTransId="{58D93EC6-2BC3-4B77-BDE4-112949C932F0}"/>
    <dgm:cxn modelId="{E6ECC5AB-65B4-4B73-82D5-90145D0AE439}" type="presOf" srcId="{303F55E1-9484-4476-8E51-D49AC99B116A}" destId="{8A71AA40-9379-48F2-9D43-91939EBD8D65}" srcOrd="0" destOrd="0" presId="urn:microsoft.com/office/officeart/2005/8/layout/hierarchy2"/>
    <dgm:cxn modelId="{00D6F282-1481-4370-A38C-D15B82EF077E}" srcId="{AAE90EDB-B166-4634-B48C-789998E4668C}" destId="{07F6A7CF-B43D-48D3-A744-61234EFDD87B}" srcOrd="1" destOrd="0" parTransId="{D1332114-C0CD-4554-8047-B47524327DBD}" sibTransId="{632416EF-2D74-4C94-A6C1-60B3DF0A441E}"/>
    <dgm:cxn modelId="{8B9DFFB9-064A-4970-9F31-EA8626F5E679}" type="presOf" srcId="{5B2708E8-8E85-4802-B0EC-8828D61B878F}" destId="{629B5B61-26EA-4D64-9E8F-5CB7D21F82E1}" srcOrd="0" destOrd="0" presId="urn:microsoft.com/office/officeart/2005/8/layout/hierarchy2"/>
    <dgm:cxn modelId="{FA9E1674-8EF5-411C-972A-47223B800EA8}" srcId="{B05B92DD-1E45-47C0-A5E9-78BE16159C94}" destId="{B97A9FBA-FA7D-4A93-A878-E21DA8AE4DEC}" srcOrd="0" destOrd="0" parTransId="{F59DDDC7-2875-4FE6-A38F-12A5569515C8}" sibTransId="{FB4F67B9-FADA-43F8-B83C-7135EBFD9908}"/>
    <dgm:cxn modelId="{09D14788-232A-4260-8876-8FE60223DA93}" srcId="{C422C568-4AD8-402B-9651-2EE2B5255795}" destId="{C48C0499-69E0-4111-9BC2-C0D0ED20A512}" srcOrd="0" destOrd="0" parTransId="{EBADF59F-1363-480D-91EA-48C07C0EA40F}" sibTransId="{7555515B-85B7-4816-B5BF-CBC7521564E3}"/>
    <dgm:cxn modelId="{C154C851-E003-4479-A6CF-51BB94D52B7C}" type="presOf" srcId="{B05B92DD-1E45-47C0-A5E9-78BE16159C94}" destId="{2DDD6F8D-FEE3-4655-BB02-52BD376E773E}" srcOrd="0" destOrd="0" presId="urn:microsoft.com/office/officeart/2005/8/layout/hierarchy2"/>
    <dgm:cxn modelId="{93B0FD14-F515-45AD-803D-9E4E8141CE21}" type="presOf" srcId="{8BDEAB94-859C-41AE-AA76-47F6819EDA4A}" destId="{FB1992B4-860F-4D3E-BC6D-EA4A709A5561}" srcOrd="1" destOrd="0" presId="urn:microsoft.com/office/officeart/2005/8/layout/hierarchy2"/>
    <dgm:cxn modelId="{82DC92C0-CB52-4857-9176-798FE575866E}" type="presOf" srcId="{EBADF59F-1363-480D-91EA-48C07C0EA40F}" destId="{230395AE-F33F-43E8-B7E0-1CC819AE4EB3}" srcOrd="0" destOrd="0" presId="urn:microsoft.com/office/officeart/2005/8/layout/hierarchy2"/>
    <dgm:cxn modelId="{B0640B8B-1E56-450C-B66C-34D5B62FD375}" type="presOf" srcId="{647B8E5F-A52A-4EB8-8B01-B26D8CDE55BC}" destId="{D3BB1DA7-EDD6-47F9-976B-DFE0CC26CAA7}" srcOrd="0" destOrd="0" presId="urn:microsoft.com/office/officeart/2005/8/layout/hierarchy2"/>
    <dgm:cxn modelId="{390A331E-4F74-4285-9E98-0E3C5BB8E6AA}" type="presOf" srcId="{5B2708E8-8E85-4802-B0EC-8828D61B878F}" destId="{642EA1F0-F9CD-4E1A-8AFF-5AF3770F1DD6}" srcOrd="1" destOrd="0" presId="urn:microsoft.com/office/officeart/2005/8/layout/hierarchy2"/>
    <dgm:cxn modelId="{8539C560-A866-4694-962C-A7A80CFB5CE5}" type="presOf" srcId="{D1332114-C0CD-4554-8047-B47524327DBD}" destId="{BF460059-C092-439F-999E-40AA5DDDC837}" srcOrd="0" destOrd="0" presId="urn:microsoft.com/office/officeart/2005/8/layout/hierarchy2"/>
    <dgm:cxn modelId="{8ED0B073-3124-4EC7-9B7F-B3785F604154}" type="presOf" srcId="{7AA4F725-B134-4090-892C-95328E0AF395}" destId="{EABFC029-8D9F-48F7-A3EA-547C7C29AC7F}" srcOrd="1" destOrd="0" presId="urn:microsoft.com/office/officeart/2005/8/layout/hierarchy2"/>
    <dgm:cxn modelId="{3B67B1C9-88B5-419B-8966-C069410CB03A}" srcId="{C422C568-4AD8-402B-9651-2EE2B5255795}" destId="{647B8E5F-A52A-4EB8-8B01-B26D8CDE55BC}" srcOrd="1" destOrd="0" parTransId="{5B2708E8-8E85-4802-B0EC-8828D61B878F}" sibTransId="{ECCA884A-FD5A-40E7-8AE6-6B3AD5BF1704}"/>
    <dgm:cxn modelId="{ED8FA929-6D0C-47B7-8ECA-ED9C138DC61F}" type="presOf" srcId="{D1332114-C0CD-4554-8047-B47524327DBD}" destId="{D63F34E5-FF7D-45E7-A415-50A05451387C}" srcOrd="1" destOrd="0" presId="urn:microsoft.com/office/officeart/2005/8/layout/hierarchy2"/>
    <dgm:cxn modelId="{34B0F1EA-A70D-4E17-A8EB-F27144BDB227}" type="presOf" srcId="{B97A9FBA-FA7D-4A93-A878-E21DA8AE4DEC}" destId="{A85A17C3-693B-44AB-AB90-6918E0CF0C19}" srcOrd="0" destOrd="0" presId="urn:microsoft.com/office/officeart/2005/8/layout/hierarchy2"/>
    <dgm:cxn modelId="{FCA2D553-1A82-471C-B152-969AEACD1524}" type="presOf" srcId="{07F6A7CF-B43D-48D3-A744-61234EFDD87B}" destId="{0BDE6BC9-0CE5-43F7-A351-20BF27B78137}" srcOrd="0" destOrd="0" presId="urn:microsoft.com/office/officeart/2005/8/layout/hierarchy2"/>
    <dgm:cxn modelId="{E25ABE3A-372A-47AA-8171-CDBC1C1EEF21}" type="presOf" srcId="{7AA4F725-B134-4090-892C-95328E0AF395}" destId="{A7235764-2AF9-40A1-8F16-76FE97EDDC51}" srcOrd="0" destOrd="0" presId="urn:microsoft.com/office/officeart/2005/8/layout/hierarchy2"/>
    <dgm:cxn modelId="{B7CACA0D-036F-4EA8-ACEE-3A798DC794F1}" srcId="{B97A9FBA-FA7D-4A93-A878-E21DA8AE4DEC}" destId="{C422C568-4AD8-402B-9651-2EE2B5255795}" srcOrd="0" destOrd="0" parTransId="{7AA4F725-B134-4090-892C-95328E0AF395}" sibTransId="{3D0F5EB9-3CAC-43AF-A9AA-96573076B88D}"/>
    <dgm:cxn modelId="{B3F078A2-EEE8-40D1-851F-7DAFFCF81B72}" srcId="{AAE90EDB-B166-4634-B48C-789998E4668C}" destId="{303F55E1-9484-4476-8E51-D49AC99B116A}" srcOrd="0" destOrd="0" parTransId="{B434AE3A-7216-454F-8D09-BEA5DA40DC33}" sibTransId="{156DBFB8-FA82-4C7F-8C90-47D9D237155C}"/>
    <dgm:cxn modelId="{C6C2EE54-78CB-43F2-A1EA-A6B7C48EAD75}" type="presOf" srcId="{C48C0499-69E0-4111-9BC2-C0D0ED20A512}" destId="{49BD98D4-694D-499C-9665-9734C2EE810C}" srcOrd="0" destOrd="0" presId="urn:microsoft.com/office/officeart/2005/8/layout/hierarchy2"/>
    <dgm:cxn modelId="{53625774-7011-4708-AFBE-38085D4F9D59}" type="presOf" srcId="{EBADF59F-1363-480D-91EA-48C07C0EA40F}" destId="{467B5B88-CCED-4DA6-A311-473DDDC3B953}" srcOrd="1" destOrd="0" presId="urn:microsoft.com/office/officeart/2005/8/layout/hierarchy2"/>
    <dgm:cxn modelId="{7C069144-18D7-494A-818B-23E8DBE8E5B1}" type="presParOf" srcId="{2DDD6F8D-FEE3-4655-BB02-52BD376E773E}" destId="{61FE1DC3-0BEE-486D-B34E-8D3DD46F4C9C}" srcOrd="0" destOrd="0" presId="urn:microsoft.com/office/officeart/2005/8/layout/hierarchy2"/>
    <dgm:cxn modelId="{C8249240-E959-4401-BF55-72B18349BEFE}" type="presParOf" srcId="{61FE1DC3-0BEE-486D-B34E-8D3DD46F4C9C}" destId="{A85A17C3-693B-44AB-AB90-6918E0CF0C19}" srcOrd="0" destOrd="0" presId="urn:microsoft.com/office/officeart/2005/8/layout/hierarchy2"/>
    <dgm:cxn modelId="{B64645F1-4A3E-4ED8-BF20-AD61F5348A47}" type="presParOf" srcId="{61FE1DC3-0BEE-486D-B34E-8D3DD46F4C9C}" destId="{FDE45D5B-913A-4B45-A60A-EC913FF74F2E}" srcOrd="1" destOrd="0" presId="urn:microsoft.com/office/officeart/2005/8/layout/hierarchy2"/>
    <dgm:cxn modelId="{6963D062-547A-4C50-9053-88CF5851D802}" type="presParOf" srcId="{FDE45D5B-913A-4B45-A60A-EC913FF74F2E}" destId="{A7235764-2AF9-40A1-8F16-76FE97EDDC51}" srcOrd="0" destOrd="0" presId="urn:microsoft.com/office/officeart/2005/8/layout/hierarchy2"/>
    <dgm:cxn modelId="{6BC8DBA8-18E7-4732-B8AF-80438C6F6749}" type="presParOf" srcId="{A7235764-2AF9-40A1-8F16-76FE97EDDC51}" destId="{EABFC029-8D9F-48F7-A3EA-547C7C29AC7F}" srcOrd="0" destOrd="0" presId="urn:microsoft.com/office/officeart/2005/8/layout/hierarchy2"/>
    <dgm:cxn modelId="{465C7888-35B4-4A87-8DBA-95CDB5673486}" type="presParOf" srcId="{FDE45D5B-913A-4B45-A60A-EC913FF74F2E}" destId="{466F8CC9-C033-4DCC-BCAC-22B0620DD6E6}" srcOrd="1" destOrd="0" presId="urn:microsoft.com/office/officeart/2005/8/layout/hierarchy2"/>
    <dgm:cxn modelId="{33D88911-0671-4CC9-84FF-747290233D12}" type="presParOf" srcId="{466F8CC9-C033-4DCC-BCAC-22B0620DD6E6}" destId="{8865591C-73DB-438A-AAA5-4E0F2B6416AD}" srcOrd="0" destOrd="0" presId="urn:microsoft.com/office/officeart/2005/8/layout/hierarchy2"/>
    <dgm:cxn modelId="{C50FA71C-0118-4FCC-BCE8-7A3AE25D9E8D}" type="presParOf" srcId="{466F8CC9-C033-4DCC-BCAC-22B0620DD6E6}" destId="{C8757E0D-A36F-41E8-A222-E70706591BE6}" srcOrd="1" destOrd="0" presId="urn:microsoft.com/office/officeart/2005/8/layout/hierarchy2"/>
    <dgm:cxn modelId="{88C262E6-58AA-4D7A-ABD8-6B8F878E0A9F}" type="presParOf" srcId="{C8757E0D-A36F-41E8-A222-E70706591BE6}" destId="{230395AE-F33F-43E8-B7E0-1CC819AE4EB3}" srcOrd="0" destOrd="0" presId="urn:microsoft.com/office/officeart/2005/8/layout/hierarchy2"/>
    <dgm:cxn modelId="{71076B9C-54C1-4CDB-AC3C-A732829358D6}" type="presParOf" srcId="{230395AE-F33F-43E8-B7E0-1CC819AE4EB3}" destId="{467B5B88-CCED-4DA6-A311-473DDDC3B953}" srcOrd="0" destOrd="0" presId="urn:microsoft.com/office/officeart/2005/8/layout/hierarchy2"/>
    <dgm:cxn modelId="{67E2F90E-7458-4D74-8885-783EE63B6CCE}" type="presParOf" srcId="{C8757E0D-A36F-41E8-A222-E70706591BE6}" destId="{96FC70E0-19ED-4471-9FF6-83AE0C78B200}" srcOrd="1" destOrd="0" presId="urn:microsoft.com/office/officeart/2005/8/layout/hierarchy2"/>
    <dgm:cxn modelId="{56228341-AE33-4E89-8B16-BE24E05A10D0}" type="presParOf" srcId="{96FC70E0-19ED-4471-9FF6-83AE0C78B200}" destId="{49BD98D4-694D-499C-9665-9734C2EE810C}" srcOrd="0" destOrd="0" presId="urn:microsoft.com/office/officeart/2005/8/layout/hierarchy2"/>
    <dgm:cxn modelId="{8A0A52CC-D451-40DC-8D8E-C465B1882071}" type="presParOf" srcId="{96FC70E0-19ED-4471-9FF6-83AE0C78B200}" destId="{4D1908DB-5CCA-437B-8319-3FA35E38D588}" srcOrd="1" destOrd="0" presId="urn:microsoft.com/office/officeart/2005/8/layout/hierarchy2"/>
    <dgm:cxn modelId="{39D619EA-1080-4E70-97AB-B9E0A53B1C13}" type="presParOf" srcId="{C8757E0D-A36F-41E8-A222-E70706591BE6}" destId="{629B5B61-26EA-4D64-9E8F-5CB7D21F82E1}" srcOrd="2" destOrd="0" presId="urn:microsoft.com/office/officeart/2005/8/layout/hierarchy2"/>
    <dgm:cxn modelId="{1363292B-70FD-4CB4-86F5-B81381CAC21D}" type="presParOf" srcId="{629B5B61-26EA-4D64-9E8F-5CB7D21F82E1}" destId="{642EA1F0-F9CD-4E1A-8AFF-5AF3770F1DD6}" srcOrd="0" destOrd="0" presId="urn:microsoft.com/office/officeart/2005/8/layout/hierarchy2"/>
    <dgm:cxn modelId="{7DAF920B-60E2-4FC3-8603-9B1664D24CEF}" type="presParOf" srcId="{C8757E0D-A36F-41E8-A222-E70706591BE6}" destId="{72E81CFD-2496-4F44-A51E-E6DA83F028A9}" srcOrd="3" destOrd="0" presId="urn:microsoft.com/office/officeart/2005/8/layout/hierarchy2"/>
    <dgm:cxn modelId="{BB38C7FF-CCE8-44EB-8CB6-605B0DFE7A2D}" type="presParOf" srcId="{72E81CFD-2496-4F44-A51E-E6DA83F028A9}" destId="{D3BB1DA7-EDD6-47F9-976B-DFE0CC26CAA7}" srcOrd="0" destOrd="0" presId="urn:microsoft.com/office/officeart/2005/8/layout/hierarchy2"/>
    <dgm:cxn modelId="{E48AE9D9-954A-4652-A517-54EF63D9BD24}" type="presParOf" srcId="{72E81CFD-2496-4F44-A51E-E6DA83F028A9}" destId="{EDED3E8D-17A3-44D3-9396-9429331DF201}" srcOrd="1" destOrd="0" presId="urn:microsoft.com/office/officeart/2005/8/layout/hierarchy2"/>
    <dgm:cxn modelId="{A3601C1D-F4AE-4405-BD83-68C2C5343F2A}" type="presParOf" srcId="{FDE45D5B-913A-4B45-A60A-EC913FF74F2E}" destId="{5791F3E8-4BF4-4DE5-B9E8-FF48531D2831}" srcOrd="2" destOrd="0" presId="urn:microsoft.com/office/officeart/2005/8/layout/hierarchy2"/>
    <dgm:cxn modelId="{70E56B7E-FC12-4C4C-BC43-D4358B90276A}" type="presParOf" srcId="{5791F3E8-4BF4-4DE5-B9E8-FF48531D2831}" destId="{FB1992B4-860F-4D3E-BC6D-EA4A709A5561}" srcOrd="0" destOrd="0" presId="urn:microsoft.com/office/officeart/2005/8/layout/hierarchy2"/>
    <dgm:cxn modelId="{4F5D5E48-A065-4B3E-9EC8-6AA232E62085}" type="presParOf" srcId="{FDE45D5B-913A-4B45-A60A-EC913FF74F2E}" destId="{FB554B37-8CA9-4247-8CA9-12EFE0B4E762}" srcOrd="3" destOrd="0" presId="urn:microsoft.com/office/officeart/2005/8/layout/hierarchy2"/>
    <dgm:cxn modelId="{A153644E-7236-4740-BB60-2DF8B77CF5BB}" type="presParOf" srcId="{FB554B37-8CA9-4247-8CA9-12EFE0B4E762}" destId="{15E9280C-B248-4EEB-8A23-3CB8F9A2A658}" srcOrd="0" destOrd="0" presId="urn:microsoft.com/office/officeart/2005/8/layout/hierarchy2"/>
    <dgm:cxn modelId="{2824B5BE-0E2E-4E70-8CD3-858EA12EFD97}" type="presParOf" srcId="{FB554B37-8CA9-4247-8CA9-12EFE0B4E762}" destId="{F50859FD-5221-40F8-9BF0-BBA7E764A778}" srcOrd="1" destOrd="0" presId="urn:microsoft.com/office/officeart/2005/8/layout/hierarchy2"/>
    <dgm:cxn modelId="{9A31A10D-A1D6-4C0B-8CE7-6B87EB2F0D4B}" type="presParOf" srcId="{F50859FD-5221-40F8-9BF0-BBA7E764A778}" destId="{804D144B-9A49-48D0-903E-C5A2FC84424F}" srcOrd="0" destOrd="0" presId="urn:microsoft.com/office/officeart/2005/8/layout/hierarchy2"/>
    <dgm:cxn modelId="{BB7CF06C-1FC2-4283-82F8-F5E966C8D7EA}" type="presParOf" srcId="{804D144B-9A49-48D0-903E-C5A2FC84424F}" destId="{B1D463C6-DF3F-4412-882A-D581786E5A7E}" srcOrd="0" destOrd="0" presId="urn:microsoft.com/office/officeart/2005/8/layout/hierarchy2"/>
    <dgm:cxn modelId="{E34E3AE1-4542-4E0F-A0FC-AB96E37DE4EB}" type="presParOf" srcId="{F50859FD-5221-40F8-9BF0-BBA7E764A778}" destId="{505D506A-A1FD-4776-A9CF-25D9F360D717}" srcOrd="1" destOrd="0" presId="urn:microsoft.com/office/officeart/2005/8/layout/hierarchy2"/>
    <dgm:cxn modelId="{08986A03-1A58-4CBA-9ED7-C22581066DE8}" type="presParOf" srcId="{505D506A-A1FD-4776-A9CF-25D9F360D717}" destId="{8A71AA40-9379-48F2-9D43-91939EBD8D65}" srcOrd="0" destOrd="0" presId="urn:microsoft.com/office/officeart/2005/8/layout/hierarchy2"/>
    <dgm:cxn modelId="{D8F3B872-580F-4CB8-BC86-81E50C4C0B5C}" type="presParOf" srcId="{505D506A-A1FD-4776-A9CF-25D9F360D717}" destId="{2B0ADB83-C76A-4CB6-9A9D-311CFC9FCB7A}" srcOrd="1" destOrd="0" presId="urn:microsoft.com/office/officeart/2005/8/layout/hierarchy2"/>
    <dgm:cxn modelId="{587221BB-89F3-4FC4-AA5B-5432FA8AD5F9}" type="presParOf" srcId="{F50859FD-5221-40F8-9BF0-BBA7E764A778}" destId="{BF460059-C092-439F-999E-40AA5DDDC837}" srcOrd="2" destOrd="0" presId="urn:microsoft.com/office/officeart/2005/8/layout/hierarchy2"/>
    <dgm:cxn modelId="{6A79E538-C4ED-45E5-A4F8-032332C4C315}" type="presParOf" srcId="{BF460059-C092-439F-999E-40AA5DDDC837}" destId="{D63F34E5-FF7D-45E7-A415-50A05451387C}" srcOrd="0" destOrd="0" presId="urn:microsoft.com/office/officeart/2005/8/layout/hierarchy2"/>
    <dgm:cxn modelId="{89A9CC06-AB97-4B80-81E7-C830AD237036}" type="presParOf" srcId="{F50859FD-5221-40F8-9BF0-BBA7E764A778}" destId="{09A3CEE2-E475-4519-98EF-F9B4AFEC20BF}" srcOrd="3" destOrd="0" presId="urn:microsoft.com/office/officeart/2005/8/layout/hierarchy2"/>
    <dgm:cxn modelId="{88AC9C8C-4995-400B-B512-FF4CD4DEA3D9}" type="presParOf" srcId="{09A3CEE2-E475-4519-98EF-F9B4AFEC20BF}" destId="{0BDE6BC9-0CE5-43F7-A351-20BF27B78137}" srcOrd="0" destOrd="0" presId="urn:microsoft.com/office/officeart/2005/8/layout/hierarchy2"/>
    <dgm:cxn modelId="{FCA87967-5F7D-4EC7-BD91-14F11854813B}" type="presParOf" srcId="{09A3CEE2-E475-4519-98EF-F9B4AFEC20BF}" destId="{396B2801-ED21-4716-9A9B-6620CD51C17D}" srcOrd="1" destOrd="0" presId="urn:microsoft.com/office/officeart/2005/8/layout/hierarchy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05B92DD-1E45-47C0-A5E9-78BE16159C94}"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AU"/>
        </a:p>
      </dgm:t>
    </dgm:pt>
    <dgm:pt modelId="{B97A9FBA-FA7D-4A93-A878-E21DA8AE4DEC}">
      <dgm:prSet phldrT="[Text]" custT="1"/>
      <dgm:spPr>
        <a:solidFill>
          <a:srgbClr val="00B050"/>
        </a:solidFill>
      </dgm:spPr>
      <dgm:t>
        <a:bodyPr/>
        <a:lstStyle/>
        <a:p>
          <a:pPr algn="ctr"/>
          <a:r>
            <a:rPr lang="en-AU" sz="900"/>
            <a:t>Forest Land</a:t>
          </a:r>
        </a:p>
      </dgm:t>
    </dgm:pt>
    <dgm:pt modelId="{F59DDDC7-2875-4FE6-A38F-12A5569515C8}" type="parTrans" cxnId="{FA9E1674-8EF5-411C-972A-47223B800EA8}">
      <dgm:prSet/>
      <dgm:spPr/>
      <dgm:t>
        <a:bodyPr/>
        <a:lstStyle/>
        <a:p>
          <a:pPr algn="ctr"/>
          <a:endParaRPr lang="en-AU"/>
        </a:p>
      </dgm:t>
    </dgm:pt>
    <dgm:pt modelId="{FB4F67B9-FADA-43F8-B83C-7135EBFD9908}" type="sibTrans" cxnId="{FA9E1674-8EF5-411C-972A-47223B800EA8}">
      <dgm:prSet/>
      <dgm:spPr/>
      <dgm:t>
        <a:bodyPr/>
        <a:lstStyle/>
        <a:p>
          <a:pPr algn="ctr"/>
          <a:endParaRPr lang="en-AU"/>
        </a:p>
      </dgm:t>
    </dgm:pt>
    <dgm:pt modelId="{C422C568-4AD8-402B-9651-2EE2B5255795}">
      <dgm:prSet phldrT="[Text]" custT="1"/>
      <dgm:spPr>
        <a:solidFill>
          <a:srgbClr val="00B050"/>
        </a:solidFill>
      </dgm:spPr>
      <dgm:t>
        <a:bodyPr/>
        <a:lstStyle/>
        <a:p>
          <a:pPr algn="ctr"/>
          <a:r>
            <a:rPr lang="en-AU" sz="900"/>
            <a:t>State Forest</a:t>
          </a:r>
        </a:p>
      </dgm:t>
    </dgm:pt>
    <dgm:pt modelId="{7AA4F725-B134-4090-892C-95328E0AF395}" type="parTrans" cxnId="{B7CACA0D-036F-4EA8-ACEE-3A798DC794F1}">
      <dgm:prSet/>
      <dgm:spPr>
        <a:ln>
          <a:solidFill>
            <a:schemeClr val="tx1">
              <a:lumMod val="50000"/>
              <a:lumOff val="50000"/>
            </a:schemeClr>
          </a:solidFill>
        </a:ln>
      </dgm:spPr>
      <dgm:t>
        <a:bodyPr/>
        <a:lstStyle/>
        <a:p>
          <a:pPr algn="ctr"/>
          <a:endParaRPr lang="en-AU"/>
        </a:p>
      </dgm:t>
    </dgm:pt>
    <dgm:pt modelId="{3D0F5EB9-3CAC-43AF-A9AA-96573076B88D}" type="sibTrans" cxnId="{B7CACA0D-036F-4EA8-ACEE-3A798DC794F1}">
      <dgm:prSet/>
      <dgm:spPr/>
      <dgm:t>
        <a:bodyPr/>
        <a:lstStyle/>
        <a:p>
          <a:pPr algn="ctr"/>
          <a:endParaRPr lang="en-AU"/>
        </a:p>
      </dgm:t>
    </dgm:pt>
    <dgm:pt modelId="{AAE90EDB-B166-4634-B48C-789998E4668C}">
      <dgm:prSet phldrT="[Text]" custT="1"/>
      <dgm:spPr>
        <a:solidFill>
          <a:srgbClr val="00B050"/>
        </a:solidFill>
      </dgm:spPr>
      <dgm:t>
        <a:bodyPr/>
        <a:lstStyle/>
        <a:p>
          <a:pPr algn="ctr"/>
          <a:r>
            <a:rPr lang="en-AU" sz="900"/>
            <a:t>Private Forest</a:t>
          </a:r>
        </a:p>
      </dgm:t>
    </dgm:pt>
    <dgm:pt modelId="{8BDEAB94-859C-41AE-AA76-47F6819EDA4A}" type="parTrans" cxnId="{B7209270-5EE4-4DF0-8A95-7462140F8EA8}">
      <dgm:prSet/>
      <dgm:spPr>
        <a:ln>
          <a:solidFill>
            <a:schemeClr val="tx1">
              <a:lumMod val="50000"/>
              <a:lumOff val="50000"/>
            </a:schemeClr>
          </a:solidFill>
        </a:ln>
      </dgm:spPr>
      <dgm:t>
        <a:bodyPr/>
        <a:lstStyle/>
        <a:p>
          <a:pPr algn="ctr"/>
          <a:endParaRPr lang="en-AU"/>
        </a:p>
      </dgm:t>
    </dgm:pt>
    <dgm:pt modelId="{58D93EC6-2BC3-4B77-BDE4-112949C932F0}" type="sibTrans" cxnId="{B7209270-5EE4-4DF0-8A95-7462140F8EA8}">
      <dgm:prSet/>
      <dgm:spPr/>
      <dgm:t>
        <a:bodyPr/>
        <a:lstStyle/>
        <a:p>
          <a:pPr algn="ctr"/>
          <a:endParaRPr lang="en-AU"/>
        </a:p>
      </dgm:t>
    </dgm:pt>
    <dgm:pt modelId="{C48C0499-69E0-4111-9BC2-C0D0ED20A512}">
      <dgm:prSet phldrT="[Text]" custT="1"/>
      <dgm:spPr>
        <a:solidFill>
          <a:srgbClr val="00B050"/>
        </a:solidFill>
      </dgm:spPr>
      <dgm:t>
        <a:bodyPr/>
        <a:lstStyle/>
        <a:p>
          <a:pPr algn="ctr"/>
          <a:r>
            <a:rPr lang="en-AU" sz="900"/>
            <a:t>Production Forest</a:t>
          </a:r>
        </a:p>
      </dgm:t>
    </dgm:pt>
    <dgm:pt modelId="{EBADF59F-1363-480D-91EA-48C07C0EA40F}" type="parTrans" cxnId="{09D14788-232A-4260-8876-8FE60223DA93}">
      <dgm:prSet/>
      <dgm:spPr>
        <a:ln>
          <a:solidFill>
            <a:schemeClr val="tx1">
              <a:lumMod val="50000"/>
              <a:lumOff val="50000"/>
            </a:schemeClr>
          </a:solidFill>
        </a:ln>
      </dgm:spPr>
      <dgm:t>
        <a:bodyPr/>
        <a:lstStyle/>
        <a:p>
          <a:pPr algn="ctr"/>
          <a:endParaRPr lang="en-AU"/>
        </a:p>
      </dgm:t>
    </dgm:pt>
    <dgm:pt modelId="{7555515B-85B7-4816-B5BF-CBC7521564E3}" type="sibTrans" cxnId="{09D14788-232A-4260-8876-8FE60223DA93}">
      <dgm:prSet/>
      <dgm:spPr/>
      <dgm:t>
        <a:bodyPr/>
        <a:lstStyle/>
        <a:p>
          <a:pPr algn="ctr"/>
          <a:endParaRPr lang="en-AU"/>
        </a:p>
      </dgm:t>
    </dgm:pt>
    <dgm:pt modelId="{47498455-4446-4451-B10A-4BDE3322CE67}">
      <dgm:prSet phldrT="[Text]" custT="1"/>
      <dgm:spPr>
        <a:solidFill>
          <a:srgbClr val="00B050"/>
        </a:solidFill>
      </dgm:spPr>
      <dgm:t>
        <a:bodyPr/>
        <a:lstStyle/>
        <a:p>
          <a:pPr algn="ctr"/>
          <a:r>
            <a:rPr lang="en-AU" sz="900"/>
            <a:t>Protected Forest</a:t>
          </a:r>
        </a:p>
      </dgm:t>
    </dgm:pt>
    <dgm:pt modelId="{A4A8D6EB-94C6-4795-AD3A-B5265C1D74CA}" type="parTrans" cxnId="{BE3DF04F-E036-42CD-9518-3FAA8B269C2E}">
      <dgm:prSet/>
      <dgm:spPr>
        <a:ln>
          <a:solidFill>
            <a:schemeClr val="tx1">
              <a:lumMod val="50000"/>
              <a:lumOff val="50000"/>
            </a:schemeClr>
          </a:solidFill>
        </a:ln>
      </dgm:spPr>
      <dgm:t>
        <a:bodyPr/>
        <a:lstStyle/>
        <a:p>
          <a:endParaRPr lang="en-AU"/>
        </a:p>
      </dgm:t>
    </dgm:pt>
    <dgm:pt modelId="{34502694-0A41-4A9A-AA6C-FBA16D7AC25B}" type="sibTrans" cxnId="{BE3DF04F-E036-42CD-9518-3FAA8B269C2E}">
      <dgm:prSet/>
      <dgm:spPr/>
      <dgm:t>
        <a:bodyPr/>
        <a:lstStyle/>
        <a:p>
          <a:endParaRPr lang="en-AU"/>
        </a:p>
      </dgm:t>
    </dgm:pt>
    <dgm:pt modelId="{781D4BE1-E79E-4677-BD26-54FA6D40DFC3}">
      <dgm:prSet phldrT="[Text]" custT="1"/>
      <dgm:spPr>
        <a:solidFill>
          <a:srgbClr val="00B050"/>
        </a:solidFill>
      </dgm:spPr>
      <dgm:t>
        <a:bodyPr/>
        <a:lstStyle/>
        <a:p>
          <a:pPr algn="ctr"/>
          <a:r>
            <a:rPr lang="en-AU" sz="900"/>
            <a:t>Conservation Forest</a:t>
          </a:r>
        </a:p>
      </dgm:t>
    </dgm:pt>
    <dgm:pt modelId="{169875A9-D6CA-434D-8286-D9CB742E4ADF}" type="parTrans" cxnId="{CD684C42-8718-4162-A2BC-B4821E1290D3}">
      <dgm:prSet/>
      <dgm:spPr>
        <a:ln>
          <a:solidFill>
            <a:schemeClr val="tx1">
              <a:lumMod val="50000"/>
              <a:lumOff val="50000"/>
            </a:schemeClr>
          </a:solidFill>
        </a:ln>
      </dgm:spPr>
      <dgm:t>
        <a:bodyPr/>
        <a:lstStyle/>
        <a:p>
          <a:endParaRPr lang="en-AU"/>
        </a:p>
      </dgm:t>
    </dgm:pt>
    <dgm:pt modelId="{6EEA7A01-344D-415C-8F97-FFE4D7461623}" type="sibTrans" cxnId="{CD684C42-8718-4162-A2BC-B4821E1290D3}">
      <dgm:prSet/>
      <dgm:spPr/>
      <dgm:t>
        <a:bodyPr/>
        <a:lstStyle/>
        <a:p>
          <a:endParaRPr lang="en-AU"/>
        </a:p>
      </dgm:t>
    </dgm:pt>
    <dgm:pt modelId="{2DDD6F8D-FEE3-4655-BB02-52BD376E773E}" type="pres">
      <dgm:prSet presAssocID="{B05B92DD-1E45-47C0-A5E9-78BE16159C94}" presName="diagram" presStyleCnt="0">
        <dgm:presLayoutVars>
          <dgm:chPref val="1"/>
          <dgm:dir/>
          <dgm:animOne val="branch"/>
          <dgm:animLvl val="lvl"/>
          <dgm:resizeHandles val="exact"/>
        </dgm:presLayoutVars>
      </dgm:prSet>
      <dgm:spPr/>
      <dgm:t>
        <a:bodyPr/>
        <a:lstStyle/>
        <a:p>
          <a:endParaRPr lang="en-AU"/>
        </a:p>
      </dgm:t>
    </dgm:pt>
    <dgm:pt modelId="{61FE1DC3-0BEE-486D-B34E-8D3DD46F4C9C}" type="pres">
      <dgm:prSet presAssocID="{B97A9FBA-FA7D-4A93-A878-E21DA8AE4DEC}" presName="root1" presStyleCnt="0"/>
      <dgm:spPr/>
    </dgm:pt>
    <dgm:pt modelId="{A85A17C3-693B-44AB-AB90-6918E0CF0C19}" type="pres">
      <dgm:prSet presAssocID="{B97A9FBA-FA7D-4A93-A878-E21DA8AE4DEC}" presName="LevelOneTextNode" presStyleLbl="node0" presStyleIdx="0" presStyleCnt="1">
        <dgm:presLayoutVars>
          <dgm:chPref val="3"/>
        </dgm:presLayoutVars>
      </dgm:prSet>
      <dgm:spPr/>
      <dgm:t>
        <a:bodyPr/>
        <a:lstStyle/>
        <a:p>
          <a:endParaRPr lang="en-AU"/>
        </a:p>
      </dgm:t>
    </dgm:pt>
    <dgm:pt modelId="{FDE45D5B-913A-4B45-A60A-EC913FF74F2E}" type="pres">
      <dgm:prSet presAssocID="{B97A9FBA-FA7D-4A93-A878-E21DA8AE4DEC}" presName="level2hierChild" presStyleCnt="0"/>
      <dgm:spPr/>
    </dgm:pt>
    <dgm:pt modelId="{A7235764-2AF9-40A1-8F16-76FE97EDDC51}" type="pres">
      <dgm:prSet presAssocID="{7AA4F725-B134-4090-892C-95328E0AF395}" presName="conn2-1" presStyleLbl="parChTrans1D2" presStyleIdx="0" presStyleCnt="2"/>
      <dgm:spPr/>
      <dgm:t>
        <a:bodyPr/>
        <a:lstStyle/>
        <a:p>
          <a:endParaRPr lang="en-AU"/>
        </a:p>
      </dgm:t>
    </dgm:pt>
    <dgm:pt modelId="{EABFC029-8D9F-48F7-A3EA-547C7C29AC7F}" type="pres">
      <dgm:prSet presAssocID="{7AA4F725-B134-4090-892C-95328E0AF395}" presName="connTx" presStyleLbl="parChTrans1D2" presStyleIdx="0" presStyleCnt="2"/>
      <dgm:spPr/>
      <dgm:t>
        <a:bodyPr/>
        <a:lstStyle/>
        <a:p>
          <a:endParaRPr lang="en-AU"/>
        </a:p>
      </dgm:t>
    </dgm:pt>
    <dgm:pt modelId="{466F8CC9-C033-4DCC-BCAC-22B0620DD6E6}" type="pres">
      <dgm:prSet presAssocID="{C422C568-4AD8-402B-9651-2EE2B5255795}" presName="root2" presStyleCnt="0"/>
      <dgm:spPr/>
    </dgm:pt>
    <dgm:pt modelId="{8865591C-73DB-438A-AAA5-4E0F2B6416AD}" type="pres">
      <dgm:prSet presAssocID="{C422C568-4AD8-402B-9651-2EE2B5255795}" presName="LevelTwoTextNode" presStyleLbl="node2" presStyleIdx="0" presStyleCnt="2">
        <dgm:presLayoutVars>
          <dgm:chPref val="3"/>
        </dgm:presLayoutVars>
      </dgm:prSet>
      <dgm:spPr/>
      <dgm:t>
        <a:bodyPr/>
        <a:lstStyle/>
        <a:p>
          <a:endParaRPr lang="en-AU"/>
        </a:p>
      </dgm:t>
    </dgm:pt>
    <dgm:pt modelId="{C8757E0D-A36F-41E8-A222-E70706591BE6}" type="pres">
      <dgm:prSet presAssocID="{C422C568-4AD8-402B-9651-2EE2B5255795}" presName="level3hierChild" presStyleCnt="0"/>
      <dgm:spPr/>
    </dgm:pt>
    <dgm:pt modelId="{230395AE-F33F-43E8-B7E0-1CC819AE4EB3}" type="pres">
      <dgm:prSet presAssocID="{EBADF59F-1363-480D-91EA-48C07C0EA40F}" presName="conn2-1" presStyleLbl="parChTrans1D3" presStyleIdx="0" presStyleCnt="3"/>
      <dgm:spPr/>
      <dgm:t>
        <a:bodyPr/>
        <a:lstStyle/>
        <a:p>
          <a:endParaRPr lang="en-AU"/>
        </a:p>
      </dgm:t>
    </dgm:pt>
    <dgm:pt modelId="{467B5B88-CCED-4DA6-A311-473DDDC3B953}" type="pres">
      <dgm:prSet presAssocID="{EBADF59F-1363-480D-91EA-48C07C0EA40F}" presName="connTx" presStyleLbl="parChTrans1D3" presStyleIdx="0" presStyleCnt="3"/>
      <dgm:spPr/>
      <dgm:t>
        <a:bodyPr/>
        <a:lstStyle/>
        <a:p>
          <a:endParaRPr lang="en-AU"/>
        </a:p>
      </dgm:t>
    </dgm:pt>
    <dgm:pt modelId="{96FC70E0-19ED-4471-9FF6-83AE0C78B200}" type="pres">
      <dgm:prSet presAssocID="{C48C0499-69E0-4111-9BC2-C0D0ED20A512}" presName="root2" presStyleCnt="0"/>
      <dgm:spPr/>
    </dgm:pt>
    <dgm:pt modelId="{49BD98D4-694D-499C-9665-9734C2EE810C}" type="pres">
      <dgm:prSet presAssocID="{C48C0499-69E0-4111-9BC2-C0D0ED20A512}" presName="LevelTwoTextNode" presStyleLbl="node3" presStyleIdx="0" presStyleCnt="3" custScaleX="103174" custScaleY="51490">
        <dgm:presLayoutVars>
          <dgm:chPref val="3"/>
        </dgm:presLayoutVars>
      </dgm:prSet>
      <dgm:spPr/>
      <dgm:t>
        <a:bodyPr/>
        <a:lstStyle/>
        <a:p>
          <a:endParaRPr lang="en-AU"/>
        </a:p>
      </dgm:t>
    </dgm:pt>
    <dgm:pt modelId="{4D1908DB-5CCA-437B-8319-3FA35E38D588}" type="pres">
      <dgm:prSet presAssocID="{C48C0499-69E0-4111-9BC2-C0D0ED20A512}" presName="level3hierChild" presStyleCnt="0"/>
      <dgm:spPr/>
    </dgm:pt>
    <dgm:pt modelId="{F8D2E16A-8D2A-43F4-A810-25B866ADB0FB}" type="pres">
      <dgm:prSet presAssocID="{A4A8D6EB-94C6-4795-AD3A-B5265C1D74CA}" presName="conn2-1" presStyleLbl="parChTrans1D3" presStyleIdx="1" presStyleCnt="3"/>
      <dgm:spPr/>
      <dgm:t>
        <a:bodyPr/>
        <a:lstStyle/>
        <a:p>
          <a:endParaRPr lang="en-AU"/>
        </a:p>
      </dgm:t>
    </dgm:pt>
    <dgm:pt modelId="{21952661-2070-439D-9C4A-4987CF312E0B}" type="pres">
      <dgm:prSet presAssocID="{A4A8D6EB-94C6-4795-AD3A-B5265C1D74CA}" presName="connTx" presStyleLbl="parChTrans1D3" presStyleIdx="1" presStyleCnt="3"/>
      <dgm:spPr/>
      <dgm:t>
        <a:bodyPr/>
        <a:lstStyle/>
        <a:p>
          <a:endParaRPr lang="en-AU"/>
        </a:p>
      </dgm:t>
    </dgm:pt>
    <dgm:pt modelId="{5CCA26FA-017A-4489-AEB3-A5D689FA1BAE}" type="pres">
      <dgm:prSet presAssocID="{47498455-4446-4451-B10A-4BDE3322CE67}" presName="root2" presStyleCnt="0"/>
      <dgm:spPr/>
    </dgm:pt>
    <dgm:pt modelId="{53F0BBC2-D503-43DF-AD6A-1E7ECC226115}" type="pres">
      <dgm:prSet presAssocID="{47498455-4446-4451-B10A-4BDE3322CE67}" presName="LevelTwoTextNode" presStyleLbl="node3" presStyleIdx="1" presStyleCnt="3" custScaleX="103174" custScaleY="51490">
        <dgm:presLayoutVars>
          <dgm:chPref val="3"/>
        </dgm:presLayoutVars>
      </dgm:prSet>
      <dgm:spPr/>
      <dgm:t>
        <a:bodyPr/>
        <a:lstStyle/>
        <a:p>
          <a:endParaRPr lang="en-AU"/>
        </a:p>
      </dgm:t>
    </dgm:pt>
    <dgm:pt modelId="{CC80EEC9-D00F-4884-9FF9-DB5289068B8F}" type="pres">
      <dgm:prSet presAssocID="{47498455-4446-4451-B10A-4BDE3322CE67}" presName="level3hierChild" presStyleCnt="0"/>
      <dgm:spPr/>
    </dgm:pt>
    <dgm:pt modelId="{20436B2E-0AAD-4BA2-8831-1885DF697236}" type="pres">
      <dgm:prSet presAssocID="{169875A9-D6CA-434D-8286-D9CB742E4ADF}" presName="conn2-1" presStyleLbl="parChTrans1D3" presStyleIdx="2" presStyleCnt="3"/>
      <dgm:spPr/>
      <dgm:t>
        <a:bodyPr/>
        <a:lstStyle/>
        <a:p>
          <a:endParaRPr lang="en-AU"/>
        </a:p>
      </dgm:t>
    </dgm:pt>
    <dgm:pt modelId="{20561107-2F6E-4327-98D4-2FB1CFFCE91F}" type="pres">
      <dgm:prSet presAssocID="{169875A9-D6CA-434D-8286-D9CB742E4ADF}" presName="connTx" presStyleLbl="parChTrans1D3" presStyleIdx="2" presStyleCnt="3"/>
      <dgm:spPr/>
      <dgm:t>
        <a:bodyPr/>
        <a:lstStyle/>
        <a:p>
          <a:endParaRPr lang="en-AU"/>
        </a:p>
      </dgm:t>
    </dgm:pt>
    <dgm:pt modelId="{ECDD5187-A90D-4462-BFEB-02DC8091993C}" type="pres">
      <dgm:prSet presAssocID="{781D4BE1-E79E-4677-BD26-54FA6D40DFC3}" presName="root2" presStyleCnt="0"/>
      <dgm:spPr/>
    </dgm:pt>
    <dgm:pt modelId="{DC23D804-A089-4DBB-80C2-E3289511DDAA}" type="pres">
      <dgm:prSet presAssocID="{781D4BE1-E79E-4677-BD26-54FA6D40DFC3}" presName="LevelTwoTextNode" presStyleLbl="node3" presStyleIdx="2" presStyleCnt="3" custScaleX="103174" custScaleY="51490">
        <dgm:presLayoutVars>
          <dgm:chPref val="3"/>
        </dgm:presLayoutVars>
      </dgm:prSet>
      <dgm:spPr/>
      <dgm:t>
        <a:bodyPr/>
        <a:lstStyle/>
        <a:p>
          <a:endParaRPr lang="en-AU"/>
        </a:p>
      </dgm:t>
    </dgm:pt>
    <dgm:pt modelId="{ADE9E370-D483-4D1C-8683-4A1D1C5A4B55}" type="pres">
      <dgm:prSet presAssocID="{781D4BE1-E79E-4677-BD26-54FA6D40DFC3}" presName="level3hierChild" presStyleCnt="0"/>
      <dgm:spPr/>
    </dgm:pt>
    <dgm:pt modelId="{5791F3E8-4BF4-4DE5-B9E8-FF48531D2831}" type="pres">
      <dgm:prSet presAssocID="{8BDEAB94-859C-41AE-AA76-47F6819EDA4A}" presName="conn2-1" presStyleLbl="parChTrans1D2" presStyleIdx="1" presStyleCnt="2"/>
      <dgm:spPr/>
      <dgm:t>
        <a:bodyPr/>
        <a:lstStyle/>
        <a:p>
          <a:endParaRPr lang="en-AU"/>
        </a:p>
      </dgm:t>
    </dgm:pt>
    <dgm:pt modelId="{FB1992B4-860F-4D3E-BC6D-EA4A709A5561}" type="pres">
      <dgm:prSet presAssocID="{8BDEAB94-859C-41AE-AA76-47F6819EDA4A}" presName="connTx" presStyleLbl="parChTrans1D2" presStyleIdx="1" presStyleCnt="2"/>
      <dgm:spPr/>
      <dgm:t>
        <a:bodyPr/>
        <a:lstStyle/>
        <a:p>
          <a:endParaRPr lang="en-AU"/>
        </a:p>
      </dgm:t>
    </dgm:pt>
    <dgm:pt modelId="{FB554B37-8CA9-4247-8CA9-12EFE0B4E762}" type="pres">
      <dgm:prSet presAssocID="{AAE90EDB-B166-4634-B48C-789998E4668C}" presName="root2" presStyleCnt="0"/>
      <dgm:spPr/>
    </dgm:pt>
    <dgm:pt modelId="{15E9280C-B248-4EEB-8A23-3CB8F9A2A658}" type="pres">
      <dgm:prSet presAssocID="{AAE90EDB-B166-4634-B48C-789998E4668C}" presName="LevelTwoTextNode" presStyleLbl="node2" presStyleIdx="1" presStyleCnt="2">
        <dgm:presLayoutVars>
          <dgm:chPref val="3"/>
        </dgm:presLayoutVars>
      </dgm:prSet>
      <dgm:spPr/>
      <dgm:t>
        <a:bodyPr/>
        <a:lstStyle/>
        <a:p>
          <a:endParaRPr lang="en-AU"/>
        </a:p>
      </dgm:t>
    </dgm:pt>
    <dgm:pt modelId="{F50859FD-5221-40F8-9BF0-BBA7E764A778}" type="pres">
      <dgm:prSet presAssocID="{AAE90EDB-B166-4634-B48C-789998E4668C}" presName="level3hierChild" presStyleCnt="0"/>
      <dgm:spPr/>
    </dgm:pt>
  </dgm:ptLst>
  <dgm:cxnLst>
    <dgm:cxn modelId="{CD684C42-8718-4162-A2BC-B4821E1290D3}" srcId="{C422C568-4AD8-402B-9651-2EE2B5255795}" destId="{781D4BE1-E79E-4677-BD26-54FA6D40DFC3}" srcOrd="2" destOrd="0" parTransId="{169875A9-D6CA-434D-8286-D9CB742E4ADF}" sibTransId="{6EEA7A01-344D-415C-8F97-FFE4D7461623}"/>
    <dgm:cxn modelId="{36654ABD-3A52-4585-A517-F2147EAB74F1}" type="presOf" srcId="{7AA4F725-B134-4090-892C-95328E0AF395}" destId="{A7235764-2AF9-40A1-8F16-76FE97EDDC51}" srcOrd="0" destOrd="0" presId="urn:microsoft.com/office/officeart/2005/8/layout/hierarchy2"/>
    <dgm:cxn modelId="{F2B28096-1846-41FE-9DA6-FD12C9044812}" type="presOf" srcId="{781D4BE1-E79E-4677-BD26-54FA6D40DFC3}" destId="{DC23D804-A089-4DBB-80C2-E3289511DDAA}" srcOrd="0" destOrd="0" presId="urn:microsoft.com/office/officeart/2005/8/layout/hierarchy2"/>
    <dgm:cxn modelId="{0492CF9C-0F2A-4D30-A7BD-885947E4F25B}" type="presOf" srcId="{A4A8D6EB-94C6-4795-AD3A-B5265C1D74CA}" destId="{F8D2E16A-8D2A-43F4-A810-25B866ADB0FB}" srcOrd="0" destOrd="0" presId="urn:microsoft.com/office/officeart/2005/8/layout/hierarchy2"/>
    <dgm:cxn modelId="{09D14788-232A-4260-8876-8FE60223DA93}" srcId="{C422C568-4AD8-402B-9651-2EE2B5255795}" destId="{C48C0499-69E0-4111-9BC2-C0D0ED20A512}" srcOrd="0" destOrd="0" parTransId="{EBADF59F-1363-480D-91EA-48C07C0EA40F}" sibTransId="{7555515B-85B7-4816-B5BF-CBC7521564E3}"/>
    <dgm:cxn modelId="{B7209270-5EE4-4DF0-8A95-7462140F8EA8}" srcId="{B97A9FBA-FA7D-4A93-A878-E21DA8AE4DEC}" destId="{AAE90EDB-B166-4634-B48C-789998E4668C}" srcOrd="1" destOrd="0" parTransId="{8BDEAB94-859C-41AE-AA76-47F6819EDA4A}" sibTransId="{58D93EC6-2BC3-4B77-BDE4-112949C932F0}"/>
    <dgm:cxn modelId="{B7CACA0D-036F-4EA8-ACEE-3A798DC794F1}" srcId="{B97A9FBA-FA7D-4A93-A878-E21DA8AE4DEC}" destId="{C422C568-4AD8-402B-9651-2EE2B5255795}" srcOrd="0" destOrd="0" parTransId="{7AA4F725-B134-4090-892C-95328E0AF395}" sibTransId="{3D0F5EB9-3CAC-43AF-A9AA-96573076B88D}"/>
    <dgm:cxn modelId="{9D401A79-4C7D-44E3-9BF8-5CEC073BD769}" type="presOf" srcId="{B97A9FBA-FA7D-4A93-A878-E21DA8AE4DEC}" destId="{A85A17C3-693B-44AB-AB90-6918E0CF0C19}" srcOrd="0" destOrd="0" presId="urn:microsoft.com/office/officeart/2005/8/layout/hierarchy2"/>
    <dgm:cxn modelId="{3E96DE2D-E6E7-4096-B542-FD56D3932A1D}" type="presOf" srcId="{47498455-4446-4451-B10A-4BDE3322CE67}" destId="{53F0BBC2-D503-43DF-AD6A-1E7ECC226115}" srcOrd="0" destOrd="0" presId="urn:microsoft.com/office/officeart/2005/8/layout/hierarchy2"/>
    <dgm:cxn modelId="{FA9E1674-8EF5-411C-972A-47223B800EA8}" srcId="{B05B92DD-1E45-47C0-A5E9-78BE16159C94}" destId="{B97A9FBA-FA7D-4A93-A878-E21DA8AE4DEC}" srcOrd="0" destOrd="0" parTransId="{F59DDDC7-2875-4FE6-A38F-12A5569515C8}" sibTransId="{FB4F67B9-FADA-43F8-B83C-7135EBFD9908}"/>
    <dgm:cxn modelId="{AF97702A-12CE-431F-BD02-2D32D5DDCF97}" type="presOf" srcId="{7AA4F725-B134-4090-892C-95328E0AF395}" destId="{EABFC029-8D9F-48F7-A3EA-547C7C29AC7F}" srcOrd="1" destOrd="0" presId="urn:microsoft.com/office/officeart/2005/8/layout/hierarchy2"/>
    <dgm:cxn modelId="{666D52DA-168E-4DE5-A99D-538F3B3D62B4}" type="presOf" srcId="{8BDEAB94-859C-41AE-AA76-47F6819EDA4A}" destId="{5791F3E8-4BF4-4DE5-B9E8-FF48531D2831}" srcOrd="0" destOrd="0" presId="urn:microsoft.com/office/officeart/2005/8/layout/hierarchy2"/>
    <dgm:cxn modelId="{E05B25C7-C1D3-4004-9A39-F0218405908C}" type="presOf" srcId="{AAE90EDB-B166-4634-B48C-789998E4668C}" destId="{15E9280C-B248-4EEB-8A23-3CB8F9A2A658}" srcOrd="0" destOrd="0" presId="urn:microsoft.com/office/officeart/2005/8/layout/hierarchy2"/>
    <dgm:cxn modelId="{9F236FA8-92A5-4468-A051-110F15205BEB}" type="presOf" srcId="{EBADF59F-1363-480D-91EA-48C07C0EA40F}" destId="{230395AE-F33F-43E8-B7E0-1CC819AE4EB3}" srcOrd="0" destOrd="0" presId="urn:microsoft.com/office/officeart/2005/8/layout/hierarchy2"/>
    <dgm:cxn modelId="{C9830AB3-54F1-44C8-93F7-184763C1A5AC}" type="presOf" srcId="{169875A9-D6CA-434D-8286-D9CB742E4ADF}" destId="{20561107-2F6E-4327-98D4-2FB1CFFCE91F}" srcOrd="1" destOrd="0" presId="urn:microsoft.com/office/officeart/2005/8/layout/hierarchy2"/>
    <dgm:cxn modelId="{5095F81C-7618-49A4-9D3A-6F83CA0B7806}" type="presOf" srcId="{A4A8D6EB-94C6-4795-AD3A-B5265C1D74CA}" destId="{21952661-2070-439D-9C4A-4987CF312E0B}" srcOrd="1" destOrd="0" presId="urn:microsoft.com/office/officeart/2005/8/layout/hierarchy2"/>
    <dgm:cxn modelId="{D761A5E4-2057-4906-92A3-AF6A9F1D7AF8}" type="presOf" srcId="{C48C0499-69E0-4111-9BC2-C0D0ED20A512}" destId="{49BD98D4-694D-499C-9665-9734C2EE810C}" srcOrd="0" destOrd="0" presId="urn:microsoft.com/office/officeart/2005/8/layout/hierarchy2"/>
    <dgm:cxn modelId="{BE3DF04F-E036-42CD-9518-3FAA8B269C2E}" srcId="{C422C568-4AD8-402B-9651-2EE2B5255795}" destId="{47498455-4446-4451-B10A-4BDE3322CE67}" srcOrd="1" destOrd="0" parTransId="{A4A8D6EB-94C6-4795-AD3A-B5265C1D74CA}" sibTransId="{34502694-0A41-4A9A-AA6C-FBA16D7AC25B}"/>
    <dgm:cxn modelId="{221D891F-EF57-40F9-94DA-586F08F9751E}" type="presOf" srcId="{169875A9-D6CA-434D-8286-D9CB742E4ADF}" destId="{20436B2E-0AAD-4BA2-8831-1885DF697236}" srcOrd="0" destOrd="0" presId="urn:microsoft.com/office/officeart/2005/8/layout/hierarchy2"/>
    <dgm:cxn modelId="{E461FBD0-0554-4B31-98C6-94AE2531C0F1}" type="presOf" srcId="{B05B92DD-1E45-47C0-A5E9-78BE16159C94}" destId="{2DDD6F8D-FEE3-4655-BB02-52BD376E773E}" srcOrd="0" destOrd="0" presId="urn:microsoft.com/office/officeart/2005/8/layout/hierarchy2"/>
    <dgm:cxn modelId="{BB12DBAB-6346-44A1-87F8-47CEFEB4F037}" type="presOf" srcId="{8BDEAB94-859C-41AE-AA76-47F6819EDA4A}" destId="{FB1992B4-860F-4D3E-BC6D-EA4A709A5561}" srcOrd="1" destOrd="0" presId="urn:microsoft.com/office/officeart/2005/8/layout/hierarchy2"/>
    <dgm:cxn modelId="{BE50BD31-D07A-4279-8A98-481CD7BF666F}" type="presOf" srcId="{C422C568-4AD8-402B-9651-2EE2B5255795}" destId="{8865591C-73DB-438A-AAA5-4E0F2B6416AD}" srcOrd="0" destOrd="0" presId="urn:microsoft.com/office/officeart/2005/8/layout/hierarchy2"/>
    <dgm:cxn modelId="{F2458D34-6622-462A-B331-B800E73B5061}" type="presOf" srcId="{EBADF59F-1363-480D-91EA-48C07C0EA40F}" destId="{467B5B88-CCED-4DA6-A311-473DDDC3B953}" srcOrd="1" destOrd="0" presId="urn:microsoft.com/office/officeart/2005/8/layout/hierarchy2"/>
    <dgm:cxn modelId="{FF4C265B-8BE3-49F8-B5FA-489B4562148D}" type="presParOf" srcId="{2DDD6F8D-FEE3-4655-BB02-52BD376E773E}" destId="{61FE1DC3-0BEE-486D-B34E-8D3DD46F4C9C}" srcOrd="0" destOrd="0" presId="urn:microsoft.com/office/officeart/2005/8/layout/hierarchy2"/>
    <dgm:cxn modelId="{9FE4BAED-6897-4822-8F83-1CD5D3E3C573}" type="presParOf" srcId="{61FE1DC3-0BEE-486D-B34E-8D3DD46F4C9C}" destId="{A85A17C3-693B-44AB-AB90-6918E0CF0C19}" srcOrd="0" destOrd="0" presId="urn:microsoft.com/office/officeart/2005/8/layout/hierarchy2"/>
    <dgm:cxn modelId="{F9BD1D7B-3392-411E-8C78-6AFAB50C286D}" type="presParOf" srcId="{61FE1DC3-0BEE-486D-B34E-8D3DD46F4C9C}" destId="{FDE45D5B-913A-4B45-A60A-EC913FF74F2E}" srcOrd="1" destOrd="0" presId="urn:microsoft.com/office/officeart/2005/8/layout/hierarchy2"/>
    <dgm:cxn modelId="{2F5A9EB8-687E-4F7B-BC39-4CB54B6A837A}" type="presParOf" srcId="{FDE45D5B-913A-4B45-A60A-EC913FF74F2E}" destId="{A7235764-2AF9-40A1-8F16-76FE97EDDC51}" srcOrd="0" destOrd="0" presId="urn:microsoft.com/office/officeart/2005/8/layout/hierarchy2"/>
    <dgm:cxn modelId="{DC301490-7458-4247-98FC-8F24D5677010}" type="presParOf" srcId="{A7235764-2AF9-40A1-8F16-76FE97EDDC51}" destId="{EABFC029-8D9F-48F7-A3EA-547C7C29AC7F}" srcOrd="0" destOrd="0" presId="urn:microsoft.com/office/officeart/2005/8/layout/hierarchy2"/>
    <dgm:cxn modelId="{2AD4426F-F88B-46E1-9260-27324A3E351E}" type="presParOf" srcId="{FDE45D5B-913A-4B45-A60A-EC913FF74F2E}" destId="{466F8CC9-C033-4DCC-BCAC-22B0620DD6E6}" srcOrd="1" destOrd="0" presId="urn:microsoft.com/office/officeart/2005/8/layout/hierarchy2"/>
    <dgm:cxn modelId="{4888AB2B-45F8-4570-87C9-0750D09FD1C5}" type="presParOf" srcId="{466F8CC9-C033-4DCC-BCAC-22B0620DD6E6}" destId="{8865591C-73DB-438A-AAA5-4E0F2B6416AD}" srcOrd="0" destOrd="0" presId="urn:microsoft.com/office/officeart/2005/8/layout/hierarchy2"/>
    <dgm:cxn modelId="{EE000332-21B7-459C-AEB1-405A3169DBA1}" type="presParOf" srcId="{466F8CC9-C033-4DCC-BCAC-22B0620DD6E6}" destId="{C8757E0D-A36F-41E8-A222-E70706591BE6}" srcOrd="1" destOrd="0" presId="urn:microsoft.com/office/officeart/2005/8/layout/hierarchy2"/>
    <dgm:cxn modelId="{74D8C98A-8CEE-4933-86B9-F78AF23D81B9}" type="presParOf" srcId="{C8757E0D-A36F-41E8-A222-E70706591BE6}" destId="{230395AE-F33F-43E8-B7E0-1CC819AE4EB3}" srcOrd="0" destOrd="0" presId="urn:microsoft.com/office/officeart/2005/8/layout/hierarchy2"/>
    <dgm:cxn modelId="{FDC26910-4CCD-4D02-86FC-D2277A4652B7}" type="presParOf" srcId="{230395AE-F33F-43E8-B7E0-1CC819AE4EB3}" destId="{467B5B88-CCED-4DA6-A311-473DDDC3B953}" srcOrd="0" destOrd="0" presId="urn:microsoft.com/office/officeart/2005/8/layout/hierarchy2"/>
    <dgm:cxn modelId="{0ABF85C8-6601-46A0-9546-1071B2D136F2}" type="presParOf" srcId="{C8757E0D-A36F-41E8-A222-E70706591BE6}" destId="{96FC70E0-19ED-4471-9FF6-83AE0C78B200}" srcOrd="1" destOrd="0" presId="urn:microsoft.com/office/officeart/2005/8/layout/hierarchy2"/>
    <dgm:cxn modelId="{4D25DE28-1719-4B6F-85E2-EC89281BAD29}" type="presParOf" srcId="{96FC70E0-19ED-4471-9FF6-83AE0C78B200}" destId="{49BD98D4-694D-499C-9665-9734C2EE810C}" srcOrd="0" destOrd="0" presId="urn:microsoft.com/office/officeart/2005/8/layout/hierarchy2"/>
    <dgm:cxn modelId="{2D3C4249-3A4B-4071-AD28-8853A5FC0C22}" type="presParOf" srcId="{96FC70E0-19ED-4471-9FF6-83AE0C78B200}" destId="{4D1908DB-5CCA-437B-8319-3FA35E38D588}" srcOrd="1" destOrd="0" presId="urn:microsoft.com/office/officeart/2005/8/layout/hierarchy2"/>
    <dgm:cxn modelId="{223294DB-46DF-43E3-9300-D985FCDBC83B}" type="presParOf" srcId="{C8757E0D-A36F-41E8-A222-E70706591BE6}" destId="{F8D2E16A-8D2A-43F4-A810-25B866ADB0FB}" srcOrd="2" destOrd="0" presId="urn:microsoft.com/office/officeart/2005/8/layout/hierarchy2"/>
    <dgm:cxn modelId="{DD06F7D0-934B-4300-B566-686862C3DF0D}" type="presParOf" srcId="{F8D2E16A-8D2A-43F4-A810-25B866ADB0FB}" destId="{21952661-2070-439D-9C4A-4987CF312E0B}" srcOrd="0" destOrd="0" presId="urn:microsoft.com/office/officeart/2005/8/layout/hierarchy2"/>
    <dgm:cxn modelId="{869F4CC3-DC4D-4533-B2E0-135A798F50DD}" type="presParOf" srcId="{C8757E0D-A36F-41E8-A222-E70706591BE6}" destId="{5CCA26FA-017A-4489-AEB3-A5D689FA1BAE}" srcOrd="3" destOrd="0" presId="urn:microsoft.com/office/officeart/2005/8/layout/hierarchy2"/>
    <dgm:cxn modelId="{AF2BE514-900F-4188-955D-1AC7E6440EFF}" type="presParOf" srcId="{5CCA26FA-017A-4489-AEB3-A5D689FA1BAE}" destId="{53F0BBC2-D503-43DF-AD6A-1E7ECC226115}" srcOrd="0" destOrd="0" presId="urn:microsoft.com/office/officeart/2005/8/layout/hierarchy2"/>
    <dgm:cxn modelId="{0FB8C2EE-F467-4247-ADE6-C15E2C90C8FF}" type="presParOf" srcId="{5CCA26FA-017A-4489-AEB3-A5D689FA1BAE}" destId="{CC80EEC9-D00F-4884-9FF9-DB5289068B8F}" srcOrd="1" destOrd="0" presId="urn:microsoft.com/office/officeart/2005/8/layout/hierarchy2"/>
    <dgm:cxn modelId="{6C627171-DF5F-47DB-B31F-A29935C7FB5D}" type="presParOf" srcId="{C8757E0D-A36F-41E8-A222-E70706591BE6}" destId="{20436B2E-0AAD-4BA2-8831-1885DF697236}" srcOrd="4" destOrd="0" presId="urn:microsoft.com/office/officeart/2005/8/layout/hierarchy2"/>
    <dgm:cxn modelId="{CC47C20F-C2AE-4496-AA12-727BFE19E773}" type="presParOf" srcId="{20436B2E-0AAD-4BA2-8831-1885DF697236}" destId="{20561107-2F6E-4327-98D4-2FB1CFFCE91F}" srcOrd="0" destOrd="0" presId="urn:microsoft.com/office/officeart/2005/8/layout/hierarchy2"/>
    <dgm:cxn modelId="{D6E7B782-5D88-4430-A5FC-0939D30B0F96}" type="presParOf" srcId="{C8757E0D-A36F-41E8-A222-E70706591BE6}" destId="{ECDD5187-A90D-4462-BFEB-02DC8091993C}" srcOrd="5" destOrd="0" presId="urn:microsoft.com/office/officeart/2005/8/layout/hierarchy2"/>
    <dgm:cxn modelId="{2364694D-89C3-42F9-8AA8-8B4B34110468}" type="presParOf" srcId="{ECDD5187-A90D-4462-BFEB-02DC8091993C}" destId="{DC23D804-A089-4DBB-80C2-E3289511DDAA}" srcOrd="0" destOrd="0" presId="urn:microsoft.com/office/officeart/2005/8/layout/hierarchy2"/>
    <dgm:cxn modelId="{554A0D98-DEC2-4811-A85C-823D6DB12DDA}" type="presParOf" srcId="{ECDD5187-A90D-4462-BFEB-02DC8091993C}" destId="{ADE9E370-D483-4D1C-8683-4A1D1C5A4B55}" srcOrd="1" destOrd="0" presId="urn:microsoft.com/office/officeart/2005/8/layout/hierarchy2"/>
    <dgm:cxn modelId="{F7BABDDE-1DE8-4DD9-B947-38AD1A0FF847}" type="presParOf" srcId="{FDE45D5B-913A-4B45-A60A-EC913FF74F2E}" destId="{5791F3E8-4BF4-4DE5-B9E8-FF48531D2831}" srcOrd="2" destOrd="0" presId="urn:microsoft.com/office/officeart/2005/8/layout/hierarchy2"/>
    <dgm:cxn modelId="{C33F5C62-E7C1-4BE4-B3C6-452F6BE09E71}" type="presParOf" srcId="{5791F3E8-4BF4-4DE5-B9E8-FF48531D2831}" destId="{FB1992B4-860F-4D3E-BC6D-EA4A709A5561}" srcOrd="0" destOrd="0" presId="urn:microsoft.com/office/officeart/2005/8/layout/hierarchy2"/>
    <dgm:cxn modelId="{2CB13C4B-2422-4FA7-A7B3-9E0E9EF0905F}" type="presParOf" srcId="{FDE45D5B-913A-4B45-A60A-EC913FF74F2E}" destId="{FB554B37-8CA9-4247-8CA9-12EFE0B4E762}" srcOrd="3" destOrd="0" presId="urn:microsoft.com/office/officeart/2005/8/layout/hierarchy2"/>
    <dgm:cxn modelId="{88619CC0-55FA-4E86-BD2D-508D981C3E71}" type="presParOf" srcId="{FB554B37-8CA9-4247-8CA9-12EFE0B4E762}" destId="{15E9280C-B248-4EEB-8A23-3CB8F9A2A658}" srcOrd="0" destOrd="0" presId="urn:microsoft.com/office/officeart/2005/8/layout/hierarchy2"/>
    <dgm:cxn modelId="{2B5A3454-F829-4E0D-AB0F-365E17A399E0}" type="presParOf" srcId="{FB554B37-8CA9-4247-8CA9-12EFE0B4E762}" destId="{F50859FD-5221-40F8-9BF0-BBA7E764A778}" srcOrd="1" destOrd="0" presId="urn:microsoft.com/office/officeart/2005/8/layout/hierarchy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5A17C3-693B-44AB-AB90-6918E0CF0C19}">
      <dsp:nvSpPr>
        <dsp:cNvPr id="0" name=""/>
        <dsp:cNvSpPr/>
      </dsp:nvSpPr>
      <dsp:spPr>
        <a:xfrm>
          <a:off x="413" y="959515"/>
          <a:ext cx="1096245" cy="548122"/>
        </a:xfrm>
        <a:prstGeom prst="roundRect">
          <a:avLst>
            <a:gd name="adj" fmla="val 10000"/>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kern="1200"/>
            <a:t>Indonesian Land</a:t>
          </a:r>
        </a:p>
      </dsp:txBody>
      <dsp:txXfrm>
        <a:off x="16467" y="975569"/>
        <a:ext cx="1064137" cy="516014"/>
      </dsp:txXfrm>
    </dsp:sp>
    <dsp:sp modelId="{A7235764-2AF9-40A1-8F16-76FE97EDDC51}">
      <dsp:nvSpPr>
        <dsp:cNvPr id="0" name=""/>
        <dsp:cNvSpPr/>
      </dsp:nvSpPr>
      <dsp:spPr>
        <a:xfrm rot="18289469">
          <a:off x="931977" y="898411"/>
          <a:ext cx="767860" cy="39990"/>
        </a:xfrm>
        <a:custGeom>
          <a:avLst/>
          <a:gdLst/>
          <a:ahLst/>
          <a:cxnLst/>
          <a:rect l="0" t="0" r="0" b="0"/>
          <a:pathLst>
            <a:path>
              <a:moveTo>
                <a:pt x="0" y="19995"/>
              </a:moveTo>
              <a:lnTo>
                <a:pt x="767860" y="19995"/>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1296711" y="899209"/>
        <a:ext cx="38393" cy="38393"/>
      </dsp:txXfrm>
    </dsp:sp>
    <dsp:sp modelId="{8865591C-73DB-438A-AAA5-4E0F2B6416AD}">
      <dsp:nvSpPr>
        <dsp:cNvPr id="0" name=""/>
        <dsp:cNvSpPr/>
      </dsp:nvSpPr>
      <dsp:spPr>
        <a:xfrm>
          <a:off x="1535156" y="329174"/>
          <a:ext cx="1096245" cy="548122"/>
        </a:xfrm>
        <a:prstGeom prst="roundRect">
          <a:avLst>
            <a:gd name="adj" fmla="val 10000"/>
          </a:avLst>
        </a:prstGeom>
        <a:solidFill>
          <a:schemeClr val="bg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kern="1200"/>
            <a:t>Forest Land</a:t>
          </a:r>
        </a:p>
      </dsp:txBody>
      <dsp:txXfrm>
        <a:off x="1551210" y="345228"/>
        <a:ext cx="1064137" cy="516014"/>
      </dsp:txXfrm>
    </dsp:sp>
    <dsp:sp modelId="{230395AE-F33F-43E8-B7E0-1CC819AE4EB3}">
      <dsp:nvSpPr>
        <dsp:cNvPr id="0" name=""/>
        <dsp:cNvSpPr/>
      </dsp:nvSpPr>
      <dsp:spPr>
        <a:xfrm rot="19457599">
          <a:off x="2580645" y="425655"/>
          <a:ext cx="540012" cy="39990"/>
        </a:xfrm>
        <a:custGeom>
          <a:avLst/>
          <a:gdLst/>
          <a:ahLst/>
          <a:cxnLst/>
          <a:rect l="0" t="0" r="0" b="0"/>
          <a:pathLst>
            <a:path>
              <a:moveTo>
                <a:pt x="0" y="19995"/>
              </a:moveTo>
              <a:lnTo>
                <a:pt x="540012" y="19995"/>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2837150" y="432150"/>
        <a:ext cx="27000" cy="27000"/>
      </dsp:txXfrm>
    </dsp:sp>
    <dsp:sp modelId="{49BD98D4-694D-499C-9665-9734C2EE810C}">
      <dsp:nvSpPr>
        <dsp:cNvPr id="0" name=""/>
        <dsp:cNvSpPr/>
      </dsp:nvSpPr>
      <dsp:spPr>
        <a:xfrm>
          <a:off x="3069900" y="14004"/>
          <a:ext cx="1096245" cy="5481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kern="1200"/>
            <a:t>Statutory tenure</a:t>
          </a:r>
        </a:p>
      </dsp:txBody>
      <dsp:txXfrm>
        <a:off x="3085954" y="30058"/>
        <a:ext cx="1064137" cy="516014"/>
      </dsp:txXfrm>
    </dsp:sp>
    <dsp:sp modelId="{629B5B61-26EA-4D64-9E8F-5CB7D21F82E1}">
      <dsp:nvSpPr>
        <dsp:cNvPr id="0" name=""/>
        <dsp:cNvSpPr/>
      </dsp:nvSpPr>
      <dsp:spPr>
        <a:xfrm rot="2142401">
          <a:off x="2580645" y="740826"/>
          <a:ext cx="540012" cy="39990"/>
        </a:xfrm>
        <a:custGeom>
          <a:avLst/>
          <a:gdLst/>
          <a:ahLst/>
          <a:cxnLst/>
          <a:rect l="0" t="0" r="0" b="0"/>
          <a:pathLst>
            <a:path>
              <a:moveTo>
                <a:pt x="0" y="19995"/>
              </a:moveTo>
              <a:lnTo>
                <a:pt x="540012" y="19995"/>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2837150" y="747320"/>
        <a:ext cx="27000" cy="27000"/>
      </dsp:txXfrm>
    </dsp:sp>
    <dsp:sp modelId="{D3BB1DA7-EDD6-47F9-976B-DFE0CC26CAA7}">
      <dsp:nvSpPr>
        <dsp:cNvPr id="0" name=""/>
        <dsp:cNvSpPr/>
      </dsp:nvSpPr>
      <dsp:spPr>
        <a:xfrm>
          <a:off x="3069900" y="644345"/>
          <a:ext cx="1096245" cy="548122"/>
        </a:xfrm>
        <a:prstGeom prst="roundRect">
          <a:avLst>
            <a:gd name="adj" fmla="val 10000"/>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kern="1200"/>
            <a:t>Customary tenure</a:t>
          </a:r>
        </a:p>
      </dsp:txBody>
      <dsp:txXfrm>
        <a:off x="3085954" y="660399"/>
        <a:ext cx="1064137" cy="516014"/>
      </dsp:txXfrm>
    </dsp:sp>
    <dsp:sp modelId="{5791F3E8-4BF4-4DE5-B9E8-FF48531D2831}">
      <dsp:nvSpPr>
        <dsp:cNvPr id="0" name=""/>
        <dsp:cNvSpPr/>
      </dsp:nvSpPr>
      <dsp:spPr>
        <a:xfrm rot="3310531">
          <a:off x="931977" y="1528752"/>
          <a:ext cx="767860" cy="39990"/>
        </a:xfrm>
        <a:custGeom>
          <a:avLst/>
          <a:gdLst/>
          <a:ahLst/>
          <a:cxnLst/>
          <a:rect l="0" t="0" r="0" b="0"/>
          <a:pathLst>
            <a:path>
              <a:moveTo>
                <a:pt x="0" y="19995"/>
              </a:moveTo>
              <a:lnTo>
                <a:pt x="767860" y="19995"/>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1296711" y="1529550"/>
        <a:ext cx="38393" cy="38393"/>
      </dsp:txXfrm>
    </dsp:sp>
    <dsp:sp modelId="{15E9280C-B248-4EEB-8A23-3CB8F9A2A658}">
      <dsp:nvSpPr>
        <dsp:cNvPr id="0" name=""/>
        <dsp:cNvSpPr/>
      </dsp:nvSpPr>
      <dsp:spPr>
        <a:xfrm>
          <a:off x="1535156" y="1589856"/>
          <a:ext cx="1096245" cy="548122"/>
        </a:xfrm>
        <a:prstGeom prst="roundRect">
          <a:avLst>
            <a:gd name="adj" fmla="val 10000"/>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kern="1200"/>
            <a:t>Agrarian Law Land</a:t>
          </a:r>
        </a:p>
      </dsp:txBody>
      <dsp:txXfrm>
        <a:off x="1551210" y="1605910"/>
        <a:ext cx="1064137" cy="516014"/>
      </dsp:txXfrm>
    </dsp:sp>
    <dsp:sp modelId="{804D144B-9A49-48D0-903E-C5A2FC84424F}">
      <dsp:nvSpPr>
        <dsp:cNvPr id="0" name=""/>
        <dsp:cNvSpPr/>
      </dsp:nvSpPr>
      <dsp:spPr>
        <a:xfrm rot="19457599">
          <a:off x="2580645" y="1686337"/>
          <a:ext cx="540012" cy="39990"/>
        </a:xfrm>
        <a:custGeom>
          <a:avLst/>
          <a:gdLst/>
          <a:ahLst/>
          <a:cxnLst/>
          <a:rect l="0" t="0" r="0" b="0"/>
          <a:pathLst>
            <a:path>
              <a:moveTo>
                <a:pt x="0" y="19995"/>
              </a:moveTo>
              <a:lnTo>
                <a:pt x="540012" y="19995"/>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2837150" y="1692832"/>
        <a:ext cx="27000" cy="27000"/>
      </dsp:txXfrm>
    </dsp:sp>
    <dsp:sp modelId="{8A71AA40-9379-48F2-9D43-91939EBD8D65}">
      <dsp:nvSpPr>
        <dsp:cNvPr id="0" name=""/>
        <dsp:cNvSpPr/>
      </dsp:nvSpPr>
      <dsp:spPr>
        <a:xfrm>
          <a:off x="3069900" y="1274686"/>
          <a:ext cx="1096245" cy="5481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kern="1200"/>
            <a:t>Statutory tenure</a:t>
          </a:r>
        </a:p>
      </dsp:txBody>
      <dsp:txXfrm>
        <a:off x="3085954" y="1290740"/>
        <a:ext cx="1064137" cy="516014"/>
      </dsp:txXfrm>
    </dsp:sp>
    <dsp:sp modelId="{BF460059-C092-439F-999E-40AA5DDDC837}">
      <dsp:nvSpPr>
        <dsp:cNvPr id="0" name=""/>
        <dsp:cNvSpPr/>
      </dsp:nvSpPr>
      <dsp:spPr>
        <a:xfrm rot="2142401">
          <a:off x="2580645" y="2001508"/>
          <a:ext cx="540012" cy="39990"/>
        </a:xfrm>
        <a:custGeom>
          <a:avLst/>
          <a:gdLst/>
          <a:ahLst/>
          <a:cxnLst/>
          <a:rect l="0" t="0" r="0" b="0"/>
          <a:pathLst>
            <a:path>
              <a:moveTo>
                <a:pt x="0" y="19995"/>
              </a:moveTo>
              <a:lnTo>
                <a:pt x="540012" y="19995"/>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2837150" y="2008002"/>
        <a:ext cx="27000" cy="27000"/>
      </dsp:txXfrm>
    </dsp:sp>
    <dsp:sp modelId="{0BDE6BC9-0CE5-43F7-A351-20BF27B78137}">
      <dsp:nvSpPr>
        <dsp:cNvPr id="0" name=""/>
        <dsp:cNvSpPr/>
      </dsp:nvSpPr>
      <dsp:spPr>
        <a:xfrm>
          <a:off x="3069900" y="1905027"/>
          <a:ext cx="1096245" cy="548122"/>
        </a:xfrm>
        <a:prstGeom prst="roundRect">
          <a:avLst>
            <a:gd name="adj" fmla="val 10000"/>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kern="1200"/>
            <a:t>Customary tenure</a:t>
          </a:r>
        </a:p>
      </dsp:txBody>
      <dsp:txXfrm>
        <a:off x="3085954" y="1921081"/>
        <a:ext cx="1064137" cy="5160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5A17C3-693B-44AB-AB90-6918E0CF0C19}">
      <dsp:nvSpPr>
        <dsp:cNvPr id="0" name=""/>
        <dsp:cNvSpPr/>
      </dsp:nvSpPr>
      <dsp:spPr>
        <a:xfrm>
          <a:off x="1480" y="1076657"/>
          <a:ext cx="1086607" cy="543303"/>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kern="1200"/>
            <a:t>Forest Land</a:t>
          </a:r>
        </a:p>
      </dsp:txBody>
      <dsp:txXfrm>
        <a:off x="17393" y="1092570"/>
        <a:ext cx="1054781" cy="511477"/>
      </dsp:txXfrm>
    </dsp:sp>
    <dsp:sp modelId="{A7235764-2AF9-40A1-8F16-76FE97EDDC51}">
      <dsp:nvSpPr>
        <dsp:cNvPr id="0" name=""/>
        <dsp:cNvSpPr/>
      </dsp:nvSpPr>
      <dsp:spPr>
        <a:xfrm rot="19457599">
          <a:off x="1037777" y="1172289"/>
          <a:ext cx="535264" cy="39638"/>
        </a:xfrm>
        <a:custGeom>
          <a:avLst/>
          <a:gdLst/>
          <a:ahLst/>
          <a:cxnLst/>
          <a:rect l="0" t="0" r="0" b="0"/>
          <a:pathLst>
            <a:path>
              <a:moveTo>
                <a:pt x="0" y="19819"/>
              </a:moveTo>
              <a:lnTo>
                <a:pt x="535264" y="19819"/>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1292027" y="1178727"/>
        <a:ext cx="26763" cy="26763"/>
      </dsp:txXfrm>
    </dsp:sp>
    <dsp:sp modelId="{8865591C-73DB-438A-AAA5-4E0F2B6416AD}">
      <dsp:nvSpPr>
        <dsp:cNvPr id="0" name=""/>
        <dsp:cNvSpPr/>
      </dsp:nvSpPr>
      <dsp:spPr>
        <a:xfrm>
          <a:off x="1522731" y="764257"/>
          <a:ext cx="1086607" cy="543303"/>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kern="1200"/>
            <a:t>State Forest</a:t>
          </a:r>
        </a:p>
      </dsp:txBody>
      <dsp:txXfrm>
        <a:off x="1538644" y="780170"/>
        <a:ext cx="1054781" cy="511477"/>
      </dsp:txXfrm>
    </dsp:sp>
    <dsp:sp modelId="{230395AE-F33F-43E8-B7E0-1CC819AE4EB3}">
      <dsp:nvSpPr>
        <dsp:cNvPr id="0" name=""/>
        <dsp:cNvSpPr/>
      </dsp:nvSpPr>
      <dsp:spPr>
        <a:xfrm rot="19216151">
          <a:off x="2544078" y="835468"/>
          <a:ext cx="565164" cy="39638"/>
        </a:xfrm>
        <a:custGeom>
          <a:avLst/>
          <a:gdLst/>
          <a:ahLst/>
          <a:cxnLst/>
          <a:rect l="0" t="0" r="0" b="0"/>
          <a:pathLst>
            <a:path>
              <a:moveTo>
                <a:pt x="0" y="19819"/>
              </a:moveTo>
              <a:lnTo>
                <a:pt x="565164" y="19819"/>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2812531" y="841158"/>
        <a:ext cx="28258" cy="28258"/>
      </dsp:txXfrm>
    </dsp:sp>
    <dsp:sp modelId="{49BD98D4-694D-499C-9665-9734C2EE810C}">
      <dsp:nvSpPr>
        <dsp:cNvPr id="0" name=""/>
        <dsp:cNvSpPr/>
      </dsp:nvSpPr>
      <dsp:spPr>
        <a:xfrm>
          <a:off x="3043982" y="534793"/>
          <a:ext cx="1121096" cy="279747"/>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kern="1200"/>
            <a:t>Production Forest</a:t>
          </a:r>
        </a:p>
      </dsp:txBody>
      <dsp:txXfrm>
        <a:off x="3052176" y="542987"/>
        <a:ext cx="1104708" cy="263359"/>
      </dsp:txXfrm>
    </dsp:sp>
    <dsp:sp modelId="{F8D2E16A-8D2A-43F4-A810-25B866ADB0FB}">
      <dsp:nvSpPr>
        <dsp:cNvPr id="0" name=""/>
        <dsp:cNvSpPr/>
      </dsp:nvSpPr>
      <dsp:spPr>
        <a:xfrm>
          <a:off x="2609338" y="1016090"/>
          <a:ext cx="434643" cy="39638"/>
        </a:xfrm>
        <a:custGeom>
          <a:avLst/>
          <a:gdLst/>
          <a:ahLst/>
          <a:cxnLst/>
          <a:rect l="0" t="0" r="0" b="0"/>
          <a:pathLst>
            <a:path>
              <a:moveTo>
                <a:pt x="0" y="19819"/>
              </a:moveTo>
              <a:lnTo>
                <a:pt x="434643" y="19819"/>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2815794" y="1025043"/>
        <a:ext cx="21732" cy="21732"/>
      </dsp:txXfrm>
    </dsp:sp>
    <dsp:sp modelId="{53F0BBC2-D503-43DF-AD6A-1E7ECC226115}">
      <dsp:nvSpPr>
        <dsp:cNvPr id="0" name=""/>
        <dsp:cNvSpPr/>
      </dsp:nvSpPr>
      <dsp:spPr>
        <a:xfrm>
          <a:off x="3043982" y="896035"/>
          <a:ext cx="1121096" cy="279747"/>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kern="1200"/>
            <a:t>Protected Forest</a:t>
          </a:r>
        </a:p>
      </dsp:txBody>
      <dsp:txXfrm>
        <a:off x="3052176" y="904229"/>
        <a:ext cx="1104708" cy="263359"/>
      </dsp:txXfrm>
    </dsp:sp>
    <dsp:sp modelId="{20436B2E-0AAD-4BA2-8831-1885DF697236}">
      <dsp:nvSpPr>
        <dsp:cNvPr id="0" name=""/>
        <dsp:cNvSpPr/>
      </dsp:nvSpPr>
      <dsp:spPr>
        <a:xfrm rot="2383849">
          <a:off x="2544078" y="1196711"/>
          <a:ext cx="565164" cy="39638"/>
        </a:xfrm>
        <a:custGeom>
          <a:avLst/>
          <a:gdLst/>
          <a:ahLst/>
          <a:cxnLst/>
          <a:rect l="0" t="0" r="0" b="0"/>
          <a:pathLst>
            <a:path>
              <a:moveTo>
                <a:pt x="0" y="19819"/>
              </a:moveTo>
              <a:lnTo>
                <a:pt x="565164" y="19819"/>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2812531" y="1202401"/>
        <a:ext cx="28258" cy="28258"/>
      </dsp:txXfrm>
    </dsp:sp>
    <dsp:sp modelId="{DC23D804-A089-4DBB-80C2-E3289511DDAA}">
      <dsp:nvSpPr>
        <dsp:cNvPr id="0" name=""/>
        <dsp:cNvSpPr/>
      </dsp:nvSpPr>
      <dsp:spPr>
        <a:xfrm>
          <a:off x="3043982" y="1257278"/>
          <a:ext cx="1121096" cy="279747"/>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kern="1200"/>
            <a:t>Conservation Forest</a:t>
          </a:r>
        </a:p>
      </dsp:txBody>
      <dsp:txXfrm>
        <a:off x="3052176" y="1265472"/>
        <a:ext cx="1104708" cy="263359"/>
      </dsp:txXfrm>
    </dsp:sp>
    <dsp:sp modelId="{5791F3E8-4BF4-4DE5-B9E8-FF48531D2831}">
      <dsp:nvSpPr>
        <dsp:cNvPr id="0" name=""/>
        <dsp:cNvSpPr/>
      </dsp:nvSpPr>
      <dsp:spPr>
        <a:xfrm rot="2142401">
          <a:off x="1037777" y="1484689"/>
          <a:ext cx="535264" cy="39638"/>
        </a:xfrm>
        <a:custGeom>
          <a:avLst/>
          <a:gdLst/>
          <a:ahLst/>
          <a:cxnLst/>
          <a:rect l="0" t="0" r="0" b="0"/>
          <a:pathLst>
            <a:path>
              <a:moveTo>
                <a:pt x="0" y="19819"/>
              </a:moveTo>
              <a:lnTo>
                <a:pt x="535264" y="19819"/>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1292027" y="1491127"/>
        <a:ext cx="26763" cy="26763"/>
      </dsp:txXfrm>
    </dsp:sp>
    <dsp:sp modelId="{15E9280C-B248-4EEB-8A23-3CB8F9A2A658}">
      <dsp:nvSpPr>
        <dsp:cNvPr id="0" name=""/>
        <dsp:cNvSpPr/>
      </dsp:nvSpPr>
      <dsp:spPr>
        <a:xfrm>
          <a:off x="1522731" y="1389057"/>
          <a:ext cx="1086607" cy="543303"/>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kern="1200"/>
            <a:t>Private Forest</a:t>
          </a:r>
        </a:p>
      </dsp:txBody>
      <dsp:txXfrm>
        <a:off x="1538644" y="1404970"/>
        <a:ext cx="1054781" cy="51147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2B743-3472-4AC6-8410-2093CEE8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9409</Words>
  <Characters>51751</Characters>
  <Application>Microsoft Office Word</Application>
  <DocSecurity>0</DocSecurity>
  <Lines>431</Lines>
  <Paragraphs>122</Paragraphs>
  <ScaleCrop>false</ScaleCrop>
  <HeadingPairs>
    <vt:vector size="2" baseType="variant">
      <vt:variant>
        <vt:lpstr>Title</vt:lpstr>
      </vt:variant>
      <vt:variant>
        <vt:i4>1</vt:i4>
      </vt:variant>
    </vt:vector>
  </HeadingPairs>
  <TitlesOfParts>
    <vt:vector size="1" baseType="lpstr">
      <vt:lpstr/>
    </vt:vector>
  </TitlesOfParts>
  <Company>Australian Red Cross</Company>
  <LinksUpToDate>false</LinksUpToDate>
  <CharactersWithSpaces>61038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Red Cross</dc:creator>
  <cp:lastModifiedBy>Australian Red Cross</cp:lastModifiedBy>
  <cp:revision>7</cp:revision>
  <dcterms:created xsi:type="dcterms:W3CDTF">2018-05-24T07:46:00Z</dcterms:created>
  <dcterms:modified xsi:type="dcterms:W3CDTF">2018-05-24T08:08:00Z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sorm A0138773653v12 120641715 </vt:lpwstr>
  </property>
  <property fmtid="{D5CDD505-2E9C-101B-9397-08002B2CF9AE}" pid="3" name="DOCSDocNumber">
    <vt:lpwstr>38773653</vt:lpwstr>
  </property>
  <property fmtid="{D5CDD505-2E9C-101B-9397-08002B2CF9AE}" pid="4" name="DOCSDocumentID">
    <vt:lpwstr>A0138773653</vt:lpwstr>
  </property>
</Properties>
</file>