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914" w:rsidRDefault="00C67914"/>
    <w:p w:rsidR="00C67914" w:rsidRDefault="003F7870">
      <w:pPr>
        <w:pStyle w:val="GeneralHeading1"/>
        <w:jc w:val="center"/>
        <w:rPr>
          <w:rFonts w:cs="Arial"/>
          <w:sz w:val="24"/>
          <w:lang w:val="fr-FR"/>
        </w:rPr>
      </w:pPr>
      <w:r>
        <w:rPr>
          <w:rFonts w:cs="Arial"/>
          <w:sz w:val="24"/>
          <w:lang w:val="fr-FR"/>
        </w:rPr>
        <w:t>Projet de cartographie des Logements, des Terres et des Propriétés (LTP)</w:t>
      </w:r>
    </w:p>
    <w:p w:rsidR="00C67914" w:rsidRDefault="003F7870">
      <w:pPr>
        <w:pStyle w:val="GeneralHeading1"/>
        <w:tabs>
          <w:tab w:val="left" w:pos="2410"/>
          <w:tab w:val="center" w:pos="4677"/>
        </w:tabs>
        <w:rPr>
          <w:rFonts w:cs="Arial"/>
          <w:sz w:val="24"/>
          <w:lang w:val="fr-FR"/>
        </w:rPr>
      </w:pPr>
      <w:r>
        <w:rPr>
          <w:rFonts w:cs="Arial"/>
          <w:sz w:val="24"/>
          <w:lang w:val="fr-FR"/>
        </w:rPr>
        <w:tab/>
      </w:r>
      <w:r>
        <w:rPr>
          <w:rFonts w:cs="Arial"/>
          <w:sz w:val="24"/>
          <w:lang w:val="fr-FR"/>
        </w:rPr>
        <w:tab/>
        <w:t>Burundi</w:t>
      </w:r>
    </w:p>
    <w:p w:rsidR="00C67914" w:rsidRDefault="003F7870">
      <w:pPr>
        <w:spacing w:before="120" w:after="120"/>
        <w:jc w:val="both"/>
        <w:rPr>
          <w:rFonts w:cs="Arial"/>
          <w:b/>
          <w:sz w:val="20"/>
          <w:szCs w:val="20"/>
        </w:rPr>
      </w:pPr>
      <w:r>
        <w:rPr>
          <w:rFonts w:cs="Arial"/>
          <w:b/>
          <w:sz w:val="20"/>
          <w:szCs w:val="20"/>
        </w:rPr>
        <w:t>Contexte</w:t>
      </w:r>
    </w:p>
    <w:p w:rsidR="00C67914" w:rsidRDefault="003F7870">
      <w:pPr>
        <w:pStyle w:val="Heading2"/>
        <w:jc w:val="both"/>
        <w:rPr>
          <w:b w:val="0"/>
          <w:bCs w:val="0"/>
          <w:i w:val="0"/>
          <w:iCs w:val="0"/>
          <w:sz w:val="20"/>
          <w:szCs w:val="20"/>
        </w:rPr>
      </w:pPr>
      <w:bookmarkStart w:id="0" w:name="_Toc52018495"/>
      <w:bookmarkStart w:id="1" w:name="_Toc52025694"/>
      <w:bookmarkStart w:id="2" w:name="_Toc52026132"/>
      <w:bookmarkStart w:id="3" w:name="_Toc52029972"/>
      <w:r>
        <w:rPr>
          <w:b w:val="0"/>
          <w:bCs w:val="0"/>
          <w:i w:val="0"/>
          <w:iCs w:val="0"/>
          <w:sz w:val="20"/>
          <w:szCs w:val="20"/>
        </w:rPr>
        <w:t>La fiche d'information et la note de recherche suivantes ont été élaborées pour fournir des informations rapides et essentielles sur le contexte juridique et procédural relatif aux Logements, aux Terres et aux Propriétés "LTP” dans le pays cible. Elles sont destinées à informer la programmation et les interventions d'urgence, en particulier celles qui impliquent des interventions dans le domaine du logement. Une compréhension rapide du paysage de l'occupation dans le contexte de chaque pays peut aider à fournir des réponses plus fortes et plus équitables. Toutefois, ces documents ne sont pas destinés à servir de conseils juridiques.</w:t>
      </w:r>
      <w:bookmarkEnd w:id="0"/>
      <w:bookmarkEnd w:id="1"/>
      <w:bookmarkEnd w:id="2"/>
      <w:bookmarkEnd w:id="3"/>
    </w:p>
    <w:p w:rsidR="00C67914" w:rsidRDefault="003F7870">
      <w:pPr>
        <w:spacing w:before="120" w:after="120"/>
        <w:jc w:val="both"/>
        <w:rPr>
          <w:rFonts w:cs="Arial"/>
          <w:sz w:val="20"/>
          <w:szCs w:val="20"/>
        </w:rPr>
      </w:pPr>
      <w:r>
        <w:rPr>
          <w:rFonts w:cs="Arial"/>
          <w:sz w:val="20"/>
          <w:szCs w:val="20"/>
        </w:rPr>
        <w:t>Le projet de cartographie LTP a été entrepris par le cabinet juridique International Webber Wentzel pour l'Organisation Internationale pour les Migrations (OIM), en utilisant des modèles développés par la Croix-Rouge Australienne et la Fédération Internationale des Sociétés de la Croix-Rouge et du Croissant-Rouge (FICR). Toutes les recherches ont fait l'objet d'un processus de vérification auprès d'avocats et/ou d'experts nationaux.</w:t>
      </w:r>
    </w:p>
    <w:p w:rsidR="00C67914" w:rsidRDefault="00C67914">
      <w:pPr>
        <w:spacing w:before="120" w:after="120"/>
        <w:jc w:val="both"/>
        <w:rPr>
          <w:rFonts w:cs="Arial"/>
          <w:sz w:val="20"/>
          <w:szCs w:val="20"/>
        </w:rPr>
      </w:pPr>
    </w:p>
    <w:p w:rsidR="00C67914" w:rsidRDefault="003F7870">
      <w:pPr>
        <w:spacing w:before="120" w:after="120"/>
        <w:jc w:val="both"/>
        <w:rPr>
          <w:rFonts w:cs="Arial"/>
          <w:b/>
          <w:sz w:val="20"/>
          <w:szCs w:val="20"/>
        </w:rPr>
      </w:pPr>
      <w:r>
        <w:rPr>
          <w:rFonts w:cs="Arial"/>
          <w:b/>
          <w:sz w:val="20"/>
          <w:szCs w:val="20"/>
        </w:rPr>
        <w:t>Gestion des changements de documents</w:t>
      </w:r>
    </w:p>
    <w:p w:rsidR="00C67914" w:rsidRDefault="003F7870">
      <w:pPr>
        <w:spacing w:before="120" w:after="120"/>
        <w:jc w:val="both"/>
        <w:rPr>
          <w:rFonts w:cs="Arial"/>
          <w:sz w:val="20"/>
          <w:szCs w:val="20"/>
        </w:rPr>
      </w:pPr>
      <w:r>
        <w:rPr>
          <w:rFonts w:cs="Arial"/>
          <w:sz w:val="20"/>
          <w:szCs w:val="20"/>
        </w:rPr>
        <w:t>Ces documents sont destinés à être utilisés et mis à jour si nécessaire afin de garantir qu'ils fournissent toujours les informations les plus récentes et les plus pertinentes. Nous apprécierions un retour d'information et des mises à jour permanentes de la part de ceux qui travaillent dans le pays, en réponse ou en préparation.</w:t>
      </w:r>
    </w:p>
    <w:p w:rsidR="00BF2D72" w:rsidRDefault="00BF2D72">
      <w:pPr>
        <w:spacing w:before="120" w:after="120"/>
        <w:jc w:val="both"/>
        <w:rPr>
          <w:rFonts w:cs="Arial"/>
          <w:sz w:val="20"/>
          <w:szCs w:val="20"/>
        </w:rPr>
      </w:pPr>
    </w:p>
    <w:p w:rsidR="00C67914" w:rsidRDefault="003F7870">
      <w:pPr>
        <w:spacing w:before="120" w:after="120"/>
        <w:jc w:val="both"/>
        <w:rPr>
          <w:rFonts w:cs="Arial"/>
          <w:sz w:val="20"/>
          <w:szCs w:val="20"/>
        </w:rPr>
      </w:pPr>
      <w:r>
        <w:rPr>
          <w:rFonts w:cs="Arial"/>
          <w:sz w:val="20"/>
          <w:szCs w:val="20"/>
        </w:rPr>
        <w:t>Si vous souhaitez apporter des modifications au document, veuillez les soumettre au gestionnaire du document via le tableau ci-dessous.</w:t>
      </w:r>
    </w:p>
    <w:p w:rsidR="00C67914" w:rsidRDefault="00C67914">
      <w:pPr>
        <w:rPr>
          <w:rFonts w:cs="Arial"/>
        </w:rPr>
      </w:pPr>
    </w:p>
    <w:tbl>
      <w:tblPr>
        <w:tblW w:w="9363" w:type="dxa"/>
        <w:tblLayout w:type="fixed"/>
        <w:tblCellMar>
          <w:left w:w="10" w:type="dxa"/>
          <w:right w:w="10" w:type="dxa"/>
        </w:tblCellMar>
        <w:tblLook w:val="04A0"/>
      </w:tblPr>
      <w:tblGrid>
        <w:gridCol w:w="1960"/>
        <w:gridCol w:w="2749"/>
        <w:gridCol w:w="3838"/>
        <w:gridCol w:w="816"/>
      </w:tblGrid>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Titre</w:t>
            </w:r>
          </w:p>
        </w:tc>
        <w:tc>
          <w:tcPr>
            <w:tcW w:w="74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sz w:val="20"/>
                <w:szCs w:val="20"/>
              </w:rPr>
            </w:pPr>
            <w:r>
              <w:rPr>
                <w:rFonts w:cs="Arial"/>
                <w:sz w:val="20"/>
                <w:szCs w:val="20"/>
              </w:rPr>
              <w:t xml:space="preserve"> Profil du LTP (Logements, Terres et propriétés) au Burundi</w:t>
            </w: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Description</w:t>
            </w:r>
          </w:p>
        </w:tc>
        <w:tc>
          <w:tcPr>
            <w:tcW w:w="74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sz w:val="20"/>
                <w:szCs w:val="20"/>
              </w:rPr>
            </w:pPr>
            <w:r>
              <w:rPr>
                <w:rFonts w:cs="Arial"/>
                <w:sz w:val="20"/>
                <w:szCs w:val="20"/>
              </w:rPr>
              <w:t>Fiche d'information et note de recherche</w:t>
            </w: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Créé par</w:t>
            </w:r>
          </w:p>
        </w:tc>
        <w:tc>
          <w:tcPr>
            <w:tcW w:w="74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sz w:val="20"/>
                <w:szCs w:val="20"/>
              </w:rPr>
            </w:pPr>
            <w:r>
              <w:rPr>
                <w:rFonts w:cs="Arial"/>
                <w:sz w:val="20"/>
                <w:szCs w:val="20"/>
              </w:rPr>
              <w:t>Organisation Internationale pour les Migrations (OIM) / Webber Wentzel</w:t>
            </w: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Date de création</w:t>
            </w:r>
          </w:p>
        </w:tc>
        <w:tc>
          <w:tcPr>
            <w:tcW w:w="74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sz w:val="20"/>
                <w:szCs w:val="20"/>
              </w:rPr>
            </w:pPr>
            <w:r>
              <w:rPr>
                <w:rFonts w:cs="Arial"/>
                <w:sz w:val="20"/>
                <w:szCs w:val="20"/>
              </w:rPr>
              <w:t>Septembre 2020</w:t>
            </w: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Géré par</w:t>
            </w:r>
          </w:p>
        </w:tc>
        <w:tc>
          <w:tcPr>
            <w:tcW w:w="74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pPr>
            <w:r>
              <w:rPr>
                <w:rFonts w:cs="Arial"/>
                <w:sz w:val="20"/>
                <w:szCs w:val="20"/>
              </w:rPr>
              <w:t xml:space="preserve">Groupe Sectoriel Mondial Abris / Global Shelter Cluster / Ibere Lopes </w:t>
            </w:r>
            <w:hyperlink r:id="rId8" w:history="1">
              <w:r>
                <w:rPr>
                  <w:rStyle w:val="Hyperlink"/>
                  <w:rFonts w:cs="Arial"/>
                  <w:sz w:val="20"/>
                  <w:szCs w:val="20"/>
                </w:rPr>
                <w:t>ilopes@iom.int</w:t>
              </w:r>
            </w:hyperlink>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rPr>
            </w:pPr>
            <w:r>
              <w:rPr>
                <w:rFonts w:cs="Arial"/>
                <w:b/>
              </w:rPr>
              <w:t>Date</w:t>
            </w: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sz w:val="20"/>
                <w:szCs w:val="20"/>
              </w:rPr>
            </w:pPr>
            <w:r>
              <w:rPr>
                <w:rFonts w:cs="Arial"/>
                <w:b/>
                <w:sz w:val="20"/>
                <w:szCs w:val="20"/>
              </w:rPr>
              <w:t>Soumis par</w:t>
            </w:r>
          </w:p>
          <w:p w:rsidR="00C67914" w:rsidRDefault="003F7870">
            <w:pPr>
              <w:spacing w:before="40" w:after="40" w:line="264" w:lineRule="auto"/>
              <w:rPr>
                <w:rFonts w:cs="Arial"/>
                <w:sz w:val="20"/>
                <w:szCs w:val="20"/>
              </w:rPr>
            </w:pPr>
            <w:r>
              <w:rPr>
                <w:rFonts w:cs="Arial"/>
                <w:sz w:val="20"/>
                <w:szCs w:val="20"/>
              </w:rPr>
              <w:t>(nom, organisation, courriel)</w:t>
            </w: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sz w:val="20"/>
                <w:szCs w:val="20"/>
              </w:rPr>
            </w:pPr>
            <w:r>
              <w:rPr>
                <w:rFonts w:cs="Arial"/>
                <w:b/>
                <w:sz w:val="20"/>
                <w:szCs w:val="20"/>
              </w:rPr>
              <w:t>Suggestions d'amendements</w:t>
            </w:r>
          </w:p>
          <w:p w:rsidR="00C67914" w:rsidRDefault="003F7870">
            <w:pPr>
              <w:spacing w:before="40" w:after="40" w:line="264" w:lineRule="auto"/>
              <w:rPr>
                <w:rFonts w:cs="Arial"/>
                <w:sz w:val="20"/>
                <w:szCs w:val="20"/>
              </w:rPr>
            </w:pPr>
            <w:r>
              <w:rPr>
                <w:rFonts w:cs="Arial"/>
                <w:sz w:val="20"/>
                <w:szCs w:val="20"/>
              </w:rPr>
              <w:t>(veuillez indiquer la section, le paragraphe, la page selon le cas)</w:t>
            </w: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rPr>
                <w:rFonts w:cs="Arial"/>
                <w:b/>
                <w:sz w:val="20"/>
                <w:szCs w:val="20"/>
              </w:rPr>
            </w:pPr>
            <w:r>
              <w:rPr>
                <w:rFonts w:cs="Arial"/>
                <w:b/>
                <w:sz w:val="20"/>
                <w:szCs w:val="20"/>
              </w:rPr>
              <w:t>Statut</w:t>
            </w: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r w:rsidR="00C67914" w:rsidTr="00C67914">
        <w:trPr>
          <w:trHeight w:val="20"/>
        </w:trPr>
        <w:tc>
          <w:tcPr>
            <w:tcW w:w="1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2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C67914">
            <w:pPr>
              <w:spacing w:before="40" w:after="40" w:line="264" w:lineRule="auto"/>
              <w:rPr>
                <w:rFonts w:cs="Arial"/>
              </w:rPr>
            </w:pPr>
          </w:p>
        </w:tc>
      </w:tr>
    </w:tbl>
    <w:p w:rsidR="00C67914" w:rsidRDefault="00C67914">
      <w:pPr>
        <w:sectPr w:rsidR="00C67914">
          <w:headerReference w:type="default" r:id="rId9"/>
          <w:footerReference w:type="default" r:id="rId10"/>
          <w:headerReference w:type="first" r:id="rId11"/>
          <w:footerReference w:type="first" r:id="rId12"/>
          <w:pgSz w:w="11906" w:h="16838"/>
          <w:pgMar w:top="1134" w:right="1134" w:bottom="1134" w:left="1418" w:header="567" w:footer="454" w:gutter="0"/>
          <w:cols w:space="720"/>
          <w:titlePg/>
        </w:sectPr>
      </w:pPr>
    </w:p>
    <w:p w:rsidR="00C67914" w:rsidRDefault="003F7870">
      <w:pPr>
        <w:pStyle w:val="Header"/>
      </w:pPr>
      <w:r>
        <w:rPr>
          <w:b/>
          <w:bCs/>
          <w:sz w:val="24"/>
        </w:rPr>
        <w:lastRenderedPageBreak/>
        <w:t>Droit du logement, de la terre et de la propriété au Burundi</w:t>
      </w:r>
    </w:p>
    <w:p w:rsidR="00C67914" w:rsidRDefault="003F7870" w:rsidP="004F24DA">
      <w:pPr>
        <w:pStyle w:val="Headingintro"/>
        <w:rPr>
          <w:szCs w:val="22"/>
        </w:rPr>
      </w:pPr>
      <w:bookmarkStart w:id="4" w:name="_Toc52018496"/>
      <w:bookmarkStart w:id="5" w:name="_Toc52025695"/>
      <w:bookmarkStart w:id="6" w:name="_Toc52026133"/>
      <w:bookmarkStart w:id="7" w:name="_Toc52029973"/>
      <w:bookmarkStart w:id="8" w:name="_Toc512953125"/>
      <w:bookmarkStart w:id="9" w:name="_Toc512952851"/>
      <w:r>
        <w:t>LOIS ET ACTEURS CLÉS</w:t>
      </w:r>
      <w:bookmarkEnd w:id="4"/>
      <w:bookmarkEnd w:id="5"/>
      <w:bookmarkEnd w:id="6"/>
      <w:bookmarkEnd w:id="7"/>
      <w:r>
        <w:tab/>
      </w:r>
      <w:bookmarkEnd w:id="8"/>
      <w:bookmarkEnd w:id="9"/>
    </w:p>
    <w:tbl>
      <w:tblPr>
        <w:tblW w:w="9468" w:type="dxa"/>
        <w:tblInd w:w="108" w:type="dxa"/>
        <w:tblLayout w:type="fixed"/>
        <w:tblCellMar>
          <w:left w:w="10" w:type="dxa"/>
          <w:right w:w="10" w:type="dxa"/>
        </w:tblCellMar>
        <w:tblLook w:val="04A0"/>
      </w:tblPr>
      <w:tblGrid>
        <w:gridCol w:w="2316"/>
        <w:gridCol w:w="7152"/>
      </w:tblGrid>
      <w:tr w:rsidR="00C67914" w:rsidTr="00C67914">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Start w:id="10" w:name="_Toc512953126"/>
          <w:bookmarkStart w:id="11" w:name="_Toc512952852"/>
          <w:p w:rsidR="00C67914" w:rsidRDefault="009D24F2">
            <w:pPr>
              <w:spacing w:before="40" w:after="40" w:line="264" w:lineRule="auto"/>
            </w:pPr>
            <w:r>
              <w:fldChar w:fldCharType="begin"/>
            </w:r>
            <w:r w:rsidR="00C67914">
              <w:instrText xml:space="preserve"> HYPERLINK  "#sec_2_1_a" </w:instrText>
            </w:r>
            <w:r>
              <w:fldChar w:fldCharType="separate"/>
            </w:r>
            <w:r w:rsidR="003F7870">
              <w:rPr>
                <w:rStyle w:val="Hyperlink"/>
                <w:rFonts w:cs="Arial"/>
                <w:b/>
                <w:bCs/>
                <w:color w:val="auto"/>
                <w:u w:val="none"/>
              </w:rPr>
              <w:t>Lois</w:t>
            </w:r>
            <w:r>
              <w:fldChar w:fldCharType="end"/>
            </w:r>
            <w:bookmarkEnd w:id="10"/>
            <w:bookmarkEnd w:id="11"/>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pStyle w:val="ColorfulList-Accent11"/>
              <w:spacing w:before="40" w:after="40" w:line="264" w:lineRule="auto"/>
              <w:ind w:left="0"/>
              <w:jc w:val="both"/>
            </w:pPr>
            <w:r>
              <w:rPr>
                <w:rFonts w:cs="Arial"/>
                <w:sz w:val="20"/>
                <w:szCs w:val="20"/>
              </w:rPr>
              <w:t xml:space="preserve">Les principales lois régissant le Logement, la Terre et la Propriété sont la </w:t>
            </w:r>
            <w:r w:rsidR="00ED007F">
              <w:rPr>
                <w:rFonts w:cs="Arial"/>
                <w:sz w:val="20"/>
                <w:szCs w:val="20"/>
              </w:rPr>
              <w:t>Constitution de</w:t>
            </w:r>
            <w:r>
              <w:rPr>
                <w:rFonts w:cs="Arial"/>
                <w:sz w:val="20"/>
                <w:szCs w:val="20"/>
              </w:rPr>
              <w:t xml:space="preserve"> la République du Burundi</w:t>
            </w:r>
            <w:r>
              <w:rPr>
                <w:sz w:val="20"/>
                <w:szCs w:val="20"/>
              </w:rPr>
              <w:t xml:space="preserve"> (</w:t>
            </w:r>
            <w:r>
              <w:rPr>
                <w:rFonts w:cs="Arial"/>
                <w:sz w:val="20"/>
                <w:szCs w:val="20"/>
              </w:rPr>
              <w:t>"</w:t>
            </w:r>
            <w:r>
              <w:rPr>
                <w:rFonts w:cs="Arial"/>
                <w:b/>
                <w:sz w:val="20"/>
                <w:szCs w:val="20"/>
              </w:rPr>
              <w:t>Constitution</w:t>
            </w:r>
            <w:r>
              <w:rPr>
                <w:rFonts w:cs="Arial"/>
                <w:sz w:val="20"/>
                <w:szCs w:val="20"/>
              </w:rPr>
              <w:t>");</w:t>
            </w:r>
          </w:p>
          <w:p w:rsidR="00C67914" w:rsidRDefault="003F7870">
            <w:pPr>
              <w:pStyle w:val="ColorfulList-Accent11"/>
              <w:spacing w:before="40" w:after="40" w:line="264" w:lineRule="auto"/>
              <w:ind w:left="0"/>
              <w:jc w:val="both"/>
            </w:pPr>
            <w:r>
              <w:rPr>
                <w:rFonts w:cs="Arial"/>
                <w:sz w:val="20"/>
                <w:szCs w:val="20"/>
              </w:rPr>
              <w:t xml:space="preserve">La </w:t>
            </w:r>
            <w:r>
              <w:rPr>
                <w:i/>
                <w:sz w:val="20"/>
                <w:szCs w:val="20"/>
              </w:rPr>
              <w:t xml:space="preserve">Lettre de politique foncière </w:t>
            </w:r>
            <w:r>
              <w:rPr>
                <w:rFonts w:cs="Arial"/>
                <w:sz w:val="20"/>
                <w:szCs w:val="20"/>
              </w:rPr>
              <w:t xml:space="preserve">de </w:t>
            </w:r>
            <w:r>
              <w:rPr>
                <w:sz w:val="20"/>
                <w:szCs w:val="20"/>
              </w:rPr>
              <w:t xml:space="preserve">2008; </w:t>
            </w:r>
            <w:r w:rsidR="005C78A9">
              <w:rPr>
                <w:rFonts w:cs="Arial"/>
                <w:sz w:val="20"/>
                <w:szCs w:val="20"/>
              </w:rPr>
              <w:t>la loi n°</w:t>
            </w:r>
            <w:r>
              <w:rPr>
                <w:rFonts w:cs="Arial"/>
                <w:sz w:val="20"/>
                <w:szCs w:val="20"/>
              </w:rPr>
              <w:t xml:space="preserve">1/13 du 9 août 2011 portant révision du Code </w:t>
            </w:r>
            <w:r>
              <w:rPr>
                <w:i/>
                <w:sz w:val="20"/>
                <w:szCs w:val="20"/>
              </w:rPr>
              <w:t xml:space="preserve">foncier </w:t>
            </w:r>
            <w:r>
              <w:rPr>
                <w:rFonts w:cs="Arial"/>
                <w:sz w:val="20"/>
                <w:szCs w:val="20"/>
              </w:rPr>
              <w:t>du Burundi ("</w:t>
            </w:r>
            <w:r>
              <w:rPr>
                <w:rFonts w:cs="Arial"/>
                <w:b/>
                <w:sz w:val="20"/>
                <w:szCs w:val="20"/>
              </w:rPr>
              <w:t xml:space="preserve">Code </w:t>
            </w:r>
            <w:r>
              <w:rPr>
                <w:i/>
                <w:sz w:val="20"/>
                <w:szCs w:val="20"/>
              </w:rPr>
              <w:t>foncier</w:t>
            </w:r>
            <w:r>
              <w:rPr>
                <w:rFonts w:cs="Arial"/>
                <w:sz w:val="20"/>
                <w:szCs w:val="20"/>
              </w:rPr>
              <w:t>");</w:t>
            </w:r>
          </w:p>
          <w:p w:rsidR="00C67914" w:rsidRDefault="003F7870">
            <w:pPr>
              <w:pStyle w:val="ColorfulList-Accent11"/>
              <w:spacing w:before="40" w:after="40" w:line="264" w:lineRule="auto"/>
              <w:ind w:left="0"/>
              <w:jc w:val="both"/>
            </w:pPr>
            <w:r>
              <w:rPr>
                <w:rFonts w:cs="Arial"/>
                <w:sz w:val="20"/>
                <w:szCs w:val="20"/>
              </w:rPr>
              <w:t xml:space="preserve">La loi n°1/33 de novembre 2014 portant </w:t>
            </w:r>
            <w:r w:rsidR="005C78A9">
              <w:rPr>
                <w:rFonts w:cs="Arial"/>
                <w:sz w:val="20"/>
                <w:szCs w:val="20"/>
              </w:rPr>
              <w:t>sur l’</w:t>
            </w:r>
            <w:r>
              <w:rPr>
                <w:rFonts w:cs="Arial"/>
                <w:sz w:val="20"/>
                <w:szCs w:val="20"/>
              </w:rPr>
              <w:t>organisation de l'administration communale;</w:t>
            </w:r>
          </w:p>
          <w:p w:rsidR="00C67914" w:rsidRDefault="003F7870">
            <w:pPr>
              <w:pStyle w:val="ColorfulList-Accent11"/>
              <w:spacing w:before="40" w:after="40" w:line="264" w:lineRule="auto"/>
              <w:ind w:left="0"/>
              <w:jc w:val="both"/>
            </w:pPr>
            <w:r>
              <w:rPr>
                <w:rFonts w:cs="Arial"/>
                <w:sz w:val="20"/>
                <w:szCs w:val="20"/>
              </w:rPr>
              <w:t>La loi organique n°1/04 du 19 février 2020 modifiant certaines dispositions de la loi n° 1/33 de novembre 2014 portant sur l'organisation de l'administration communale;</w:t>
            </w:r>
          </w:p>
          <w:p w:rsidR="00C67914" w:rsidRDefault="003F7870">
            <w:pPr>
              <w:pStyle w:val="ColorfulList-Accent11"/>
              <w:spacing w:before="40" w:after="40" w:line="264" w:lineRule="auto"/>
              <w:ind w:left="0"/>
              <w:jc w:val="both"/>
            </w:pPr>
            <w:r>
              <w:rPr>
                <w:rFonts w:cs="Arial"/>
                <w:sz w:val="20"/>
                <w:szCs w:val="20"/>
              </w:rPr>
              <w:t>Le décret n°1/2004 du 19 février 2020 portant sur la modification de certaines dispositions de la loi n°1/33 de novembre 2014 portant sur l'organisation de l'administration communale;</w:t>
            </w:r>
          </w:p>
          <w:p w:rsidR="00C67914" w:rsidRDefault="003F7870">
            <w:pPr>
              <w:pStyle w:val="ColorfulList-Accent11"/>
              <w:spacing w:before="40" w:after="40" w:line="264" w:lineRule="auto"/>
              <w:ind w:left="0"/>
              <w:jc w:val="both"/>
            </w:pPr>
            <w:r>
              <w:rPr>
                <w:rFonts w:cs="Arial"/>
                <w:sz w:val="20"/>
                <w:szCs w:val="20"/>
              </w:rPr>
              <w:t>100/079 du 24 mai 2019 portant sur la création, les missions, l'organisation et fonctionnement de l'Office Burundais de l'Urbanisme, de l'Habitat et de la Construction ("</w:t>
            </w:r>
            <w:r>
              <w:rPr>
                <w:rFonts w:cs="Arial"/>
                <w:b/>
                <w:sz w:val="20"/>
                <w:szCs w:val="20"/>
              </w:rPr>
              <w:t>OBUHA</w:t>
            </w:r>
            <w:r>
              <w:rPr>
                <w:rFonts w:cs="Arial"/>
                <w:sz w:val="20"/>
                <w:szCs w:val="20"/>
              </w:rPr>
              <w:t>");</w:t>
            </w:r>
          </w:p>
          <w:p w:rsidR="00C67914" w:rsidRDefault="003F7870">
            <w:pPr>
              <w:pStyle w:val="ColorfulList-Accent11"/>
              <w:spacing w:before="40" w:after="40" w:line="264" w:lineRule="auto"/>
              <w:ind w:left="0"/>
              <w:jc w:val="both"/>
            </w:pPr>
            <w:r>
              <w:rPr>
                <w:sz w:val="20"/>
                <w:szCs w:val="20"/>
              </w:rPr>
              <w:t xml:space="preserve">1/05 </w:t>
            </w:r>
            <w:r>
              <w:rPr>
                <w:rFonts w:cs="Arial"/>
                <w:sz w:val="20"/>
                <w:szCs w:val="20"/>
              </w:rPr>
              <w:t>du</w:t>
            </w:r>
            <w:r>
              <w:rPr>
                <w:sz w:val="20"/>
                <w:szCs w:val="20"/>
              </w:rPr>
              <w:t xml:space="preserve"> 20 février fixant les droits d'enregistrement en matière foncière;</w:t>
            </w:r>
          </w:p>
          <w:p w:rsidR="00C67914" w:rsidRDefault="003F7870">
            <w:pPr>
              <w:pStyle w:val="ColorfulList-Accent11"/>
              <w:spacing w:before="40" w:after="40" w:line="264" w:lineRule="auto"/>
              <w:ind w:left="0"/>
              <w:jc w:val="both"/>
            </w:pPr>
            <w:r>
              <w:rPr>
                <w:rFonts w:cs="Arial"/>
                <w:sz w:val="20"/>
                <w:szCs w:val="20"/>
              </w:rPr>
              <w:t>Le décret n°100/129 du 23 juin 2016 relatif aux modalités d'application des dispositions du chapitre 3 des droits fonciers certifiés de la loi n°100/129 du 23 juin 2016 sur les droits fonciers certifiés;</w:t>
            </w:r>
          </w:p>
          <w:p w:rsidR="00C67914" w:rsidRDefault="003F7870">
            <w:pPr>
              <w:pStyle w:val="ColorfulList-Accent11"/>
              <w:spacing w:before="40" w:after="40" w:line="264" w:lineRule="auto"/>
              <w:ind w:left="0"/>
              <w:jc w:val="both"/>
            </w:pPr>
            <w:r>
              <w:rPr>
                <w:rFonts w:cs="Arial"/>
                <w:sz w:val="20"/>
                <w:szCs w:val="20"/>
              </w:rPr>
              <w:t>1/13 du 9 août 2011 portant révision du Code Foncier du Burundi;</w:t>
            </w:r>
          </w:p>
          <w:p w:rsidR="00C67914" w:rsidRDefault="003F7870">
            <w:pPr>
              <w:pStyle w:val="ColorfulList-Accent11"/>
              <w:spacing w:before="40" w:after="40" w:line="264" w:lineRule="auto"/>
              <w:ind w:left="0"/>
              <w:jc w:val="both"/>
            </w:pPr>
            <w:r>
              <w:rPr>
                <w:rFonts w:cs="Arial"/>
                <w:sz w:val="20"/>
                <w:szCs w:val="20"/>
              </w:rPr>
              <w:t>La loi du 4 mai 2006 portant sur les missions, la composition, l'organisation et le fonctionnement de la Commission Nationale des terres et autres biens;</w:t>
            </w:r>
          </w:p>
          <w:p w:rsidR="00C67914" w:rsidRDefault="003F7870">
            <w:pPr>
              <w:pStyle w:val="ColorfulList-Accent11"/>
              <w:spacing w:before="40" w:after="40" w:line="264" w:lineRule="auto"/>
              <w:ind w:left="0"/>
              <w:jc w:val="both"/>
            </w:pPr>
            <w:r>
              <w:rPr>
                <w:rFonts w:cs="Arial"/>
                <w:sz w:val="20"/>
                <w:szCs w:val="20"/>
              </w:rPr>
              <w:t>Le décret du 22 juillet 2006 portant sur l'application de la loi du 4 mai 2006 portant sur les missions, la composition, l'organisation et le fonctionnement de la Commission Nationale des terres et autres biens;</w:t>
            </w:r>
          </w:p>
          <w:p w:rsidR="00C67914" w:rsidRDefault="00ED007F">
            <w:pPr>
              <w:pStyle w:val="ColorfulList-Accent11"/>
              <w:spacing w:before="40" w:after="40" w:line="264" w:lineRule="auto"/>
              <w:ind w:left="0"/>
              <w:jc w:val="both"/>
            </w:pPr>
            <w:r>
              <w:rPr>
                <w:rFonts w:cs="Arial"/>
                <w:sz w:val="20"/>
                <w:szCs w:val="20"/>
              </w:rPr>
              <w:t>L’Accord</w:t>
            </w:r>
            <w:r w:rsidR="003F7870">
              <w:rPr>
                <w:sz w:val="20"/>
                <w:szCs w:val="20"/>
              </w:rPr>
              <w:t xml:space="preserve"> d'Arusha pour la paix et la réconciliation, 09 août 2000.</w:t>
            </w:r>
          </w:p>
        </w:tc>
      </w:tr>
      <w:tr w:rsidR="00C67914" w:rsidTr="00C67914">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pPr>
            <w:r>
              <w:rPr>
                <w:rStyle w:val="Hyperlink"/>
                <w:rFonts w:cs="Arial"/>
                <w:b/>
                <w:bCs/>
                <w:color w:val="000000"/>
                <w:u w:val="none"/>
              </w:rPr>
              <w:t>Les principaux acteurs gouvernementaux</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pPr>
              <w:spacing w:before="40" w:after="40" w:line="264" w:lineRule="auto"/>
              <w:jc w:val="both"/>
              <w:rPr>
                <w:rFonts w:cs="Arial"/>
                <w:sz w:val="20"/>
                <w:szCs w:val="20"/>
              </w:rPr>
            </w:pPr>
            <w:r>
              <w:rPr>
                <w:rFonts w:cs="Arial"/>
                <w:sz w:val="20"/>
                <w:szCs w:val="20"/>
              </w:rPr>
              <w:t>Le ministre des Infrastructures, de l'Equipement et de l'Habitat Social, la Direction des Titres Fonciers et l'Office burundais de l'Urbanisme et de l'Habitat.</w:t>
            </w:r>
          </w:p>
        </w:tc>
      </w:tr>
    </w:tbl>
    <w:p w:rsidR="00C67914" w:rsidRDefault="00C67914">
      <w:pPr>
        <w:rPr>
          <w:rFonts w:cs="Arial"/>
          <w:vanish/>
          <w:szCs w:val="22"/>
        </w:rPr>
      </w:pPr>
    </w:p>
    <w:p w:rsidR="007F6852" w:rsidRDefault="007F6852">
      <w:pPr>
        <w:tabs>
          <w:tab w:val="left" w:pos="717"/>
        </w:tabs>
        <w:spacing w:after="240" w:line="276" w:lineRule="auto"/>
        <w:rPr>
          <w:rFonts w:cs="Arial"/>
          <w:b/>
          <w:szCs w:val="22"/>
          <w:lang w:eastAsia="en-AU"/>
        </w:rPr>
      </w:pPr>
    </w:p>
    <w:p w:rsidR="007F6852" w:rsidRPr="00F15645" w:rsidRDefault="007F6852" w:rsidP="004F24DA">
      <w:pPr>
        <w:pStyle w:val="Headingintro"/>
      </w:pPr>
      <w:bookmarkStart w:id="12" w:name="_Toc52018497"/>
      <w:bookmarkStart w:id="13" w:name="_Toc52025696"/>
      <w:bookmarkStart w:id="14" w:name="_Toc52026134"/>
      <w:bookmarkStart w:id="15" w:name="_Toc52029974"/>
      <w:r w:rsidRPr="00F15645">
        <w:t>LES TYPES COMMUNS D'</w:t>
      </w:r>
      <w:r w:rsidR="0092208A">
        <w:t>O</w:t>
      </w:r>
      <w:r w:rsidRPr="00F15645">
        <w:t xml:space="preserve">CCUPATION </w:t>
      </w:r>
      <w:r w:rsidRPr="00F15645">
        <w:rPr>
          <w:rStyle w:val="Hyperlink"/>
          <w:color w:val="auto"/>
          <w:szCs w:val="20"/>
          <w:u w:val="none"/>
        </w:rPr>
        <w:t>DES SOLS</w:t>
      </w:r>
      <w:bookmarkEnd w:id="12"/>
      <w:bookmarkEnd w:id="13"/>
      <w:bookmarkEnd w:id="14"/>
      <w:bookmarkEnd w:id="15"/>
    </w:p>
    <w:p w:rsidR="0068438C" w:rsidRDefault="007F6852" w:rsidP="007F6852">
      <w:pPr>
        <w:rPr>
          <w:rFonts w:cs="Arial"/>
          <w:sz w:val="20"/>
          <w:szCs w:val="20"/>
          <w:lang w:eastAsia="en-AU"/>
        </w:rPr>
      </w:pPr>
      <w:r>
        <w:rPr>
          <w:rFonts w:cs="Arial"/>
          <w:sz w:val="20"/>
          <w:szCs w:val="20"/>
          <w:lang w:eastAsia="en-AU"/>
        </w:rPr>
        <w:t xml:space="preserve">Le tableau ci-dessous résume les types d'occupation des sols au Burundi. </w:t>
      </w:r>
    </w:p>
    <w:tbl>
      <w:tblPr>
        <w:tblStyle w:val="TableGrid"/>
        <w:tblW w:w="0" w:type="auto"/>
        <w:tblLook w:val="04A0"/>
      </w:tblPr>
      <w:tblGrid>
        <w:gridCol w:w="1526"/>
        <w:gridCol w:w="1701"/>
        <w:gridCol w:w="4819"/>
        <w:gridCol w:w="1524"/>
      </w:tblGrid>
      <w:tr w:rsidR="0068438C" w:rsidTr="0068438C">
        <w:tc>
          <w:tcPr>
            <w:tcW w:w="1526" w:type="dxa"/>
          </w:tcPr>
          <w:p w:rsidR="0068438C" w:rsidRDefault="0068438C" w:rsidP="0068438C">
            <w:pPr>
              <w:rPr>
                <w:rFonts w:cs="Arial"/>
                <w:b/>
                <w:sz w:val="20"/>
                <w:szCs w:val="20"/>
                <w:lang w:eastAsia="en-AU"/>
              </w:rPr>
            </w:pPr>
            <w:r>
              <w:rPr>
                <w:rFonts w:cs="Arial"/>
                <w:b/>
                <w:sz w:val="20"/>
                <w:szCs w:val="20"/>
                <w:lang w:eastAsia="en-AU"/>
              </w:rPr>
              <w:t>Type d'occupation</w:t>
            </w:r>
          </w:p>
        </w:tc>
        <w:tc>
          <w:tcPr>
            <w:tcW w:w="1701" w:type="dxa"/>
          </w:tcPr>
          <w:p w:rsidR="0068438C" w:rsidRDefault="0068438C" w:rsidP="0068438C">
            <w:pPr>
              <w:rPr>
                <w:rFonts w:cs="Arial"/>
                <w:b/>
                <w:sz w:val="20"/>
                <w:szCs w:val="20"/>
                <w:lang w:eastAsia="en-AU"/>
              </w:rPr>
            </w:pPr>
            <w:r>
              <w:rPr>
                <w:rFonts w:cs="Arial"/>
                <w:b/>
                <w:sz w:val="20"/>
                <w:szCs w:val="20"/>
                <w:lang w:eastAsia="en-AU"/>
              </w:rPr>
              <w:t>Communément enregistré ?</w:t>
            </w:r>
          </w:p>
        </w:tc>
        <w:tc>
          <w:tcPr>
            <w:tcW w:w="4819" w:type="dxa"/>
          </w:tcPr>
          <w:p w:rsidR="0068438C" w:rsidRDefault="0068438C" w:rsidP="0068438C">
            <w:pPr>
              <w:rPr>
                <w:rFonts w:cs="Arial"/>
                <w:b/>
                <w:sz w:val="20"/>
                <w:szCs w:val="20"/>
                <w:lang w:eastAsia="en-AU"/>
              </w:rPr>
            </w:pPr>
            <w:r>
              <w:rPr>
                <w:rFonts w:cs="Arial"/>
                <w:b/>
                <w:sz w:val="20"/>
                <w:szCs w:val="20"/>
                <w:lang w:eastAsia="en-AU"/>
              </w:rPr>
              <w:t>Caractéristiques principales</w:t>
            </w:r>
          </w:p>
        </w:tc>
        <w:tc>
          <w:tcPr>
            <w:tcW w:w="1524" w:type="dxa"/>
          </w:tcPr>
          <w:p w:rsidR="0068438C" w:rsidRDefault="0068438C" w:rsidP="0068438C">
            <w:pPr>
              <w:rPr>
                <w:rFonts w:cs="Arial"/>
                <w:b/>
                <w:sz w:val="20"/>
                <w:szCs w:val="20"/>
                <w:lang w:eastAsia="en-AU"/>
              </w:rPr>
            </w:pPr>
            <w:r>
              <w:rPr>
                <w:rFonts w:cs="Arial"/>
                <w:b/>
                <w:sz w:val="20"/>
                <w:szCs w:val="20"/>
                <w:lang w:eastAsia="en-AU"/>
              </w:rPr>
              <w:t>Titre du document</w:t>
            </w:r>
          </w:p>
        </w:tc>
      </w:tr>
      <w:tr w:rsidR="0068438C" w:rsidTr="0068438C">
        <w:tc>
          <w:tcPr>
            <w:tcW w:w="1526" w:type="dxa"/>
          </w:tcPr>
          <w:p w:rsidR="0068438C" w:rsidRDefault="0068438C" w:rsidP="0068438C">
            <w:pPr>
              <w:rPr>
                <w:rFonts w:cs="Arial"/>
                <w:b/>
                <w:bCs/>
                <w:sz w:val="20"/>
                <w:szCs w:val="20"/>
                <w:lang w:eastAsia="en-AU"/>
              </w:rPr>
            </w:pPr>
            <w:r>
              <w:rPr>
                <w:rFonts w:cs="Arial"/>
                <w:b/>
                <w:bCs/>
                <w:sz w:val="20"/>
                <w:szCs w:val="20"/>
                <w:lang w:eastAsia="en-AU"/>
              </w:rPr>
              <w:t>Terres du domaine public de l'État</w:t>
            </w:r>
          </w:p>
        </w:tc>
        <w:tc>
          <w:tcPr>
            <w:tcW w:w="1701" w:type="dxa"/>
          </w:tcPr>
          <w:p w:rsidR="0068438C" w:rsidRDefault="0068438C" w:rsidP="0068438C">
            <w:pPr>
              <w:rPr>
                <w:rFonts w:cs="Arial"/>
                <w:sz w:val="20"/>
                <w:szCs w:val="20"/>
                <w:lang w:eastAsia="en-AU"/>
              </w:rPr>
            </w:pPr>
            <w:r>
              <w:rPr>
                <w:rFonts w:cs="Arial"/>
                <w:sz w:val="20"/>
                <w:szCs w:val="20"/>
                <w:lang w:eastAsia="en-AU"/>
              </w:rPr>
              <w:t>Non</w:t>
            </w:r>
          </w:p>
        </w:tc>
        <w:tc>
          <w:tcPr>
            <w:tcW w:w="4819" w:type="dxa"/>
          </w:tcPr>
          <w:p w:rsidR="0068438C" w:rsidRDefault="0068438C" w:rsidP="0068438C">
            <w:pPr>
              <w:rPr>
                <w:rFonts w:cs="Arial"/>
                <w:sz w:val="20"/>
                <w:szCs w:val="20"/>
                <w:lang w:eastAsia="en-AU"/>
              </w:rPr>
            </w:pPr>
            <w:r>
              <w:rPr>
                <w:rFonts w:cs="Arial"/>
                <w:sz w:val="20"/>
                <w:szCs w:val="20"/>
                <w:lang w:eastAsia="en-AU"/>
              </w:rPr>
              <w:t>Le domaine public est constitué de biens qui sont soit affectés à un usage public direct, soit à un service public à condition qu'ils soient essentiels à la mission publique de ce service. (Article 187 du Code Foncier)</w:t>
            </w:r>
          </w:p>
        </w:tc>
        <w:tc>
          <w:tcPr>
            <w:tcW w:w="1524" w:type="dxa"/>
          </w:tcPr>
          <w:p w:rsidR="0068438C" w:rsidRDefault="0068438C" w:rsidP="0068438C">
            <w:pPr>
              <w:rPr>
                <w:rFonts w:cs="Arial"/>
                <w:sz w:val="20"/>
                <w:szCs w:val="20"/>
                <w:lang w:eastAsia="en-AU"/>
              </w:rPr>
            </w:pPr>
            <w:r>
              <w:rPr>
                <w:rFonts w:cs="Arial"/>
                <w:sz w:val="20"/>
                <w:szCs w:val="20"/>
                <w:lang w:eastAsia="en-AU"/>
              </w:rPr>
              <w:t>Autorisations d'occupation temporaire</w:t>
            </w:r>
          </w:p>
          <w:p w:rsidR="0068438C" w:rsidRDefault="0068438C" w:rsidP="0068438C">
            <w:pPr>
              <w:rPr>
                <w:rFonts w:cs="Arial"/>
                <w:sz w:val="20"/>
                <w:szCs w:val="20"/>
                <w:lang w:eastAsia="en-AU"/>
              </w:rPr>
            </w:pPr>
          </w:p>
          <w:p w:rsidR="0068438C" w:rsidRDefault="0068438C" w:rsidP="0068438C">
            <w:pPr>
              <w:rPr>
                <w:rFonts w:cs="Arial"/>
                <w:sz w:val="20"/>
                <w:szCs w:val="20"/>
                <w:lang w:eastAsia="en-AU"/>
              </w:rPr>
            </w:pPr>
          </w:p>
        </w:tc>
      </w:tr>
      <w:tr w:rsidR="0068438C" w:rsidTr="0068438C">
        <w:tc>
          <w:tcPr>
            <w:tcW w:w="1526" w:type="dxa"/>
          </w:tcPr>
          <w:p w:rsidR="0068438C" w:rsidRDefault="0068438C" w:rsidP="0068438C">
            <w:pPr>
              <w:rPr>
                <w:rFonts w:cs="Arial"/>
                <w:b/>
                <w:bCs/>
                <w:sz w:val="20"/>
                <w:szCs w:val="20"/>
                <w:lang w:eastAsia="en-AU"/>
              </w:rPr>
            </w:pPr>
            <w:r>
              <w:rPr>
                <w:rFonts w:cs="Arial"/>
                <w:b/>
                <w:bCs/>
                <w:sz w:val="20"/>
                <w:szCs w:val="20"/>
                <w:lang w:eastAsia="en-AU"/>
              </w:rPr>
              <w:t>Terres du domaine privé de l'État</w:t>
            </w:r>
          </w:p>
        </w:tc>
        <w:tc>
          <w:tcPr>
            <w:tcW w:w="1701" w:type="dxa"/>
          </w:tcPr>
          <w:p w:rsidR="0068438C" w:rsidRDefault="0068438C" w:rsidP="0068438C">
            <w:pPr>
              <w:rPr>
                <w:rFonts w:cs="Arial"/>
                <w:sz w:val="20"/>
                <w:szCs w:val="20"/>
                <w:lang w:eastAsia="en-AU"/>
              </w:rPr>
            </w:pPr>
            <w:r>
              <w:rPr>
                <w:rFonts w:cs="Arial"/>
                <w:sz w:val="20"/>
                <w:szCs w:val="20"/>
                <w:lang w:eastAsia="en-AU"/>
              </w:rPr>
              <w:t>Oui</w:t>
            </w:r>
          </w:p>
        </w:tc>
        <w:tc>
          <w:tcPr>
            <w:tcW w:w="4819" w:type="dxa"/>
          </w:tcPr>
          <w:p w:rsidR="0068438C" w:rsidRDefault="0068438C" w:rsidP="0068438C">
            <w:pPr>
              <w:rPr>
                <w:rFonts w:cs="Arial"/>
                <w:sz w:val="20"/>
                <w:szCs w:val="20"/>
                <w:lang w:eastAsia="en-AU"/>
              </w:rPr>
            </w:pPr>
            <w:r>
              <w:rPr>
                <w:rFonts w:cs="Arial"/>
                <w:sz w:val="20"/>
                <w:szCs w:val="20"/>
                <w:lang w:eastAsia="en-AU"/>
              </w:rPr>
              <w:t>Le domaine privé de l'État comprend toutes les terres et les eaux de ses biens immobiliers qui ne font pas partie du domaine public.</w:t>
            </w:r>
          </w:p>
          <w:p w:rsidR="0068438C" w:rsidRDefault="0068438C" w:rsidP="0068438C">
            <w:pPr>
              <w:rPr>
                <w:rFonts w:cs="Arial"/>
                <w:sz w:val="20"/>
                <w:szCs w:val="20"/>
                <w:lang w:eastAsia="en-AU"/>
              </w:rPr>
            </w:pPr>
            <w:r>
              <w:rPr>
                <w:rFonts w:cs="Arial"/>
                <w:sz w:val="20"/>
                <w:szCs w:val="20"/>
                <w:lang w:eastAsia="en-AU"/>
              </w:rPr>
              <w:t>Ils comprennent:</w:t>
            </w:r>
          </w:p>
          <w:p w:rsidR="0068438C" w:rsidRDefault="005C78A9" w:rsidP="0068438C">
            <w:pPr>
              <w:rPr>
                <w:rFonts w:cs="Arial"/>
                <w:sz w:val="20"/>
                <w:szCs w:val="20"/>
                <w:lang w:eastAsia="en-AU"/>
              </w:rPr>
            </w:pPr>
            <w:r>
              <w:rPr>
                <w:rFonts w:cs="Arial"/>
                <w:sz w:val="20"/>
                <w:szCs w:val="20"/>
                <w:lang w:eastAsia="en-AU"/>
              </w:rPr>
              <w:t xml:space="preserve">- </w:t>
            </w:r>
            <w:r w:rsidR="0068438C">
              <w:rPr>
                <w:rFonts w:cs="Arial"/>
                <w:sz w:val="20"/>
                <w:szCs w:val="20"/>
                <w:lang w:eastAsia="en-AU"/>
              </w:rPr>
              <w:t>Les terrains vacants sans propriétaire;</w:t>
            </w:r>
          </w:p>
          <w:p w:rsidR="0068438C" w:rsidRDefault="0068438C" w:rsidP="0068438C">
            <w:pPr>
              <w:rPr>
                <w:rFonts w:cs="Arial"/>
                <w:sz w:val="20"/>
                <w:szCs w:val="20"/>
                <w:lang w:eastAsia="en-AU"/>
              </w:rPr>
            </w:pPr>
            <w:r>
              <w:rPr>
                <w:rFonts w:cs="Arial"/>
                <w:sz w:val="20"/>
                <w:szCs w:val="20"/>
                <w:lang w:eastAsia="en-AU"/>
              </w:rPr>
              <w:t>- Les terres du domaine public qui ont été désaffectées ou déclassées;</w:t>
            </w:r>
          </w:p>
          <w:p w:rsidR="0068438C" w:rsidRDefault="0068438C" w:rsidP="0068438C">
            <w:pPr>
              <w:rPr>
                <w:rFonts w:cs="Arial"/>
                <w:sz w:val="20"/>
                <w:szCs w:val="20"/>
                <w:lang w:eastAsia="en-AU"/>
              </w:rPr>
            </w:pPr>
            <w:r>
              <w:rPr>
                <w:rFonts w:cs="Arial"/>
                <w:sz w:val="20"/>
                <w:szCs w:val="20"/>
                <w:lang w:eastAsia="en-AU"/>
              </w:rPr>
              <w:t xml:space="preserve">- Les terrains acquis à titre onéreux ou gratuit par </w:t>
            </w:r>
            <w:r>
              <w:rPr>
                <w:rFonts w:cs="Arial"/>
                <w:sz w:val="20"/>
                <w:szCs w:val="20"/>
                <w:lang w:eastAsia="en-AU"/>
              </w:rPr>
              <w:lastRenderedPageBreak/>
              <w:t>l'État;</w:t>
            </w:r>
          </w:p>
          <w:p w:rsidR="0068438C" w:rsidRDefault="005C78A9" w:rsidP="0068438C">
            <w:pPr>
              <w:rPr>
                <w:rFonts w:cs="Arial"/>
                <w:sz w:val="20"/>
                <w:szCs w:val="20"/>
                <w:lang w:eastAsia="en-AU"/>
              </w:rPr>
            </w:pPr>
            <w:r>
              <w:rPr>
                <w:rFonts w:cs="Arial"/>
                <w:sz w:val="20"/>
                <w:szCs w:val="20"/>
                <w:lang w:eastAsia="en-AU"/>
              </w:rPr>
              <w:t xml:space="preserve">- </w:t>
            </w:r>
            <w:r w:rsidR="0068438C">
              <w:rPr>
                <w:rFonts w:cs="Arial"/>
                <w:sz w:val="20"/>
                <w:szCs w:val="20"/>
                <w:lang w:eastAsia="en-AU"/>
              </w:rPr>
              <w:t>Les terres expropriées pour cause d'utilité publique;</w:t>
            </w:r>
          </w:p>
          <w:p w:rsidR="0068438C" w:rsidRDefault="005C78A9" w:rsidP="0068438C">
            <w:pPr>
              <w:rPr>
                <w:rFonts w:cs="Arial"/>
                <w:sz w:val="20"/>
                <w:szCs w:val="20"/>
                <w:lang w:eastAsia="en-AU"/>
              </w:rPr>
            </w:pPr>
            <w:r>
              <w:rPr>
                <w:rFonts w:cs="Arial"/>
                <w:sz w:val="20"/>
                <w:szCs w:val="20"/>
                <w:lang w:eastAsia="en-AU"/>
              </w:rPr>
              <w:t xml:space="preserve">- </w:t>
            </w:r>
            <w:r w:rsidR="0068438C">
              <w:rPr>
                <w:rFonts w:cs="Arial"/>
                <w:sz w:val="20"/>
                <w:szCs w:val="20"/>
                <w:lang w:eastAsia="en-AU"/>
              </w:rPr>
              <w:t>Les terrains acquis par prescription;</w:t>
            </w:r>
          </w:p>
          <w:p w:rsidR="0068438C" w:rsidRDefault="0068438C" w:rsidP="0068438C">
            <w:pPr>
              <w:rPr>
                <w:rFonts w:cs="Arial"/>
                <w:sz w:val="20"/>
                <w:szCs w:val="20"/>
                <w:lang w:eastAsia="en-AU"/>
              </w:rPr>
            </w:pPr>
            <w:r>
              <w:rPr>
                <w:rFonts w:cs="Arial"/>
                <w:sz w:val="20"/>
                <w:szCs w:val="20"/>
                <w:lang w:eastAsia="en-AU"/>
              </w:rPr>
              <w:t>- Les marais vacants non inondés en permanence. (Article 214 du Code Foncier)</w:t>
            </w:r>
          </w:p>
        </w:tc>
        <w:tc>
          <w:tcPr>
            <w:tcW w:w="1524" w:type="dxa"/>
          </w:tcPr>
          <w:p w:rsidR="0068438C" w:rsidRDefault="0068438C" w:rsidP="0068438C">
            <w:pPr>
              <w:rPr>
                <w:rFonts w:cs="Arial"/>
                <w:sz w:val="20"/>
                <w:szCs w:val="20"/>
                <w:lang w:eastAsia="en-AU"/>
              </w:rPr>
            </w:pPr>
            <w:r>
              <w:rPr>
                <w:rFonts w:cs="Arial"/>
                <w:sz w:val="20"/>
                <w:szCs w:val="20"/>
                <w:lang w:eastAsia="en-AU"/>
              </w:rPr>
              <w:lastRenderedPageBreak/>
              <w:t>Inscription au cadastre National par les services chargés des titres fonciers (article 213 du Code Foncier)</w:t>
            </w:r>
          </w:p>
        </w:tc>
      </w:tr>
      <w:tr w:rsidR="0068438C" w:rsidTr="0068438C">
        <w:tc>
          <w:tcPr>
            <w:tcW w:w="1526" w:type="dxa"/>
          </w:tcPr>
          <w:p w:rsidR="0068438C" w:rsidRDefault="0068438C" w:rsidP="0068438C">
            <w:pPr>
              <w:rPr>
                <w:rFonts w:cs="Arial"/>
                <w:b/>
                <w:bCs/>
                <w:sz w:val="20"/>
                <w:szCs w:val="20"/>
                <w:lang w:eastAsia="en-AU"/>
              </w:rPr>
            </w:pPr>
            <w:r>
              <w:rPr>
                <w:rFonts w:cs="Arial"/>
                <w:b/>
                <w:bCs/>
                <w:sz w:val="20"/>
                <w:szCs w:val="20"/>
                <w:lang w:eastAsia="en-AU"/>
              </w:rPr>
              <w:lastRenderedPageBreak/>
              <w:t>Terres de particuliers, physiques ou morales</w:t>
            </w:r>
          </w:p>
        </w:tc>
        <w:tc>
          <w:tcPr>
            <w:tcW w:w="1701" w:type="dxa"/>
          </w:tcPr>
          <w:p w:rsidR="0068438C" w:rsidRDefault="0068438C" w:rsidP="0068438C">
            <w:pPr>
              <w:rPr>
                <w:rFonts w:cs="Arial"/>
                <w:sz w:val="20"/>
                <w:szCs w:val="20"/>
                <w:lang w:eastAsia="en-AU"/>
              </w:rPr>
            </w:pPr>
            <w:r>
              <w:rPr>
                <w:rFonts w:cs="Arial"/>
                <w:sz w:val="20"/>
                <w:szCs w:val="20"/>
                <w:lang w:eastAsia="en-AU"/>
              </w:rPr>
              <w:t>Non</w:t>
            </w:r>
          </w:p>
        </w:tc>
        <w:tc>
          <w:tcPr>
            <w:tcW w:w="4819" w:type="dxa"/>
          </w:tcPr>
          <w:p w:rsidR="0068438C" w:rsidRDefault="0068438C" w:rsidP="0068438C">
            <w:pPr>
              <w:rPr>
                <w:rFonts w:cs="Arial"/>
                <w:sz w:val="20"/>
                <w:szCs w:val="20"/>
                <w:lang w:eastAsia="en-AU"/>
              </w:rPr>
            </w:pPr>
            <w:r>
              <w:rPr>
                <w:rFonts w:cs="Arial"/>
                <w:sz w:val="20"/>
                <w:szCs w:val="20"/>
                <w:lang w:eastAsia="en-AU"/>
              </w:rPr>
              <w:t>Terres du domaine privé et terres appartenant à des particuliers</w:t>
            </w:r>
          </w:p>
          <w:p w:rsidR="0068438C" w:rsidRDefault="0068438C" w:rsidP="0068438C">
            <w:pPr>
              <w:rPr>
                <w:rFonts w:cs="Arial"/>
                <w:sz w:val="20"/>
                <w:szCs w:val="20"/>
                <w:lang w:eastAsia="en-AU"/>
              </w:rPr>
            </w:pPr>
          </w:p>
        </w:tc>
        <w:tc>
          <w:tcPr>
            <w:tcW w:w="1524" w:type="dxa"/>
          </w:tcPr>
          <w:p w:rsidR="0068438C" w:rsidRDefault="0068438C" w:rsidP="0068438C">
            <w:pPr>
              <w:rPr>
                <w:rFonts w:cs="Arial"/>
                <w:sz w:val="20"/>
                <w:szCs w:val="20"/>
                <w:lang w:eastAsia="en-AU"/>
              </w:rPr>
            </w:pPr>
            <w:r>
              <w:rPr>
                <w:rFonts w:cs="Arial"/>
                <w:sz w:val="20"/>
                <w:szCs w:val="20"/>
                <w:lang w:eastAsia="en-AU"/>
              </w:rPr>
              <w:t>Un titre foncier ou un certificat de propriété.</w:t>
            </w:r>
          </w:p>
          <w:p w:rsidR="0068438C" w:rsidRDefault="0068438C" w:rsidP="0068438C">
            <w:pPr>
              <w:rPr>
                <w:rFonts w:cs="Arial"/>
                <w:sz w:val="20"/>
                <w:szCs w:val="20"/>
                <w:lang w:eastAsia="en-AU"/>
              </w:rPr>
            </w:pPr>
          </w:p>
        </w:tc>
      </w:tr>
    </w:tbl>
    <w:p w:rsidR="0068438C" w:rsidRPr="0068438C" w:rsidRDefault="0068438C" w:rsidP="007F6852">
      <w:pPr>
        <w:rPr>
          <w:rFonts w:cs="Arial"/>
          <w:sz w:val="20"/>
          <w:szCs w:val="20"/>
          <w:lang w:eastAsia="en-AU"/>
        </w:rPr>
      </w:pPr>
    </w:p>
    <w:p w:rsidR="007F6852" w:rsidRPr="007F6852" w:rsidRDefault="007F6852" w:rsidP="007F6852">
      <w:pPr>
        <w:rPr>
          <w:lang w:eastAsia="en-AU"/>
        </w:rPr>
      </w:pPr>
    </w:p>
    <w:p w:rsidR="00C67914" w:rsidRDefault="009D24F2" w:rsidP="004F24DA">
      <w:pPr>
        <w:pStyle w:val="Headingintro"/>
      </w:pPr>
      <w:hyperlink w:anchor="Security_of_tenure_of_vulnerable_group" w:history="1">
        <w:bookmarkStart w:id="16" w:name="_Toc52018498"/>
        <w:bookmarkStart w:id="17" w:name="_Toc52025697"/>
        <w:bookmarkStart w:id="18" w:name="_Toc52026135"/>
        <w:bookmarkStart w:id="19" w:name="_Toc52029975"/>
        <w:r w:rsidR="003F7870">
          <w:rPr>
            <w:color w:val="000000"/>
            <w:sz w:val="20"/>
            <w:szCs w:val="20"/>
            <w:lang w:eastAsia="en-AU"/>
          </w:rPr>
          <w:t xml:space="preserve">SÉCURITÉ D'OCCUPATION </w:t>
        </w:r>
        <w:r w:rsidR="003F7870" w:rsidRPr="004F24DA">
          <w:rPr>
            <w:szCs w:val="20"/>
          </w:rPr>
          <w:t>DES</w:t>
        </w:r>
        <w:r w:rsidR="003F7870">
          <w:rPr>
            <w:color w:val="000000"/>
            <w:sz w:val="20"/>
            <w:szCs w:val="20"/>
            <w:lang w:eastAsia="en-AU"/>
          </w:rPr>
          <w:t xml:space="preserve"> GROUPES VULNÉRABLES</w:t>
        </w:r>
        <w:bookmarkEnd w:id="16"/>
        <w:bookmarkEnd w:id="17"/>
        <w:bookmarkEnd w:id="18"/>
        <w:bookmarkEnd w:id="19"/>
      </w:hyperlink>
    </w:p>
    <w:tbl>
      <w:tblPr>
        <w:tblW w:w="9466" w:type="dxa"/>
        <w:tblInd w:w="108" w:type="dxa"/>
        <w:tblLayout w:type="fixed"/>
        <w:tblCellMar>
          <w:left w:w="10" w:type="dxa"/>
          <w:right w:w="10" w:type="dxa"/>
        </w:tblCellMar>
        <w:tblLook w:val="04A0"/>
      </w:tblPr>
      <w:tblGrid>
        <w:gridCol w:w="1779"/>
        <w:gridCol w:w="7687"/>
      </w:tblGrid>
      <w:tr w:rsidR="00C67914" w:rsidTr="00C67914">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9D24F2" w:rsidP="000E399E">
            <w:pPr>
              <w:keepNext/>
              <w:spacing w:before="40" w:after="40" w:line="276" w:lineRule="auto"/>
            </w:pPr>
            <w:hyperlink w:anchor="Women" w:history="1">
              <w:r w:rsidR="003F7870">
                <w:rPr>
                  <w:rStyle w:val="Hyperlink"/>
                  <w:rFonts w:cs="Arial"/>
                  <w:b/>
                  <w:bCs/>
                  <w:color w:val="auto"/>
                  <w:sz w:val="20"/>
                  <w:szCs w:val="20"/>
                  <w:u w:val="none"/>
                </w:rPr>
                <w:t>Femmes</w:t>
              </w:r>
            </w:hyperlink>
          </w:p>
        </w:tc>
        <w:tc>
          <w:tcPr>
            <w:tcW w:w="7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rsidP="000E399E">
            <w:pPr>
              <w:spacing w:line="276" w:lineRule="auto"/>
              <w:jc w:val="both"/>
            </w:pPr>
            <w:r>
              <w:rPr>
                <w:sz w:val="20"/>
                <w:szCs w:val="20"/>
              </w:rPr>
              <w:t>La Constitution accorde à toute personne le droit à la propriété. Le Code Foncier  accorde également à toute personne physique ou morale  tous les droits définis par le  Code Foncier,  sans aucune discrimination. Cependant, les coutumes culturelles au Burundi restent très répandues, l'héritage étant réservé de père en fils, et les femmes sont donc souvent victimes de la famille de leur défunt mari ou de leurs frères qui revendiquent la terre comme leur propriété ou la prennent par la force.  Les veuves n'héritent pas elles-mêmes de la terre de leur  défunt  mari;  elles sont tenues de surveiller l'héritage de leur fils mâle. De no</w:t>
            </w:r>
            <w:r w:rsidR="005C78A9">
              <w:rPr>
                <w:sz w:val="20"/>
                <w:szCs w:val="20"/>
              </w:rPr>
              <w:t xml:space="preserve">mbreuses veuves retournent  au </w:t>
            </w:r>
            <w:r>
              <w:rPr>
                <w:sz w:val="20"/>
                <w:szCs w:val="20"/>
              </w:rPr>
              <w:t>domicile de leurs parents, en  particulier celles qui n'ont pas eu d'enfants avec leur défunt mari ou qui ont décidé d'en avoir avec un autre homme après le décès de leur ancien mari.</w:t>
            </w:r>
          </w:p>
        </w:tc>
      </w:tr>
      <w:tr w:rsidR="00C67914" w:rsidTr="00C67914">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9D24F2" w:rsidP="000E399E">
            <w:pPr>
              <w:spacing w:before="40" w:after="40" w:line="276" w:lineRule="auto"/>
            </w:pPr>
            <w:hyperlink w:anchor="Minority_groups" w:history="1">
              <w:r w:rsidR="003F7870">
                <w:rPr>
                  <w:rStyle w:val="Hyperlink"/>
                  <w:rFonts w:cs="Arial"/>
                  <w:b/>
                  <w:bCs/>
                  <w:color w:val="auto"/>
                  <w:sz w:val="20"/>
                  <w:szCs w:val="20"/>
                  <w:u w:val="none"/>
                </w:rPr>
                <w:t>Groupes minoritaires</w:t>
              </w:r>
            </w:hyperlink>
          </w:p>
        </w:tc>
        <w:tc>
          <w:tcPr>
            <w:tcW w:w="7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rsidP="000E399E">
            <w:pPr>
              <w:spacing w:before="40" w:after="40" w:line="276" w:lineRule="auto"/>
              <w:jc w:val="both"/>
              <w:rPr>
                <w:rFonts w:cs="Arial"/>
                <w:sz w:val="20"/>
                <w:szCs w:val="20"/>
              </w:rPr>
            </w:pPr>
            <w:r>
              <w:rPr>
                <w:rFonts w:cs="Arial"/>
                <w:sz w:val="20"/>
                <w:szCs w:val="20"/>
              </w:rPr>
              <w:t>L'article 13 de la Constitution prévoit que tous les citoyens burundais sont égaux en droit et bénéficient de tous les droits et protections qui en découlent. Cependant, l'article 36 de la Constitution stipule que "toute personne" a droit à la propriété; et avec la référence à "toute personne" dans la clause de propriété, il semblerait que le droit à la propriété soit étendu à ceux qui ne sont pas spécifiquement citoyens burundais.</w:t>
            </w:r>
          </w:p>
        </w:tc>
      </w:tr>
      <w:tr w:rsidR="00C67914" w:rsidTr="00C67914">
        <w:trPr>
          <w:trHeight w:val="348"/>
        </w:trPr>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92208A" w:rsidP="000E399E">
            <w:pPr>
              <w:spacing w:before="40" w:after="40" w:line="276" w:lineRule="auto"/>
            </w:pPr>
            <w:r>
              <w:rPr>
                <w:rStyle w:val="Hyperlink"/>
                <w:rFonts w:cs="Arial"/>
                <w:b/>
                <w:bCs/>
                <w:color w:val="auto"/>
                <w:sz w:val="20"/>
                <w:szCs w:val="20"/>
                <w:u w:val="none"/>
              </w:rPr>
              <w:t>Établissements</w:t>
            </w:r>
            <w:r w:rsidR="003F7870">
              <w:rPr>
                <w:rStyle w:val="Hyperlink"/>
                <w:rFonts w:cs="Arial"/>
                <w:b/>
                <w:bCs/>
                <w:color w:val="auto"/>
                <w:sz w:val="20"/>
                <w:szCs w:val="20"/>
                <w:u w:val="none"/>
              </w:rPr>
              <w:t xml:space="preserve"> humains informels</w:t>
            </w:r>
          </w:p>
        </w:tc>
        <w:tc>
          <w:tcPr>
            <w:tcW w:w="7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rsidP="000E399E">
            <w:pPr>
              <w:spacing w:line="276" w:lineRule="auto"/>
              <w:jc w:val="both"/>
            </w:pPr>
            <w:r>
              <w:rPr>
                <w:sz w:val="20"/>
                <w:szCs w:val="20"/>
              </w:rPr>
              <w:t>Le Burundi a une très faible urbanisation; 73% de sa plus grande ville, Bujumbura, est occupée par des logements dont 39% sont des logements informels spontanés. L'habitat informel spontané est également visible dans les quartiers périphériques de Bujumbura. Il n'existe pas de régime d'occupation des quartiers informels au Burundi.</w:t>
            </w:r>
          </w:p>
        </w:tc>
      </w:tr>
      <w:tr w:rsidR="00C67914" w:rsidTr="00C67914">
        <w:tc>
          <w:tcPr>
            <w:tcW w:w="1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9D24F2" w:rsidP="000E399E">
            <w:pPr>
              <w:spacing w:before="40" w:after="40" w:line="276" w:lineRule="auto"/>
            </w:pPr>
            <w:hyperlink w:anchor="Landless_people" w:history="1">
              <w:r w:rsidR="00ED007F">
                <w:rPr>
                  <w:rStyle w:val="Hyperlink"/>
                  <w:rFonts w:cs="Arial"/>
                  <w:b/>
                  <w:bCs/>
                  <w:color w:val="auto"/>
                  <w:sz w:val="20"/>
                  <w:szCs w:val="20"/>
                  <w:u w:val="none"/>
                </w:rPr>
                <w:t>Les sans-terres</w:t>
              </w:r>
            </w:hyperlink>
          </w:p>
        </w:tc>
        <w:tc>
          <w:tcPr>
            <w:tcW w:w="7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7914" w:rsidRDefault="003F7870" w:rsidP="000E399E">
            <w:pPr>
              <w:spacing w:before="40" w:after="40" w:line="276" w:lineRule="auto"/>
              <w:jc w:val="both"/>
            </w:pPr>
            <w:r>
              <w:rPr>
                <w:sz w:val="20"/>
                <w:szCs w:val="20"/>
              </w:rPr>
              <w:t xml:space="preserve">Il n'existe pas de législation ou de politique qui accorde </w:t>
            </w:r>
            <w:r w:rsidR="00ED007F">
              <w:rPr>
                <w:sz w:val="20"/>
                <w:szCs w:val="20"/>
              </w:rPr>
              <w:t>aux sans-terres</w:t>
            </w:r>
            <w:r>
              <w:rPr>
                <w:sz w:val="20"/>
                <w:szCs w:val="20"/>
              </w:rPr>
              <w:t xml:space="preserve"> et/ou aux squatters des droits à la terre et/ou au logement au Burundi.</w:t>
            </w:r>
          </w:p>
        </w:tc>
      </w:tr>
    </w:tbl>
    <w:p w:rsidR="00C67914" w:rsidRDefault="00C67914" w:rsidP="000E399E">
      <w:pPr>
        <w:ind w:left="22"/>
        <w:rPr>
          <w:rFonts w:cs="Arial"/>
          <w:b/>
          <w:szCs w:val="22"/>
        </w:rPr>
      </w:pPr>
    </w:p>
    <w:p w:rsidR="00C67914" w:rsidRDefault="00C67914" w:rsidP="000E399E">
      <w:pPr>
        <w:ind w:left="22"/>
        <w:rPr>
          <w:rFonts w:cs="Arial"/>
          <w:b/>
          <w:szCs w:val="22"/>
        </w:rPr>
      </w:pPr>
      <w:bookmarkStart w:id="20" w:name="_Toc512953137"/>
      <w:bookmarkStart w:id="21" w:name="_Toc512952863"/>
    </w:p>
    <w:p w:rsidR="00C67914" w:rsidRPr="004F24DA" w:rsidRDefault="009D24F2" w:rsidP="004F24DA">
      <w:pPr>
        <w:pStyle w:val="Headingintro"/>
      </w:pPr>
      <w:hyperlink w:anchor="Eviction_Expropriation_Relocation" w:history="1">
        <w:bookmarkStart w:id="22" w:name="_Toc52018499"/>
        <w:bookmarkStart w:id="23" w:name="_Toc52025698"/>
        <w:bookmarkStart w:id="24" w:name="_Toc52026136"/>
        <w:bookmarkStart w:id="25" w:name="_Toc52029976"/>
        <w:r w:rsidR="003F7870" w:rsidRPr="004F24DA">
          <w:rPr>
            <w:rStyle w:val="Hyperlink"/>
            <w:rFonts w:cs="Arial"/>
            <w:color w:val="auto"/>
            <w:sz w:val="20"/>
            <w:szCs w:val="20"/>
            <w:u w:val="none"/>
          </w:rPr>
          <w:t>EXPULSION, EXPROPRIATION ET RELOCALISATION</w:t>
        </w:r>
        <w:bookmarkEnd w:id="22"/>
        <w:bookmarkEnd w:id="23"/>
        <w:bookmarkEnd w:id="24"/>
        <w:bookmarkEnd w:id="25"/>
      </w:hyperlink>
      <w:bookmarkEnd w:id="20"/>
      <w:bookmarkEnd w:id="21"/>
    </w:p>
    <w:tbl>
      <w:tblPr>
        <w:tblStyle w:val="TableGrid"/>
        <w:tblW w:w="0" w:type="auto"/>
        <w:tblInd w:w="108" w:type="dxa"/>
        <w:tblLook w:val="04A0"/>
      </w:tblPr>
      <w:tblGrid>
        <w:gridCol w:w="1843"/>
        <w:gridCol w:w="7619"/>
      </w:tblGrid>
      <w:tr w:rsidR="00F15645" w:rsidTr="00F15645">
        <w:tc>
          <w:tcPr>
            <w:tcW w:w="1843" w:type="dxa"/>
          </w:tcPr>
          <w:p w:rsidR="00F15645" w:rsidRDefault="009D24F2" w:rsidP="00946646">
            <w:pPr>
              <w:spacing w:before="40" w:after="40" w:line="276" w:lineRule="auto"/>
            </w:pPr>
            <w:hyperlink w:anchor="Eviction" w:history="1">
              <w:r w:rsidR="00F15645">
                <w:rPr>
                  <w:rStyle w:val="Hyperlink"/>
                  <w:rFonts w:cs="Arial"/>
                  <w:b/>
                  <w:bCs/>
                  <w:color w:val="auto"/>
                  <w:sz w:val="20"/>
                  <w:szCs w:val="20"/>
                  <w:u w:val="none"/>
                </w:rPr>
                <w:t>Expulsion</w:t>
              </w:r>
            </w:hyperlink>
          </w:p>
        </w:tc>
        <w:tc>
          <w:tcPr>
            <w:tcW w:w="7619" w:type="dxa"/>
          </w:tcPr>
          <w:p w:rsidR="00F15645" w:rsidRDefault="00F15645" w:rsidP="00946646">
            <w:pPr>
              <w:spacing w:before="40" w:after="40" w:line="276" w:lineRule="auto"/>
              <w:jc w:val="both"/>
              <w:rPr>
                <w:rFonts w:cs="Arial"/>
                <w:sz w:val="20"/>
                <w:szCs w:val="20"/>
              </w:rPr>
            </w:pPr>
            <w:r>
              <w:rPr>
                <w:rFonts w:cs="Arial"/>
                <w:sz w:val="20"/>
                <w:szCs w:val="20"/>
              </w:rPr>
              <w:t>En vertu de l'article 244 du Code Foncier, l'État a l'obligation de se porter garant contre l'expulsion.</w:t>
            </w:r>
          </w:p>
          <w:p w:rsidR="00F15645" w:rsidRDefault="00F15645" w:rsidP="00946646">
            <w:pPr>
              <w:spacing w:before="40" w:after="40" w:line="276" w:lineRule="auto"/>
              <w:jc w:val="both"/>
              <w:rPr>
                <w:rFonts w:cs="Arial"/>
                <w:sz w:val="20"/>
                <w:szCs w:val="20"/>
              </w:rPr>
            </w:pPr>
            <w:r>
              <w:rPr>
                <w:rFonts w:cs="Arial"/>
                <w:sz w:val="20"/>
                <w:szCs w:val="20"/>
              </w:rPr>
              <w:t>Toutefois, les terres cédées ou concédées sont sans garantie quant à leur valeur agricole, commerciale ou résidentielle. Il n'y a pas non plus de garantie de l'État quant au maintien de l'utilisation des terres, qui peut toujours être modifiée dans l'intérêt général en appliquant les dispositions relatives aux plans d'occupation des sols.</w:t>
            </w:r>
          </w:p>
        </w:tc>
      </w:tr>
      <w:tr w:rsidR="00F15645" w:rsidTr="00F15645">
        <w:tc>
          <w:tcPr>
            <w:tcW w:w="1843" w:type="dxa"/>
          </w:tcPr>
          <w:p w:rsidR="00F15645" w:rsidRDefault="009D24F2" w:rsidP="00946646">
            <w:pPr>
              <w:spacing w:before="40" w:after="40" w:line="276" w:lineRule="auto"/>
            </w:pPr>
            <w:hyperlink w:anchor="Expropriation" w:history="1">
              <w:r w:rsidR="00F15645">
                <w:rPr>
                  <w:rStyle w:val="Hyperlink"/>
                  <w:rFonts w:cs="Arial"/>
                  <w:b/>
                  <w:bCs/>
                  <w:color w:val="auto"/>
                  <w:sz w:val="20"/>
                  <w:szCs w:val="20"/>
                  <w:u w:val="none"/>
                </w:rPr>
                <w:t>Expropriation</w:t>
              </w:r>
            </w:hyperlink>
          </w:p>
        </w:tc>
        <w:tc>
          <w:tcPr>
            <w:tcW w:w="7619" w:type="dxa"/>
          </w:tcPr>
          <w:p w:rsidR="00F15645" w:rsidRDefault="00F15645" w:rsidP="00946646">
            <w:pPr>
              <w:spacing w:before="40" w:after="40" w:line="276" w:lineRule="auto"/>
              <w:jc w:val="both"/>
            </w:pPr>
            <w:r>
              <w:rPr>
                <w:sz w:val="20"/>
                <w:szCs w:val="20"/>
              </w:rPr>
              <w:t>Selon l'article 36 de la Constitution, nul ne peut être privé de sa propriété, sauf pour cause d'utilité publique. Les articles 417 à 419 du Code Foncier définissent la procédure d'expropriation pour cause d'utilité publique.</w:t>
            </w:r>
          </w:p>
        </w:tc>
      </w:tr>
      <w:tr w:rsidR="00F15645" w:rsidTr="00F15645">
        <w:tc>
          <w:tcPr>
            <w:tcW w:w="1843" w:type="dxa"/>
          </w:tcPr>
          <w:p w:rsidR="00F15645" w:rsidRDefault="009D24F2" w:rsidP="00946646">
            <w:pPr>
              <w:spacing w:before="40" w:after="40" w:line="276" w:lineRule="auto"/>
            </w:pPr>
            <w:hyperlink w:anchor="Relocation" w:history="1">
              <w:r w:rsidR="00F15645">
                <w:rPr>
                  <w:rStyle w:val="Hyperlink"/>
                  <w:rFonts w:cs="Arial"/>
                  <w:b/>
                  <w:bCs/>
                  <w:color w:val="auto"/>
                  <w:sz w:val="20"/>
                  <w:szCs w:val="20"/>
                  <w:u w:val="none"/>
                </w:rPr>
                <w:t>Relocalisation</w:t>
              </w:r>
            </w:hyperlink>
          </w:p>
        </w:tc>
        <w:tc>
          <w:tcPr>
            <w:tcW w:w="7619" w:type="dxa"/>
          </w:tcPr>
          <w:p w:rsidR="00F15645" w:rsidRDefault="00F15645" w:rsidP="00946646">
            <w:pPr>
              <w:spacing w:before="40" w:after="40" w:line="276" w:lineRule="auto"/>
              <w:jc w:val="both"/>
            </w:pPr>
            <w:r>
              <w:rPr>
                <w:rFonts w:cs="Arial"/>
                <w:sz w:val="20"/>
                <w:szCs w:val="20"/>
              </w:rPr>
              <w:t>Le Burundi dispose d'un certain nombre de lois qui traitent de la réinstallation et des aspects connexes des réfugiés, notamment le décret du 13 décembre 2002,  qui détermine les missions, les compétences, l'organisation et le fonctionnement de la Commission Nationale de Réhabilitation des Sinistrés ("</w:t>
            </w:r>
            <w:r>
              <w:rPr>
                <w:rFonts w:cs="Arial"/>
                <w:b/>
                <w:sz w:val="20"/>
                <w:szCs w:val="20"/>
              </w:rPr>
              <w:t>CNRS</w:t>
            </w:r>
            <w:r w:rsidR="000B79B5">
              <w:rPr>
                <w:rFonts w:cs="Arial"/>
                <w:sz w:val="20"/>
                <w:szCs w:val="20"/>
              </w:rPr>
              <w:t>"); l</w:t>
            </w:r>
            <w:r>
              <w:rPr>
                <w:rFonts w:cs="Arial"/>
                <w:sz w:val="20"/>
                <w:szCs w:val="20"/>
              </w:rPr>
              <w:t xml:space="preserve">e décret du 18 février 2003 portant sur la nomination des membres de la Commission Nationale; </w:t>
            </w:r>
            <w:r w:rsidR="000B79B5">
              <w:rPr>
                <w:rFonts w:cs="Arial"/>
                <w:sz w:val="20"/>
                <w:szCs w:val="20"/>
              </w:rPr>
              <w:t xml:space="preserve"> </w:t>
            </w:r>
            <w:r>
              <w:rPr>
                <w:rFonts w:cs="Arial"/>
                <w:sz w:val="20"/>
                <w:szCs w:val="20"/>
              </w:rPr>
              <w:t>la loi du 16 février 2006 abrogeant la loi du 13 décembre 2002 portant sur l'organisation, les missions, les pouvoirs et le fonctionnement de la Commission Nationale de Réhabilitation des Sinistrés; la loi n°1/32 du 13 novembre 2008 portant sur l'asile et la protection des réfugiés au Burundi. Le Burundi a également souscrit à la Déclaration Universelle des Droits de l'Homme des Nations Unies ("</w:t>
            </w:r>
            <w:r>
              <w:rPr>
                <w:rFonts w:cs="Arial"/>
                <w:b/>
                <w:sz w:val="20"/>
                <w:szCs w:val="20"/>
              </w:rPr>
              <w:t>DUDH</w:t>
            </w:r>
            <w:r>
              <w:rPr>
                <w:rFonts w:cs="Arial"/>
                <w:sz w:val="20"/>
                <w:szCs w:val="20"/>
              </w:rPr>
              <w:t>"); la Convention des Nations Unies relative au statut des réfugiés (Convention de1951 sur les réfugiés), ainsi qu’ 'à la Convention de Kampala.</w:t>
            </w:r>
          </w:p>
        </w:tc>
      </w:tr>
    </w:tbl>
    <w:p w:rsidR="00F15645" w:rsidRDefault="00F15645" w:rsidP="00F15645">
      <w:pPr>
        <w:pStyle w:val="Style1"/>
        <w:ind w:left="567" w:hanging="567"/>
      </w:pPr>
    </w:p>
    <w:p w:rsidR="00C67914" w:rsidRDefault="00C67914">
      <w:pPr>
        <w:ind w:left="22"/>
        <w:rPr>
          <w:rFonts w:cs="Arial"/>
          <w:b/>
          <w:szCs w:val="22"/>
        </w:rPr>
      </w:pPr>
    </w:p>
    <w:p w:rsidR="00C67914" w:rsidRPr="00C67914" w:rsidRDefault="00C67914" w:rsidP="00C67914">
      <w:pPr>
        <w:rPr>
          <w:vanish/>
        </w:rPr>
        <w:sectPr w:rsidR="00C67914" w:rsidRPr="00C67914">
          <w:headerReference w:type="default" r:id="rId13"/>
          <w:footerReference w:type="default" r:id="rId14"/>
          <w:headerReference w:type="first" r:id="rId15"/>
          <w:footerReference w:type="first" r:id="rId16"/>
          <w:pgSz w:w="11906" w:h="16838"/>
          <w:pgMar w:top="1134" w:right="1134" w:bottom="1134" w:left="1418" w:header="720" w:footer="720" w:gutter="0"/>
          <w:cols w:space="720"/>
          <w:titlePg/>
        </w:sectPr>
      </w:pPr>
    </w:p>
    <w:tbl>
      <w:tblPr>
        <w:tblW w:w="10113" w:type="dxa"/>
        <w:tblLayout w:type="fixed"/>
        <w:tblCellMar>
          <w:left w:w="10" w:type="dxa"/>
          <w:right w:w="10" w:type="dxa"/>
        </w:tblCellMar>
        <w:tblLook w:val="04A0"/>
      </w:tblPr>
      <w:tblGrid>
        <w:gridCol w:w="10113"/>
      </w:tblGrid>
      <w:tr w:rsidR="00C67914" w:rsidTr="00C67914">
        <w:trPr>
          <w:trHeight w:val="3752"/>
        </w:trPr>
        <w:tc>
          <w:tcPr>
            <w:tcW w:w="10113" w:type="dxa"/>
            <w:tcMar>
              <w:top w:w="0" w:type="dxa"/>
              <w:left w:w="108" w:type="dxa"/>
              <w:bottom w:w="0" w:type="dxa"/>
              <w:right w:w="108" w:type="dxa"/>
            </w:tcMar>
          </w:tcPr>
          <w:p w:rsidR="00C67914" w:rsidRDefault="00C67914">
            <w:pPr>
              <w:keepNext/>
              <w:spacing w:before="40" w:after="300" w:line="264" w:lineRule="auto"/>
              <w:jc w:val="center"/>
              <w:rPr>
                <w:b/>
                <w:sz w:val="24"/>
              </w:rPr>
            </w:pPr>
          </w:p>
        </w:tc>
      </w:tr>
      <w:tr w:rsidR="00C67914" w:rsidTr="00C67914">
        <w:trPr>
          <w:trHeight w:val="3664"/>
        </w:trPr>
        <w:tc>
          <w:tcPr>
            <w:tcW w:w="10113" w:type="dxa"/>
            <w:tcMar>
              <w:top w:w="0" w:type="dxa"/>
              <w:left w:w="108" w:type="dxa"/>
              <w:bottom w:w="0" w:type="dxa"/>
              <w:right w:w="108" w:type="dxa"/>
            </w:tcMar>
          </w:tcPr>
          <w:p w:rsidR="00C67914" w:rsidRDefault="00C67914">
            <w:pPr>
              <w:keepNext/>
              <w:spacing w:before="40" w:after="300" w:line="264" w:lineRule="auto"/>
              <w:jc w:val="center"/>
              <w:rPr>
                <w:b/>
                <w:sz w:val="32"/>
                <w:szCs w:val="52"/>
              </w:rPr>
            </w:pPr>
          </w:p>
          <w:p w:rsidR="00C67914" w:rsidRDefault="003F7870">
            <w:pPr>
              <w:keepNext/>
              <w:spacing w:before="40" w:after="300" w:line="264" w:lineRule="auto"/>
              <w:jc w:val="center"/>
              <w:rPr>
                <w:b/>
                <w:sz w:val="32"/>
                <w:szCs w:val="52"/>
              </w:rPr>
            </w:pPr>
            <w:r>
              <w:rPr>
                <w:b/>
                <w:sz w:val="32"/>
                <w:szCs w:val="52"/>
              </w:rPr>
              <w:t>Profil du pays - Logements, terres et propriétés (LTP)</w:t>
            </w:r>
          </w:p>
          <w:p w:rsidR="00C67914" w:rsidRDefault="003F7870">
            <w:pPr>
              <w:keepNext/>
              <w:spacing w:before="40" w:after="300" w:line="264" w:lineRule="auto"/>
              <w:jc w:val="center"/>
              <w:rPr>
                <w:sz w:val="32"/>
                <w:szCs w:val="32"/>
              </w:rPr>
            </w:pPr>
            <w:r>
              <w:rPr>
                <w:sz w:val="32"/>
                <w:szCs w:val="32"/>
              </w:rPr>
              <w:t>Burundi</w:t>
            </w:r>
          </w:p>
        </w:tc>
      </w:tr>
      <w:tr w:rsidR="00C67914" w:rsidTr="00C67914">
        <w:trPr>
          <w:trHeight w:val="1983"/>
        </w:trPr>
        <w:tc>
          <w:tcPr>
            <w:tcW w:w="10113" w:type="dxa"/>
            <w:tcMar>
              <w:top w:w="0" w:type="dxa"/>
              <w:left w:w="108" w:type="dxa"/>
              <w:bottom w:w="0" w:type="dxa"/>
              <w:right w:w="108" w:type="dxa"/>
            </w:tcMar>
          </w:tcPr>
          <w:p w:rsidR="00C67914" w:rsidRDefault="00C67914">
            <w:pPr>
              <w:keepNext/>
              <w:spacing w:before="40" w:after="300" w:line="264" w:lineRule="auto"/>
              <w:jc w:val="center"/>
              <w:rPr>
                <w:b/>
                <w:sz w:val="24"/>
              </w:rPr>
            </w:pPr>
          </w:p>
        </w:tc>
      </w:tr>
      <w:tr w:rsidR="00C67914" w:rsidTr="00C67914">
        <w:trPr>
          <w:trHeight w:val="3752"/>
        </w:trPr>
        <w:tc>
          <w:tcPr>
            <w:tcW w:w="10113" w:type="dxa"/>
            <w:tcMar>
              <w:top w:w="0" w:type="dxa"/>
              <w:left w:w="108" w:type="dxa"/>
              <w:bottom w:w="0" w:type="dxa"/>
              <w:right w:w="108" w:type="dxa"/>
            </w:tcMar>
          </w:tcPr>
          <w:p w:rsidR="00C67914" w:rsidRDefault="00C67914">
            <w:pPr>
              <w:keepNext/>
              <w:spacing w:before="40" w:after="300" w:line="264" w:lineRule="auto"/>
              <w:jc w:val="center"/>
              <w:rPr>
                <w:b/>
                <w:sz w:val="24"/>
              </w:rPr>
            </w:pPr>
          </w:p>
        </w:tc>
      </w:tr>
    </w:tbl>
    <w:p w:rsidR="00C67914" w:rsidRDefault="00C67914">
      <w:pPr>
        <w:sectPr w:rsidR="00C67914">
          <w:headerReference w:type="default" r:id="rId17"/>
          <w:footerReference w:type="default" r:id="rId18"/>
          <w:headerReference w:type="first" r:id="rId19"/>
          <w:footerReference w:type="first" r:id="rId20"/>
          <w:pgSz w:w="11906" w:h="16838"/>
          <w:pgMar w:top="1134" w:right="1134" w:bottom="1134" w:left="1418" w:header="720" w:footer="720" w:gutter="0"/>
          <w:cols w:space="720"/>
          <w:titlePg/>
        </w:sectPr>
      </w:pPr>
    </w:p>
    <w:sdt>
      <w:sdtPr>
        <w:rPr>
          <w:rFonts w:ascii="Arial" w:eastAsia="Times New Roman" w:hAnsi="Arial" w:cs="Times New Roman"/>
          <w:b w:val="0"/>
          <w:bCs w:val="0"/>
          <w:color w:val="auto"/>
          <w:sz w:val="22"/>
          <w:szCs w:val="24"/>
          <w:lang w:val="fr-BE" w:eastAsia="en-GB"/>
        </w:rPr>
        <w:id w:val="147023565"/>
        <w:docPartObj>
          <w:docPartGallery w:val="Table of Contents"/>
          <w:docPartUnique/>
        </w:docPartObj>
      </w:sdtPr>
      <w:sdtEndPr>
        <w:rPr>
          <w:lang w:val="fr-FR"/>
        </w:rPr>
      </w:sdtEndPr>
      <w:sdtContent>
        <w:p w:rsidR="00B267DD" w:rsidRDefault="00A346C7">
          <w:pPr>
            <w:pStyle w:val="TOCHeading"/>
          </w:pPr>
          <w:r w:rsidRPr="00B651F0">
            <w:rPr>
              <w:color w:val="auto"/>
              <w:lang w:val="fr-BE"/>
            </w:rPr>
            <w:t>Sommaire</w:t>
          </w:r>
        </w:p>
        <w:p w:rsidR="004623C5" w:rsidRDefault="009D24F2" w:rsidP="004623C5">
          <w:pPr>
            <w:pStyle w:val="TOC2"/>
            <w:rPr>
              <w:rFonts w:asciiTheme="minorHAnsi" w:eastAsiaTheme="minorEastAsia" w:hAnsiTheme="minorHAnsi" w:cstheme="minorBidi"/>
              <w:noProof/>
              <w:szCs w:val="22"/>
              <w:lang w:val="en-GB"/>
            </w:rPr>
          </w:pPr>
          <w:r>
            <w:fldChar w:fldCharType="begin"/>
          </w:r>
          <w:r w:rsidR="00B267DD">
            <w:instrText xml:space="preserve"> TOC \o "1-2" \h \z \u </w:instrText>
          </w:r>
          <w:r>
            <w:fldChar w:fldCharType="separate"/>
          </w:r>
        </w:p>
        <w:p w:rsidR="004623C5" w:rsidRDefault="009D24F2">
          <w:pPr>
            <w:pStyle w:val="TOC1"/>
            <w:rPr>
              <w:rFonts w:asciiTheme="minorHAnsi" w:eastAsiaTheme="minorEastAsia" w:hAnsiTheme="minorHAnsi" w:cstheme="minorBidi"/>
              <w:noProof/>
              <w:szCs w:val="22"/>
              <w:lang w:val="en-GB"/>
            </w:rPr>
          </w:pPr>
          <w:hyperlink w:anchor="_Toc52029977" w:history="1">
            <w:r w:rsidR="004623C5" w:rsidRPr="009B3BA7">
              <w:rPr>
                <w:rStyle w:val="Hyperlink"/>
                <w:bCs/>
                <w:noProof/>
              </w:rPr>
              <w:t>1.</w:t>
            </w:r>
            <w:r w:rsidR="004623C5">
              <w:rPr>
                <w:rFonts w:asciiTheme="minorHAnsi" w:eastAsiaTheme="minorEastAsia" w:hAnsiTheme="minorHAnsi" w:cstheme="minorBidi"/>
                <w:noProof/>
                <w:szCs w:val="22"/>
                <w:lang w:val="en-GB"/>
              </w:rPr>
              <w:tab/>
            </w:r>
            <w:r w:rsidR="004623C5" w:rsidRPr="009B3BA7">
              <w:rPr>
                <w:rStyle w:val="Hyperlink"/>
                <w:noProof/>
              </w:rPr>
              <w:t>Introduction</w:t>
            </w:r>
            <w:r w:rsidR="004623C5">
              <w:rPr>
                <w:noProof/>
                <w:webHidden/>
              </w:rPr>
              <w:tab/>
              <w:t>…………………………………………………………………………….</w:t>
            </w:r>
            <w:r>
              <w:rPr>
                <w:noProof/>
                <w:webHidden/>
              </w:rPr>
              <w:fldChar w:fldCharType="begin"/>
            </w:r>
            <w:r w:rsidR="004623C5">
              <w:rPr>
                <w:noProof/>
                <w:webHidden/>
              </w:rPr>
              <w:instrText xml:space="preserve"> PAGEREF _Toc52029977 \h </w:instrText>
            </w:r>
            <w:r>
              <w:rPr>
                <w:noProof/>
                <w:webHidden/>
              </w:rPr>
            </w:r>
            <w:r>
              <w:rPr>
                <w:noProof/>
                <w:webHidden/>
              </w:rPr>
              <w:fldChar w:fldCharType="separate"/>
            </w:r>
            <w:r w:rsidR="007E3252">
              <w:rPr>
                <w:noProof/>
                <w:webHidden/>
              </w:rPr>
              <w:t>7</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78" w:history="1">
            <w:r w:rsidR="004623C5" w:rsidRPr="009B3BA7">
              <w:rPr>
                <w:rStyle w:val="Hyperlink"/>
                <w:bCs/>
                <w:noProof/>
              </w:rPr>
              <w:t>1.1</w:t>
            </w:r>
            <w:r w:rsidR="004623C5">
              <w:rPr>
                <w:rFonts w:asciiTheme="minorHAnsi" w:eastAsiaTheme="minorEastAsia" w:hAnsiTheme="minorHAnsi" w:cstheme="minorBidi"/>
                <w:noProof/>
                <w:szCs w:val="22"/>
                <w:lang w:val="en-GB"/>
              </w:rPr>
              <w:tab/>
            </w:r>
            <w:r w:rsidR="004623C5" w:rsidRPr="009B3BA7">
              <w:rPr>
                <w:rStyle w:val="Hyperlink"/>
                <w:noProof/>
              </w:rPr>
              <w:t>Vue d'ensemble</w:t>
            </w:r>
            <w:r w:rsidR="004623C5">
              <w:rPr>
                <w:noProof/>
                <w:webHidden/>
              </w:rPr>
              <w:tab/>
            </w:r>
            <w:r>
              <w:rPr>
                <w:noProof/>
                <w:webHidden/>
              </w:rPr>
              <w:fldChar w:fldCharType="begin"/>
            </w:r>
            <w:r w:rsidR="004623C5">
              <w:rPr>
                <w:noProof/>
                <w:webHidden/>
              </w:rPr>
              <w:instrText xml:space="preserve"> PAGEREF _Toc52029978 \h </w:instrText>
            </w:r>
            <w:r>
              <w:rPr>
                <w:noProof/>
                <w:webHidden/>
              </w:rPr>
            </w:r>
            <w:r>
              <w:rPr>
                <w:noProof/>
                <w:webHidden/>
              </w:rPr>
              <w:fldChar w:fldCharType="separate"/>
            </w:r>
            <w:r w:rsidR="007E3252">
              <w:rPr>
                <w:noProof/>
                <w:webHidden/>
              </w:rPr>
              <w:t>7</w:t>
            </w:r>
            <w:r>
              <w:rPr>
                <w:noProof/>
                <w:webHidden/>
              </w:rPr>
              <w:fldChar w:fldCharType="end"/>
            </w:r>
          </w:hyperlink>
        </w:p>
        <w:p w:rsidR="004623C5" w:rsidRDefault="009D24F2">
          <w:pPr>
            <w:pStyle w:val="TOC2"/>
            <w:rPr>
              <w:rStyle w:val="Hyperlink"/>
              <w:noProof/>
            </w:rPr>
          </w:pPr>
          <w:hyperlink w:anchor="_Toc52029979" w:history="1">
            <w:r w:rsidR="004623C5" w:rsidRPr="009B3BA7">
              <w:rPr>
                <w:rStyle w:val="Hyperlink"/>
                <w:bCs/>
                <w:noProof/>
              </w:rPr>
              <w:t>1.2</w:t>
            </w:r>
            <w:r w:rsidR="004623C5">
              <w:rPr>
                <w:rFonts w:asciiTheme="minorHAnsi" w:eastAsiaTheme="minorEastAsia" w:hAnsiTheme="minorHAnsi" w:cstheme="minorBidi"/>
                <w:noProof/>
                <w:szCs w:val="22"/>
                <w:lang w:val="en-GB"/>
              </w:rPr>
              <w:tab/>
            </w:r>
            <w:r w:rsidR="004623C5" w:rsidRPr="009B3BA7">
              <w:rPr>
                <w:rStyle w:val="Hyperlink"/>
                <w:noProof/>
              </w:rPr>
              <w:t>Informations générales sur le Burundi</w:t>
            </w:r>
            <w:r w:rsidR="004623C5">
              <w:rPr>
                <w:noProof/>
                <w:webHidden/>
              </w:rPr>
              <w:tab/>
            </w:r>
            <w:r>
              <w:rPr>
                <w:noProof/>
                <w:webHidden/>
              </w:rPr>
              <w:fldChar w:fldCharType="begin"/>
            </w:r>
            <w:r w:rsidR="004623C5">
              <w:rPr>
                <w:noProof/>
                <w:webHidden/>
              </w:rPr>
              <w:instrText xml:space="preserve"> PAGEREF _Toc52029979 \h </w:instrText>
            </w:r>
            <w:r>
              <w:rPr>
                <w:noProof/>
                <w:webHidden/>
              </w:rPr>
            </w:r>
            <w:r>
              <w:rPr>
                <w:noProof/>
                <w:webHidden/>
              </w:rPr>
              <w:fldChar w:fldCharType="separate"/>
            </w:r>
            <w:r w:rsidR="007E3252">
              <w:rPr>
                <w:noProof/>
                <w:webHidden/>
              </w:rPr>
              <w:t>8</w:t>
            </w:r>
            <w:r>
              <w:rPr>
                <w:noProof/>
                <w:webHidden/>
              </w:rPr>
              <w:fldChar w:fldCharType="end"/>
            </w:r>
          </w:hyperlink>
        </w:p>
        <w:p w:rsidR="004623C5" w:rsidRPr="004623C5" w:rsidRDefault="004623C5" w:rsidP="004623C5">
          <w:pPr>
            <w:rPr>
              <w:rFonts w:eastAsiaTheme="minorEastAsia"/>
              <w:noProof/>
            </w:rPr>
          </w:pPr>
        </w:p>
        <w:p w:rsidR="004623C5" w:rsidRDefault="009D24F2">
          <w:pPr>
            <w:pStyle w:val="TOC1"/>
            <w:rPr>
              <w:rFonts w:asciiTheme="minorHAnsi" w:eastAsiaTheme="minorEastAsia" w:hAnsiTheme="minorHAnsi" w:cstheme="minorBidi"/>
              <w:noProof/>
              <w:szCs w:val="22"/>
              <w:lang w:val="en-GB"/>
            </w:rPr>
          </w:pPr>
          <w:hyperlink w:anchor="_Toc52029980" w:history="1">
            <w:r w:rsidR="004623C5" w:rsidRPr="009B3BA7">
              <w:rPr>
                <w:rStyle w:val="Hyperlink"/>
                <w:bCs/>
                <w:noProof/>
              </w:rPr>
              <w:t>2.</w:t>
            </w:r>
            <w:r w:rsidR="004623C5">
              <w:rPr>
                <w:rFonts w:asciiTheme="minorHAnsi" w:eastAsiaTheme="minorEastAsia" w:hAnsiTheme="minorHAnsi" w:cstheme="minorBidi"/>
                <w:noProof/>
                <w:szCs w:val="22"/>
                <w:lang w:val="en-GB"/>
              </w:rPr>
              <w:tab/>
            </w:r>
            <w:r w:rsidR="004623C5" w:rsidRPr="009B3BA7">
              <w:rPr>
                <w:rStyle w:val="Hyperlink"/>
                <w:noProof/>
              </w:rPr>
              <w:t>Types communs de régime foncier</w:t>
            </w:r>
            <w:r w:rsidR="004623C5">
              <w:rPr>
                <w:noProof/>
                <w:webHidden/>
              </w:rPr>
              <w:t>………………………………………………….</w:t>
            </w:r>
            <w:r>
              <w:rPr>
                <w:noProof/>
                <w:webHidden/>
              </w:rPr>
              <w:fldChar w:fldCharType="begin"/>
            </w:r>
            <w:r w:rsidR="004623C5">
              <w:rPr>
                <w:noProof/>
                <w:webHidden/>
              </w:rPr>
              <w:instrText xml:space="preserve"> PAGEREF _Toc52029980 \h </w:instrText>
            </w:r>
            <w:r>
              <w:rPr>
                <w:noProof/>
                <w:webHidden/>
              </w:rPr>
            </w:r>
            <w:r>
              <w:rPr>
                <w:noProof/>
                <w:webHidden/>
              </w:rPr>
              <w:fldChar w:fldCharType="separate"/>
            </w:r>
            <w:r w:rsidR="007E3252">
              <w:rPr>
                <w:noProof/>
                <w:webHidden/>
              </w:rPr>
              <w:t>10</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81" w:history="1">
            <w:r w:rsidR="004623C5" w:rsidRPr="009B3BA7">
              <w:rPr>
                <w:rStyle w:val="Hyperlink"/>
                <w:noProof/>
              </w:rPr>
              <w:t>2.1</w:t>
            </w:r>
            <w:r w:rsidR="004623C5">
              <w:rPr>
                <w:rFonts w:asciiTheme="minorHAnsi" w:eastAsiaTheme="minorEastAsia" w:hAnsiTheme="minorHAnsi" w:cstheme="minorBidi"/>
                <w:noProof/>
                <w:szCs w:val="22"/>
                <w:lang w:val="en-GB"/>
              </w:rPr>
              <w:tab/>
            </w:r>
            <w:r w:rsidR="004623C5" w:rsidRPr="009B3BA7">
              <w:rPr>
                <w:rStyle w:val="Hyperlink"/>
                <w:noProof/>
              </w:rPr>
              <w:t>Typologie des régimes fonciers</w:t>
            </w:r>
            <w:r w:rsidR="004623C5">
              <w:rPr>
                <w:noProof/>
                <w:webHidden/>
              </w:rPr>
              <w:tab/>
            </w:r>
            <w:r>
              <w:rPr>
                <w:noProof/>
                <w:webHidden/>
              </w:rPr>
              <w:fldChar w:fldCharType="begin"/>
            </w:r>
            <w:r w:rsidR="004623C5">
              <w:rPr>
                <w:noProof/>
                <w:webHidden/>
              </w:rPr>
              <w:instrText xml:space="preserve"> PAGEREF _Toc52029981 \h </w:instrText>
            </w:r>
            <w:r>
              <w:rPr>
                <w:noProof/>
                <w:webHidden/>
              </w:rPr>
            </w:r>
            <w:r>
              <w:rPr>
                <w:noProof/>
                <w:webHidden/>
              </w:rPr>
              <w:fldChar w:fldCharType="separate"/>
            </w:r>
            <w:r w:rsidR="007E3252">
              <w:rPr>
                <w:noProof/>
                <w:webHidden/>
              </w:rPr>
              <w:t>10</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82" w:history="1">
            <w:r w:rsidR="004623C5" w:rsidRPr="009B3BA7">
              <w:rPr>
                <w:rStyle w:val="Hyperlink"/>
                <w:noProof/>
              </w:rPr>
              <w:t>2.2</w:t>
            </w:r>
            <w:r w:rsidR="004623C5">
              <w:rPr>
                <w:rFonts w:asciiTheme="minorHAnsi" w:eastAsiaTheme="minorEastAsia" w:hAnsiTheme="minorHAnsi" w:cstheme="minorBidi"/>
                <w:noProof/>
                <w:szCs w:val="22"/>
                <w:lang w:val="en-GB"/>
              </w:rPr>
              <w:tab/>
            </w:r>
            <w:r w:rsidR="004623C5" w:rsidRPr="009B3BA7">
              <w:rPr>
                <w:rStyle w:val="Hyperlink"/>
                <w:noProof/>
              </w:rPr>
              <w:t>Documentation fonciere</w:t>
            </w:r>
            <w:r w:rsidR="004623C5">
              <w:rPr>
                <w:noProof/>
                <w:webHidden/>
              </w:rPr>
              <w:tab/>
            </w:r>
            <w:r>
              <w:rPr>
                <w:noProof/>
                <w:webHidden/>
              </w:rPr>
              <w:fldChar w:fldCharType="begin"/>
            </w:r>
            <w:r w:rsidR="004623C5">
              <w:rPr>
                <w:noProof/>
                <w:webHidden/>
              </w:rPr>
              <w:instrText xml:space="preserve"> PAGEREF _Toc52029982 \h </w:instrText>
            </w:r>
            <w:r>
              <w:rPr>
                <w:noProof/>
                <w:webHidden/>
              </w:rPr>
            </w:r>
            <w:r>
              <w:rPr>
                <w:noProof/>
                <w:webHidden/>
              </w:rPr>
              <w:fldChar w:fldCharType="separate"/>
            </w:r>
            <w:r w:rsidR="007E3252">
              <w:rPr>
                <w:noProof/>
                <w:webHidden/>
              </w:rPr>
              <w:t>16</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84" w:history="1">
            <w:r w:rsidR="004623C5" w:rsidRPr="009B3BA7">
              <w:rPr>
                <w:rStyle w:val="Hyperlink"/>
                <w:noProof/>
              </w:rPr>
              <w:t>2.3</w:t>
            </w:r>
            <w:r w:rsidR="004623C5">
              <w:rPr>
                <w:rFonts w:asciiTheme="minorHAnsi" w:eastAsiaTheme="minorEastAsia" w:hAnsiTheme="minorHAnsi" w:cstheme="minorBidi"/>
                <w:noProof/>
                <w:szCs w:val="22"/>
                <w:lang w:val="en-GB"/>
              </w:rPr>
              <w:tab/>
            </w:r>
            <w:r w:rsidR="004623C5" w:rsidRPr="009B3BA7">
              <w:rPr>
                <w:rStyle w:val="Hyperlink"/>
                <w:noProof/>
              </w:rPr>
              <w:t>Propriété coutumière</w:t>
            </w:r>
            <w:r w:rsidR="004623C5">
              <w:rPr>
                <w:noProof/>
                <w:webHidden/>
              </w:rPr>
              <w:tab/>
            </w:r>
            <w:r>
              <w:rPr>
                <w:noProof/>
                <w:webHidden/>
              </w:rPr>
              <w:fldChar w:fldCharType="begin"/>
            </w:r>
            <w:r w:rsidR="004623C5">
              <w:rPr>
                <w:noProof/>
                <w:webHidden/>
              </w:rPr>
              <w:instrText xml:space="preserve"> PAGEREF _Toc52029984 \h </w:instrText>
            </w:r>
            <w:r>
              <w:rPr>
                <w:noProof/>
                <w:webHidden/>
              </w:rPr>
            </w:r>
            <w:r>
              <w:rPr>
                <w:noProof/>
                <w:webHidden/>
              </w:rPr>
              <w:fldChar w:fldCharType="separate"/>
            </w:r>
            <w:r w:rsidR="007E3252">
              <w:rPr>
                <w:noProof/>
                <w:webHidden/>
              </w:rPr>
              <w:t>17</w:t>
            </w:r>
            <w:r>
              <w:rPr>
                <w:noProof/>
                <w:webHidden/>
              </w:rPr>
              <w:fldChar w:fldCharType="end"/>
            </w:r>
          </w:hyperlink>
        </w:p>
        <w:p w:rsidR="004623C5" w:rsidRDefault="009D24F2">
          <w:pPr>
            <w:pStyle w:val="TOC2"/>
            <w:rPr>
              <w:rStyle w:val="Hyperlink"/>
              <w:noProof/>
            </w:rPr>
          </w:pPr>
          <w:hyperlink w:anchor="_Toc52029986" w:history="1">
            <w:r w:rsidR="004623C5" w:rsidRPr="009B3BA7">
              <w:rPr>
                <w:rStyle w:val="Hyperlink"/>
                <w:noProof/>
              </w:rPr>
              <w:t>2.4</w:t>
            </w:r>
            <w:r w:rsidR="004623C5">
              <w:rPr>
                <w:rFonts w:asciiTheme="minorHAnsi" w:eastAsiaTheme="minorEastAsia" w:hAnsiTheme="minorHAnsi" w:cstheme="minorBidi"/>
                <w:noProof/>
                <w:szCs w:val="22"/>
                <w:lang w:val="en-GB"/>
              </w:rPr>
              <w:tab/>
            </w:r>
            <w:r w:rsidR="004623C5" w:rsidRPr="009B3BA7">
              <w:rPr>
                <w:rStyle w:val="Hyperlink"/>
                <w:noProof/>
              </w:rPr>
              <w:t>Etablissement humains informels</w:t>
            </w:r>
            <w:r w:rsidR="004623C5">
              <w:rPr>
                <w:noProof/>
                <w:webHidden/>
              </w:rPr>
              <w:tab/>
            </w:r>
            <w:r>
              <w:rPr>
                <w:noProof/>
                <w:webHidden/>
              </w:rPr>
              <w:fldChar w:fldCharType="begin"/>
            </w:r>
            <w:r w:rsidR="004623C5">
              <w:rPr>
                <w:noProof/>
                <w:webHidden/>
              </w:rPr>
              <w:instrText xml:space="preserve"> PAGEREF _Toc52029986 \h </w:instrText>
            </w:r>
            <w:r>
              <w:rPr>
                <w:noProof/>
                <w:webHidden/>
              </w:rPr>
            </w:r>
            <w:r>
              <w:rPr>
                <w:noProof/>
                <w:webHidden/>
              </w:rPr>
              <w:fldChar w:fldCharType="separate"/>
            </w:r>
            <w:r w:rsidR="007E3252">
              <w:rPr>
                <w:noProof/>
                <w:webHidden/>
              </w:rPr>
              <w:t>17</w:t>
            </w:r>
            <w:r>
              <w:rPr>
                <w:noProof/>
                <w:webHidden/>
              </w:rPr>
              <w:fldChar w:fldCharType="end"/>
            </w:r>
          </w:hyperlink>
        </w:p>
        <w:p w:rsidR="004623C5" w:rsidRPr="004623C5" w:rsidRDefault="004623C5" w:rsidP="004623C5">
          <w:pPr>
            <w:rPr>
              <w:rFonts w:eastAsiaTheme="minorEastAsia"/>
              <w:noProof/>
            </w:rPr>
          </w:pPr>
        </w:p>
        <w:p w:rsidR="004623C5" w:rsidRDefault="009D24F2">
          <w:pPr>
            <w:pStyle w:val="TOC1"/>
            <w:rPr>
              <w:rFonts w:asciiTheme="minorHAnsi" w:eastAsiaTheme="minorEastAsia" w:hAnsiTheme="minorHAnsi" w:cstheme="minorBidi"/>
              <w:noProof/>
              <w:szCs w:val="22"/>
              <w:lang w:val="en-GB"/>
            </w:rPr>
          </w:pPr>
          <w:hyperlink w:anchor="_Toc52029988" w:history="1">
            <w:r w:rsidR="004623C5" w:rsidRPr="009B3BA7">
              <w:rPr>
                <w:rStyle w:val="Hyperlink"/>
                <w:bCs/>
                <w:noProof/>
              </w:rPr>
              <w:t>3.</w:t>
            </w:r>
            <w:r w:rsidR="004623C5">
              <w:rPr>
                <w:rFonts w:asciiTheme="minorHAnsi" w:eastAsiaTheme="minorEastAsia" w:hAnsiTheme="minorHAnsi" w:cstheme="minorBidi"/>
                <w:noProof/>
                <w:szCs w:val="22"/>
                <w:lang w:val="en-GB"/>
              </w:rPr>
              <w:tab/>
            </w:r>
            <w:r w:rsidR="004623C5" w:rsidRPr="009B3BA7">
              <w:rPr>
                <w:rStyle w:val="Hyperlink"/>
                <w:noProof/>
              </w:rPr>
              <w:t>Sécurité d'occupation des groupes vulnérables</w:t>
            </w:r>
            <w:r w:rsidR="004623C5">
              <w:rPr>
                <w:noProof/>
                <w:webHidden/>
              </w:rPr>
              <w:tab/>
              <w:t>…………………………………..</w:t>
            </w:r>
            <w:r>
              <w:rPr>
                <w:noProof/>
                <w:webHidden/>
              </w:rPr>
              <w:fldChar w:fldCharType="begin"/>
            </w:r>
            <w:r w:rsidR="004623C5">
              <w:rPr>
                <w:noProof/>
                <w:webHidden/>
              </w:rPr>
              <w:instrText xml:space="preserve"> PAGEREF _Toc52029988 \h </w:instrText>
            </w:r>
            <w:r>
              <w:rPr>
                <w:noProof/>
                <w:webHidden/>
              </w:rPr>
            </w:r>
            <w:r>
              <w:rPr>
                <w:noProof/>
                <w:webHidden/>
              </w:rPr>
              <w:fldChar w:fldCharType="separate"/>
            </w:r>
            <w:r w:rsidR="007E3252">
              <w:rPr>
                <w:noProof/>
                <w:webHidden/>
              </w:rPr>
              <w:t>18</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90" w:history="1">
            <w:r w:rsidR="004623C5" w:rsidRPr="009B3BA7">
              <w:rPr>
                <w:rStyle w:val="Hyperlink"/>
                <w:noProof/>
              </w:rPr>
              <w:t>3.1</w:t>
            </w:r>
            <w:r w:rsidR="004623C5">
              <w:rPr>
                <w:rFonts w:asciiTheme="minorHAnsi" w:eastAsiaTheme="minorEastAsia" w:hAnsiTheme="minorHAnsi" w:cstheme="minorBidi"/>
                <w:noProof/>
                <w:szCs w:val="22"/>
                <w:lang w:val="en-GB"/>
              </w:rPr>
              <w:tab/>
            </w:r>
            <w:r w:rsidR="004623C5" w:rsidRPr="009B3BA7">
              <w:rPr>
                <w:rStyle w:val="Hyperlink"/>
                <w:noProof/>
              </w:rPr>
              <w:t>Les femmes</w:t>
            </w:r>
            <w:r w:rsidR="004623C5">
              <w:rPr>
                <w:noProof/>
                <w:webHidden/>
              </w:rPr>
              <w:tab/>
            </w:r>
            <w:r>
              <w:rPr>
                <w:noProof/>
                <w:webHidden/>
              </w:rPr>
              <w:fldChar w:fldCharType="begin"/>
            </w:r>
            <w:r w:rsidR="004623C5">
              <w:rPr>
                <w:noProof/>
                <w:webHidden/>
              </w:rPr>
              <w:instrText xml:space="preserve"> PAGEREF _Toc52029990 \h </w:instrText>
            </w:r>
            <w:r>
              <w:rPr>
                <w:noProof/>
                <w:webHidden/>
              </w:rPr>
            </w:r>
            <w:r>
              <w:rPr>
                <w:noProof/>
                <w:webHidden/>
              </w:rPr>
              <w:fldChar w:fldCharType="separate"/>
            </w:r>
            <w:r w:rsidR="007E3252">
              <w:rPr>
                <w:noProof/>
                <w:webHidden/>
              </w:rPr>
              <w:t>18</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91" w:history="1">
            <w:r w:rsidR="004623C5" w:rsidRPr="009B3BA7">
              <w:rPr>
                <w:rStyle w:val="Hyperlink"/>
                <w:noProof/>
              </w:rPr>
              <w:t>3.2</w:t>
            </w:r>
            <w:r w:rsidR="004623C5">
              <w:rPr>
                <w:rFonts w:asciiTheme="minorHAnsi" w:eastAsiaTheme="minorEastAsia" w:hAnsiTheme="minorHAnsi" w:cstheme="minorBidi"/>
                <w:noProof/>
                <w:szCs w:val="22"/>
                <w:lang w:val="en-GB"/>
              </w:rPr>
              <w:tab/>
            </w:r>
            <w:r w:rsidR="004623C5" w:rsidRPr="009B3BA7">
              <w:rPr>
                <w:rStyle w:val="Hyperlink"/>
                <w:noProof/>
              </w:rPr>
              <w:t>Les peuples indigènes</w:t>
            </w:r>
            <w:r w:rsidR="004623C5">
              <w:rPr>
                <w:noProof/>
                <w:webHidden/>
              </w:rPr>
              <w:tab/>
            </w:r>
            <w:r>
              <w:rPr>
                <w:noProof/>
                <w:webHidden/>
              </w:rPr>
              <w:fldChar w:fldCharType="begin"/>
            </w:r>
            <w:r w:rsidR="004623C5">
              <w:rPr>
                <w:noProof/>
                <w:webHidden/>
              </w:rPr>
              <w:instrText xml:space="preserve"> PAGEREF _Toc52029991 \h </w:instrText>
            </w:r>
            <w:r>
              <w:rPr>
                <w:noProof/>
                <w:webHidden/>
              </w:rPr>
            </w:r>
            <w:r>
              <w:rPr>
                <w:noProof/>
                <w:webHidden/>
              </w:rPr>
              <w:fldChar w:fldCharType="separate"/>
            </w:r>
            <w:r w:rsidR="007E3252">
              <w:rPr>
                <w:noProof/>
                <w:webHidden/>
              </w:rPr>
              <w:t>19</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92" w:history="1">
            <w:r w:rsidR="004623C5" w:rsidRPr="009B3BA7">
              <w:rPr>
                <w:rStyle w:val="Hyperlink"/>
                <w:bCs/>
                <w:noProof/>
              </w:rPr>
              <w:t>3.3</w:t>
            </w:r>
            <w:r w:rsidR="004623C5">
              <w:rPr>
                <w:rFonts w:asciiTheme="minorHAnsi" w:eastAsiaTheme="minorEastAsia" w:hAnsiTheme="minorHAnsi" w:cstheme="minorBidi"/>
                <w:noProof/>
                <w:szCs w:val="22"/>
                <w:lang w:val="en-GB"/>
              </w:rPr>
              <w:tab/>
            </w:r>
            <w:r w:rsidR="004623C5" w:rsidRPr="009B3BA7">
              <w:rPr>
                <w:rStyle w:val="Hyperlink"/>
                <w:bCs/>
                <w:noProof/>
              </w:rPr>
              <w:t>Groupes minoritaires</w:t>
            </w:r>
            <w:r w:rsidR="004623C5">
              <w:rPr>
                <w:noProof/>
                <w:webHidden/>
              </w:rPr>
              <w:tab/>
            </w:r>
            <w:r>
              <w:rPr>
                <w:noProof/>
                <w:webHidden/>
              </w:rPr>
              <w:fldChar w:fldCharType="begin"/>
            </w:r>
            <w:r w:rsidR="004623C5">
              <w:rPr>
                <w:noProof/>
                <w:webHidden/>
              </w:rPr>
              <w:instrText xml:space="preserve"> PAGEREF _Toc52029992 \h </w:instrText>
            </w:r>
            <w:r>
              <w:rPr>
                <w:noProof/>
                <w:webHidden/>
              </w:rPr>
            </w:r>
            <w:r>
              <w:rPr>
                <w:noProof/>
                <w:webHidden/>
              </w:rPr>
              <w:fldChar w:fldCharType="separate"/>
            </w:r>
            <w:r w:rsidR="007E3252">
              <w:rPr>
                <w:noProof/>
                <w:webHidden/>
              </w:rPr>
              <w:t>21</w:t>
            </w:r>
            <w:r>
              <w:rPr>
                <w:noProof/>
                <w:webHidden/>
              </w:rPr>
              <w:fldChar w:fldCharType="end"/>
            </w:r>
          </w:hyperlink>
        </w:p>
        <w:p w:rsidR="004623C5" w:rsidRDefault="009D24F2">
          <w:pPr>
            <w:pStyle w:val="TOC2"/>
            <w:rPr>
              <w:rStyle w:val="Hyperlink"/>
              <w:noProof/>
            </w:rPr>
          </w:pPr>
          <w:hyperlink w:anchor="_Toc52029993" w:history="1">
            <w:r w:rsidR="004623C5" w:rsidRPr="009B3BA7">
              <w:rPr>
                <w:rStyle w:val="Hyperlink"/>
                <w:bCs/>
                <w:noProof/>
              </w:rPr>
              <w:t>3.4</w:t>
            </w:r>
            <w:r w:rsidR="004623C5">
              <w:rPr>
                <w:rFonts w:asciiTheme="minorHAnsi" w:eastAsiaTheme="minorEastAsia" w:hAnsiTheme="minorHAnsi" w:cstheme="minorBidi"/>
                <w:noProof/>
                <w:szCs w:val="22"/>
                <w:lang w:val="en-GB"/>
              </w:rPr>
              <w:tab/>
            </w:r>
            <w:r w:rsidR="004623C5" w:rsidRPr="009B3BA7">
              <w:rPr>
                <w:rStyle w:val="Hyperlink"/>
                <w:bCs/>
                <w:noProof/>
              </w:rPr>
              <w:t>Les sans-terre/squatters</w:t>
            </w:r>
            <w:r w:rsidR="004623C5">
              <w:rPr>
                <w:noProof/>
                <w:webHidden/>
              </w:rPr>
              <w:tab/>
            </w:r>
            <w:r>
              <w:rPr>
                <w:noProof/>
                <w:webHidden/>
              </w:rPr>
              <w:fldChar w:fldCharType="begin"/>
            </w:r>
            <w:r w:rsidR="004623C5">
              <w:rPr>
                <w:noProof/>
                <w:webHidden/>
              </w:rPr>
              <w:instrText xml:space="preserve"> PAGEREF _Toc52029993 \h </w:instrText>
            </w:r>
            <w:r>
              <w:rPr>
                <w:noProof/>
                <w:webHidden/>
              </w:rPr>
            </w:r>
            <w:r>
              <w:rPr>
                <w:noProof/>
                <w:webHidden/>
              </w:rPr>
              <w:fldChar w:fldCharType="separate"/>
            </w:r>
            <w:r w:rsidR="007E3252">
              <w:rPr>
                <w:noProof/>
                <w:webHidden/>
              </w:rPr>
              <w:t>22</w:t>
            </w:r>
            <w:r>
              <w:rPr>
                <w:noProof/>
                <w:webHidden/>
              </w:rPr>
              <w:fldChar w:fldCharType="end"/>
            </w:r>
          </w:hyperlink>
        </w:p>
        <w:p w:rsidR="004623C5" w:rsidRPr="004623C5" w:rsidRDefault="004623C5" w:rsidP="004623C5">
          <w:pPr>
            <w:rPr>
              <w:rFonts w:eastAsiaTheme="minorEastAsia"/>
              <w:noProof/>
            </w:rPr>
          </w:pPr>
        </w:p>
        <w:p w:rsidR="004623C5" w:rsidRDefault="009D24F2">
          <w:pPr>
            <w:pStyle w:val="TOC1"/>
            <w:rPr>
              <w:rFonts w:asciiTheme="minorHAnsi" w:eastAsiaTheme="minorEastAsia" w:hAnsiTheme="minorHAnsi" w:cstheme="minorBidi"/>
              <w:noProof/>
              <w:szCs w:val="22"/>
              <w:lang w:val="en-GB"/>
            </w:rPr>
          </w:pPr>
          <w:hyperlink w:anchor="_Toc52029994" w:history="1">
            <w:r w:rsidR="004623C5" w:rsidRPr="009B3BA7">
              <w:rPr>
                <w:rStyle w:val="Hyperlink"/>
                <w:bCs/>
                <w:noProof/>
              </w:rPr>
              <w:t>4.</w:t>
            </w:r>
            <w:r w:rsidR="004623C5">
              <w:rPr>
                <w:rFonts w:asciiTheme="minorHAnsi" w:eastAsiaTheme="minorEastAsia" w:hAnsiTheme="minorHAnsi" w:cstheme="minorBidi"/>
                <w:noProof/>
                <w:szCs w:val="22"/>
                <w:lang w:val="en-GB"/>
              </w:rPr>
              <w:tab/>
            </w:r>
            <w:r w:rsidR="004623C5" w:rsidRPr="009B3BA7">
              <w:rPr>
                <w:rStyle w:val="Hyperlink"/>
                <w:noProof/>
              </w:rPr>
              <w:t>Expropriation, expulsion et relocalisation</w:t>
            </w:r>
            <w:r w:rsidR="004623C5">
              <w:rPr>
                <w:noProof/>
                <w:webHidden/>
              </w:rPr>
              <w:t>…………………………………………..</w:t>
            </w:r>
            <w:r>
              <w:rPr>
                <w:noProof/>
                <w:webHidden/>
              </w:rPr>
              <w:fldChar w:fldCharType="begin"/>
            </w:r>
            <w:r w:rsidR="004623C5">
              <w:rPr>
                <w:noProof/>
                <w:webHidden/>
              </w:rPr>
              <w:instrText xml:space="preserve"> PAGEREF _Toc52029994 \h </w:instrText>
            </w:r>
            <w:r>
              <w:rPr>
                <w:noProof/>
                <w:webHidden/>
              </w:rPr>
            </w:r>
            <w:r>
              <w:rPr>
                <w:noProof/>
                <w:webHidden/>
              </w:rPr>
              <w:fldChar w:fldCharType="separate"/>
            </w:r>
            <w:r w:rsidR="007E3252">
              <w:rPr>
                <w:noProof/>
                <w:webHidden/>
              </w:rPr>
              <w:t>23</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96" w:history="1">
            <w:r w:rsidR="004623C5" w:rsidRPr="009B3BA7">
              <w:rPr>
                <w:rStyle w:val="Hyperlink"/>
                <w:bCs/>
                <w:noProof/>
              </w:rPr>
              <w:t>4.1</w:t>
            </w:r>
            <w:r w:rsidR="004623C5">
              <w:rPr>
                <w:rFonts w:asciiTheme="minorHAnsi" w:eastAsiaTheme="minorEastAsia" w:hAnsiTheme="minorHAnsi" w:cstheme="minorBidi"/>
                <w:noProof/>
                <w:szCs w:val="22"/>
                <w:lang w:val="en-GB"/>
              </w:rPr>
              <w:tab/>
            </w:r>
            <w:r w:rsidR="004623C5" w:rsidRPr="009B3BA7">
              <w:rPr>
                <w:rStyle w:val="Hyperlink"/>
                <w:bCs/>
                <w:noProof/>
              </w:rPr>
              <w:t>Expropriation</w:t>
            </w:r>
            <w:r w:rsidR="004623C5">
              <w:rPr>
                <w:noProof/>
                <w:webHidden/>
              </w:rPr>
              <w:tab/>
            </w:r>
            <w:r>
              <w:rPr>
                <w:noProof/>
                <w:webHidden/>
              </w:rPr>
              <w:fldChar w:fldCharType="begin"/>
            </w:r>
            <w:r w:rsidR="004623C5">
              <w:rPr>
                <w:noProof/>
                <w:webHidden/>
              </w:rPr>
              <w:instrText xml:space="preserve"> PAGEREF _Toc52029996 \h </w:instrText>
            </w:r>
            <w:r>
              <w:rPr>
                <w:noProof/>
                <w:webHidden/>
              </w:rPr>
            </w:r>
            <w:r>
              <w:rPr>
                <w:noProof/>
                <w:webHidden/>
              </w:rPr>
              <w:fldChar w:fldCharType="separate"/>
            </w:r>
            <w:r w:rsidR="007E3252">
              <w:rPr>
                <w:noProof/>
                <w:webHidden/>
              </w:rPr>
              <w:t>23</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29997" w:history="1">
            <w:r w:rsidR="004623C5" w:rsidRPr="009B3BA7">
              <w:rPr>
                <w:rStyle w:val="Hyperlink"/>
                <w:bCs/>
                <w:noProof/>
              </w:rPr>
              <w:t>4.2</w:t>
            </w:r>
            <w:r w:rsidR="004623C5">
              <w:rPr>
                <w:rFonts w:asciiTheme="minorHAnsi" w:eastAsiaTheme="minorEastAsia" w:hAnsiTheme="minorHAnsi" w:cstheme="minorBidi"/>
                <w:noProof/>
                <w:szCs w:val="22"/>
                <w:lang w:val="en-GB"/>
              </w:rPr>
              <w:tab/>
            </w:r>
            <w:r w:rsidR="004623C5" w:rsidRPr="009B3BA7">
              <w:rPr>
                <w:rStyle w:val="Hyperlink"/>
                <w:bCs/>
                <w:noProof/>
              </w:rPr>
              <w:t>Expulsion</w:t>
            </w:r>
            <w:r w:rsidR="004623C5">
              <w:rPr>
                <w:noProof/>
                <w:webHidden/>
              </w:rPr>
              <w:t>…………………………………………………………………………….</w:t>
            </w:r>
            <w:r>
              <w:rPr>
                <w:noProof/>
                <w:webHidden/>
              </w:rPr>
              <w:fldChar w:fldCharType="begin"/>
            </w:r>
            <w:r w:rsidR="004623C5">
              <w:rPr>
                <w:noProof/>
                <w:webHidden/>
              </w:rPr>
              <w:instrText xml:space="preserve"> PAGEREF _Toc52029997 \h </w:instrText>
            </w:r>
            <w:r>
              <w:rPr>
                <w:noProof/>
                <w:webHidden/>
              </w:rPr>
            </w:r>
            <w:r>
              <w:rPr>
                <w:noProof/>
                <w:webHidden/>
              </w:rPr>
              <w:fldChar w:fldCharType="separate"/>
            </w:r>
            <w:r w:rsidR="007E3252">
              <w:rPr>
                <w:noProof/>
                <w:webHidden/>
              </w:rPr>
              <w:t>24</w:t>
            </w:r>
            <w:r>
              <w:rPr>
                <w:noProof/>
                <w:webHidden/>
              </w:rPr>
              <w:fldChar w:fldCharType="end"/>
            </w:r>
          </w:hyperlink>
        </w:p>
        <w:p w:rsidR="004623C5" w:rsidRDefault="009D24F2">
          <w:pPr>
            <w:pStyle w:val="TOC2"/>
            <w:rPr>
              <w:rStyle w:val="Hyperlink"/>
              <w:noProof/>
            </w:rPr>
          </w:pPr>
          <w:hyperlink w:anchor="_Toc52029998" w:history="1">
            <w:r w:rsidR="004623C5" w:rsidRPr="009B3BA7">
              <w:rPr>
                <w:rStyle w:val="Hyperlink"/>
                <w:bCs/>
                <w:noProof/>
              </w:rPr>
              <w:t>4.3</w:t>
            </w:r>
            <w:r w:rsidR="004623C5">
              <w:rPr>
                <w:rFonts w:asciiTheme="minorHAnsi" w:eastAsiaTheme="minorEastAsia" w:hAnsiTheme="minorHAnsi" w:cstheme="minorBidi"/>
                <w:noProof/>
                <w:szCs w:val="22"/>
                <w:lang w:val="en-GB"/>
              </w:rPr>
              <w:tab/>
            </w:r>
            <w:r w:rsidR="004623C5" w:rsidRPr="009B3BA7">
              <w:rPr>
                <w:rStyle w:val="Hyperlink"/>
                <w:bCs/>
                <w:noProof/>
              </w:rPr>
              <w:t>Relocalisation</w:t>
            </w:r>
            <w:r w:rsidR="004623C5">
              <w:rPr>
                <w:noProof/>
                <w:webHidden/>
              </w:rPr>
              <w:tab/>
            </w:r>
            <w:r>
              <w:rPr>
                <w:noProof/>
                <w:webHidden/>
              </w:rPr>
              <w:fldChar w:fldCharType="begin"/>
            </w:r>
            <w:r w:rsidR="004623C5">
              <w:rPr>
                <w:noProof/>
                <w:webHidden/>
              </w:rPr>
              <w:instrText xml:space="preserve"> PAGEREF _Toc52029998 \h </w:instrText>
            </w:r>
            <w:r>
              <w:rPr>
                <w:noProof/>
                <w:webHidden/>
              </w:rPr>
            </w:r>
            <w:r>
              <w:rPr>
                <w:noProof/>
                <w:webHidden/>
              </w:rPr>
              <w:fldChar w:fldCharType="separate"/>
            </w:r>
            <w:r w:rsidR="007E3252">
              <w:rPr>
                <w:noProof/>
                <w:webHidden/>
              </w:rPr>
              <w:t>24</w:t>
            </w:r>
            <w:r>
              <w:rPr>
                <w:noProof/>
                <w:webHidden/>
              </w:rPr>
              <w:fldChar w:fldCharType="end"/>
            </w:r>
          </w:hyperlink>
        </w:p>
        <w:p w:rsidR="004623C5" w:rsidRPr="004623C5" w:rsidRDefault="004623C5" w:rsidP="004623C5">
          <w:pPr>
            <w:rPr>
              <w:rFonts w:eastAsiaTheme="minorEastAsia"/>
              <w:noProof/>
            </w:rPr>
          </w:pPr>
        </w:p>
        <w:p w:rsidR="004623C5" w:rsidRDefault="009D24F2">
          <w:pPr>
            <w:pStyle w:val="TOC1"/>
            <w:rPr>
              <w:rFonts w:asciiTheme="minorHAnsi" w:eastAsiaTheme="minorEastAsia" w:hAnsiTheme="minorHAnsi" w:cstheme="minorBidi"/>
              <w:noProof/>
              <w:szCs w:val="22"/>
              <w:lang w:val="en-GB"/>
            </w:rPr>
          </w:pPr>
          <w:hyperlink w:anchor="_Toc52029999" w:history="1">
            <w:r w:rsidR="004623C5" w:rsidRPr="009B3BA7">
              <w:rPr>
                <w:rStyle w:val="Hyperlink"/>
                <w:bCs/>
                <w:noProof/>
              </w:rPr>
              <w:t>5.</w:t>
            </w:r>
            <w:r w:rsidR="004623C5">
              <w:rPr>
                <w:rFonts w:asciiTheme="minorHAnsi" w:eastAsiaTheme="minorEastAsia" w:hAnsiTheme="minorHAnsi" w:cstheme="minorBidi"/>
                <w:noProof/>
                <w:szCs w:val="22"/>
                <w:lang w:val="en-GB"/>
              </w:rPr>
              <w:tab/>
            </w:r>
            <w:r w:rsidR="004623C5" w:rsidRPr="009B3BA7">
              <w:rPr>
                <w:rStyle w:val="Hyperlink"/>
                <w:noProof/>
              </w:rPr>
              <w:t>Bibliographie</w:t>
            </w:r>
            <w:r w:rsidR="004623C5">
              <w:rPr>
                <w:rStyle w:val="Hyperlink"/>
                <w:noProof/>
              </w:rPr>
              <w:t>……………………</w:t>
            </w:r>
            <w:r w:rsidR="004623C5">
              <w:rPr>
                <w:noProof/>
                <w:webHidden/>
              </w:rPr>
              <w:t>……………………………………………………...</w:t>
            </w:r>
            <w:r>
              <w:rPr>
                <w:noProof/>
                <w:webHidden/>
              </w:rPr>
              <w:fldChar w:fldCharType="begin"/>
            </w:r>
            <w:r w:rsidR="004623C5">
              <w:rPr>
                <w:noProof/>
                <w:webHidden/>
              </w:rPr>
              <w:instrText xml:space="preserve"> PAGEREF _Toc52029999 \h </w:instrText>
            </w:r>
            <w:r>
              <w:rPr>
                <w:noProof/>
                <w:webHidden/>
              </w:rPr>
            </w:r>
            <w:r>
              <w:rPr>
                <w:noProof/>
                <w:webHidden/>
              </w:rPr>
              <w:fldChar w:fldCharType="separate"/>
            </w:r>
            <w:r w:rsidR="007E3252">
              <w:rPr>
                <w:noProof/>
                <w:webHidden/>
              </w:rPr>
              <w:t>27</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30000" w:history="1">
            <w:r w:rsidR="004623C5" w:rsidRPr="009B3BA7">
              <w:rPr>
                <w:rStyle w:val="Hyperlink"/>
                <w:bCs/>
                <w:noProof/>
              </w:rPr>
              <w:t>5.1</w:t>
            </w:r>
            <w:r w:rsidR="004623C5">
              <w:rPr>
                <w:rFonts w:asciiTheme="minorHAnsi" w:eastAsiaTheme="minorEastAsia" w:hAnsiTheme="minorHAnsi" w:cstheme="minorBidi"/>
                <w:noProof/>
                <w:szCs w:val="22"/>
                <w:lang w:val="en-GB"/>
              </w:rPr>
              <w:tab/>
            </w:r>
            <w:r w:rsidR="004623C5" w:rsidRPr="009B3BA7">
              <w:rPr>
                <w:rStyle w:val="Hyperlink"/>
                <w:noProof/>
              </w:rPr>
              <w:t>Législation</w:t>
            </w:r>
            <w:r w:rsidR="004623C5">
              <w:rPr>
                <w:noProof/>
                <w:webHidden/>
              </w:rPr>
              <w:tab/>
              <w:t>…………………………………………………………………………..</w:t>
            </w:r>
            <w:r>
              <w:rPr>
                <w:noProof/>
                <w:webHidden/>
              </w:rPr>
              <w:fldChar w:fldCharType="begin"/>
            </w:r>
            <w:r w:rsidR="004623C5">
              <w:rPr>
                <w:noProof/>
                <w:webHidden/>
              </w:rPr>
              <w:instrText xml:space="preserve"> PAGEREF _Toc52030000 \h </w:instrText>
            </w:r>
            <w:r>
              <w:rPr>
                <w:noProof/>
                <w:webHidden/>
              </w:rPr>
            </w:r>
            <w:r>
              <w:rPr>
                <w:noProof/>
                <w:webHidden/>
              </w:rPr>
              <w:fldChar w:fldCharType="separate"/>
            </w:r>
            <w:r w:rsidR="007E3252">
              <w:rPr>
                <w:noProof/>
                <w:webHidden/>
              </w:rPr>
              <w:t>27</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30001" w:history="1">
            <w:r w:rsidR="004623C5" w:rsidRPr="009B3BA7">
              <w:rPr>
                <w:rStyle w:val="Hyperlink"/>
                <w:bCs/>
                <w:noProof/>
              </w:rPr>
              <w:t>5.2</w:t>
            </w:r>
            <w:r w:rsidR="004623C5">
              <w:rPr>
                <w:rFonts w:asciiTheme="minorHAnsi" w:eastAsiaTheme="minorEastAsia" w:hAnsiTheme="minorHAnsi" w:cstheme="minorBidi"/>
                <w:noProof/>
                <w:szCs w:val="22"/>
                <w:lang w:val="en-GB"/>
              </w:rPr>
              <w:tab/>
            </w:r>
            <w:r w:rsidR="004623C5" w:rsidRPr="009B3BA7">
              <w:rPr>
                <w:rStyle w:val="Hyperlink"/>
                <w:noProof/>
              </w:rPr>
              <w:t>Jurisprudence</w:t>
            </w:r>
            <w:r w:rsidR="004623C5">
              <w:rPr>
                <w:noProof/>
                <w:webHidden/>
              </w:rPr>
              <w:tab/>
            </w:r>
            <w:r>
              <w:rPr>
                <w:noProof/>
                <w:webHidden/>
              </w:rPr>
              <w:fldChar w:fldCharType="begin"/>
            </w:r>
            <w:r w:rsidR="004623C5">
              <w:rPr>
                <w:noProof/>
                <w:webHidden/>
              </w:rPr>
              <w:instrText xml:space="preserve"> PAGEREF _Toc52030001 \h </w:instrText>
            </w:r>
            <w:r>
              <w:rPr>
                <w:noProof/>
                <w:webHidden/>
              </w:rPr>
            </w:r>
            <w:r>
              <w:rPr>
                <w:noProof/>
                <w:webHidden/>
              </w:rPr>
              <w:fldChar w:fldCharType="separate"/>
            </w:r>
            <w:r w:rsidR="007E3252">
              <w:rPr>
                <w:noProof/>
                <w:webHidden/>
              </w:rPr>
              <w:t>27</w:t>
            </w:r>
            <w:r>
              <w:rPr>
                <w:noProof/>
                <w:webHidden/>
              </w:rPr>
              <w:fldChar w:fldCharType="end"/>
            </w:r>
          </w:hyperlink>
        </w:p>
        <w:p w:rsidR="004623C5" w:rsidRDefault="009D24F2">
          <w:pPr>
            <w:pStyle w:val="TOC2"/>
            <w:rPr>
              <w:rFonts w:asciiTheme="minorHAnsi" w:eastAsiaTheme="minorEastAsia" w:hAnsiTheme="minorHAnsi" w:cstheme="minorBidi"/>
              <w:noProof/>
              <w:szCs w:val="22"/>
              <w:lang w:val="en-GB"/>
            </w:rPr>
          </w:pPr>
          <w:hyperlink w:anchor="_Toc52030002" w:history="1">
            <w:r w:rsidR="004623C5" w:rsidRPr="009B3BA7">
              <w:rPr>
                <w:rStyle w:val="Hyperlink"/>
                <w:bCs/>
                <w:noProof/>
              </w:rPr>
              <w:t>5.3</w:t>
            </w:r>
            <w:r w:rsidR="004623C5">
              <w:rPr>
                <w:rFonts w:asciiTheme="minorHAnsi" w:eastAsiaTheme="minorEastAsia" w:hAnsiTheme="minorHAnsi" w:cstheme="minorBidi"/>
                <w:noProof/>
                <w:szCs w:val="22"/>
                <w:lang w:val="en-GB"/>
              </w:rPr>
              <w:tab/>
            </w:r>
            <w:r w:rsidR="004623C5" w:rsidRPr="009B3BA7">
              <w:rPr>
                <w:rStyle w:val="Hyperlink"/>
                <w:noProof/>
              </w:rPr>
              <w:t>Sources secondaires</w:t>
            </w:r>
            <w:r w:rsidR="004623C5">
              <w:rPr>
                <w:noProof/>
                <w:webHidden/>
              </w:rPr>
              <w:tab/>
            </w:r>
            <w:r>
              <w:rPr>
                <w:noProof/>
                <w:webHidden/>
              </w:rPr>
              <w:fldChar w:fldCharType="begin"/>
            </w:r>
            <w:r w:rsidR="004623C5">
              <w:rPr>
                <w:noProof/>
                <w:webHidden/>
              </w:rPr>
              <w:instrText xml:space="preserve"> PAGEREF _Toc52030002 \h </w:instrText>
            </w:r>
            <w:r>
              <w:rPr>
                <w:noProof/>
                <w:webHidden/>
              </w:rPr>
            </w:r>
            <w:r>
              <w:rPr>
                <w:noProof/>
                <w:webHidden/>
              </w:rPr>
              <w:fldChar w:fldCharType="separate"/>
            </w:r>
            <w:r w:rsidR="007E3252">
              <w:rPr>
                <w:noProof/>
                <w:webHidden/>
              </w:rPr>
              <w:t>27</w:t>
            </w:r>
            <w:r>
              <w:rPr>
                <w:noProof/>
                <w:webHidden/>
              </w:rPr>
              <w:fldChar w:fldCharType="end"/>
            </w:r>
          </w:hyperlink>
        </w:p>
        <w:p w:rsidR="00B267DD" w:rsidRDefault="009D24F2">
          <w:r>
            <w:fldChar w:fldCharType="end"/>
          </w:r>
        </w:p>
      </w:sdtContent>
    </w:sdt>
    <w:p w:rsidR="00B267DD" w:rsidRDefault="00B267DD" w:rsidP="000B7C0D">
      <w:pPr>
        <w:pStyle w:val="TOC2"/>
        <w:tabs>
          <w:tab w:val="clear" w:pos="1738"/>
          <w:tab w:val="clear" w:pos="8255"/>
          <w:tab w:val="right" w:leader="dot" w:pos="0"/>
          <w:tab w:val="right" w:leader="dot" w:pos="7655"/>
        </w:tabs>
        <w:spacing w:after="240"/>
        <w:ind w:left="360" w:firstLine="0"/>
        <w:rPr>
          <w:b/>
        </w:rPr>
      </w:pPr>
    </w:p>
    <w:p w:rsidR="00B267DD" w:rsidRDefault="00B267DD" w:rsidP="000B7C0D">
      <w:pPr>
        <w:pStyle w:val="TOC2"/>
        <w:tabs>
          <w:tab w:val="clear" w:pos="1738"/>
          <w:tab w:val="clear" w:pos="8255"/>
          <w:tab w:val="right" w:leader="dot" w:pos="0"/>
          <w:tab w:val="right" w:leader="dot" w:pos="7655"/>
        </w:tabs>
        <w:spacing w:after="240"/>
        <w:ind w:left="360" w:firstLine="0"/>
        <w:rPr>
          <w:b/>
        </w:rPr>
      </w:pPr>
    </w:p>
    <w:p w:rsidR="00C67914" w:rsidRPr="00835643" w:rsidRDefault="003F7870" w:rsidP="000B7C0D">
      <w:pPr>
        <w:pStyle w:val="TOC2"/>
        <w:tabs>
          <w:tab w:val="clear" w:pos="1738"/>
          <w:tab w:val="clear" w:pos="8255"/>
          <w:tab w:val="right" w:leader="dot" w:pos="0"/>
          <w:tab w:val="right" w:leader="dot" w:pos="7655"/>
        </w:tabs>
        <w:spacing w:after="240"/>
        <w:ind w:left="360" w:firstLine="0"/>
        <w:rPr>
          <w:szCs w:val="22"/>
        </w:rPr>
      </w:pPr>
      <w:r>
        <w:rPr>
          <w:b/>
        </w:rPr>
        <w:t>Clause de non-responsabilité</w:t>
      </w:r>
    </w:p>
    <w:p w:rsidR="00E64F27" w:rsidRDefault="003F7870">
      <w:r>
        <w:t>Ce rapport est le résultat d'une étude documentaire des informations accessibles au public. Ce rapport ne constitue pas un avis juridique.</w:t>
      </w:r>
    </w:p>
    <w:p w:rsidR="00C67914" w:rsidRDefault="00E64F27" w:rsidP="00E64F27">
      <w:pPr>
        <w:suppressAutoHyphens w:val="0"/>
      </w:pPr>
      <w:r>
        <w:br w:type="page"/>
      </w:r>
    </w:p>
    <w:p w:rsidR="00C67914" w:rsidRDefault="003F7870" w:rsidP="004F24DA">
      <w:pPr>
        <w:pStyle w:val="Heading11"/>
      </w:pPr>
      <w:bookmarkStart w:id="26" w:name="_Toc49960904"/>
      <w:bookmarkStart w:id="27" w:name="_Toc44075820"/>
      <w:bookmarkStart w:id="28" w:name="_Toc52029977"/>
      <w:r>
        <w:t>Introduction</w:t>
      </w:r>
      <w:bookmarkEnd w:id="26"/>
      <w:bookmarkEnd w:id="27"/>
      <w:bookmarkEnd w:id="28"/>
    </w:p>
    <w:p w:rsidR="00C67914" w:rsidRDefault="003F7870" w:rsidP="00BF47A2">
      <w:pPr>
        <w:pStyle w:val="WWHeading2"/>
        <w:tabs>
          <w:tab w:val="clear" w:pos="567"/>
          <w:tab w:val="left" w:pos="1134"/>
        </w:tabs>
      </w:pPr>
      <w:bookmarkStart w:id="29" w:name="_Toc49960905"/>
      <w:bookmarkStart w:id="30" w:name="_Toc44075821"/>
      <w:bookmarkStart w:id="31" w:name="_Toc52029978"/>
      <w:r>
        <w:t>Vue d'ensemble</w:t>
      </w:r>
      <w:bookmarkEnd w:id="29"/>
      <w:bookmarkEnd w:id="30"/>
      <w:bookmarkEnd w:id="31"/>
    </w:p>
    <w:p w:rsidR="00C67914" w:rsidRDefault="003F7870">
      <w:pPr>
        <w:pStyle w:val="WWBodyText2"/>
      </w:pPr>
      <w:r>
        <w:rPr>
          <w:sz w:val="20"/>
          <w:szCs w:val="20"/>
        </w:rPr>
        <w:t xml:space="preserve">L'Organisation </w:t>
      </w:r>
      <w:r w:rsidR="00764825">
        <w:rPr>
          <w:sz w:val="20"/>
          <w:szCs w:val="20"/>
        </w:rPr>
        <w:t>Internationale</w:t>
      </w:r>
      <w:r>
        <w:rPr>
          <w:sz w:val="20"/>
          <w:szCs w:val="20"/>
        </w:rPr>
        <w:t xml:space="preserve"> pour les Migrations (</w:t>
      </w:r>
      <w:r>
        <w:rPr>
          <w:b/>
          <w:sz w:val="20"/>
          <w:szCs w:val="20"/>
        </w:rPr>
        <w:t>OIM</w:t>
      </w:r>
      <w:r>
        <w:rPr>
          <w:sz w:val="20"/>
          <w:szCs w:val="20"/>
        </w:rPr>
        <w:t>) et ses partenaires sont les premiers à répondre aux urgences humanitaires causées par des conflits ou des catastrophes naturelles. L'aide humanitaire relève du mandat de l'OIM, qui est d'aider les gouvernements à répondre aux besoins des personnes déplacées à l'intérieur de leur propre pays ("PDI"). Afin de fournir une assistance efficace et durable, et de répondre à l'impératif "do-no-harm", les acteurs humanitaires de première ligne doivent comprendre le contexte dans lequel ils opèrent. Lorsqu'elles fournissent des abris d'urgence, des installations d'eau et d'assainissement et d'autres services vitaux, les organisations doivent s'assurer que les terres sont sûres, non encombrées, et que leur utilisation ne deviendra pas litigieuse et n'entraînera pas de nouveaux litiges.</w:t>
      </w:r>
    </w:p>
    <w:p w:rsidR="00C67914" w:rsidRDefault="003F7870">
      <w:pPr>
        <w:pStyle w:val="WWBodyText2"/>
      </w:pPr>
      <w:r>
        <w:rPr>
          <w:sz w:val="20"/>
          <w:szCs w:val="20"/>
        </w:rPr>
        <w:t>Le profil du pays en matière de Logements, de Terres et de Propriétés (</w:t>
      </w:r>
      <w:r>
        <w:rPr>
          <w:b/>
          <w:sz w:val="20"/>
          <w:szCs w:val="20"/>
        </w:rPr>
        <w:t>LTP</w:t>
      </w:r>
      <w:r>
        <w:rPr>
          <w:sz w:val="20"/>
          <w:szCs w:val="20"/>
        </w:rPr>
        <w:t>) fournira des informations rapides et essentielles sur le contexte juridique, procédural et institutionnel relatif au régime foncier dans le pays cible. Les profils sont destinés à informer la programmation et les interventions d'urgence, en particulier celles qui impliquent des interventions dans le domaine du logement. Une compréhension rapide du paysage foncier dans le contexte de chaque pays aidera à apporter des réponses plus solides et plus équitables.</w:t>
      </w:r>
    </w:p>
    <w:p w:rsidR="00C67914" w:rsidRDefault="003F7870">
      <w:pPr>
        <w:pStyle w:val="WWBodyText2"/>
        <w:rPr>
          <w:sz w:val="20"/>
          <w:szCs w:val="20"/>
        </w:rPr>
      </w:pPr>
      <w:r>
        <w:rPr>
          <w:sz w:val="20"/>
          <w:szCs w:val="20"/>
        </w:rPr>
        <w:t>La Croix-Rouge Australienne, avec le soutien technique de la Fédération Internationale des Sociétés de la Croix-Rouge et du Croissant-Rouge, a fourni le modèle de recherche auquel répond ce mémorandum. Ce mémorandum comprend trois sections principales:</w:t>
      </w:r>
    </w:p>
    <w:p w:rsidR="000B7C0D" w:rsidRDefault="003F7870" w:rsidP="0038489C">
      <w:pPr>
        <w:pStyle w:val="WWBodyText2"/>
        <w:numPr>
          <w:ilvl w:val="0"/>
          <w:numId w:val="20"/>
        </w:numPr>
        <w:tabs>
          <w:tab w:val="clear" w:pos="3402"/>
        </w:tabs>
        <w:rPr>
          <w:sz w:val="20"/>
          <w:szCs w:val="20"/>
        </w:rPr>
      </w:pPr>
      <w:r>
        <w:rPr>
          <w:sz w:val="20"/>
          <w:szCs w:val="20"/>
        </w:rPr>
        <w:t>La première section, intitulée "Types communs de régime foncier", donne un aperçu des différents types de logement et de régime foncier au Burundi. Elle décrit les méthodes utilisées pour créer et transférer des titres de propriété, et analyse le degré de sécurité d'occupation offert par chaque forme de régime.</w:t>
      </w:r>
    </w:p>
    <w:p w:rsidR="000B7C0D" w:rsidRDefault="003F7870" w:rsidP="0038489C">
      <w:pPr>
        <w:pStyle w:val="WWBodyText2"/>
        <w:numPr>
          <w:ilvl w:val="0"/>
          <w:numId w:val="20"/>
        </w:numPr>
        <w:tabs>
          <w:tab w:val="clear" w:pos="3402"/>
        </w:tabs>
        <w:rPr>
          <w:sz w:val="20"/>
          <w:szCs w:val="20"/>
        </w:rPr>
      </w:pPr>
      <w:r w:rsidRPr="000B7C0D">
        <w:rPr>
          <w:sz w:val="20"/>
          <w:szCs w:val="20"/>
        </w:rPr>
        <w:t>La deuxième section, intitulée "Sécurité d'occupation des groupes vulnérables", examine si, et dans quelle mesure, certains groupes sont confrontés à des obstacles juridiques pour accéder à la terre et au logement.</w:t>
      </w:r>
    </w:p>
    <w:p w:rsidR="00C67914" w:rsidRPr="000B7C0D" w:rsidRDefault="003F7870" w:rsidP="0038489C">
      <w:pPr>
        <w:pStyle w:val="WWBodyText2"/>
        <w:numPr>
          <w:ilvl w:val="0"/>
          <w:numId w:val="20"/>
        </w:numPr>
        <w:tabs>
          <w:tab w:val="clear" w:pos="3402"/>
        </w:tabs>
        <w:rPr>
          <w:sz w:val="20"/>
          <w:szCs w:val="20"/>
        </w:rPr>
      </w:pPr>
      <w:r w:rsidRPr="000B7C0D">
        <w:rPr>
          <w:sz w:val="20"/>
          <w:szCs w:val="20"/>
        </w:rPr>
        <w:t>La troisième section, intitulée "Expulsion, expropriation et relocalisation", examine le droit burundais qui régit ou est applicable aux expulsions forcées, à l'acquisition obligatoire de terres et aux relocalisations. Cette section examine également si une indemnisation est disponible dans ces situations.</w:t>
      </w:r>
    </w:p>
    <w:p w:rsidR="00C67914" w:rsidRDefault="00C67914">
      <w:pPr>
        <w:pStyle w:val="WWBodyText2"/>
        <w:tabs>
          <w:tab w:val="clear" w:pos="3402"/>
        </w:tabs>
      </w:pPr>
    </w:p>
    <w:p w:rsidR="00C67914" w:rsidRDefault="00C67914">
      <w:pPr>
        <w:pStyle w:val="WWBodyText2"/>
        <w:tabs>
          <w:tab w:val="clear" w:pos="3402"/>
        </w:tabs>
      </w:pPr>
    </w:p>
    <w:p w:rsidR="00C67914" w:rsidRDefault="003F7870" w:rsidP="00CC6347">
      <w:pPr>
        <w:pStyle w:val="WWHeading2"/>
        <w:tabs>
          <w:tab w:val="clear" w:pos="567"/>
          <w:tab w:val="left" w:pos="1134"/>
        </w:tabs>
      </w:pPr>
      <w:bookmarkStart w:id="32" w:name="_Toc49960906"/>
      <w:bookmarkStart w:id="33" w:name="_Toc52029979"/>
      <w:r w:rsidRPr="00CC6347">
        <w:t>Informations générales sur le Burundi</w:t>
      </w:r>
      <w:bookmarkEnd w:id="32"/>
      <w:bookmarkEnd w:id="33"/>
    </w:p>
    <w:p w:rsidR="00C67914" w:rsidRDefault="003F7870">
      <w:pPr>
        <w:pStyle w:val="WWBodyText2"/>
      </w:pPr>
      <w:r>
        <w:rPr>
          <w:sz w:val="20"/>
          <w:szCs w:val="20"/>
        </w:rPr>
        <w:t xml:space="preserve">Le Burundi est un petit pays enclavé situé au Centre-Est de l'Afrique entre le Rwanda au Nord, la Tanzanie à l'Est et au Sud et enfin la République Démocratique du Congo à l'Ouest et au </w:t>
      </w:r>
      <w:r w:rsidR="00764825">
        <w:rPr>
          <w:sz w:val="20"/>
          <w:szCs w:val="20"/>
        </w:rPr>
        <w:t>Sud-ouest</w:t>
      </w:r>
      <w:r>
        <w:rPr>
          <w:sz w:val="20"/>
          <w:szCs w:val="20"/>
        </w:rPr>
        <w:t>.</w:t>
      </w:r>
      <w:r w:rsidRPr="00C67914">
        <w:rPr>
          <w:rStyle w:val="FootnoteReference"/>
          <w:sz w:val="20"/>
          <w:szCs w:val="20"/>
        </w:rPr>
        <w:footnoteReference w:id="1"/>
      </w:r>
      <w:r>
        <w:rPr>
          <w:sz w:val="20"/>
          <w:szCs w:val="20"/>
        </w:rPr>
        <w:t xml:space="preserve"> Le Burundi est l'un des pays les plus pauvres de l'Afrique subsaharienne et aussi l'un des plus densément peuplé avec une population de 8,5 millions de personnes occupant une superficie d'environ 27 834 km2.</w:t>
      </w:r>
    </w:p>
    <w:p w:rsidR="00C67914" w:rsidRDefault="003F7870">
      <w:pPr>
        <w:pStyle w:val="WWBodyText2"/>
      </w:pPr>
      <w:r>
        <w:rPr>
          <w:sz w:val="20"/>
          <w:szCs w:val="20"/>
        </w:rPr>
        <w:t>En 1962, le Burundi a obtenu son indépendance de la Belgique, et un cycle sanglant de coups d'État et d'assassinats ethniques a commencé quelques années plus tard.</w:t>
      </w:r>
      <w:r w:rsidRPr="00C67914">
        <w:rPr>
          <w:rStyle w:val="FootnoteReference"/>
          <w:sz w:val="20"/>
          <w:szCs w:val="20"/>
        </w:rPr>
        <w:footnoteReference w:id="2"/>
      </w:r>
      <w:r>
        <w:rPr>
          <w:sz w:val="20"/>
          <w:szCs w:val="20"/>
        </w:rPr>
        <w:t xml:space="preserve"> Entre 1993 et 2005, le pays a connu une guerre civile entre les deux principaux groupes ethniques, les Hutus et les Tutsis. En 2000, après une intervention Internationale, l'accord de paix et de réconciliation d'Arusha du 28 août 2000 ("</w:t>
      </w:r>
      <w:r>
        <w:rPr>
          <w:b/>
          <w:sz w:val="20"/>
          <w:szCs w:val="20"/>
        </w:rPr>
        <w:t>l'accord d'Arusha</w:t>
      </w:r>
      <w:r>
        <w:rPr>
          <w:sz w:val="20"/>
          <w:szCs w:val="20"/>
        </w:rPr>
        <w:t>") a été signé.</w:t>
      </w:r>
      <w:r w:rsidRPr="00C67914">
        <w:rPr>
          <w:rStyle w:val="FootnoteReference"/>
          <w:sz w:val="20"/>
          <w:szCs w:val="20"/>
        </w:rPr>
        <w:footnoteReference w:id="3"/>
      </w:r>
      <w:r>
        <w:rPr>
          <w:sz w:val="20"/>
          <w:szCs w:val="20"/>
        </w:rPr>
        <w:t xml:space="preserve"> L'accord </w:t>
      </w:r>
      <w:r w:rsidR="00764825">
        <w:rPr>
          <w:sz w:val="20"/>
          <w:szCs w:val="20"/>
        </w:rPr>
        <w:t>d’Arusha</w:t>
      </w:r>
      <w:r>
        <w:rPr>
          <w:sz w:val="20"/>
          <w:szCs w:val="20"/>
        </w:rPr>
        <w:t xml:space="preserve"> a été suivi de trois accords de cessez-le-feu, mais ces efforts n'ont pas permis de briser le cycle de la guerre.  </w:t>
      </w:r>
    </w:p>
    <w:p w:rsidR="00C67914" w:rsidRDefault="003F7870">
      <w:pPr>
        <w:pStyle w:val="WWBodyText2"/>
        <w:rPr>
          <w:sz w:val="20"/>
          <w:szCs w:val="20"/>
        </w:rPr>
      </w:pPr>
      <w:r>
        <w:rPr>
          <w:sz w:val="20"/>
          <w:szCs w:val="20"/>
        </w:rPr>
        <w:t>En raison de la guerre, l'insécurité d'occupation est élevée dans les régions où les réfugiés rentrent chez eux. Cependant, même les personnes ayant accès à la terre se heurtent à l'insécurité foncière car les terres ne sont pas enregistrées ou l'enregistrement a été fait illégalement.</w:t>
      </w:r>
      <w:r w:rsidRPr="00C67914">
        <w:rPr>
          <w:rStyle w:val="FootnoteReference"/>
          <w:sz w:val="20"/>
          <w:szCs w:val="20"/>
        </w:rPr>
        <w:footnoteReference w:id="4"/>
      </w:r>
      <w:r>
        <w:rPr>
          <w:sz w:val="20"/>
          <w:szCs w:val="20"/>
        </w:rPr>
        <w:t xml:space="preserve">  </w:t>
      </w:r>
    </w:p>
    <w:p w:rsidR="00BF47A2" w:rsidRDefault="00BF47A2" w:rsidP="00CA2D86">
      <w:pPr>
        <w:pStyle w:val="WWHeading1"/>
        <w:ind w:left="-851"/>
        <w:outlineLvl w:val="9"/>
      </w:pPr>
      <w:bookmarkStart w:id="34" w:name="_Toc49960907"/>
      <w:bookmarkStart w:id="35" w:name="_Toc44075823"/>
      <w:r>
        <w:rPr>
          <w:noProof/>
          <w:lang w:val="en-GB"/>
        </w:rPr>
        <w:drawing>
          <wp:inline distT="0" distB="0" distL="0" distR="0">
            <wp:extent cx="6935572" cy="9315171"/>
            <wp:effectExtent l="19050" t="0" r="0" b="0"/>
            <wp:docPr id="6" name="Picture 2" descr="Description : Recent Map of 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Recent Map of Burundi"/>
                    <pic:cNvPicPr>
                      <a:picLocks noChangeAspect="1" noChangeArrowheads="1"/>
                    </pic:cNvPicPr>
                  </pic:nvPicPr>
                  <pic:blipFill>
                    <a:blip r:embed="rId21" cstate="print"/>
                    <a:srcRect/>
                    <a:stretch>
                      <a:fillRect/>
                    </a:stretch>
                  </pic:blipFill>
                  <pic:spPr bwMode="auto">
                    <a:xfrm>
                      <a:off x="0" y="0"/>
                      <a:ext cx="6939409" cy="9320324"/>
                    </a:xfrm>
                    <a:prstGeom prst="rect">
                      <a:avLst/>
                    </a:prstGeom>
                    <a:noFill/>
                    <a:ln w="9525">
                      <a:noFill/>
                      <a:miter lim="800000"/>
                      <a:headEnd/>
                      <a:tailEnd/>
                    </a:ln>
                  </pic:spPr>
                </pic:pic>
              </a:graphicData>
            </a:graphic>
          </wp:inline>
        </w:drawing>
      </w:r>
    </w:p>
    <w:p w:rsidR="00664FCA" w:rsidRPr="00664FCA" w:rsidRDefault="003F7870" w:rsidP="00BF47A2">
      <w:pPr>
        <w:pStyle w:val="Heading11"/>
      </w:pPr>
      <w:bookmarkStart w:id="36" w:name="_Toc52029980"/>
      <w:r>
        <w:t xml:space="preserve">Types communs de </w:t>
      </w:r>
      <w:bookmarkEnd w:id="34"/>
      <w:bookmarkEnd w:id="35"/>
      <w:r w:rsidR="00BF47A2">
        <w:t>régime foncier</w:t>
      </w:r>
      <w:bookmarkEnd w:id="36"/>
    </w:p>
    <w:p w:rsidR="00664FCA" w:rsidRPr="00CC6347" w:rsidRDefault="003F7870" w:rsidP="00DE7B79">
      <w:pPr>
        <w:pStyle w:val="Style2"/>
        <w:outlineLvl w:val="1"/>
      </w:pPr>
      <w:bookmarkStart w:id="37" w:name="_Toc49960908"/>
      <w:bookmarkStart w:id="38" w:name="_Toc44075824"/>
      <w:bookmarkStart w:id="39" w:name="_Toc52029981"/>
      <w:r w:rsidRPr="00CC6347">
        <w:t>Typologie des régimes fonciers</w:t>
      </w:r>
      <w:bookmarkEnd w:id="37"/>
      <w:bookmarkEnd w:id="38"/>
      <w:bookmarkEnd w:id="39"/>
    </w:p>
    <w:p w:rsidR="00C67914" w:rsidRPr="00664FCA" w:rsidRDefault="003F7870" w:rsidP="00B94C42">
      <w:pPr>
        <w:pStyle w:val="Style3"/>
        <w:rPr>
          <w:bCs/>
        </w:rPr>
      </w:pPr>
      <w:r>
        <w:rPr>
          <w:bCs/>
        </w:rPr>
        <w:t>Que</w:t>
      </w:r>
      <w:r>
        <w:t>ls sont les principaux textes législatifs régissant le logement, le terrain, la construction et l'aménagement?</w:t>
      </w:r>
    </w:p>
    <w:p w:rsidR="00C67914" w:rsidRDefault="003F7870" w:rsidP="00CC6347">
      <w:pPr>
        <w:pStyle w:val="WWBodyText3"/>
        <w:tabs>
          <w:tab w:val="clear" w:pos="3969"/>
          <w:tab w:val="clear" w:pos="4536"/>
          <w:tab w:val="left" w:pos="2268"/>
          <w:tab w:val="left" w:pos="2835"/>
        </w:tabs>
        <w:rPr>
          <w:sz w:val="20"/>
          <w:szCs w:val="20"/>
        </w:rPr>
      </w:pPr>
      <w:r>
        <w:rPr>
          <w:sz w:val="20"/>
          <w:szCs w:val="20"/>
        </w:rPr>
        <w:t>Les principaux textes législatifs sont les suivants:</w:t>
      </w:r>
    </w:p>
    <w:p w:rsidR="00664FCA" w:rsidRDefault="003F7870" w:rsidP="00B722C4">
      <w:pPr>
        <w:pStyle w:val="WWBodyText3"/>
        <w:numPr>
          <w:ilvl w:val="0"/>
          <w:numId w:val="21"/>
        </w:numPr>
        <w:ind w:left="2127" w:hanging="426"/>
      </w:pPr>
      <w:r>
        <w:rPr>
          <w:sz w:val="20"/>
          <w:szCs w:val="20"/>
        </w:rPr>
        <w:t>la Constitution de la République du Burundi</w:t>
      </w:r>
      <w:r w:rsidR="00764825">
        <w:rPr>
          <w:sz w:val="20"/>
          <w:szCs w:val="20"/>
        </w:rPr>
        <w:t>, 2018</w:t>
      </w:r>
      <w:r>
        <w:rPr>
          <w:sz w:val="20"/>
          <w:szCs w:val="20"/>
        </w:rPr>
        <w:t xml:space="preserve"> ("</w:t>
      </w:r>
      <w:r>
        <w:rPr>
          <w:b/>
          <w:sz w:val="20"/>
          <w:szCs w:val="20"/>
        </w:rPr>
        <w:t>Constitution</w:t>
      </w:r>
      <w:r w:rsidR="00764825">
        <w:rPr>
          <w:sz w:val="20"/>
          <w:szCs w:val="20"/>
        </w:rPr>
        <w:t>”)</w:t>
      </w:r>
      <w:r>
        <w:rPr>
          <w:sz w:val="20"/>
          <w:szCs w:val="20"/>
        </w:rPr>
        <w:t>;</w:t>
      </w:r>
    </w:p>
    <w:p w:rsidR="00664FCA" w:rsidRDefault="003F7870" w:rsidP="00B722C4">
      <w:pPr>
        <w:pStyle w:val="WWBodyText3"/>
        <w:numPr>
          <w:ilvl w:val="0"/>
          <w:numId w:val="21"/>
        </w:numPr>
        <w:ind w:left="2127" w:hanging="426"/>
      </w:pPr>
      <w:r w:rsidRPr="00664FCA">
        <w:rPr>
          <w:sz w:val="20"/>
          <w:szCs w:val="20"/>
        </w:rPr>
        <w:t>La loi n°1/13 du 09 août 2011, portant révisi</w:t>
      </w:r>
      <w:r w:rsidR="009F3466">
        <w:rPr>
          <w:sz w:val="20"/>
          <w:szCs w:val="20"/>
        </w:rPr>
        <w:t>on du Code F</w:t>
      </w:r>
      <w:r w:rsidRPr="00664FCA">
        <w:rPr>
          <w:sz w:val="20"/>
          <w:szCs w:val="20"/>
        </w:rPr>
        <w:t>oncier du Burundi;</w:t>
      </w:r>
    </w:p>
    <w:p w:rsidR="00664FCA" w:rsidRDefault="003F7870" w:rsidP="00B722C4">
      <w:pPr>
        <w:pStyle w:val="WWBodyText3"/>
        <w:numPr>
          <w:ilvl w:val="0"/>
          <w:numId w:val="21"/>
        </w:numPr>
        <w:ind w:left="2127" w:hanging="426"/>
      </w:pPr>
      <w:r w:rsidRPr="00664FCA">
        <w:rPr>
          <w:sz w:val="20"/>
          <w:szCs w:val="20"/>
        </w:rPr>
        <w:t>La lettre de politique foncière (Land policy letter 2008);</w:t>
      </w:r>
    </w:p>
    <w:p w:rsidR="00664FCA" w:rsidRDefault="003F7870" w:rsidP="00B722C4">
      <w:pPr>
        <w:pStyle w:val="WWBodyText3"/>
        <w:numPr>
          <w:ilvl w:val="0"/>
          <w:numId w:val="21"/>
        </w:numPr>
        <w:ind w:left="2127" w:hanging="426"/>
      </w:pPr>
      <w:r w:rsidRPr="00664FCA">
        <w:rPr>
          <w:sz w:val="20"/>
          <w:szCs w:val="20"/>
        </w:rPr>
        <w:t>La loi n°1/33 de novembre 2014 sur l'organisation de l'administration municipale;</w:t>
      </w:r>
    </w:p>
    <w:p w:rsidR="00664FCA" w:rsidRDefault="003F7870" w:rsidP="00B722C4">
      <w:pPr>
        <w:pStyle w:val="WWBodyText3"/>
        <w:numPr>
          <w:ilvl w:val="0"/>
          <w:numId w:val="21"/>
        </w:numPr>
        <w:ind w:left="2127" w:hanging="426"/>
      </w:pPr>
      <w:r w:rsidRPr="00664FCA">
        <w:rPr>
          <w:sz w:val="20"/>
          <w:szCs w:val="20"/>
        </w:rPr>
        <w:t xml:space="preserve">La </w:t>
      </w:r>
      <w:r w:rsidRPr="00600121">
        <w:rPr>
          <w:sz w:val="20"/>
          <w:szCs w:val="20"/>
        </w:rPr>
        <w:t>loi organique</w:t>
      </w:r>
      <w:r w:rsidRPr="00600121">
        <w:rPr>
          <w:color w:val="FF0000"/>
          <w:sz w:val="20"/>
          <w:szCs w:val="20"/>
        </w:rPr>
        <w:t xml:space="preserve"> </w:t>
      </w:r>
      <w:r w:rsidRPr="00664FCA">
        <w:rPr>
          <w:sz w:val="20"/>
          <w:szCs w:val="20"/>
        </w:rPr>
        <w:t>n°1/04 du 19 février 2020 modifiant certaines disp</w:t>
      </w:r>
      <w:r w:rsidR="009F3466">
        <w:rPr>
          <w:sz w:val="20"/>
          <w:szCs w:val="20"/>
        </w:rPr>
        <w:t>ositions de la l</w:t>
      </w:r>
      <w:r w:rsidRPr="00664FCA">
        <w:rPr>
          <w:sz w:val="20"/>
          <w:szCs w:val="20"/>
        </w:rPr>
        <w:t>oi n°1/33 de novembre 2014 sur l'organisation de l'administration municipale;</w:t>
      </w:r>
    </w:p>
    <w:p w:rsidR="00664FCA" w:rsidRDefault="003F7870" w:rsidP="00B722C4">
      <w:pPr>
        <w:pStyle w:val="WWBodyText3"/>
        <w:numPr>
          <w:ilvl w:val="0"/>
          <w:numId w:val="21"/>
        </w:numPr>
        <w:ind w:left="2127" w:hanging="426"/>
      </w:pPr>
      <w:r w:rsidRPr="00664FCA">
        <w:rPr>
          <w:sz w:val="20"/>
          <w:szCs w:val="20"/>
        </w:rPr>
        <w:t>La loi n°1/16 du 25 mai 2015; fixant les modalités de transfert de compétences de l'État à l'administration municipale;</w:t>
      </w:r>
    </w:p>
    <w:p w:rsidR="00664FCA" w:rsidRDefault="003F7870" w:rsidP="00B722C4">
      <w:pPr>
        <w:pStyle w:val="WWBodyText3"/>
        <w:numPr>
          <w:ilvl w:val="0"/>
          <w:numId w:val="21"/>
        </w:numPr>
        <w:ind w:left="2127" w:hanging="426"/>
      </w:pPr>
      <w:r w:rsidRPr="00664FCA">
        <w:rPr>
          <w:sz w:val="20"/>
          <w:szCs w:val="20"/>
        </w:rPr>
        <w:t>La loi n°1/17 du 15 mai 2014, supprimant le pouvoir de cassation devant la Cour Suprême et attribuant la compétence aux Cours d'Appel pour les affaires relatives au foncier rural;</w:t>
      </w:r>
    </w:p>
    <w:p w:rsidR="00664FCA" w:rsidRDefault="003F7870" w:rsidP="00B722C4">
      <w:pPr>
        <w:pStyle w:val="WWBodyText3"/>
        <w:numPr>
          <w:ilvl w:val="0"/>
          <w:numId w:val="21"/>
        </w:numPr>
        <w:ind w:left="2127" w:hanging="426"/>
      </w:pPr>
      <w:r w:rsidRPr="00664FCA">
        <w:rPr>
          <w:sz w:val="20"/>
          <w:szCs w:val="20"/>
        </w:rPr>
        <w:t xml:space="preserve">Le décret n°100/079 du 24 mai 2019 portant </w:t>
      </w:r>
      <w:r w:rsidR="009F3466">
        <w:rPr>
          <w:sz w:val="20"/>
          <w:szCs w:val="20"/>
        </w:rPr>
        <w:t xml:space="preserve">sur la </w:t>
      </w:r>
      <w:r w:rsidRPr="00664FCA">
        <w:rPr>
          <w:sz w:val="20"/>
          <w:szCs w:val="20"/>
        </w:rPr>
        <w:t xml:space="preserve">création, </w:t>
      </w:r>
      <w:r w:rsidR="009F3466">
        <w:rPr>
          <w:sz w:val="20"/>
          <w:szCs w:val="20"/>
        </w:rPr>
        <w:t xml:space="preserve">les </w:t>
      </w:r>
      <w:r w:rsidRPr="00664FCA">
        <w:rPr>
          <w:sz w:val="20"/>
          <w:szCs w:val="20"/>
        </w:rPr>
        <w:t xml:space="preserve">missions, </w:t>
      </w:r>
      <w:r w:rsidR="009F3466">
        <w:rPr>
          <w:sz w:val="20"/>
          <w:szCs w:val="20"/>
        </w:rPr>
        <w:t>l’</w:t>
      </w:r>
      <w:r w:rsidRPr="00664FCA">
        <w:rPr>
          <w:sz w:val="20"/>
          <w:szCs w:val="20"/>
        </w:rPr>
        <w:t xml:space="preserve">organisation et </w:t>
      </w:r>
      <w:r w:rsidR="009F3466">
        <w:rPr>
          <w:sz w:val="20"/>
          <w:szCs w:val="20"/>
        </w:rPr>
        <w:t xml:space="preserve">le </w:t>
      </w:r>
      <w:r w:rsidRPr="00664FCA">
        <w:rPr>
          <w:sz w:val="20"/>
          <w:szCs w:val="20"/>
        </w:rPr>
        <w:t>fonctionnement de l'Office Burundais de l'Urbanisme, de l'Habitat et de la Construction ("</w:t>
      </w:r>
      <w:r w:rsidRPr="00664FCA">
        <w:rPr>
          <w:b/>
          <w:sz w:val="20"/>
          <w:szCs w:val="20"/>
        </w:rPr>
        <w:t>OBUHA</w:t>
      </w:r>
      <w:r w:rsidR="00764825" w:rsidRPr="00664FCA">
        <w:rPr>
          <w:sz w:val="20"/>
          <w:szCs w:val="20"/>
        </w:rPr>
        <w:t>”)</w:t>
      </w:r>
      <w:r w:rsidRPr="00664FCA">
        <w:rPr>
          <w:sz w:val="20"/>
          <w:szCs w:val="20"/>
        </w:rPr>
        <w:t>;</w:t>
      </w:r>
    </w:p>
    <w:p w:rsidR="00664FCA" w:rsidRDefault="003F7870" w:rsidP="00B722C4">
      <w:pPr>
        <w:pStyle w:val="WWBodyText3"/>
        <w:numPr>
          <w:ilvl w:val="0"/>
          <w:numId w:val="21"/>
        </w:numPr>
        <w:ind w:left="2127" w:hanging="426"/>
      </w:pPr>
      <w:r w:rsidRPr="00664FCA">
        <w:rPr>
          <w:sz w:val="20"/>
          <w:szCs w:val="20"/>
        </w:rPr>
        <w:t>La loi n°1/05 du 20 février  2020 fixant les droits d'enregistrement en matière foncière;</w:t>
      </w:r>
    </w:p>
    <w:p w:rsidR="00664FCA" w:rsidRDefault="003F7870" w:rsidP="00B722C4">
      <w:pPr>
        <w:pStyle w:val="WWBodyText3"/>
        <w:numPr>
          <w:ilvl w:val="0"/>
          <w:numId w:val="21"/>
        </w:numPr>
        <w:ind w:left="2127" w:hanging="426"/>
      </w:pPr>
      <w:r w:rsidRPr="00664FCA">
        <w:rPr>
          <w:sz w:val="20"/>
          <w:szCs w:val="20"/>
        </w:rPr>
        <w:t>Le décret n°100/129 du 23 juin 2016 portant sur les modalités d'application des dispositions du chapitre 3 des d</w:t>
      </w:r>
      <w:r w:rsidR="009F3466">
        <w:rPr>
          <w:sz w:val="20"/>
          <w:szCs w:val="20"/>
        </w:rPr>
        <w:t>roits fonciers certifiés de la l</w:t>
      </w:r>
      <w:r w:rsidRPr="00664FCA">
        <w:rPr>
          <w:sz w:val="20"/>
          <w:szCs w:val="20"/>
        </w:rPr>
        <w:t>oi n°1/13 du 9 août 2011 portant révision du Code Foncier du Burundi;</w:t>
      </w:r>
    </w:p>
    <w:p w:rsidR="00664FCA" w:rsidRDefault="003F7870" w:rsidP="00B722C4">
      <w:pPr>
        <w:pStyle w:val="WWBodyText3"/>
        <w:numPr>
          <w:ilvl w:val="0"/>
          <w:numId w:val="21"/>
        </w:numPr>
        <w:ind w:left="2127" w:hanging="426"/>
      </w:pPr>
      <w:r w:rsidRPr="00664FCA">
        <w:rPr>
          <w:sz w:val="20"/>
          <w:szCs w:val="20"/>
        </w:rPr>
        <w:t>La loi du 4 mai 2006 relative à la mission, la composition, l'organisation et le fonctionnement de la Commission Nationale des terres et autres biens;</w:t>
      </w:r>
    </w:p>
    <w:p w:rsidR="00664FCA" w:rsidRDefault="003F7870" w:rsidP="00B722C4">
      <w:pPr>
        <w:pStyle w:val="WWBodyText3"/>
        <w:numPr>
          <w:ilvl w:val="0"/>
          <w:numId w:val="21"/>
        </w:numPr>
        <w:ind w:left="2127" w:hanging="426"/>
      </w:pPr>
      <w:r w:rsidRPr="00664FCA">
        <w:rPr>
          <w:sz w:val="20"/>
          <w:szCs w:val="20"/>
        </w:rPr>
        <w:t>Le décret du 22 juillet 2006 p</w:t>
      </w:r>
      <w:r w:rsidR="00664FCA">
        <w:rPr>
          <w:sz w:val="20"/>
          <w:szCs w:val="20"/>
        </w:rPr>
        <w:t>ortant sur l'application de la l</w:t>
      </w:r>
      <w:r w:rsidRPr="00664FCA">
        <w:rPr>
          <w:sz w:val="20"/>
          <w:szCs w:val="20"/>
        </w:rPr>
        <w:t>oi du 4 mai 2006 relative aux missions, à la composition, à l'organisation et au fonctionnement de la Commission Nationale des terres et autres biens;</w:t>
      </w:r>
    </w:p>
    <w:p w:rsidR="00C67914" w:rsidRDefault="003F7870" w:rsidP="00B722C4">
      <w:pPr>
        <w:pStyle w:val="WWBodyText3"/>
        <w:numPr>
          <w:ilvl w:val="0"/>
          <w:numId w:val="21"/>
        </w:numPr>
        <w:ind w:left="2127" w:hanging="426"/>
      </w:pPr>
      <w:r w:rsidRPr="00664FCA">
        <w:rPr>
          <w:sz w:val="20"/>
          <w:szCs w:val="20"/>
        </w:rPr>
        <w:t>L'accord d'Arusha pour la paix du 9 août 2000.</w:t>
      </w:r>
    </w:p>
    <w:p w:rsidR="00CC6347" w:rsidRPr="00CC6347" w:rsidRDefault="00CC6347" w:rsidP="0038489C">
      <w:pPr>
        <w:pStyle w:val="ListParagraph"/>
        <w:keepNext/>
        <w:numPr>
          <w:ilvl w:val="0"/>
          <w:numId w:val="24"/>
        </w:numPr>
        <w:tabs>
          <w:tab w:val="left" w:pos="-3402"/>
          <w:tab w:val="left" w:pos="-1134"/>
          <w:tab w:val="left" w:pos="-567"/>
        </w:tabs>
        <w:spacing w:after="240" w:line="360" w:lineRule="auto"/>
        <w:contextualSpacing w:val="0"/>
        <w:jc w:val="both"/>
        <w:outlineLvl w:val="2"/>
        <w:rPr>
          <w:b/>
          <w:vanish/>
        </w:rPr>
      </w:pPr>
      <w:bookmarkStart w:id="40" w:name="_Toc52018433"/>
      <w:bookmarkStart w:id="41" w:name="_Ref8811916"/>
      <w:bookmarkEnd w:id="40"/>
    </w:p>
    <w:p w:rsidR="00CC6347" w:rsidRPr="00CC6347" w:rsidRDefault="00CC6347" w:rsidP="0038489C">
      <w:pPr>
        <w:pStyle w:val="ListParagraph"/>
        <w:keepNext/>
        <w:numPr>
          <w:ilvl w:val="0"/>
          <w:numId w:val="24"/>
        </w:numPr>
        <w:tabs>
          <w:tab w:val="left" w:pos="-3402"/>
          <w:tab w:val="left" w:pos="-1134"/>
          <w:tab w:val="left" w:pos="-567"/>
        </w:tabs>
        <w:spacing w:after="240" w:line="360" w:lineRule="auto"/>
        <w:contextualSpacing w:val="0"/>
        <w:jc w:val="both"/>
        <w:outlineLvl w:val="2"/>
        <w:rPr>
          <w:b/>
          <w:vanish/>
        </w:rPr>
      </w:pPr>
      <w:bookmarkStart w:id="42" w:name="_Toc52018434"/>
      <w:bookmarkEnd w:id="42"/>
    </w:p>
    <w:p w:rsidR="00CC6347" w:rsidRPr="00CC6347" w:rsidRDefault="00CC6347" w:rsidP="0038489C">
      <w:pPr>
        <w:pStyle w:val="ListParagraph"/>
        <w:keepNext/>
        <w:numPr>
          <w:ilvl w:val="1"/>
          <w:numId w:val="24"/>
        </w:numPr>
        <w:tabs>
          <w:tab w:val="left" w:pos="-3402"/>
          <w:tab w:val="left" w:pos="-1134"/>
          <w:tab w:val="left" w:pos="-567"/>
        </w:tabs>
        <w:spacing w:after="240" w:line="360" w:lineRule="auto"/>
        <w:contextualSpacing w:val="0"/>
        <w:jc w:val="both"/>
        <w:outlineLvl w:val="2"/>
        <w:rPr>
          <w:b/>
          <w:vanish/>
        </w:rPr>
      </w:pPr>
      <w:bookmarkStart w:id="43" w:name="_Toc52018435"/>
      <w:bookmarkEnd w:id="43"/>
    </w:p>
    <w:p w:rsidR="00CC6347" w:rsidRPr="00CC6347" w:rsidRDefault="00CC6347" w:rsidP="0038489C">
      <w:pPr>
        <w:pStyle w:val="ListParagraph"/>
        <w:keepNext/>
        <w:numPr>
          <w:ilvl w:val="2"/>
          <w:numId w:val="24"/>
        </w:numPr>
        <w:tabs>
          <w:tab w:val="left" w:pos="-3402"/>
          <w:tab w:val="left" w:pos="-1134"/>
          <w:tab w:val="left" w:pos="-567"/>
        </w:tabs>
        <w:spacing w:after="240" w:line="360" w:lineRule="auto"/>
        <w:contextualSpacing w:val="0"/>
        <w:jc w:val="both"/>
        <w:outlineLvl w:val="2"/>
        <w:rPr>
          <w:b/>
          <w:vanish/>
        </w:rPr>
      </w:pPr>
      <w:bookmarkStart w:id="44" w:name="_Toc52018436"/>
      <w:bookmarkEnd w:id="44"/>
    </w:p>
    <w:p w:rsidR="00B83711" w:rsidRDefault="003F7870" w:rsidP="00B94C42">
      <w:pPr>
        <w:pStyle w:val="Style3"/>
      </w:pPr>
      <w:r w:rsidRPr="00B83711">
        <w:t>Quels sont les types de régimes d'occupation?</w:t>
      </w:r>
      <w:bookmarkEnd w:id="41"/>
    </w:p>
    <w:p w:rsidR="00C67914" w:rsidRPr="00B83711" w:rsidRDefault="003F7870" w:rsidP="009573FE">
      <w:pPr>
        <w:pStyle w:val="Style4"/>
      </w:pPr>
      <w:r w:rsidRPr="00B83711">
        <w:t>Types de régimes fonciers en milieu urbain</w:t>
      </w:r>
    </w:p>
    <w:p w:rsidR="00C67914" w:rsidRDefault="003F7870" w:rsidP="00B83711">
      <w:pPr>
        <w:pStyle w:val="WWBodyText3"/>
        <w:tabs>
          <w:tab w:val="clear" w:pos="3969"/>
          <w:tab w:val="clear" w:pos="4536"/>
          <w:tab w:val="left" w:pos="1156"/>
          <w:tab w:val="left" w:pos="6629"/>
        </w:tabs>
        <w:ind w:left="1276"/>
        <w:rPr>
          <w:sz w:val="20"/>
          <w:szCs w:val="20"/>
          <w:u w:val="single"/>
        </w:rPr>
      </w:pPr>
      <w:r>
        <w:rPr>
          <w:sz w:val="20"/>
          <w:szCs w:val="20"/>
          <w:u w:val="single"/>
        </w:rPr>
        <w:t>(i) Qu'est-ce que c'est ?</w:t>
      </w:r>
    </w:p>
    <w:p w:rsidR="00C67914" w:rsidRDefault="003F7870" w:rsidP="00E749DB">
      <w:pPr>
        <w:pStyle w:val="WWBodyText5"/>
        <w:ind w:left="2127"/>
      </w:pPr>
      <w:r>
        <w:rPr>
          <w:sz w:val="20"/>
          <w:szCs w:val="20"/>
        </w:rPr>
        <w:t>Le terrain urbain est défini comme un terrain qui est inclus dans le périmètre des districts et qui est déclaré comme terrain urbain par décret (voir article 4 du Code Foncier)</w:t>
      </w:r>
      <w:r>
        <w:rPr>
          <w:rFonts w:cs="Arial"/>
          <w:sz w:val="20"/>
          <w:szCs w:val="20"/>
          <w:lang w:eastAsia="en-AU"/>
        </w:rPr>
        <w:t>.</w:t>
      </w:r>
      <w:r w:rsidRPr="00C67914">
        <w:rPr>
          <w:rStyle w:val="FootnoteReference"/>
          <w:sz w:val="20"/>
          <w:szCs w:val="20"/>
        </w:rPr>
        <w:footnoteReference w:id="5"/>
      </w:r>
      <w:r>
        <w:rPr>
          <w:sz w:val="20"/>
          <w:szCs w:val="20"/>
        </w:rPr>
        <w:t xml:space="preserve"> Les terrains urbains comprennent:</w:t>
      </w:r>
    </w:p>
    <w:p w:rsidR="00C67914" w:rsidRDefault="003F7870" w:rsidP="0038489C">
      <w:pPr>
        <w:pStyle w:val="WWBodyText5"/>
        <w:numPr>
          <w:ilvl w:val="0"/>
          <w:numId w:val="22"/>
        </w:numPr>
        <w:ind w:left="1985" w:hanging="709"/>
        <w:rPr>
          <w:sz w:val="20"/>
          <w:szCs w:val="20"/>
        </w:rPr>
      </w:pPr>
      <w:r>
        <w:rPr>
          <w:sz w:val="20"/>
          <w:szCs w:val="20"/>
        </w:rPr>
        <w:t xml:space="preserve">Les terres </w:t>
      </w:r>
      <w:r w:rsidR="00054486">
        <w:rPr>
          <w:sz w:val="20"/>
          <w:szCs w:val="20"/>
        </w:rPr>
        <w:t xml:space="preserve">relevant </w:t>
      </w:r>
      <w:r>
        <w:rPr>
          <w:sz w:val="20"/>
          <w:szCs w:val="20"/>
        </w:rPr>
        <w:t>du domaine public de l'État;</w:t>
      </w:r>
    </w:p>
    <w:p w:rsidR="00C67914" w:rsidRDefault="003F7870" w:rsidP="00E749DB">
      <w:pPr>
        <w:pStyle w:val="WWBodyText5"/>
        <w:ind w:left="2127"/>
      </w:pPr>
      <w:r>
        <w:rPr>
          <w:sz w:val="20"/>
          <w:szCs w:val="20"/>
        </w:rPr>
        <w:t>Article 187: Le domaine public est constitué par les biens qui sont soit affectés à un usage public direct, soit à un service public pour autant qu'ils soient indispensables aux missions publiques de ce service. Le Code distingue le domaine public "naturel" et le domaine public "artificiel" de l'État. Le domaine "naturel" comprend le lit des rivières, les berges des rivières, les îles fluviales et les marécages, indépendamment de leur enregistrement officiel. Les biens du domaine public "artificiel" de l'État comprennent les rues, les routes et les places publiques, les voies ferrées et les gares, les installations d'infrastructure, les zones de protection militaire et les cimetières</w:t>
      </w:r>
      <w:r w:rsidRPr="00C67914">
        <w:rPr>
          <w:rStyle w:val="FootnoteReference"/>
          <w:sz w:val="20"/>
          <w:szCs w:val="20"/>
        </w:rPr>
        <w:footnoteReference w:id="6"/>
      </w:r>
      <w:r>
        <w:rPr>
          <w:sz w:val="20"/>
          <w:szCs w:val="20"/>
        </w:rPr>
        <w:t>.</w:t>
      </w:r>
    </w:p>
    <w:p w:rsidR="00C67914" w:rsidRDefault="003F7870" w:rsidP="0038489C">
      <w:pPr>
        <w:pStyle w:val="WWBodyText5"/>
        <w:numPr>
          <w:ilvl w:val="0"/>
          <w:numId w:val="22"/>
        </w:numPr>
        <w:tabs>
          <w:tab w:val="left" w:pos="1985"/>
          <w:tab w:val="left" w:pos="6046"/>
        </w:tabs>
        <w:ind w:firstLine="54"/>
        <w:rPr>
          <w:sz w:val="20"/>
          <w:szCs w:val="20"/>
        </w:rPr>
      </w:pPr>
      <w:r>
        <w:rPr>
          <w:sz w:val="20"/>
          <w:szCs w:val="20"/>
        </w:rPr>
        <w:t xml:space="preserve">Les terres </w:t>
      </w:r>
      <w:r w:rsidR="00054486">
        <w:rPr>
          <w:sz w:val="20"/>
          <w:szCs w:val="20"/>
        </w:rPr>
        <w:t xml:space="preserve">relevant </w:t>
      </w:r>
      <w:r>
        <w:rPr>
          <w:sz w:val="20"/>
          <w:szCs w:val="20"/>
        </w:rPr>
        <w:t>du domaine privé de l'État; et</w:t>
      </w:r>
    </w:p>
    <w:p w:rsidR="00C67914" w:rsidRDefault="003F7870" w:rsidP="00E749DB">
      <w:pPr>
        <w:pStyle w:val="WWBodyText5"/>
        <w:ind w:left="2127"/>
        <w:rPr>
          <w:sz w:val="20"/>
          <w:szCs w:val="20"/>
        </w:rPr>
      </w:pPr>
      <w:r>
        <w:rPr>
          <w:sz w:val="20"/>
          <w:szCs w:val="20"/>
        </w:rPr>
        <w:t>Article 214</w:t>
      </w:r>
      <w:r w:rsidR="00764825">
        <w:rPr>
          <w:sz w:val="20"/>
          <w:szCs w:val="20"/>
        </w:rPr>
        <w:t>: Le</w:t>
      </w:r>
      <w:r>
        <w:rPr>
          <w:sz w:val="20"/>
          <w:szCs w:val="20"/>
        </w:rPr>
        <w:t xml:space="preserve"> domaine privé de l'Etat inclue toutes les terres et les eaux de ses biens immobiliers qui ne font pas partie du domaine public. Ceci comprend:</w:t>
      </w:r>
    </w:p>
    <w:p w:rsidR="00C67914" w:rsidRDefault="003F7870" w:rsidP="00E749DB">
      <w:pPr>
        <w:pStyle w:val="WWBodyText5"/>
        <w:ind w:left="2127"/>
        <w:rPr>
          <w:sz w:val="20"/>
          <w:szCs w:val="20"/>
        </w:rPr>
      </w:pPr>
      <w:r>
        <w:rPr>
          <w:sz w:val="20"/>
          <w:szCs w:val="20"/>
        </w:rPr>
        <w:t>- Les  terres vacantes sans propriétaire;</w:t>
      </w:r>
    </w:p>
    <w:p w:rsidR="00C67914" w:rsidRDefault="003F7870" w:rsidP="00E749DB">
      <w:pPr>
        <w:pStyle w:val="WWBodyText5"/>
        <w:ind w:left="2127"/>
        <w:rPr>
          <w:sz w:val="20"/>
          <w:szCs w:val="20"/>
        </w:rPr>
      </w:pPr>
      <w:r>
        <w:rPr>
          <w:sz w:val="20"/>
          <w:szCs w:val="20"/>
        </w:rPr>
        <w:t xml:space="preserve">- Les terres du domaine public qui ont été désaffectées </w:t>
      </w:r>
      <w:r w:rsidR="00764825">
        <w:rPr>
          <w:sz w:val="20"/>
          <w:szCs w:val="20"/>
        </w:rPr>
        <w:t>où</w:t>
      </w:r>
      <w:r>
        <w:rPr>
          <w:sz w:val="20"/>
          <w:szCs w:val="20"/>
        </w:rPr>
        <w:t xml:space="preserve"> déclassées;</w:t>
      </w:r>
    </w:p>
    <w:p w:rsidR="00C67914" w:rsidRDefault="003F7870" w:rsidP="00E749DB">
      <w:pPr>
        <w:pStyle w:val="WWBodyText5"/>
        <w:ind w:left="2127"/>
        <w:rPr>
          <w:sz w:val="20"/>
          <w:szCs w:val="20"/>
        </w:rPr>
      </w:pPr>
      <w:r>
        <w:rPr>
          <w:sz w:val="20"/>
          <w:szCs w:val="20"/>
        </w:rPr>
        <w:t>- Les terrains acquis à titre onéreux ou gratuit par l'État;</w:t>
      </w:r>
    </w:p>
    <w:p w:rsidR="00C67914" w:rsidRDefault="003F7870" w:rsidP="00E749DB">
      <w:pPr>
        <w:pStyle w:val="WWBodyText5"/>
        <w:ind w:left="2127"/>
        <w:rPr>
          <w:sz w:val="20"/>
          <w:szCs w:val="20"/>
        </w:rPr>
      </w:pPr>
      <w:r>
        <w:rPr>
          <w:sz w:val="20"/>
          <w:szCs w:val="20"/>
        </w:rPr>
        <w:t>- Les terres expropriées pour cause d'utilité publique;</w:t>
      </w:r>
    </w:p>
    <w:p w:rsidR="00C67914" w:rsidRDefault="003F7870" w:rsidP="00E749DB">
      <w:pPr>
        <w:pStyle w:val="WWBodyText5"/>
        <w:ind w:left="2127"/>
        <w:rPr>
          <w:sz w:val="20"/>
          <w:szCs w:val="20"/>
        </w:rPr>
      </w:pPr>
      <w:r>
        <w:rPr>
          <w:sz w:val="20"/>
          <w:szCs w:val="20"/>
        </w:rPr>
        <w:t>- Les terrains acquis par prescription;</w:t>
      </w:r>
    </w:p>
    <w:p w:rsidR="00C67914" w:rsidRDefault="003F7870" w:rsidP="00E749DB">
      <w:pPr>
        <w:pStyle w:val="WWBodyText5"/>
        <w:ind w:left="2127"/>
        <w:rPr>
          <w:sz w:val="20"/>
          <w:szCs w:val="20"/>
        </w:rPr>
      </w:pPr>
      <w:r>
        <w:rPr>
          <w:sz w:val="20"/>
          <w:szCs w:val="20"/>
        </w:rPr>
        <w:t>- Les marais vacants non inondés en permanence.</w:t>
      </w:r>
    </w:p>
    <w:p w:rsidR="00C67914" w:rsidRDefault="003F7870" w:rsidP="00E749DB">
      <w:pPr>
        <w:pStyle w:val="WWBodyText5"/>
        <w:ind w:left="2127"/>
      </w:pPr>
      <w:r>
        <w:rPr>
          <w:sz w:val="20"/>
          <w:szCs w:val="20"/>
        </w:rPr>
        <w:t>L'occupation ou l'utilisation du domaine public ne peut être que temporaire.</w:t>
      </w:r>
      <w:r w:rsidRPr="00C67914">
        <w:rPr>
          <w:rStyle w:val="FootnoteReference"/>
          <w:sz w:val="20"/>
          <w:szCs w:val="20"/>
        </w:rPr>
        <w:footnoteReference w:id="7"/>
      </w:r>
      <w:r>
        <w:rPr>
          <w:rStyle w:val="FootnoteReference"/>
          <w:sz w:val="20"/>
          <w:szCs w:val="20"/>
        </w:rPr>
        <w:t xml:space="preserve"> </w:t>
      </w:r>
      <w:r>
        <w:rPr>
          <w:sz w:val="20"/>
          <w:szCs w:val="20"/>
        </w:rPr>
        <w:t>Les autorisations d'occupation temporaire du domaine public comprennent: 1) l'autorisation de stationnement, accordée pour l'occupation privée de la voie publique ou de toute autre partie du domaine public; 2) l'autorisation de voirie accordée à un particulier pour l'accès à la voie publique; 3) l'autorisation temporaire d'occupation et d'extraction accordée afin de faciliter l'exécution de travaux publics; 4) la concession accordée dans le cadre d'un contrat accompagné d'un cahier des charges fixant les conditions d'investissement, d'exploitation et de rétrocession à l'autorité concédante pour la réalisation et l'exploitation d'aménagements et d'infrastructures d'intérêt ou d'utilité publique, notamment pour l'exploitation des dépendances du domaine public artificiel, mais aussi à d'autres fins telles que le développement touristique.</w:t>
      </w:r>
      <w:r w:rsidRPr="00C67914">
        <w:rPr>
          <w:rStyle w:val="FootnoteReference"/>
          <w:sz w:val="20"/>
          <w:szCs w:val="20"/>
        </w:rPr>
        <w:footnoteReference w:id="8"/>
      </w:r>
      <w:r>
        <w:rPr>
          <w:sz w:val="20"/>
          <w:szCs w:val="20"/>
        </w:rPr>
        <w:t xml:space="preserve"> Les autorisations d'occupation temporaire sont précaires et révocables à tout moment pour une juste indemnisation lorsque le bénéficiaire a subi un préjudice.</w:t>
      </w:r>
      <w:r w:rsidRPr="00C67914">
        <w:rPr>
          <w:rStyle w:val="FootnoteReference"/>
          <w:sz w:val="20"/>
          <w:szCs w:val="20"/>
        </w:rPr>
        <w:footnoteReference w:id="9"/>
      </w:r>
      <w:r>
        <w:rPr>
          <w:sz w:val="20"/>
          <w:szCs w:val="20"/>
        </w:rPr>
        <w:t xml:space="preserve"> L'autorisation d'occuper le domaine public est soumise au paiement d'une redevance annuelle dont le montant et les modalités de paiement sont fixés dans l'acte d'autorisation administrative ou le contrat de concession.</w:t>
      </w:r>
      <w:r w:rsidRPr="00C67914">
        <w:rPr>
          <w:rStyle w:val="FootnoteReference"/>
          <w:sz w:val="20"/>
          <w:szCs w:val="20"/>
        </w:rPr>
        <w:footnoteReference w:id="10"/>
      </w:r>
    </w:p>
    <w:p w:rsidR="00054486" w:rsidRPr="0092208A" w:rsidRDefault="00D929AC" w:rsidP="00054486">
      <w:pPr>
        <w:pStyle w:val="WWBodyText4"/>
        <w:numPr>
          <w:ilvl w:val="0"/>
          <w:numId w:val="23"/>
        </w:numPr>
        <w:tabs>
          <w:tab w:val="left" w:pos="2330"/>
          <w:tab w:val="left" w:pos="2361"/>
        </w:tabs>
        <w:ind w:left="2127" w:firstLine="0"/>
        <w:rPr>
          <w:color w:val="000000" w:themeColor="text1"/>
          <w:sz w:val="20"/>
          <w:szCs w:val="20"/>
        </w:rPr>
      </w:pPr>
      <w:r w:rsidRPr="00D929AC">
        <w:rPr>
          <w:color w:val="000000" w:themeColor="text1"/>
          <w:sz w:val="20"/>
          <w:szCs w:val="20"/>
        </w:rPr>
        <w:t>Les terres des personnes privées, physiques ou morales.</w:t>
      </w:r>
    </w:p>
    <w:p w:rsidR="00C67914" w:rsidRDefault="00054486" w:rsidP="00054486">
      <w:pPr>
        <w:pStyle w:val="WWBodyText5"/>
        <w:ind w:left="1276"/>
        <w:rPr>
          <w:sz w:val="20"/>
          <w:szCs w:val="20"/>
          <w:u w:val="single"/>
        </w:rPr>
      </w:pPr>
      <w:r>
        <w:rPr>
          <w:sz w:val="20"/>
          <w:szCs w:val="20"/>
          <w:u w:val="single"/>
        </w:rPr>
        <w:t xml:space="preserve"> </w:t>
      </w:r>
      <w:r w:rsidR="003F7870">
        <w:rPr>
          <w:sz w:val="20"/>
          <w:szCs w:val="20"/>
          <w:u w:val="single"/>
        </w:rPr>
        <w:t>(ii) Qui peut posséder des terres ?</w:t>
      </w:r>
    </w:p>
    <w:p w:rsidR="00C67914" w:rsidRDefault="003F7870" w:rsidP="00E749DB">
      <w:pPr>
        <w:pStyle w:val="WWBodyText5"/>
        <w:ind w:left="2127"/>
      </w:pPr>
      <w:r>
        <w:rPr>
          <w:sz w:val="20"/>
          <w:szCs w:val="20"/>
        </w:rPr>
        <w:t xml:space="preserve">Selon le Code Foncier, toute personne physique ou morale peut jouir, sans aucune discrimination, de </w:t>
      </w:r>
      <w:r w:rsidR="00FD22DC">
        <w:rPr>
          <w:sz w:val="20"/>
          <w:szCs w:val="20"/>
        </w:rPr>
        <w:t xml:space="preserve">tous les droits définis par le </w:t>
      </w:r>
      <w:r>
        <w:rPr>
          <w:sz w:val="20"/>
          <w:szCs w:val="20"/>
        </w:rPr>
        <w:t>Code Foncier et les exercer librement, sous réserve du respect des droits d'autrui et des restrictions résultant de la loi.</w:t>
      </w:r>
      <w:r w:rsidRPr="00C67914">
        <w:rPr>
          <w:rStyle w:val="FootnoteReference"/>
          <w:sz w:val="20"/>
          <w:szCs w:val="20"/>
        </w:rPr>
        <w:footnoteReference w:id="11"/>
      </w:r>
    </w:p>
    <w:p w:rsidR="00C67914" w:rsidRDefault="003F7870" w:rsidP="00B83711">
      <w:pPr>
        <w:pStyle w:val="WWBodyText5"/>
        <w:ind w:left="1276"/>
        <w:rPr>
          <w:sz w:val="20"/>
          <w:szCs w:val="20"/>
          <w:u w:val="single"/>
        </w:rPr>
      </w:pPr>
      <w:r>
        <w:rPr>
          <w:sz w:val="20"/>
          <w:szCs w:val="20"/>
          <w:u w:val="single"/>
        </w:rPr>
        <w:t>(iii) Comment cela fonctionne-t-il ?</w:t>
      </w:r>
    </w:p>
    <w:p w:rsidR="00C67914" w:rsidRDefault="003F7870" w:rsidP="00E749DB">
      <w:pPr>
        <w:pStyle w:val="WWBodyText5"/>
        <w:ind w:left="2127"/>
        <w:rPr>
          <w:sz w:val="20"/>
          <w:szCs w:val="20"/>
        </w:rPr>
      </w:pPr>
      <w:r>
        <w:rPr>
          <w:sz w:val="20"/>
          <w:szCs w:val="20"/>
        </w:rPr>
        <w:t>La propriété foncière urbaine peut prendre la forme de:</w:t>
      </w:r>
    </w:p>
    <w:p w:rsidR="00DD4C05" w:rsidRDefault="003F7870" w:rsidP="00E749DB">
      <w:pPr>
        <w:pStyle w:val="WWBodyText5"/>
        <w:numPr>
          <w:ilvl w:val="0"/>
          <w:numId w:val="22"/>
        </w:numPr>
        <w:ind w:left="2127" w:firstLine="0"/>
      </w:pPr>
      <w:r>
        <w:rPr>
          <w:sz w:val="20"/>
          <w:szCs w:val="20"/>
        </w:rPr>
        <w:t>L'emphytéose, qui est un droit à long terme à la jouissance d'un bien soumis au paiement d'un loyer, ce droit pouvant être cédé et/ou légué</w:t>
      </w:r>
      <w:r w:rsidRPr="00C67914">
        <w:rPr>
          <w:rStyle w:val="FootnoteReference"/>
          <w:sz w:val="20"/>
          <w:szCs w:val="20"/>
        </w:rPr>
        <w:footnoteReference w:id="12"/>
      </w:r>
      <w:r>
        <w:rPr>
          <w:sz w:val="20"/>
          <w:szCs w:val="20"/>
        </w:rPr>
        <w:t xml:space="preserve"> ; ou  </w:t>
      </w:r>
    </w:p>
    <w:p w:rsidR="00C67914" w:rsidRDefault="00946835" w:rsidP="00E749DB">
      <w:pPr>
        <w:pStyle w:val="WWBodyText5"/>
        <w:numPr>
          <w:ilvl w:val="0"/>
          <w:numId w:val="22"/>
        </w:numPr>
        <w:ind w:left="2127" w:firstLine="0"/>
      </w:pPr>
      <w:r>
        <w:rPr>
          <w:sz w:val="20"/>
          <w:szCs w:val="20"/>
        </w:rPr>
        <w:t>Un usu</w:t>
      </w:r>
      <w:r w:rsidR="003F7870" w:rsidRPr="00DD4C05">
        <w:rPr>
          <w:sz w:val="20"/>
          <w:szCs w:val="20"/>
        </w:rPr>
        <w:t>fruit sur des terrains urbains qui sont la propriété privée de personnes physiques ou morales.</w:t>
      </w:r>
      <w:r w:rsidR="003F7870" w:rsidRPr="00C67914">
        <w:rPr>
          <w:rStyle w:val="FootnoteReference"/>
          <w:sz w:val="20"/>
          <w:szCs w:val="20"/>
        </w:rPr>
        <w:footnoteReference w:id="13"/>
      </w:r>
    </w:p>
    <w:p w:rsidR="00C67914" w:rsidRDefault="003F7870" w:rsidP="00E749DB">
      <w:pPr>
        <w:pStyle w:val="WWBodyText5"/>
        <w:ind w:left="2127"/>
      </w:pPr>
      <w:r>
        <w:rPr>
          <w:sz w:val="20"/>
          <w:szCs w:val="20"/>
        </w:rPr>
        <w:t>Le processus d'accès à la propriété foncière comprend la demande d'une parcelle, l'autorisation de payer les frais de viabilisation, la preuve du paiement des frais de via</w:t>
      </w:r>
      <w:r w:rsidR="0019565B">
        <w:rPr>
          <w:sz w:val="20"/>
          <w:szCs w:val="20"/>
        </w:rPr>
        <w:t>bilisation et  d’</w:t>
      </w:r>
      <w:r w:rsidR="00FD22DC">
        <w:rPr>
          <w:sz w:val="20"/>
          <w:szCs w:val="20"/>
        </w:rPr>
        <w:t xml:space="preserve">attribution </w:t>
      </w:r>
      <w:r>
        <w:rPr>
          <w:sz w:val="20"/>
          <w:szCs w:val="20"/>
        </w:rPr>
        <w:t>de la parcelle. Après l'attribution d'une parcelle, un contrat de location de la parcelle est signé, suivi de l'obtention d'un permis de construire. Une fois que ce contrat a été conclu et que la  parcelle a été aménagée, il est possible d'obtenir un certificat de conformité et le certificat d'aménagement de la parcelle. Le certificat d'enregistrement ou le titre de propriété est ensuite acquis après l'établissement du procès-verbal de bornage et de levé.</w:t>
      </w:r>
      <w:r w:rsidRPr="00C67914">
        <w:rPr>
          <w:rStyle w:val="FootnoteReference"/>
          <w:sz w:val="20"/>
          <w:szCs w:val="20"/>
        </w:rPr>
        <w:footnoteReference w:id="14"/>
      </w:r>
    </w:p>
    <w:p w:rsidR="00C67914" w:rsidRPr="00B83711" w:rsidRDefault="003F7870" w:rsidP="009573FE">
      <w:pPr>
        <w:pStyle w:val="Style4"/>
      </w:pPr>
      <w:r w:rsidRPr="00B83711">
        <w:t>Types de régimes fonciers dans les zones rurales</w:t>
      </w:r>
    </w:p>
    <w:p w:rsidR="00C67914" w:rsidRDefault="003F7870" w:rsidP="00B83711">
      <w:pPr>
        <w:pStyle w:val="WWBodyText5"/>
        <w:ind w:left="1276"/>
        <w:rPr>
          <w:sz w:val="20"/>
          <w:szCs w:val="20"/>
          <w:u w:val="single"/>
        </w:rPr>
      </w:pPr>
      <w:r>
        <w:rPr>
          <w:sz w:val="20"/>
          <w:szCs w:val="20"/>
          <w:u w:val="single"/>
        </w:rPr>
        <w:t>(i) Qu'est-ce que c'est ?</w:t>
      </w:r>
    </w:p>
    <w:p w:rsidR="00C67914" w:rsidRDefault="003F7870" w:rsidP="00E749DB">
      <w:pPr>
        <w:pStyle w:val="WWBodyText4"/>
        <w:ind w:left="2127"/>
      </w:pPr>
      <w:r>
        <w:rPr>
          <w:sz w:val="20"/>
          <w:szCs w:val="20"/>
        </w:rPr>
        <w:t>Les terres rurales sont définies comme toutes les autres terres qui ne sont pas des terres urbaines.</w:t>
      </w:r>
      <w:r w:rsidRPr="00C67914">
        <w:rPr>
          <w:rStyle w:val="FootnoteReference"/>
          <w:sz w:val="20"/>
          <w:szCs w:val="20"/>
        </w:rPr>
        <w:footnoteReference w:id="15"/>
      </w:r>
      <w:r>
        <w:rPr>
          <w:sz w:val="20"/>
          <w:szCs w:val="20"/>
        </w:rPr>
        <w:t xml:space="preserve"> Les terres rurales comprennent:</w:t>
      </w:r>
    </w:p>
    <w:p w:rsidR="00DD4C05" w:rsidRDefault="003F7870" w:rsidP="00E749DB">
      <w:pPr>
        <w:pStyle w:val="WWBodyText4"/>
        <w:numPr>
          <w:ilvl w:val="0"/>
          <w:numId w:val="23"/>
        </w:numPr>
        <w:tabs>
          <w:tab w:val="left" w:pos="2330"/>
          <w:tab w:val="left" w:pos="2361"/>
        </w:tabs>
        <w:ind w:left="2127" w:firstLine="0"/>
        <w:rPr>
          <w:sz w:val="20"/>
          <w:szCs w:val="20"/>
        </w:rPr>
      </w:pPr>
      <w:r>
        <w:rPr>
          <w:sz w:val="20"/>
          <w:szCs w:val="20"/>
        </w:rPr>
        <w:t xml:space="preserve">Les terres </w:t>
      </w:r>
      <w:r w:rsidR="00054486">
        <w:rPr>
          <w:sz w:val="20"/>
          <w:szCs w:val="20"/>
        </w:rPr>
        <w:t xml:space="preserve">relevant </w:t>
      </w:r>
      <w:r>
        <w:rPr>
          <w:sz w:val="20"/>
          <w:szCs w:val="20"/>
        </w:rPr>
        <w:t>du domaine public de l'État;</w:t>
      </w:r>
    </w:p>
    <w:p w:rsidR="00DD4C05" w:rsidRPr="0092208A" w:rsidRDefault="00D929AC" w:rsidP="00E749DB">
      <w:pPr>
        <w:pStyle w:val="WWBodyText4"/>
        <w:numPr>
          <w:ilvl w:val="0"/>
          <w:numId w:val="23"/>
        </w:numPr>
        <w:tabs>
          <w:tab w:val="left" w:pos="2330"/>
          <w:tab w:val="left" w:pos="2361"/>
        </w:tabs>
        <w:ind w:left="2127" w:firstLine="0"/>
        <w:rPr>
          <w:color w:val="000000" w:themeColor="text1"/>
          <w:sz w:val="20"/>
          <w:szCs w:val="20"/>
        </w:rPr>
      </w:pPr>
      <w:r w:rsidRPr="00D929AC">
        <w:rPr>
          <w:color w:val="000000" w:themeColor="text1"/>
          <w:sz w:val="20"/>
          <w:szCs w:val="20"/>
        </w:rPr>
        <w:t>Les terres relevant du domaine privé de l'État; et</w:t>
      </w:r>
    </w:p>
    <w:p w:rsidR="00C67914" w:rsidRPr="0092208A" w:rsidRDefault="00D929AC" w:rsidP="00E749DB">
      <w:pPr>
        <w:pStyle w:val="WWBodyText4"/>
        <w:numPr>
          <w:ilvl w:val="0"/>
          <w:numId w:val="23"/>
        </w:numPr>
        <w:tabs>
          <w:tab w:val="left" w:pos="2330"/>
          <w:tab w:val="left" w:pos="2361"/>
        </w:tabs>
        <w:ind w:left="2127" w:firstLine="0"/>
        <w:rPr>
          <w:color w:val="000000" w:themeColor="text1"/>
          <w:sz w:val="20"/>
          <w:szCs w:val="20"/>
        </w:rPr>
      </w:pPr>
      <w:r w:rsidRPr="00D929AC">
        <w:rPr>
          <w:color w:val="000000" w:themeColor="text1"/>
          <w:sz w:val="20"/>
          <w:szCs w:val="20"/>
        </w:rPr>
        <w:t>Les terres des personnes privées, physiques ou morales.</w:t>
      </w:r>
    </w:p>
    <w:p w:rsidR="00C67914" w:rsidRDefault="003F7870" w:rsidP="001C16C0">
      <w:pPr>
        <w:pStyle w:val="WWBodyText4"/>
        <w:ind w:left="1276"/>
        <w:rPr>
          <w:sz w:val="20"/>
          <w:szCs w:val="20"/>
          <w:u w:val="single"/>
        </w:rPr>
      </w:pPr>
      <w:r>
        <w:rPr>
          <w:sz w:val="20"/>
          <w:szCs w:val="20"/>
          <w:u w:val="single"/>
        </w:rPr>
        <w:t>(ii) Qui peut posséder des terres ?</w:t>
      </w:r>
    </w:p>
    <w:p w:rsidR="00C67914" w:rsidRDefault="003F7870" w:rsidP="00E749DB">
      <w:pPr>
        <w:pStyle w:val="WWBodyText4"/>
        <w:ind w:left="2127"/>
        <w:rPr>
          <w:sz w:val="20"/>
          <w:szCs w:val="20"/>
        </w:rPr>
      </w:pPr>
      <w:r>
        <w:rPr>
          <w:sz w:val="20"/>
          <w:szCs w:val="20"/>
        </w:rPr>
        <w:t>Selon le Code Foncier, toute personne physique ou morale peut jouir, sans aucune discrimination, de tous les droits définis par le Code Foncier et les exercer librement, sous réserve du respect des droits d'autrui et des restrictions résultant de la loi.</w:t>
      </w:r>
    </w:p>
    <w:p w:rsidR="00C67914" w:rsidRDefault="003F7870" w:rsidP="001C16C0">
      <w:pPr>
        <w:pStyle w:val="WWBodyText4"/>
        <w:ind w:left="1276"/>
        <w:rPr>
          <w:sz w:val="20"/>
          <w:szCs w:val="20"/>
          <w:u w:val="single"/>
        </w:rPr>
      </w:pPr>
      <w:r>
        <w:rPr>
          <w:sz w:val="20"/>
          <w:szCs w:val="20"/>
          <w:u w:val="single"/>
        </w:rPr>
        <w:t>(iii) Comment cela fonctionne-t-il ?</w:t>
      </w:r>
    </w:p>
    <w:p w:rsidR="00C67914" w:rsidRDefault="003F7870" w:rsidP="00E749DB">
      <w:pPr>
        <w:pStyle w:val="WWBodyText4"/>
        <w:ind w:left="2127"/>
      </w:pPr>
      <w:r>
        <w:rPr>
          <w:sz w:val="20"/>
          <w:szCs w:val="20"/>
        </w:rPr>
        <w:t>Malgré le Code Foncier, la terre dans les zones rurales est traditionnellement gérée en termes de droit  coutumier  et est normalement héritée de père en fils.</w:t>
      </w:r>
      <w:r w:rsidRPr="00C67914">
        <w:rPr>
          <w:rStyle w:val="FootnoteReference"/>
          <w:sz w:val="20"/>
          <w:szCs w:val="20"/>
        </w:rPr>
        <w:footnoteReference w:id="16"/>
      </w:r>
    </w:p>
    <w:p w:rsidR="00C67914" w:rsidRDefault="003F7870" w:rsidP="00B94C42">
      <w:pPr>
        <w:pStyle w:val="Style3"/>
      </w:pPr>
      <w:r>
        <w:t>L</w:t>
      </w:r>
      <w:bookmarkStart w:id="45" w:name="_Ref474072762"/>
      <w:r>
        <w:t>equel de ces types de régime foncier, le cas échéant, offre un degré élevé de sécurité d'occupation?</w:t>
      </w:r>
      <w:bookmarkEnd w:id="45"/>
    </w:p>
    <w:p w:rsidR="00C67914" w:rsidRDefault="003F7870" w:rsidP="00E749DB">
      <w:pPr>
        <w:pStyle w:val="WWBodyText3"/>
        <w:tabs>
          <w:tab w:val="clear" w:pos="3969"/>
          <w:tab w:val="clear" w:pos="4536"/>
          <w:tab w:val="left" w:pos="3603"/>
          <w:tab w:val="left" w:pos="4170"/>
        </w:tabs>
        <w:ind w:left="2127"/>
      </w:pPr>
      <w:r>
        <w:rPr>
          <w:sz w:val="20"/>
          <w:szCs w:val="20"/>
        </w:rPr>
        <w:t xml:space="preserve">En général, la sécurité d'occupation au Burundi est faible. Dans les zones urbaines, </w:t>
      </w:r>
      <w:r w:rsidR="00FD22DC">
        <w:rPr>
          <w:sz w:val="20"/>
          <w:szCs w:val="20"/>
        </w:rPr>
        <w:t xml:space="preserve"> </w:t>
      </w:r>
      <w:r>
        <w:rPr>
          <w:sz w:val="20"/>
          <w:szCs w:val="20"/>
        </w:rPr>
        <w:t>l'insécurité provient du fait que les lois foncières sont mal appliquées.</w:t>
      </w:r>
      <w:r w:rsidRPr="00C67914">
        <w:rPr>
          <w:rStyle w:val="FootnoteReference"/>
          <w:sz w:val="20"/>
          <w:szCs w:val="20"/>
        </w:rPr>
        <w:footnoteReference w:id="17"/>
      </w:r>
      <w:r>
        <w:rPr>
          <w:sz w:val="20"/>
          <w:szCs w:val="20"/>
        </w:rPr>
        <w:t xml:space="preserve">  L'indemnisation pour les terres expropriées n'est souvent pas calculée avec précision et entraîne des pertes financières.</w:t>
      </w:r>
      <w:r w:rsidRPr="00C67914">
        <w:rPr>
          <w:rStyle w:val="FootnoteReference"/>
          <w:sz w:val="20"/>
          <w:szCs w:val="20"/>
        </w:rPr>
        <w:footnoteReference w:id="18"/>
      </w:r>
      <w:r>
        <w:rPr>
          <w:sz w:val="20"/>
          <w:szCs w:val="20"/>
        </w:rPr>
        <w:t xml:space="preserve"> Dans les zones rurales, en raison de l'absence d'enregistrement officiel des terres, beaucoup sont confrontés à l'insécurité foncière en raison des litiges fonciers liés aux déplacements de population à la suite de la guerre, des litiges liés à l'héritage, en particulier lorsque la terre est héritée par une fille plutôt que par un fils, et des litiges liés à l'expropriation par l'État.</w:t>
      </w:r>
      <w:r w:rsidRPr="00C67914">
        <w:rPr>
          <w:rStyle w:val="FootnoteReference"/>
          <w:sz w:val="20"/>
          <w:szCs w:val="20"/>
        </w:rPr>
        <w:footnoteReference w:id="19"/>
      </w:r>
    </w:p>
    <w:p w:rsidR="00C67914" w:rsidRDefault="003F7870" w:rsidP="00B94C42">
      <w:pPr>
        <w:pStyle w:val="Style3"/>
      </w:pPr>
      <w:r>
        <w:t>Quelle est la différence entre les zones urbaines et rurales en matière de régime foncier?</w:t>
      </w:r>
    </w:p>
    <w:p w:rsidR="006555C2" w:rsidRDefault="003F7870" w:rsidP="006555C2">
      <w:pPr>
        <w:pStyle w:val="WWBodyText3"/>
        <w:tabs>
          <w:tab w:val="clear" w:pos="3969"/>
          <w:tab w:val="clear" w:pos="4536"/>
          <w:tab w:val="left" w:pos="3594"/>
          <w:tab w:val="left" w:pos="4161"/>
        </w:tabs>
        <w:ind w:left="2126"/>
        <w:rPr>
          <w:sz w:val="20"/>
          <w:szCs w:val="20"/>
        </w:rPr>
      </w:pPr>
      <w:r>
        <w:rPr>
          <w:sz w:val="20"/>
          <w:szCs w:val="20"/>
        </w:rPr>
        <w:t>Le régime foncier diffère entre les terres rura</w:t>
      </w:r>
      <w:r w:rsidR="006555C2">
        <w:rPr>
          <w:sz w:val="20"/>
          <w:szCs w:val="20"/>
        </w:rPr>
        <w:t>les et urbaines de deux façons.</w:t>
      </w:r>
    </w:p>
    <w:p w:rsidR="00C67914" w:rsidRPr="003E6BEB" w:rsidRDefault="003F7870" w:rsidP="006555C2">
      <w:pPr>
        <w:pStyle w:val="WWBodyText3"/>
        <w:tabs>
          <w:tab w:val="clear" w:pos="3969"/>
          <w:tab w:val="clear" w:pos="4536"/>
          <w:tab w:val="left" w:pos="3594"/>
          <w:tab w:val="left" w:pos="4161"/>
        </w:tabs>
        <w:ind w:left="2126"/>
        <w:rPr>
          <w:color w:val="FF0000"/>
        </w:rPr>
      </w:pPr>
      <w:r>
        <w:rPr>
          <w:sz w:val="20"/>
          <w:szCs w:val="20"/>
        </w:rPr>
        <w:t xml:space="preserve"> Premièrement, le régime foncier diffère entre les terres rurales et urbaines en ce qui concerne la procédure devant un tribunal. </w:t>
      </w:r>
      <w:r w:rsidR="00D929AC" w:rsidRPr="00D929AC">
        <w:rPr>
          <w:color w:val="000000" w:themeColor="text1"/>
          <w:sz w:val="20"/>
          <w:szCs w:val="20"/>
        </w:rPr>
        <w:t>En vertu de l’article 2 de la loi n°1/17 du 15 mai 2014</w:t>
      </w:r>
      <w:r w:rsidR="00D929AC" w:rsidRPr="00D929AC">
        <w:rPr>
          <w:rStyle w:val="FootnoteReference"/>
          <w:color w:val="000000" w:themeColor="text1"/>
          <w:sz w:val="20"/>
          <w:szCs w:val="20"/>
        </w:rPr>
        <w:footnoteReference w:id="20"/>
      </w:r>
      <w:r w:rsidR="00D929AC" w:rsidRPr="00D929AC">
        <w:rPr>
          <w:color w:val="000000" w:themeColor="text1"/>
          <w:sz w:val="20"/>
          <w:szCs w:val="20"/>
        </w:rPr>
        <w:t>, les parties opposées dans un litige</w:t>
      </w:r>
      <w:r w:rsidR="005E346C">
        <w:rPr>
          <w:color w:val="000000" w:themeColor="text1"/>
          <w:sz w:val="20"/>
          <w:szCs w:val="20"/>
        </w:rPr>
        <w:t>,</w:t>
      </w:r>
      <w:r w:rsidR="00D929AC" w:rsidRPr="00D929AC">
        <w:rPr>
          <w:color w:val="000000" w:themeColor="text1"/>
          <w:sz w:val="20"/>
          <w:szCs w:val="20"/>
        </w:rPr>
        <w:t xml:space="preserve"> concernant des propriétés rurales</w:t>
      </w:r>
      <w:r w:rsidR="005E346C">
        <w:rPr>
          <w:color w:val="000000" w:themeColor="text1"/>
          <w:sz w:val="20"/>
          <w:szCs w:val="20"/>
        </w:rPr>
        <w:t>,</w:t>
      </w:r>
      <w:r w:rsidR="00D929AC" w:rsidRPr="00D929AC">
        <w:rPr>
          <w:color w:val="000000" w:themeColor="text1"/>
          <w:sz w:val="20"/>
          <w:szCs w:val="20"/>
        </w:rPr>
        <w:t xml:space="preserve"> peuvent déposer un recours devant la Cours d’Appel contre tout jugement rendu dans le cadre de ce litige, par opposition à déposer un recours devant la Cour Suprême du Burundi.</w:t>
      </w:r>
    </w:p>
    <w:p w:rsidR="00C67914" w:rsidRDefault="003F7870" w:rsidP="006555C2">
      <w:pPr>
        <w:pStyle w:val="WWBodyText3"/>
        <w:tabs>
          <w:tab w:val="clear" w:pos="3969"/>
          <w:tab w:val="clear" w:pos="4536"/>
          <w:tab w:val="left" w:pos="3613"/>
          <w:tab w:val="left" w:pos="4180"/>
        </w:tabs>
        <w:ind w:left="2126"/>
        <w:rPr>
          <w:sz w:val="20"/>
          <w:szCs w:val="20"/>
        </w:rPr>
      </w:pPr>
      <w:r>
        <w:rPr>
          <w:sz w:val="20"/>
          <w:szCs w:val="20"/>
        </w:rPr>
        <w:t>La deuxième différence de régime foncier entre les terres rurales et les terres urbaines concerne le permis de construire. Les zones urbaines sont soumises à des restrictions et des obligations plus importantes en ce qui concerne l'enregistrement du régime foncier.</w:t>
      </w:r>
    </w:p>
    <w:p w:rsidR="00C67914" w:rsidRDefault="003F7870" w:rsidP="00E749DB">
      <w:pPr>
        <w:pStyle w:val="WWBodyText3"/>
        <w:tabs>
          <w:tab w:val="clear" w:pos="3969"/>
          <w:tab w:val="clear" w:pos="4536"/>
          <w:tab w:val="left" w:pos="3603"/>
          <w:tab w:val="left" w:pos="4170"/>
        </w:tabs>
        <w:ind w:left="2127"/>
        <w:rPr>
          <w:sz w:val="20"/>
          <w:szCs w:val="20"/>
        </w:rPr>
      </w:pPr>
      <w:r>
        <w:rPr>
          <w:sz w:val="20"/>
          <w:szCs w:val="20"/>
        </w:rPr>
        <w:t>La construction d'une maison sur un terrain urbain nécessite un permis de construire, qui est un document accordé par le Département de l'Urbanisme et du Logement. Pour demander un permis de construire, les personnes devront détenir un terrain sur un site viabilisé.</w:t>
      </w:r>
    </w:p>
    <w:p w:rsidR="00C67914" w:rsidRDefault="003F7870" w:rsidP="00B94C42">
      <w:pPr>
        <w:pStyle w:val="Style3"/>
      </w:pPr>
      <w:r>
        <w:t>Quels sont les principaux organismes gouvernementaux et non gouvernementaux (par exemple les organismes représentatifs) qui administrent ou s'occupent du logement, des terres et des biens ?</w:t>
      </w:r>
    </w:p>
    <w:p w:rsidR="00C67914" w:rsidRDefault="003F7870" w:rsidP="001C16C0">
      <w:pPr>
        <w:pStyle w:val="WWBodyText3"/>
        <w:tabs>
          <w:tab w:val="clear" w:pos="3969"/>
          <w:tab w:val="clear" w:pos="4536"/>
          <w:tab w:val="left" w:pos="1276"/>
        </w:tabs>
        <w:ind w:left="1276"/>
        <w:rPr>
          <w:sz w:val="20"/>
          <w:szCs w:val="20"/>
          <w:u w:val="single"/>
        </w:rPr>
      </w:pPr>
      <w:r>
        <w:rPr>
          <w:sz w:val="20"/>
          <w:szCs w:val="20"/>
          <w:u w:val="single"/>
        </w:rPr>
        <w:t>Organisations Gouvernementales:</w:t>
      </w:r>
    </w:p>
    <w:p w:rsidR="00C67914" w:rsidRDefault="003F7870" w:rsidP="00E749DB">
      <w:pPr>
        <w:pStyle w:val="WWBodyText3"/>
        <w:numPr>
          <w:ilvl w:val="0"/>
          <w:numId w:val="13"/>
        </w:numPr>
        <w:tabs>
          <w:tab w:val="clear" w:pos="3969"/>
          <w:tab w:val="clear" w:pos="4536"/>
          <w:tab w:val="left" w:pos="281"/>
          <w:tab w:val="left" w:pos="2127"/>
        </w:tabs>
        <w:ind w:left="2127" w:hanging="851"/>
        <w:rPr>
          <w:sz w:val="20"/>
          <w:szCs w:val="20"/>
        </w:rPr>
      </w:pPr>
      <w:r>
        <w:rPr>
          <w:sz w:val="20"/>
          <w:szCs w:val="20"/>
        </w:rPr>
        <w:t>Ministère de l'Eau, de l'Environnement, de l'Aménagement du Territoire et de l'Urbanisme;</w:t>
      </w:r>
    </w:p>
    <w:p w:rsidR="00C67914" w:rsidRDefault="003F7870" w:rsidP="00E749DB">
      <w:pPr>
        <w:pStyle w:val="WWBodyText3"/>
        <w:numPr>
          <w:ilvl w:val="0"/>
          <w:numId w:val="13"/>
        </w:numPr>
        <w:tabs>
          <w:tab w:val="clear" w:pos="3969"/>
          <w:tab w:val="clear" w:pos="4536"/>
          <w:tab w:val="left" w:pos="250"/>
          <w:tab w:val="left" w:pos="2127"/>
          <w:tab w:val="left" w:pos="2376"/>
        </w:tabs>
        <w:ind w:left="2127" w:hanging="851"/>
        <w:rPr>
          <w:sz w:val="20"/>
          <w:szCs w:val="20"/>
        </w:rPr>
      </w:pPr>
      <w:r>
        <w:rPr>
          <w:sz w:val="20"/>
          <w:szCs w:val="20"/>
        </w:rPr>
        <w:t>Ministère de l'Agriculture;</w:t>
      </w:r>
    </w:p>
    <w:p w:rsidR="00C67914" w:rsidRDefault="003F7870" w:rsidP="00D70962">
      <w:pPr>
        <w:pStyle w:val="WWBodyText3"/>
        <w:numPr>
          <w:ilvl w:val="0"/>
          <w:numId w:val="13"/>
        </w:numPr>
        <w:tabs>
          <w:tab w:val="clear" w:pos="3969"/>
          <w:tab w:val="clear" w:pos="4536"/>
          <w:tab w:val="left" w:pos="250"/>
          <w:tab w:val="left" w:pos="2127"/>
          <w:tab w:val="left" w:pos="2376"/>
        </w:tabs>
        <w:ind w:left="2127" w:hanging="851"/>
        <w:rPr>
          <w:sz w:val="20"/>
          <w:szCs w:val="20"/>
        </w:rPr>
      </w:pPr>
      <w:r>
        <w:rPr>
          <w:sz w:val="20"/>
          <w:szCs w:val="20"/>
        </w:rPr>
        <w:t>Ministère de la Décentralisation et du Développement Communal;</w:t>
      </w:r>
    </w:p>
    <w:p w:rsidR="00C67914" w:rsidRDefault="003F7870" w:rsidP="00E749DB">
      <w:pPr>
        <w:pStyle w:val="WWBodyText3"/>
        <w:numPr>
          <w:ilvl w:val="0"/>
          <w:numId w:val="13"/>
        </w:numPr>
        <w:tabs>
          <w:tab w:val="clear" w:pos="3969"/>
          <w:tab w:val="clear" w:pos="4536"/>
          <w:tab w:val="left" w:pos="250"/>
          <w:tab w:val="left" w:pos="2127"/>
          <w:tab w:val="left" w:pos="2376"/>
        </w:tabs>
        <w:ind w:left="2127" w:hanging="851"/>
        <w:rPr>
          <w:sz w:val="20"/>
          <w:szCs w:val="20"/>
        </w:rPr>
      </w:pPr>
      <w:r>
        <w:rPr>
          <w:sz w:val="20"/>
          <w:szCs w:val="20"/>
        </w:rPr>
        <w:t>Ministère de l'Intérieur;</w:t>
      </w:r>
    </w:p>
    <w:p w:rsidR="00C67914" w:rsidRDefault="003F7870" w:rsidP="00E749DB">
      <w:pPr>
        <w:pStyle w:val="WWBodyText3"/>
        <w:numPr>
          <w:ilvl w:val="0"/>
          <w:numId w:val="13"/>
        </w:numPr>
        <w:tabs>
          <w:tab w:val="clear" w:pos="3969"/>
          <w:tab w:val="clear" w:pos="4536"/>
          <w:tab w:val="left" w:pos="250"/>
          <w:tab w:val="left" w:pos="2127"/>
          <w:tab w:val="left" w:pos="2376"/>
        </w:tabs>
        <w:ind w:left="2127" w:hanging="851"/>
      </w:pPr>
      <w:r>
        <w:rPr>
          <w:sz w:val="20"/>
          <w:szCs w:val="20"/>
        </w:rPr>
        <w:t xml:space="preserve">Registre </w:t>
      </w:r>
      <w:r>
        <w:rPr>
          <w:i/>
          <w:sz w:val="20"/>
          <w:szCs w:val="20"/>
        </w:rPr>
        <w:t xml:space="preserve">foncier </w:t>
      </w:r>
      <w:r>
        <w:rPr>
          <w:sz w:val="20"/>
          <w:szCs w:val="20"/>
        </w:rPr>
        <w:t>(</w:t>
      </w:r>
      <w:r>
        <w:rPr>
          <w:i/>
          <w:sz w:val="20"/>
          <w:szCs w:val="20"/>
        </w:rPr>
        <w:t>Département des Titres Fonciers</w:t>
      </w:r>
      <w:r>
        <w:rPr>
          <w:sz w:val="20"/>
          <w:szCs w:val="20"/>
        </w:rPr>
        <w:t>);</w:t>
      </w:r>
    </w:p>
    <w:p w:rsidR="00C67914" w:rsidRDefault="003F7870" w:rsidP="00E749DB">
      <w:pPr>
        <w:pStyle w:val="WWBodyText3"/>
        <w:numPr>
          <w:ilvl w:val="0"/>
          <w:numId w:val="13"/>
        </w:numPr>
        <w:tabs>
          <w:tab w:val="clear" w:pos="3969"/>
          <w:tab w:val="clear" w:pos="4536"/>
          <w:tab w:val="left" w:pos="250"/>
          <w:tab w:val="left" w:pos="2127"/>
          <w:tab w:val="left" w:pos="2376"/>
        </w:tabs>
        <w:ind w:left="2127" w:hanging="851"/>
      </w:pPr>
      <w:r>
        <w:rPr>
          <w:sz w:val="20"/>
          <w:szCs w:val="20"/>
        </w:rPr>
        <w:t>Office Burundais de l'Urbanisme, de l'Habitat et de la Construction : ("</w:t>
      </w:r>
      <w:r>
        <w:rPr>
          <w:b/>
          <w:sz w:val="20"/>
          <w:szCs w:val="20"/>
        </w:rPr>
        <w:t>OBUHA</w:t>
      </w:r>
      <w:r>
        <w:rPr>
          <w:sz w:val="20"/>
          <w:szCs w:val="20"/>
        </w:rPr>
        <w:t xml:space="preserve">") ;  </w:t>
      </w:r>
    </w:p>
    <w:p w:rsidR="00C67914" w:rsidRDefault="003F7870" w:rsidP="00E749DB">
      <w:pPr>
        <w:pStyle w:val="WWBodyText3"/>
        <w:numPr>
          <w:ilvl w:val="0"/>
          <w:numId w:val="13"/>
        </w:numPr>
        <w:tabs>
          <w:tab w:val="clear" w:pos="3969"/>
          <w:tab w:val="clear" w:pos="4536"/>
          <w:tab w:val="left" w:pos="250"/>
          <w:tab w:val="left" w:pos="2127"/>
          <w:tab w:val="left" w:pos="2376"/>
        </w:tabs>
        <w:ind w:left="2127" w:hanging="851"/>
      </w:pPr>
      <w:r>
        <w:rPr>
          <w:sz w:val="20"/>
          <w:szCs w:val="20"/>
        </w:rPr>
        <w:t>Commission Nationale des terres et autres biens ("</w:t>
      </w:r>
      <w:r>
        <w:rPr>
          <w:b/>
          <w:sz w:val="20"/>
          <w:szCs w:val="20"/>
        </w:rPr>
        <w:t>CNTB</w:t>
      </w:r>
      <w:r>
        <w:rPr>
          <w:sz w:val="20"/>
          <w:szCs w:val="20"/>
        </w:rPr>
        <w:t>");</w:t>
      </w:r>
    </w:p>
    <w:p w:rsidR="00C67914" w:rsidRDefault="003F7870" w:rsidP="00E749DB">
      <w:pPr>
        <w:pStyle w:val="WWBodyText3"/>
        <w:numPr>
          <w:ilvl w:val="0"/>
          <w:numId w:val="13"/>
        </w:numPr>
        <w:tabs>
          <w:tab w:val="clear" w:pos="3969"/>
          <w:tab w:val="clear" w:pos="4536"/>
          <w:tab w:val="left" w:pos="2127"/>
          <w:tab w:val="left" w:pos="2376"/>
        </w:tabs>
        <w:ind w:left="2127" w:hanging="851"/>
      </w:pPr>
      <w:r>
        <w:rPr>
          <w:sz w:val="20"/>
          <w:szCs w:val="20"/>
        </w:rPr>
        <w:t>Guichet unique de transfert de propriété qui comprend les services du Département des Titres Fonciers, de la Commu</w:t>
      </w:r>
      <w:r w:rsidR="00FD22DC">
        <w:rPr>
          <w:sz w:val="20"/>
          <w:szCs w:val="20"/>
        </w:rPr>
        <w:t>ne de Bujumbura et de l'Office b</w:t>
      </w:r>
      <w:r>
        <w:rPr>
          <w:sz w:val="20"/>
          <w:szCs w:val="20"/>
        </w:rPr>
        <w:t>urundais des Recettes (OBR).</w:t>
      </w:r>
      <w:r w:rsidRPr="00C67914">
        <w:rPr>
          <w:rStyle w:val="FootnoteReference"/>
          <w:sz w:val="20"/>
          <w:szCs w:val="20"/>
        </w:rPr>
        <w:footnoteReference w:id="21"/>
      </w:r>
    </w:p>
    <w:p w:rsidR="00C67914" w:rsidRDefault="003F7870" w:rsidP="002C759D">
      <w:pPr>
        <w:pStyle w:val="WWBodyText3"/>
        <w:tabs>
          <w:tab w:val="clear" w:pos="3969"/>
          <w:tab w:val="clear" w:pos="4536"/>
          <w:tab w:val="left" w:pos="2268"/>
          <w:tab w:val="left" w:pos="2835"/>
        </w:tabs>
        <w:ind w:left="1276"/>
      </w:pPr>
      <w:r>
        <w:rPr>
          <w:sz w:val="20"/>
          <w:szCs w:val="20"/>
          <w:u w:val="single"/>
        </w:rPr>
        <w:t>Organisations Non Gouvernementales</w:t>
      </w:r>
      <w:r>
        <w:rPr>
          <w:sz w:val="20"/>
          <w:szCs w:val="20"/>
        </w:rPr>
        <w:t>:</w:t>
      </w:r>
      <w:r w:rsidRPr="00C67914">
        <w:rPr>
          <w:rStyle w:val="FootnoteReference"/>
          <w:sz w:val="20"/>
          <w:szCs w:val="20"/>
          <w:u w:val="single"/>
        </w:rPr>
        <w:footnoteReference w:id="22"/>
      </w:r>
    </w:p>
    <w:p w:rsidR="00C67914" w:rsidRDefault="003F7870" w:rsidP="00854417">
      <w:pPr>
        <w:pStyle w:val="WWBodyText3"/>
        <w:tabs>
          <w:tab w:val="clear" w:pos="3969"/>
          <w:tab w:val="clear" w:pos="4536"/>
          <w:tab w:val="left" w:pos="997"/>
          <w:tab w:val="left" w:pos="3623"/>
          <w:tab w:val="left" w:pos="4190"/>
        </w:tabs>
        <w:ind w:left="2127"/>
      </w:pPr>
      <w:r>
        <w:rPr>
          <w:sz w:val="20"/>
          <w:szCs w:val="20"/>
        </w:rPr>
        <w:t>Il convient de noter qu'en janvier 2017, le Burundi a adopté une nouvelle législation qui régit l'admission et le fonctionnement des organisations non gouvernementales ("</w:t>
      </w:r>
      <w:r>
        <w:rPr>
          <w:b/>
          <w:sz w:val="20"/>
          <w:szCs w:val="20"/>
        </w:rPr>
        <w:t>ONG</w:t>
      </w:r>
      <w:r>
        <w:rPr>
          <w:sz w:val="20"/>
          <w:szCs w:val="20"/>
        </w:rPr>
        <w:t xml:space="preserve">") étrangères au </w:t>
      </w:r>
      <w:r w:rsidR="00764825">
        <w:rPr>
          <w:sz w:val="20"/>
          <w:szCs w:val="20"/>
        </w:rPr>
        <w:t>Burundi.</w:t>
      </w:r>
      <w:r w:rsidRPr="00C67914">
        <w:rPr>
          <w:rStyle w:val="FootnoteReference"/>
          <w:sz w:val="20"/>
          <w:szCs w:val="20"/>
        </w:rPr>
        <w:footnoteReference w:id="23"/>
      </w:r>
      <w:r>
        <w:rPr>
          <w:sz w:val="20"/>
          <w:szCs w:val="20"/>
        </w:rPr>
        <w:t xml:space="preserve"> En septembre 2018, le Conseil National de Sécurité burundais a suspendu la totalité des quelque 130 ONG étrangères opérant au Burundi, au motif que les ONG étrangères ne respectaient </w:t>
      </w:r>
      <w:r w:rsidR="00FD22DC">
        <w:rPr>
          <w:sz w:val="20"/>
          <w:szCs w:val="20"/>
        </w:rPr>
        <w:t xml:space="preserve"> </w:t>
      </w:r>
      <w:r>
        <w:rPr>
          <w:sz w:val="20"/>
          <w:szCs w:val="20"/>
        </w:rPr>
        <w:t>pas la nouvelle législation qui créait une exigence ethnique pour le recrutement du personnel local.</w:t>
      </w:r>
      <w:r w:rsidRPr="00C67914">
        <w:rPr>
          <w:rStyle w:val="FootnoteReference"/>
          <w:sz w:val="20"/>
          <w:szCs w:val="20"/>
        </w:rPr>
        <w:footnoteReference w:id="24"/>
      </w:r>
      <w:r>
        <w:rPr>
          <w:sz w:val="20"/>
          <w:szCs w:val="20"/>
        </w:rPr>
        <w:t xml:space="preserve"> Le gouvernement burundais a exigé de toutes les ONG suspendues qu'elles s'enregistrent à nouveau et conformément aux exigences de la nouvelle législation.</w:t>
      </w:r>
      <w:r w:rsidRPr="00C67914">
        <w:rPr>
          <w:rStyle w:val="FootnoteReference"/>
          <w:sz w:val="20"/>
          <w:szCs w:val="20"/>
        </w:rPr>
        <w:footnoteReference w:id="25"/>
      </w:r>
      <w:r>
        <w:rPr>
          <w:sz w:val="20"/>
          <w:szCs w:val="20"/>
        </w:rPr>
        <w:t xml:space="preserve"> En mars 2019, 93 des 130 ONG étrangères qui avaient été suspendues ont été réadmises au Burundi.</w:t>
      </w:r>
      <w:r w:rsidRPr="00C67914">
        <w:rPr>
          <w:rStyle w:val="FootnoteReference"/>
          <w:sz w:val="20"/>
          <w:szCs w:val="20"/>
        </w:rPr>
        <w:footnoteReference w:id="26"/>
      </w:r>
    </w:p>
    <w:p w:rsidR="00C67914" w:rsidRDefault="003F7870" w:rsidP="002C759D">
      <w:pPr>
        <w:pStyle w:val="WWBodyText3"/>
        <w:numPr>
          <w:ilvl w:val="0"/>
          <w:numId w:val="14"/>
        </w:numPr>
        <w:tabs>
          <w:tab w:val="clear" w:pos="3969"/>
          <w:tab w:val="left" w:pos="1418"/>
          <w:tab w:val="left" w:pos="2127"/>
        </w:tabs>
        <w:ind w:left="1276"/>
      </w:pPr>
      <w:r>
        <w:rPr>
          <w:sz w:val="20"/>
          <w:szCs w:val="20"/>
        </w:rPr>
        <w:t>Association Burundaise des Elus Locaux ("</w:t>
      </w:r>
      <w:r>
        <w:rPr>
          <w:b/>
          <w:sz w:val="20"/>
          <w:szCs w:val="20"/>
        </w:rPr>
        <w:t>ABELO</w:t>
      </w:r>
      <w:r>
        <w:rPr>
          <w:sz w:val="20"/>
          <w:szCs w:val="20"/>
        </w:rPr>
        <w:t>");</w:t>
      </w:r>
    </w:p>
    <w:p w:rsidR="00C67914" w:rsidRDefault="003F7870" w:rsidP="002C759D">
      <w:pPr>
        <w:pStyle w:val="WWBodyText3"/>
        <w:numPr>
          <w:ilvl w:val="0"/>
          <w:numId w:val="14"/>
        </w:numPr>
        <w:tabs>
          <w:tab w:val="clear" w:pos="3969"/>
          <w:tab w:val="clear" w:pos="4536"/>
          <w:tab w:val="left" w:pos="1418"/>
        </w:tabs>
        <w:ind w:left="2127" w:hanging="851"/>
      </w:pPr>
      <w:r>
        <w:rPr>
          <w:sz w:val="20"/>
          <w:szCs w:val="20"/>
        </w:rPr>
        <w:t>Agence de Renforcement des Capacités et d’Appui pour le Développement Rural et l’Environnement ("</w:t>
      </w:r>
      <w:r>
        <w:rPr>
          <w:b/>
          <w:sz w:val="20"/>
          <w:szCs w:val="20"/>
        </w:rPr>
        <w:t>ARCADE</w:t>
      </w:r>
      <w:r>
        <w:rPr>
          <w:sz w:val="20"/>
          <w:szCs w:val="20"/>
        </w:rPr>
        <w:t>");</w:t>
      </w:r>
    </w:p>
    <w:p w:rsidR="00C67914" w:rsidRDefault="003F7870" w:rsidP="002C759D">
      <w:pPr>
        <w:pStyle w:val="WWBodyText3"/>
        <w:numPr>
          <w:ilvl w:val="0"/>
          <w:numId w:val="14"/>
        </w:numPr>
        <w:tabs>
          <w:tab w:val="clear" w:pos="3969"/>
          <w:tab w:val="clear" w:pos="4536"/>
          <w:tab w:val="left" w:pos="1418"/>
        </w:tabs>
        <w:ind w:left="2127" w:hanging="851"/>
      </w:pPr>
      <w:r>
        <w:rPr>
          <w:sz w:val="20"/>
          <w:szCs w:val="20"/>
        </w:rPr>
        <w:t>Biraturaba, Fondation Intahe, Organisation pour la Défense de l’Environnement au Burundi ("</w:t>
      </w:r>
      <w:r>
        <w:rPr>
          <w:b/>
          <w:sz w:val="20"/>
          <w:szCs w:val="20"/>
        </w:rPr>
        <w:t>ODEB</w:t>
      </w:r>
      <w:r>
        <w:rPr>
          <w:sz w:val="20"/>
          <w:szCs w:val="20"/>
        </w:rPr>
        <w:t>");</w:t>
      </w:r>
    </w:p>
    <w:p w:rsidR="00C67914" w:rsidRDefault="003F7870" w:rsidP="002C759D">
      <w:pPr>
        <w:pStyle w:val="WWBodyText3"/>
        <w:numPr>
          <w:ilvl w:val="0"/>
          <w:numId w:val="14"/>
        </w:numPr>
        <w:tabs>
          <w:tab w:val="clear" w:pos="3969"/>
          <w:tab w:val="clear" w:pos="4536"/>
        </w:tabs>
        <w:ind w:left="2127" w:hanging="851"/>
      </w:pPr>
      <w:r>
        <w:rPr>
          <w:sz w:val="20"/>
          <w:szCs w:val="20"/>
        </w:rPr>
        <w:t>Union Chrétienne pour l’Education et le Développement des Déshérités ("</w:t>
      </w:r>
      <w:r>
        <w:rPr>
          <w:b/>
          <w:sz w:val="20"/>
          <w:szCs w:val="20"/>
        </w:rPr>
        <w:t>UCEDD</w:t>
      </w:r>
      <w:r>
        <w:rPr>
          <w:sz w:val="20"/>
          <w:szCs w:val="20"/>
        </w:rPr>
        <w:t>");</w:t>
      </w:r>
    </w:p>
    <w:p w:rsidR="00C67914" w:rsidRDefault="003F7870" w:rsidP="002C759D">
      <w:pPr>
        <w:pStyle w:val="WWBodyText3"/>
        <w:numPr>
          <w:ilvl w:val="0"/>
          <w:numId w:val="14"/>
        </w:numPr>
        <w:tabs>
          <w:tab w:val="clear" w:pos="3969"/>
          <w:tab w:val="clear" w:pos="4536"/>
        </w:tabs>
        <w:ind w:left="1276"/>
      </w:pPr>
      <w:r>
        <w:rPr>
          <w:sz w:val="20"/>
          <w:szCs w:val="20"/>
        </w:rPr>
        <w:t>Unissons-Nous pour la Promotion des Batwa ("</w:t>
      </w:r>
      <w:r>
        <w:rPr>
          <w:b/>
          <w:sz w:val="20"/>
          <w:szCs w:val="20"/>
        </w:rPr>
        <w:t>UNIPROBA</w:t>
      </w:r>
      <w:r>
        <w:rPr>
          <w:sz w:val="20"/>
          <w:szCs w:val="20"/>
        </w:rPr>
        <w:t>");</w:t>
      </w:r>
    </w:p>
    <w:p w:rsidR="00C67914" w:rsidRDefault="003F7870" w:rsidP="002C759D">
      <w:pPr>
        <w:pStyle w:val="WWBodyText3"/>
        <w:numPr>
          <w:ilvl w:val="0"/>
          <w:numId w:val="14"/>
        </w:numPr>
        <w:tabs>
          <w:tab w:val="clear" w:pos="3969"/>
          <w:tab w:val="clear" w:pos="4536"/>
          <w:tab w:val="left" w:pos="1418"/>
          <w:tab w:val="left" w:pos="2127"/>
        </w:tabs>
        <w:ind w:left="1276"/>
        <w:rPr>
          <w:sz w:val="20"/>
          <w:szCs w:val="20"/>
        </w:rPr>
      </w:pPr>
      <w:r>
        <w:rPr>
          <w:sz w:val="20"/>
          <w:szCs w:val="20"/>
        </w:rPr>
        <w:t>Ligue ITEKA;</w:t>
      </w:r>
    </w:p>
    <w:p w:rsidR="00962889" w:rsidRPr="00D70962" w:rsidRDefault="003F7870" w:rsidP="00D70962">
      <w:pPr>
        <w:pStyle w:val="WWBodyText3"/>
        <w:numPr>
          <w:ilvl w:val="0"/>
          <w:numId w:val="14"/>
        </w:numPr>
        <w:tabs>
          <w:tab w:val="clear" w:pos="3969"/>
          <w:tab w:val="clear" w:pos="4536"/>
        </w:tabs>
        <w:ind w:left="1276"/>
        <w:rPr>
          <w:sz w:val="20"/>
          <w:szCs w:val="20"/>
        </w:rPr>
      </w:pPr>
      <w:r>
        <w:rPr>
          <w:sz w:val="20"/>
          <w:szCs w:val="20"/>
        </w:rPr>
        <w:t xml:space="preserve"> ACORD.</w:t>
      </w:r>
    </w:p>
    <w:p w:rsidR="00D30D4C" w:rsidRDefault="003F7870" w:rsidP="00855DCD">
      <w:pPr>
        <w:pStyle w:val="Style2"/>
        <w:outlineLvl w:val="1"/>
      </w:pPr>
      <w:bookmarkStart w:id="46" w:name="_Toc49960909"/>
      <w:bookmarkStart w:id="47" w:name="_Toc52029982"/>
      <w:r>
        <w:t>Document</w:t>
      </w:r>
      <w:bookmarkEnd w:id="46"/>
      <w:r w:rsidR="005333A7">
        <w:t xml:space="preserve">ation </w:t>
      </w:r>
      <w:bookmarkEnd w:id="47"/>
      <w:r w:rsidR="00B651F0">
        <w:t>foncière</w:t>
      </w:r>
    </w:p>
    <w:p w:rsidR="000F3811" w:rsidRPr="000F3811" w:rsidRDefault="000F3811" w:rsidP="000F3811">
      <w:pPr>
        <w:pStyle w:val="ListParagraph"/>
        <w:keepNext/>
        <w:numPr>
          <w:ilvl w:val="1"/>
          <w:numId w:val="28"/>
        </w:numPr>
        <w:tabs>
          <w:tab w:val="left" w:pos="-2268"/>
          <w:tab w:val="left" w:pos="0"/>
          <w:tab w:val="left" w:pos="567"/>
        </w:tabs>
        <w:spacing w:after="240" w:line="360" w:lineRule="auto"/>
        <w:contextualSpacing w:val="0"/>
        <w:jc w:val="both"/>
        <w:outlineLvl w:val="1"/>
        <w:rPr>
          <w:b/>
          <w:vanish/>
        </w:rPr>
      </w:pPr>
      <w:bookmarkStart w:id="48" w:name="_Toc52025704"/>
      <w:bookmarkStart w:id="49" w:name="_Toc52026143"/>
      <w:bookmarkStart w:id="50" w:name="_Toc52029983"/>
      <w:bookmarkEnd w:id="48"/>
      <w:bookmarkEnd w:id="49"/>
      <w:bookmarkEnd w:id="50"/>
    </w:p>
    <w:p w:rsidR="00C67914" w:rsidRDefault="003F7870" w:rsidP="000F3811">
      <w:pPr>
        <w:pStyle w:val="WWHeading3"/>
      </w:pPr>
      <w:r>
        <w:t>Quels sont les instruments statutaires ou les documents juridiques (par exemple, les titres de propriété ou les baux) utilisés pour créer ou transférer la propriété?</w:t>
      </w:r>
    </w:p>
    <w:p w:rsidR="00C67914" w:rsidRDefault="003F7870" w:rsidP="002A1C0B">
      <w:pPr>
        <w:pStyle w:val="WWHeading3"/>
        <w:numPr>
          <w:ilvl w:val="0"/>
          <w:numId w:val="0"/>
        </w:numPr>
        <w:tabs>
          <w:tab w:val="left" w:pos="766"/>
          <w:tab w:val="left" w:pos="1148"/>
        </w:tabs>
        <w:ind w:firstLine="1276"/>
        <w:outlineLvl w:val="9"/>
      </w:pPr>
      <w:r>
        <w:t>(i) Titre foncier</w:t>
      </w:r>
      <w:r w:rsidRPr="00C67914">
        <w:rPr>
          <w:rStyle w:val="FootnoteReference"/>
        </w:rPr>
        <w:footnoteReference w:id="27"/>
      </w:r>
      <w:r>
        <w:t xml:space="preserve"> </w:t>
      </w:r>
      <w:r w:rsidRPr="00C67914">
        <w:rPr>
          <w:rStyle w:val="FootnoteReference"/>
        </w:rPr>
        <w:footnoteReference w:id="28"/>
      </w:r>
    </w:p>
    <w:p w:rsidR="00C67914" w:rsidRDefault="003F7870" w:rsidP="002A1C0B">
      <w:pPr>
        <w:pStyle w:val="WWBodyText4"/>
        <w:tabs>
          <w:tab w:val="left" w:pos="2457"/>
        </w:tabs>
        <w:ind w:left="2127"/>
      </w:pPr>
      <w:r>
        <w:rPr>
          <w:sz w:val="20"/>
          <w:szCs w:val="20"/>
        </w:rPr>
        <w:t xml:space="preserve">L'enregistrement initial d'un droit foncier se fait dans le livre foncier, sur un compte spécifique ouvert pour chaque bâtiment, enregistré sous un identifiant numérique unique </w:t>
      </w:r>
      <w:r w:rsidR="00FD22DC">
        <w:rPr>
          <w:sz w:val="20"/>
          <w:szCs w:val="20"/>
        </w:rPr>
        <w:t xml:space="preserve">correspondant au livre foncier. </w:t>
      </w:r>
      <w:r>
        <w:rPr>
          <w:sz w:val="20"/>
          <w:szCs w:val="20"/>
        </w:rPr>
        <w:t>Cet enregistrement, qui</w:t>
      </w:r>
      <w:r>
        <w:t xml:space="preserve"> </w:t>
      </w:r>
      <w:r>
        <w:rPr>
          <w:sz w:val="20"/>
          <w:szCs w:val="20"/>
        </w:rPr>
        <w:t>constitue le titre original du  terrain, es</w:t>
      </w:r>
      <w:r w:rsidR="00FD22DC">
        <w:rPr>
          <w:sz w:val="20"/>
          <w:szCs w:val="20"/>
        </w:rPr>
        <w:t xml:space="preserve">t daté, scellé et signé par le </w:t>
      </w:r>
      <w:r>
        <w:rPr>
          <w:sz w:val="20"/>
          <w:szCs w:val="20"/>
        </w:rPr>
        <w:t>Conservateur des Titres  Fonciers.</w:t>
      </w:r>
    </w:p>
    <w:p w:rsidR="00C67914" w:rsidRDefault="003F7870" w:rsidP="002A1C0B">
      <w:pPr>
        <w:pStyle w:val="WWBodyText4"/>
        <w:ind w:left="2127"/>
        <w:rPr>
          <w:sz w:val="20"/>
          <w:szCs w:val="20"/>
        </w:rPr>
      </w:pPr>
      <w:r>
        <w:rPr>
          <w:sz w:val="20"/>
          <w:szCs w:val="20"/>
        </w:rPr>
        <w:t>Une copie de cet enregistrement est remise au titulaire du droit de propriété enregistré.</w:t>
      </w:r>
    </w:p>
    <w:p w:rsidR="00C67914" w:rsidRDefault="003F7870" w:rsidP="002A1C0B">
      <w:pPr>
        <w:pStyle w:val="WWBodyText4"/>
        <w:ind w:left="2127"/>
        <w:rPr>
          <w:sz w:val="20"/>
          <w:szCs w:val="20"/>
        </w:rPr>
      </w:pPr>
      <w:r>
        <w:rPr>
          <w:sz w:val="20"/>
          <w:szCs w:val="20"/>
        </w:rPr>
        <w:t>Le Titre Foncier, en plus de son identification numérique par son numéro d'enregistrement, contient les informations suivantes:</w:t>
      </w:r>
    </w:p>
    <w:p w:rsidR="00C67914" w:rsidRDefault="003F7870" w:rsidP="005333A7">
      <w:pPr>
        <w:pStyle w:val="WWBodyText4"/>
        <w:tabs>
          <w:tab w:val="left" w:pos="2410"/>
        </w:tabs>
        <w:ind w:left="2410"/>
        <w:rPr>
          <w:sz w:val="20"/>
          <w:szCs w:val="20"/>
        </w:rPr>
      </w:pPr>
      <w:r>
        <w:rPr>
          <w:sz w:val="20"/>
          <w:szCs w:val="20"/>
        </w:rPr>
        <w:t>(1) La localisation, la description, les limites et les coordonnées des sommets de la parcelle, la superficie et le plan de l'immeuble établis par un géomètre expert assermenté ou un agent du service du cadastre;</w:t>
      </w:r>
    </w:p>
    <w:p w:rsidR="00C67914" w:rsidRDefault="003F7870" w:rsidP="005333A7">
      <w:pPr>
        <w:pStyle w:val="WWBodyText4"/>
        <w:tabs>
          <w:tab w:val="left" w:pos="2410"/>
        </w:tabs>
        <w:ind w:left="2410"/>
        <w:rPr>
          <w:sz w:val="20"/>
          <w:szCs w:val="20"/>
        </w:rPr>
      </w:pPr>
      <w:r>
        <w:rPr>
          <w:sz w:val="20"/>
          <w:szCs w:val="20"/>
        </w:rPr>
        <w:t>(2) L'identification précise du propriétaire actuel du droit de propriété sur l'immeuble;</w:t>
      </w:r>
    </w:p>
    <w:p w:rsidR="00C67914" w:rsidRDefault="003F7870" w:rsidP="005333A7">
      <w:pPr>
        <w:pStyle w:val="WWBodyText4"/>
        <w:tabs>
          <w:tab w:val="left" w:pos="2410"/>
        </w:tabs>
        <w:ind w:left="2410"/>
        <w:rPr>
          <w:sz w:val="20"/>
          <w:szCs w:val="20"/>
        </w:rPr>
      </w:pPr>
      <w:r>
        <w:rPr>
          <w:sz w:val="20"/>
          <w:szCs w:val="20"/>
        </w:rPr>
        <w:t>(3) Les charges et droits réels autres que les servitudes légales, dont l'immeuble peut être soumis.</w:t>
      </w:r>
    </w:p>
    <w:p w:rsidR="00C67914" w:rsidRDefault="003F7870" w:rsidP="002A1C0B">
      <w:pPr>
        <w:pStyle w:val="WWBodyText4"/>
        <w:ind w:left="2127"/>
        <w:rPr>
          <w:sz w:val="20"/>
          <w:szCs w:val="20"/>
        </w:rPr>
      </w:pPr>
      <w:r>
        <w:rPr>
          <w:sz w:val="20"/>
          <w:szCs w:val="20"/>
        </w:rPr>
        <w:t>La copie du Titre Foncier remise au titulaire du droit de propriété enregistré doit porter le même numéro d'enregistrement que l'original.</w:t>
      </w:r>
    </w:p>
    <w:p w:rsidR="00FD22DC" w:rsidRPr="00FD22DC" w:rsidRDefault="003F7870" w:rsidP="00FD22DC">
      <w:pPr>
        <w:pStyle w:val="WWBodyText4"/>
        <w:ind w:left="2127"/>
        <w:rPr>
          <w:sz w:val="20"/>
          <w:szCs w:val="20"/>
        </w:rPr>
      </w:pPr>
      <w:r>
        <w:rPr>
          <w:sz w:val="20"/>
          <w:szCs w:val="20"/>
        </w:rPr>
        <w:t>Le Titre Foncier est la preuve complète des droits fonciers qui y sont reconnus.</w:t>
      </w:r>
      <w:r w:rsidRPr="00C67914">
        <w:rPr>
          <w:sz w:val="20"/>
          <w:szCs w:val="20"/>
          <w:vertAlign w:val="superscript"/>
        </w:rPr>
        <w:footnoteReference w:id="29"/>
      </w:r>
    </w:p>
    <w:p w:rsidR="00C67914" w:rsidRDefault="00BF47A2" w:rsidP="002A1C0B">
      <w:pPr>
        <w:pStyle w:val="WWBodyText4"/>
        <w:ind w:left="1701" w:hanging="425"/>
      </w:pPr>
      <w:r>
        <w:rPr>
          <w:b/>
          <w:bCs/>
          <w:sz w:val="20"/>
          <w:szCs w:val="20"/>
        </w:rPr>
        <w:t xml:space="preserve"> </w:t>
      </w:r>
      <w:r w:rsidR="003F7870">
        <w:rPr>
          <w:b/>
          <w:bCs/>
          <w:sz w:val="20"/>
          <w:szCs w:val="20"/>
        </w:rPr>
        <w:t>(ii) Certificats Fonciers</w:t>
      </w:r>
      <w:r w:rsidR="003F7870" w:rsidRPr="00C67914">
        <w:rPr>
          <w:rStyle w:val="FootnoteReference"/>
          <w:sz w:val="20"/>
          <w:szCs w:val="20"/>
        </w:rPr>
        <w:footnoteReference w:id="30"/>
      </w:r>
      <w:r w:rsidR="003F7870">
        <w:rPr>
          <w:sz w:val="20"/>
          <w:szCs w:val="20"/>
        </w:rPr>
        <w:t xml:space="preserve"> </w:t>
      </w:r>
      <w:r w:rsidR="003F7870" w:rsidRPr="00C67914">
        <w:rPr>
          <w:rStyle w:val="FootnoteReference"/>
          <w:sz w:val="20"/>
          <w:szCs w:val="20"/>
        </w:rPr>
        <w:footnoteReference w:id="31"/>
      </w:r>
    </w:p>
    <w:p w:rsidR="00C67914" w:rsidRDefault="003F7870" w:rsidP="002A1C0B">
      <w:pPr>
        <w:pStyle w:val="WWBodyText4"/>
        <w:ind w:left="2127"/>
        <w:rPr>
          <w:sz w:val="20"/>
          <w:szCs w:val="20"/>
        </w:rPr>
      </w:pPr>
      <w:r>
        <w:rPr>
          <w:sz w:val="20"/>
          <w:szCs w:val="20"/>
        </w:rPr>
        <w:t>Les Certificats Fonciers peuvent être établis par le service foncier municipal compétent  sur les terres rurales qui sont détenues par toute personne physique ou morale en vertu  d'un titre  coutumier ou  d'un titre  d'occupation. Le Certificat  Foncier reconnaît une appropriation régulière de la terre qui entraîne une influence personnelle ou collective, permanente et durable, et il reconnaît l'utilisation de la terre.</w:t>
      </w:r>
    </w:p>
    <w:p w:rsidR="00C67914" w:rsidRDefault="003F7870" w:rsidP="002A1C0B">
      <w:pPr>
        <w:pStyle w:val="WWBodyText4"/>
        <w:ind w:left="1701" w:hanging="425"/>
      </w:pPr>
      <w:r>
        <w:rPr>
          <w:b/>
          <w:bCs/>
          <w:sz w:val="20"/>
          <w:szCs w:val="20"/>
        </w:rPr>
        <w:t>(iii) Acte de transfert (contrat de vente et d'achat notarié)</w:t>
      </w:r>
      <w:r w:rsidRPr="00C67914">
        <w:rPr>
          <w:rStyle w:val="FootnoteReference"/>
          <w:b/>
          <w:bCs/>
          <w:sz w:val="20"/>
          <w:szCs w:val="20"/>
        </w:rPr>
        <w:footnoteReference w:id="32"/>
      </w:r>
    </w:p>
    <w:p w:rsidR="00C67914" w:rsidRDefault="003F7870" w:rsidP="002A1C0B">
      <w:pPr>
        <w:pStyle w:val="WWBodyText4"/>
        <w:ind w:left="2127"/>
        <w:rPr>
          <w:sz w:val="20"/>
          <w:szCs w:val="20"/>
        </w:rPr>
      </w:pPr>
      <w:r>
        <w:rPr>
          <w:sz w:val="20"/>
          <w:szCs w:val="20"/>
        </w:rPr>
        <w:t>Lorsqu'une partie souhaite acheter un terrain, elle est tenue de conclure avec l'acheteur un contrat de vente et d'achat qui est préparé et rédigé par un notaire. Une fois que le notaire a vérifié l'identité et la capacité judiciaire des parties ainsi que la possession du titre foncier original par le vendeur, le notaire prépare le contrat de vente et d'achat que les parties signent en sa présence.</w:t>
      </w:r>
    </w:p>
    <w:p w:rsidR="00C67914" w:rsidRDefault="003F7870" w:rsidP="002A1C0B">
      <w:pPr>
        <w:pStyle w:val="WWBodyText4"/>
        <w:ind w:left="1276"/>
        <w:rPr>
          <w:b/>
          <w:bCs/>
          <w:sz w:val="20"/>
          <w:szCs w:val="20"/>
        </w:rPr>
      </w:pPr>
      <w:r>
        <w:rPr>
          <w:b/>
          <w:bCs/>
          <w:sz w:val="20"/>
          <w:szCs w:val="20"/>
        </w:rPr>
        <w:t>(iv) Contrats de location</w:t>
      </w:r>
    </w:p>
    <w:p w:rsidR="00C67914" w:rsidRDefault="003F7870" w:rsidP="002A1C0B">
      <w:pPr>
        <w:pStyle w:val="WWBodyText3"/>
        <w:tabs>
          <w:tab w:val="clear" w:pos="3969"/>
          <w:tab w:val="clear" w:pos="4536"/>
          <w:tab w:val="left" w:pos="3915"/>
        </w:tabs>
        <w:ind w:left="2127"/>
      </w:pPr>
      <w:r>
        <w:rPr>
          <w:sz w:val="20"/>
          <w:szCs w:val="20"/>
        </w:rPr>
        <w:t>Le chapitre II, article 44 du Code Foncier prévoit l'emphytéose. L'emphytéose est le droit d'avoir, pendant une période déterminée, la pleine jouissance d'un immeuble appartenant à autrui, avec la charge de le mettre en valeur, de l'entretenir et de payer au propriétaire une redevance en nature ou en argent selon ce qui a été convenu. Une emphytéose ne peut être établie pour une durée inférieure à dix-huit ans. Si elle est accordée pour une période plus courte, elle est réputée nulle et non avenue. L'emphytéose ne peut pas non plus être accordée pour une période supérieure à cinquante ans. Si l'emphytéose est accordée pour une période supérieure à cinquante ans, elle est automatiquement réduite à cette durée.</w:t>
      </w:r>
    </w:p>
    <w:p w:rsidR="005333A7" w:rsidRDefault="003F7870" w:rsidP="007A0E85">
      <w:pPr>
        <w:pStyle w:val="Style2"/>
        <w:outlineLvl w:val="1"/>
      </w:pPr>
      <w:bookmarkStart w:id="51" w:name="_Toc49960910"/>
      <w:bookmarkStart w:id="52" w:name="_Toc52029984"/>
      <w:r>
        <w:t>Propriété coutumière</w:t>
      </w:r>
      <w:bookmarkEnd w:id="51"/>
      <w:bookmarkEnd w:id="52"/>
    </w:p>
    <w:p w:rsidR="000F3811" w:rsidRPr="000F3811" w:rsidRDefault="000F3811" w:rsidP="000F3811">
      <w:pPr>
        <w:pStyle w:val="ListParagraph"/>
        <w:keepNext/>
        <w:numPr>
          <w:ilvl w:val="1"/>
          <w:numId w:val="28"/>
        </w:numPr>
        <w:tabs>
          <w:tab w:val="left" w:pos="-2268"/>
          <w:tab w:val="left" w:pos="0"/>
          <w:tab w:val="left" w:pos="567"/>
        </w:tabs>
        <w:spacing w:after="240" w:line="360" w:lineRule="auto"/>
        <w:contextualSpacing w:val="0"/>
        <w:jc w:val="both"/>
        <w:outlineLvl w:val="1"/>
        <w:rPr>
          <w:rFonts w:eastAsia="Calibri"/>
          <w:b/>
          <w:vanish/>
        </w:rPr>
      </w:pPr>
      <w:bookmarkStart w:id="53" w:name="_Toc52025706"/>
      <w:bookmarkStart w:id="54" w:name="_Toc52026145"/>
      <w:bookmarkStart w:id="55" w:name="_Toc52029985"/>
      <w:bookmarkEnd w:id="53"/>
      <w:bookmarkEnd w:id="54"/>
      <w:bookmarkEnd w:id="55"/>
    </w:p>
    <w:p w:rsidR="00C67914" w:rsidRPr="000F3811" w:rsidRDefault="003F7870" w:rsidP="000F3811">
      <w:pPr>
        <w:pStyle w:val="WWHeading3"/>
        <w:rPr>
          <w:b w:val="0"/>
          <w:bCs/>
        </w:rPr>
      </w:pPr>
      <w:r w:rsidRPr="000F3811">
        <w:rPr>
          <w:rFonts w:eastAsia="Calibri"/>
        </w:rPr>
        <w:t>La propriété coutumière des terres est-</w:t>
      </w:r>
      <w:r w:rsidR="00D30D4C" w:rsidRPr="000F3811">
        <w:rPr>
          <w:rFonts w:eastAsia="Calibri"/>
        </w:rPr>
        <w:t xml:space="preserve">elle légalement reconnue? Dans </w:t>
      </w:r>
      <w:r w:rsidRPr="000F3811">
        <w:rPr>
          <w:rFonts w:eastAsia="Calibri"/>
        </w:rPr>
        <w:t>l'affirmative, sur quelle base la reconnaiss</w:t>
      </w:r>
      <w:r w:rsidR="00FD22DC">
        <w:rPr>
          <w:rFonts w:eastAsia="Calibri"/>
        </w:rPr>
        <w:t xml:space="preserve">ance juridique est-elle fondée </w:t>
      </w:r>
      <w:r w:rsidRPr="000F3811">
        <w:rPr>
          <w:rFonts w:eastAsia="Calibri"/>
        </w:rPr>
        <w:t>(par exemple, constitution, législation Nationale) ?</w:t>
      </w:r>
    </w:p>
    <w:p w:rsidR="00C67914" w:rsidRDefault="003F7870" w:rsidP="002A1C0B">
      <w:pPr>
        <w:pStyle w:val="WWBodyText3"/>
        <w:tabs>
          <w:tab w:val="clear" w:pos="3969"/>
          <w:tab w:val="clear" w:pos="4536"/>
          <w:tab w:val="left" w:pos="3447"/>
          <w:tab w:val="left" w:pos="4014"/>
        </w:tabs>
        <w:ind w:left="2127"/>
      </w:pPr>
      <w:r>
        <w:rPr>
          <w:sz w:val="20"/>
          <w:szCs w:val="20"/>
        </w:rPr>
        <w:t>Oui, le Code Foncier reconnaît tous les droits fonciers réels exercés par toute personne physique ou morale en vertu de la coutume.</w:t>
      </w:r>
      <w:r w:rsidRPr="00C67914">
        <w:rPr>
          <w:rStyle w:val="FootnoteReference"/>
          <w:sz w:val="20"/>
          <w:szCs w:val="20"/>
        </w:rPr>
        <w:footnoteReference w:id="33"/>
      </w:r>
    </w:p>
    <w:p w:rsidR="00271E54" w:rsidRDefault="0092208A" w:rsidP="007A0E85">
      <w:pPr>
        <w:pStyle w:val="Style2"/>
        <w:outlineLvl w:val="1"/>
      </w:pPr>
      <w:bookmarkStart w:id="56" w:name="_Toc52018446"/>
      <w:bookmarkStart w:id="57" w:name="_Toc52018507"/>
      <w:bookmarkStart w:id="58" w:name="_Toc52029986"/>
      <w:bookmarkEnd w:id="56"/>
      <w:bookmarkEnd w:id="57"/>
      <w:r>
        <w:t>Établissements</w:t>
      </w:r>
      <w:r w:rsidR="003F7870">
        <w:t xml:space="preserve"> humains</w:t>
      </w:r>
      <w:bookmarkStart w:id="59" w:name="_Toc49960911"/>
      <w:r w:rsidR="003F7870">
        <w:t xml:space="preserve"> informels</w:t>
      </w:r>
      <w:bookmarkEnd w:id="58"/>
      <w:bookmarkEnd w:id="59"/>
    </w:p>
    <w:p w:rsidR="000F3811" w:rsidRPr="000F3811" w:rsidRDefault="000F3811" w:rsidP="000F3811">
      <w:pPr>
        <w:pStyle w:val="ListParagraph"/>
        <w:keepNext/>
        <w:numPr>
          <w:ilvl w:val="1"/>
          <w:numId w:val="28"/>
        </w:numPr>
        <w:tabs>
          <w:tab w:val="left" w:pos="-2268"/>
          <w:tab w:val="left" w:pos="0"/>
          <w:tab w:val="left" w:pos="567"/>
        </w:tabs>
        <w:spacing w:after="240" w:line="360" w:lineRule="auto"/>
        <w:contextualSpacing w:val="0"/>
        <w:jc w:val="both"/>
        <w:outlineLvl w:val="1"/>
        <w:rPr>
          <w:b/>
          <w:vanish/>
        </w:rPr>
      </w:pPr>
      <w:bookmarkStart w:id="60" w:name="_Toc52025708"/>
      <w:bookmarkStart w:id="61" w:name="_Toc52026147"/>
      <w:bookmarkStart w:id="62" w:name="_Toc52029987"/>
      <w:bookmarkEnd w:id="60"/>
      <w:bookmarkEnd w:id="61"/>
      <w:bookmarkEnd w:id="62"/>
    </w:p>
    <w:p w:rsidR="00C67914" w:rsidRDefault="003F7870" w:rsidP="000F3811">
      <w:pPr>
        <w:pStyle w:val="WWHeading3"/>
      </w:pPr>
      <w:r w:rsidRPr="00271E54">
        <w:t>Quels sont les emplacements et les frontiè</w:t>
      </w:r>
      <w:r w:rsidR="00FD22DC">
        <w:t xml:space="preserve">res des établissements humains </w:t>
      </w:r>
      <w:r w:rsidRPr="00271E54">
        <w:t>informels?</w:t>
      </w:r>
    </w:p>
    <w:p w:rsidR="00C67914" w:rsidRDefault="003F7870" w:rsidP="00271E54">
      <w:pPr>
        <w:pStyle w:val="WWBodyText3"/>
        <w:tabs>
          <w:tab w:val="clear" w:pos="3969"/>
          <w:tab w:val="clear" w:pos="4536"/>
          <w:tab w:val="left" w:pos="3396"/>
          <w:tab w:val="left" w:pos="3963"/>
        </w:tabs>
        <w:ind w:left="2127"/>
      </w:pPr>
      <w:r>
        <w:rPr>
          <w:sz w:val="20"/>
          <w:szCs w:val="20"/>
        </w:rPr>
        <w:t xml:space="preserve">Le Burundi a une très faible  urbanisation; 73% de sa plus grande ville, Bujumbura, est occupée par des logements dont 39% sont des logements informels spontanés. </w:t>
      </w:r>
      <w:r w:rsidRPr="00C67914">
        <w:rPr>
          <w:rStyle w:val="FootnoteReference"/>
          <w:sz w:val="20"/>
          <w:szCs w:val="20"/>
        </w:rPr>
        <w:footnoteReference w:id="34"/>
      </w:r>
      <w:r>
        <w:rPr>
          <w:sz w:val="20"/>
          <w:szCs w:val="20"/>
        </w:rPr>
        <w:t xml:space="preserve">L'habitat informel spontané est visible dans les quartiers périphériques de Bujumbura. </w:t>
      </w:r>
      <w:r w:rsidRPr="00C67914">
        <w:rPr>
          <w:rStyle w:val="FootnoteReference"/>
          <w:sz w:val="20"/>
          <w:szCs w:val="20"/>
        </w:rPr>
        <w:footnoteReference w:id="35"/>
      </w:r>
      <w:r>
        <w:rPr>
          <w:sz w:val="20"/>
          <w:szCs w:val="20"/>
        </w:rPr>
        <w:t xml:space="preserve"> Les habitations informelles existent aussi bien dans les zones urbaines que rurales. Le gouvernement du Burundi effectue régulièrement une enquête; et lorsque des quartiers informels sont établis, ils sont supprimés par le gouvernement.</w:t>
      </w:r>
    </w:p>
    <w:p w:rsidR="00C67914" w:rsidRDefault="003F7870" w:rsidP="00B94C42">
      <w:pPr>
        <w:pStyle w:val="Style3"/>
      </w:pPr>
      <w:r w:rsidRPr="00271E54">
        <w:t>Quels types de régimes d'occupation de</w:t>
      </w:r>
      <w:r w:rsidR="005164DF">
        <w:t xml:space="preserve">s sols sont en place dans les </w:t>
      </w:r>
      <w:r w:rsidRPr="00271E54">
        <w:t xml:space="preserve">établissements </w:t>
      </w:r>
      <w:r w:rsidR="005164DF">
        <w:t xml:space="preserve">humains </w:t>
      </w:r>
      <w:r w:rsidRPr="00271E54">
        <w:t>informels ?</w:t>
      </w:r>
      <w:bookmarkStart w:id="63" w:name="_Toc49960912"/>
      <w:bookmarkStart w:id="64" w:name="_Toc44075829"/>
    </w:p>
    <w:p w:rsidR="00C67914" w:rsidRDefault="003F7870" w:rsidP="00271E54">
      <w:pPr>
        <w:pStyle w:val="WWList3"/>
        <w:tabs>
          <w:tab w:val="clear" w:pos="-3402"/>
          <w:tab w:val="clear" w:pos="-1134"/>
          <w:tab w:val="clear" w:pos="-567"/>
          <w:tab w:val="left" w:pos="3420"/>
          <w:tab w:val="left" w:pos="3987"/>
        </w:tabs>
        <w:ind w:left="2127"/>
        <w:outlineLvl w:val="9"/>
      </w:pPr>
      <w:r>
        <w:rPr>
          <w:sz w:val="20"/>
          <w:szCs w:val="20"/>
        </w:rPr>
        <w:t>Les occupants des établissements humains informels sont considérés comme n'ayant aucun droit ou titre légal d'occuper le terrain. Si l'habitat informel se trouve sur un terrain appartenant à l'État ou à une Collectivité Locale, le droit d'expropriation est utilisé pour expulser les occupants de l'habitat informel ailleurs. Lorsque les quartiers informels se  trouvent sur des terrains privés, les propriétaires peuvent demander au tribunal de prendre un arrêté d'expulsion.</w:t>
      </w:r>
    </w:p>
    <w:p w:rsidR="00C67914" w:rsidRDefault="003F7870" w:rsidP="00271E54">
      <w:pPr>
        <w:pStyle w:val="WWList3"/>
        <w:tabs>
          <w:tab w:val="clear" w:pos="-3402"/>
          <w:tab w:val="clear" w:pos="-1134"/>
          <w:tab w:val="clear" w:pos="-567"/>
          <w:tab w:val="left" w:pos="3439"/>
          <w:tab w:val="left" w:pos="4006"/>
        </w:tabs>
        <w:ind w:left="2127"/>
        <w:outlineLvl w:val="9"/>
      </w:pPr>
      <w:r>
        <w:rPr>
          <w:sz w:val="20"/>
          <w:szCs w:val="20"/>
        </w:rPr>
        <w:t>Toutefois, les litiges relatifs aux terres concernant les victimes de la guerre civile à des tiers ou à des services publics ou privés sont gérés par la Commission Nationale des Terres et autres Biens ("</w:t>
      </w:r>
      <w:r>
        <w:rPr>
          <w:b/>
          <w:sz w:val="20"/>
          <w:szCs w:val="20"/>
        </w:rPr>
        <w:t>CNTB</w:t>
      </w:r>
      <w:r>
        <w:rPr>
          <w:sz w:val="20"/>
          <w:szCs w:val="20"/>
        </w:rPr>
        <w:t>")</w:t>
      </w:r>
      <w:r w:rsidRPr="00C67914">
        <w:rPr>
          <w:rStyle w:val="FootnoteReference"/>
          <w:sz w:val="20"/>
          <w:szCs w:val="20"/>
        </w:rPr>
        <w:footnoteReference w:id="36"/>
      </w:r>
      <w:r>
        <w:rPr>
          <w:sz w:val="20"/>
          <w:szCs w:val="20"/>
        </w:rPr>
        <w:t>.</w:t>
      </w:r>
    </w:p>
    <w:p w:rsidR="009573FE" w:rsidRDefault="003F7870" w:rsidP="00DE7B79">
      <w:pPr>
        <w:pStyle w:val="Heading11"/>
      </w:pPr>
      <w:bookmarkStart w:id="65" w:name="_Toc52029988"/>
      <w:r>
        <w:t>Sécurité d'occupation des groupes vulnérables</w:t>
      </w:r>
      <w:bookmarkEnd w:id="63"/>
      <w:bookmarkEnd w:id="64"/>
      <w:bookmarkEnd w:id="65"/>
    </w:p>
    <w:p w:rsidR="000F3811" w:rsidRPr="000F3811" w:rsidRDefault="000F3811" w:rsidP="000F3811">
      <w:pPr>
        <w:pStyle w:val="ListParagraph"/>
        <w:numPr>
          <w:ilvl w:val="0"/>
          <w:numId w:val="16"/>
        </w:numPr>
        <w:tabs>
          <w:tab w:val="left" w:pos="709"/>
        </w:tabs>
        <w:spacing w:after="240" w:line="360" w:lineRule="auto"/>
        <w:contextualSpacing w:val="0"/>
        <w:jc w:val="both"/>
        <w:outlineLvl w:val="1"/>
        <w:rPr>
          <w:b/>
          <w:bCs/>
          <w:vanish/>
        </w:rPr>
      </w:pPr>
      <w:bookmarkStart w:id="66" w:name="_Toc52025710"/>
      <w:bookmarkStart w:id="67" w:name="_Toc52026149"/>
      <w:bookmarkStart w:id="68" w:name="_Toc52029989"/>
      <w:bookmarkEnd w:id="66"/>
      <w:bookmarkEnd w:id="67"/>
      <w:bookmarkEnd w:id="68"/>
    </w:p>
    <w:p w:rsidR="009573FE" w:rsidRPr="009573FE" w:rsidRDefault="003F7870" w:rsidP="00775A6B">
      <w:pPr>
        <w:pStyle w:val="Style2"/>
        <w:outlineLvl w:val="1"/>
      </w:pPr>
      <w:bookmarkStart w:id="69" w:name="_Toc52029990"/>
      <w:r>
        <w:t>Les f</w:t>
      </w:r>
      <w:bookmarkStart w:id="70" w:name="_Toc49960913"/>
      <w:r>
        <w:t>emmes</w:t>
      </w:r>
      <w:bookmarkEnd w:id="69"/>
      <w:bookmarkEnd w:id="70"/>
    </w:p>
    <w:p w:rsidR="00C67914" w:rsidRPr="009573FE" w:rsidRDefault="003F7870" w:rsidP="00B94C42">
      <w:pPr>
        <w:pStyle w:val="Style3"/>
      </w:pPr>
      <w:r w:rsidRPr="009573FE">
        <w:t>Les femmes peuvent-elles légalement posséder, louer ou hériter des terres et des logements?</w:t>
      </w:r>
    </w:p>
    <w:p w:rsidR="00C67914" w:rsidRDefault="003F7870" w:rsidP="009573FE">
      <w:pPr>
        <w:pStyle w:val="WWBodyText3"/>
        <w:tabs>
          <w:tab w:val="clear" w:pos="3969"/>
          <w:tab w:val="clear" w:pos="4536"/>
          <w:tab w:val="left" w:pos="3400"/>
          <w:tab w:val="left" w:pos="3967"/>
        </w:tabs>
        <w:ind w:left="2127"/>
      </w:pPr>
      <w:r>
        <w:rPr>
          <w:sz w:val="20"/>
          <w:szCs w:val="20"/>
        </w:rPr>
        <w:t>La Constitution accorde à toute personne le droit à la propriété et stipule que "</w:t>
      </w:r>
      <w:r>
        <w:rPr>
          <w:i/>
          <w:sz w:val="20"/>
          <w:szCs w:val="20"/>
        </w:rPr>
        <w:t>Nul ne peut être privé de sa propriété, sauf pour cause d'utilité publique</w:t>
      </w:r>
      <w:r>
        <w:rPr>
          <w:sz w:val="20"/>
          <w:szCs w:val="20"/>
        </w:rPr>
        <w:t>".</w:t>
      </w:r>
      <w:r w:rsidRPr="00C67914">
        <w:rPr>
          <w:rStyle w:val="FootnoteReference"/>
          <w:sz w:val="20"/>
          <w:szCs w:val="20"/>
        </w:rPr>
        <w:footnoteReference w:id="37"/>
      </w:r>
      <w:r>
        <w:rPr>
          <w:sz w:val="20"/>
          <w:szCs w:val="20"/>
        </w:rPr>
        <w:t xml:space="preserve"> Le Code Foncier accorde également à toute personne physique ou morale tous les droits définis par le Code Foncier sans aucune discrimination.</w:t>
      </w:r>
      <w:r w:rsidRPr="00C67914">
        <w:rPr>
          <w:rStyle w:val="FootnoteReference"/>
          <w:sz w:val="20"/>
          <w:szCs w:val="20"/>
        </w:rPr>
        <w:footnoteReference w:id="38"/>
      </w:r>
    </w:p>
    <w:p w:rsidR="00C67914" w:rsidRPr="009573FE" w:rsidRDefault="003F7870" w:rsidP="00B94C42">
      <w:pPr>
        <w:pStyle w:val="Style3"/>
      </w:pPr>
      <w:r w:rsidRPr="009573FE">
        <w:t>En pratique, le font-elles? Si ce n'est pas le cas, pourquoi?</w:t>
      </w:r>
    </w:p>
    <w:p w:rsidR="00C67914" w:rsidRDefault="003F7870" w:rsidP="009573FE">
      <w:pPr>
        <w:pStyle w:val="WWBodyText3"/>
        <w:tabs>
          <w:tab w:val="clear" w:pos="3969"/>
          <w:tab w:val="clear" w:pos="4536"/>
          <w:tab w:val="left" w:pos="3400"/>
          <w:tab w:val="left" w:pos="3967"/>
        </w:tabs>
        <w:ind w:left="2127"/>
      </w:pPr>
      <w:r>
        <w:rPr>
          <w:sz w:val="20"/>
          <w:szCs w:val="20"/>
        </w:rPr>
        <w:t>Les coutumes culturelles au Burundi restent très répandues, l'héritage est réservé de père en fils et les femmes sont donc souvent victimes de la famille de leur défunt mari ou de frères qui revendiquent la terre comme leur propriété ou la prennent par la force.</w:t>
      </w:r>
      <w:r w:rsidRPr="00C67914">
        <w:rPr>
          <w:rStyle w:val="FootnoteReference"/>
          <w:sz w:val="20"/>
          <w:szCs w:val="20"/>
        </w:rPr>
        <w:footnoteReference w:id="39"/>
      </w:r>
      <w:r>
        <w:rPr>
          <w:sz w:val="20"/>
          <w:szCs w:val="20"/>
        </w:rPr>
        <w:t>Les veuves n'héritent p</w:t>
      </w:r>
      <w:bookmarkStart w:id="71" w:name="_GoBack"/>
      <w:bookmarkEnd w:id="71"/>
      <w:r>
        <w:rPr>
          <w:sz w:val="20"/>
          <w:szCs w:val="20"/>
        </w:rPr>
        <w:t xml:space="preserve">as elles-mêmes de la terre de leur défunt mari; elles sont tenues de surveiller l'héritage de leur fils mâle, ou  </w:t>
      </w:r>
      <w:r>
        <w:rPr>
          <w:i/>
          <w:sz w:val="20"/>
          <w:szCs w:val="20"/>
        </w:rPr>
        <w:t>samuragwa</w:t>
      </w:r>
      <w:r>
        <w:rPr>
          <w:sz w:val="20"/>
          <w:szCs w:val="20"/>
        </w:rPr>
        <w:t>. Les veuves sont  souvent soumises à un conseil de famille de leur belle-famille, qui décide ensuite du sort de la terre. De nombreuses veuves retournent chez leurs parents, en particulier celles qui n'ont pas eu d'enfants avec leur défunt mari ou qui ont décidé d'en avoir avec un autre homme après le décès de leur ancien mari.</w:t>
      </w:r>
      <w:r w:rsidRPr="00C67914">
        <w:rPr>
          <w:rStyle w:val="FootnoteReference"/>
          <w:sz w:val="20"/>
          <w:szCs w:val="20"/>
        </w:rPr>
        <w:footnoteReference w:id="40"/>
      </w:r>
    </w:p>
    <w:p w:rsidR="00C67914" w:rsidRDefault="003F7870" w:rsidP="00775A6B">
      <w:pPr>
        <w:pStyle w:val="Style2"/>
        <w:outlineLvl w:val="1"/>
      </w:pPr>
      <w:bookmarkStart w:id="72" w:name="_Toc52029991"/>
      <w:r>
        <w:t>L</w:t>
      </w:r>
      <w:bookmarkStart w:id="73" w:name="_Toc49960914"/>
      <w:r>
        <w:t>es peuples indigènes</w:t>
      </w:r>
      <w:bookmarkEnd w:id="72"/>
      <w:bookmarkEnd w:id="73"/>
    </w:p>
    <w:p w:rsidR="009573FE" w:rsidRPr="009573FE" w:rsidRDefault="009573FE" w:rsidP="009573FE">
      <w:pPr>
        <w:pStyle w:val="ListParagraph"/>
        <w:keepNext/>
        <w:numPr>
          <w:ilvl w:val="1"/>
          <w:numId w:val="1"/>
        </w:numPr>
        <w:tabs>
          <w:tab w:val="left" w:pos="-2268"/>
          <w:tab w:val="left" w:pos="0"/>
          <w:tab w:val="left" w:pos="567"/>
        </w:tabs>
        <w:spacing w:after="240" w:line="360" w:lineRule="auto"/>
        <w:contextualSpacing w:val="0"/>
        <w:jc w:val="both"/>
        <w:outlineLvl w:val="1"/>
        <w:rPr>
          <w:b/>
          <w:vanish/>
        </w:rPr>
      </w:pPr>
      <w:bookmarkStart w:id="74" w:name="_Toc52018457"/>
      <w:bookmarkStart w:id="75" w:name="_Toc52018512"/>
      <w:bookmarkEnd w:id="74"/>
      <w:bookmarkEnd w:id="75"/>
    </w:p>
    <w:p w:rsidR="00C67914" w:rsidRPr="009573FE" w:rsidRDefault="003F7870" w:rsidP="00B94C42">
      <w:pPr>
        <w:pStyle w:val="Style3"/>
      </w:pPr>
      <w:r w:rsidRPr="009573FE">
        <w:t>La propriété (ou la garde) coutumière autochtone des terres est-elle légalement reconnue?</w:t>
      </w:r>
    </w:p>
    <w:p w:rsidR="00C67914" w:rsidRDefault="003F7870" w:rsidP="003E3ADB">
      <w:pPr>
        <w:pStyle w:val="WWBodyText3"/>
        <w:tabs>
          <w:tab w:val="clear" w:pos="3969"/>
          <w:tab w:val="clear" w:pos="4536"/>
          <w:tab w:val="left" w:pos="3391"/>
          <w:tab w:val="left" w:pos="3958"/>
        </w:tabs>
        <w:ind w:left="2127"/>
      </w:pPr>
      <w:r>
        <w:rPr>
          <w:sz w:val="20"/>
          <w:szCs w:val="20"/>
        </w:rPr>
        <w:t>Oui, le Code Foncier reconnaît tous les droits fonciers réels exercés par toute personne physique ou morale en vertu de la coutume.</w:t>
      </w:r>
      <w:r w:rsidRPr="00C67914">
        <w:rPr>
          <w:rStyle w:val="FootnoteReference"/>
          <w:sz w:val="20"/>
          <w:szCs w:val="20"/>
        </w:rPr>
        <w:footnoteReference w:id="41"/>
      </w:r>
    </w:p>
    <w:p w:rsidR="00C67914" w:rsidRPr="003E3ADB" w:rsidRDefault="003F7870" w:rsidP="00B94C42">
      <w:pPr>
        <w:pStyle w:val="Style3"/>
      </w:pPr>
      <w:r w:rsidRPr="003E3ADB">
        <w:t>La propriété coutumière offre-t-elle aux populations autochtones un degré élevé de sécurité d'occupation?</w:t>
      </w:r>
    </w:p>
    <w:p w:rsidR="00C67914" w:rsidRDefault="003F7870" w:rsidP="003E3ADB">
      <w:pPr>
        <w:pStyle w:val="WWBodyText3"/>
        <w:tabs>
          <w:tab w:val="clear" w:pos="3969"/>
          <w:tab w:val="clear" w:pos="4536"/>
          <w:tab w:val="left" w:pos="3400"/>
          <w:tab w:val="left" w:pos="3967"/>
        </w:tabs>
        <w:ind w:left="2127"/>
        <w:rPr>
          <w:sz w:val="20"/>
          <w:szCs w:val="20"/>
        </w:rPr>
      </w:pPr>
      <w:r>
        <w:rPr>
          <w:sz w:val="20"/>
          <w:szCs w:val="20"/>
        </w:rPr>
        <w:t>Non, en raison des déplacements importants causés par la guerre civile, de nombreux réfugiés de retour ont perdu et cherchent à récupérer leurs terres coutumières, tandis que les occupants secondaires qui se sont installés sur des terres abandonnées cherchent à en conserver le titre. Bien que tous deux soient également indigènes, aucun des deux n'a un degré élevé d'occupation lorsque la terre en litige n'a pas été officiellement enregistrée.</w:t>
      </w:r>
    </w:p>
    <w:p w:rsidR="00C67914" w:rsidRPr="003E3ADB" w:rsidRDefault="003F7870" w:rsidP="00B94C42">
      <w:pPr>
        <w:pStyle w:val="Style3"/>
      </w:pPr>
      <w:r w:rsidRPr="003E3ADB">
        <w:t>Sinon, quels sont les obstacles qui empêchent les populations indigènes de posséder et/ou de vivre sur leurs terres?</w:t>
      </w:r>
    </w:p>
    <w:p w:rsidR="00C67914" w:rsidRDefault="003F7870" w:rsidP="003E3ADB">
      <w:pPr>
        <w:pStyle w:val="WWBodyText3"/>
        <w:tabs>
          <w:tab w:val="clear" w:pos="3969"/>
          <w:tab w:val="clear" w:pos="4536"/>
          <w:tab w:val="left" w:pos="3371"/>
          <w:tab w:val="left" w:pos="3938"/>
        </w:tabs>
        <w:ind w:left="2127"/>
        <w:rPr>
          <w:sz w:val="20"/>
          <w:szCs w:val="20"/>
        </w:rPr>
      </w:pPr>
      <w:r>
        <w:rPr>
          <w:sz w:val="20"/>
          <w:szCs w:val="20"/>
        </w:rPr>
        <w:t>Les populations indigènes qui ont été forcées de fuir le Burundi en raison de la guerre civile ont été contraintes d'abandonner leurs terres, leurs maisons et leur bétail. Lorsqu'ils sont retournés au Burundi, leurs terres se sont avérées être occupées par des occupants secondaires qui ont quitté d'autres régions du Burundi.</w:t>
      </w:r>
    </w:p>
    <w:p w:rsidR="00C67914" w:rsidRDefault="003F7870" w:rsidP="003E3ADB">
      <w:pPr>
        <w:pStyle w:val="WWBodyText3"/>
        <w:tabs>
          <w:tab w:val="clear" w:pos="3969"/>
          <w:tab w:val="clear" w:pos="4536"/>
          <w:tab w:val="left" w:pos="3391"/>
          <w:tab w:val="left" w:pos="3958"/>
        </w:tabs>
        <w:ind w:left="2127"/>
        <w:rPr>
          <w:sz w:val="20"/>
          <w:szCs w:val="20"/>
        </w:rPr>
      </w:pPr>
      <w:r>
        <w:rPr>
          <w:sz w:val="20"/>
          <w:szCs w:val="20"/>
        </w:rPr>
        <w:t>Pour aggraver les problèmes liés aux litiges fonciers, la plupart des terres rurales  n'ont pas été officiellement enregistrées. Les terres rurales ont traditionnellement été administrées selon le droit coutumier, l'enregistrement officiel des terres restant hors de portée en raison des coûts élevés qu'il implique.</w:t>
      </w:r>
    </w:p>
    <w:p w:rsidR="00C67914" w:rsidRPr="003E3ADB" w:rsidRDefault="003F7870" w:rsidP="00B94C42">
      <w:pPr>
        <w:pStyle w:val="Style3"/>
      </w:pPr>
      <w:r w:rsidRPr="003E3ADB">
        <w:t>Y a-t-il des conflits entre les groupes indigènes concernant la propriété des terres? Si oui, dans quelle mesure? Existe-t-il des mécanismes pour résoudre ces conflits?</w:t>
      </w:r>
    </w:p>
    <w:p w:rsidR="00C67914" w:rsidRDefault="00764825" w:rsidP="003E3ADB">
      <w:pPr>
        <w:pStyle w:val="WWBodyText3"/>
        <w:tabs>
          <w:tab w:val="clear" w:pos="3969"/>
          <w:tab w:val="clear" w:pos="4536"/>
          <w:tab w:val="left" w:pos="3420"/>
          <w:tab w:val="left" w:pos="3987"/>
        </w:tabs>
        <w:ind w:left="2127"/>
      </w:pPr>
      <w:r>
        <w:rPr>
          <w:sz w:val="20"/>
          <w:szCs w:val="20"/>
        </w:rPr>
        <w:t xml:space="preserve">La principale source de conflit au Burundi se situe entre les personnes indigènes, c'est-à-dire les réfugiés qui sont rentrés au Burundi, et les personnes déplacées à l'intérieur du pays, qui concerne la propriété foncière. </w:t>
      </w:r>
      <w:r w:rsidR="003F7870">
        <w:rPr>
          <w:sz w:val="20"/>
          <w:szCs w:val="20"/>
        </w:rPr>
        <w:t>Les rapatriés, qui sont revenus sur leurs terres d'origine après la conclusion de l'accord de paix d'Arusha, y ont constamment trouvé des occupants secondaires.</w:t>
      </w:r>
      <w:r w:rsidR="003F7870" w:rsidRPr="00C67914">
        <w:rPr>
          <w:rStyle w:val="FootnoteReference"/>
          <w:sz w:val="20"/>
          <w:szCs w:val="20"/>
        </w:rPr>
        <w:footnoteReference w:id="42"/>
      </w:r>
      <w:r w:rsidR="003F7870">
        <w:rPr>
          <w:sz w:val="20"/>
          <w:szCs w:val="20"/>
        </w:rPr>
        <w:t xml:space="preserve"> Les conflits surgissent alors car les rapatriés et les occupants secondaires sont souvent d'ethnies différentes.</w:t>
      </w:r>
      <w:r w:rsidR="003F7870" w:rsidRPr="00C67914">
        <w:rPr>
          <w:rStyle w:val="FootnoteReference"/>
          <w:sz w:val="20"/>
          <w:szCs w:val="20"/>
        </w:rPr>
        <w:footnoteReference w:id="43"/>
      </w:r>
    </w:p>
    <w:p w:rsidR="00C67914" w:rsidRDefault="003F7870" w:rsidP="003E3ADB">
      <w:pPr>
        <w:pStyle w:val="WWBodyText3"/>
        <w:tabs>
          <w:tab w:val="clear" w:pos="3969"/>
          <w:tab w:val="clear" w:pos="4536"/>
          <w:tab w:val="left" w:pos="3468"/>
          <w:tab w:val="left" w:pos="4035"/>
        </w:tabs>
        <w:ind w:left="2127"/>
      </w:pPr>
      <w:r>
        <w:rPr>
          <w:sz w:val="20"/>
          <w:szCs w:val="20"/>
        </w:rPr>
        <w:t xml:space="preserve">Le Burundi dispose de trois catégories de règlement des litiges en matière de litiges fonciers, à savoir les mécanismes juridictionnels traditionnels, les mécanismes alternatifs et les mécanismes spéciaux. </w:t>
      </w:r>
      <w:r w:rsidRPr="00C67914">
        <w:rPr>
          <w:rStyle w:val="FootnoteReference"/>
          <w:sz w:val="20"/>
          <w:szCs w:val="20"/>
        </w:rPr>
        <w:footnoteReference w:id="44"/>
      </w:r>
      <w:r>
        <w:rPr>
          <w:rStyle w:val="FootnoteReference"/>
          <w:sz w:val="20"/>
          <w:szCs w:val="20"/>
        </w:rPr>
        <w:t xml:space="preserve"> </w:t>
      </w:r>
      <w:r>
        <w:rPr>
          <w:sz w:val="20"/>
          <w:szCs w:val="20"/>
        </w:rPr>
        <w:t>Les mécanismes juridictionnels traditionnels résultent  de l'intervention des tribunaux compétents, qui sont généralement des cours et tribunaux burundais.</w:t>
      </w:r>
      <w:r w:rsidRPr="00C67914">
        <w:rPr>
          <w:rStyle w:val="FootnoteReference"/>
          <w:sz w:val="20"/>
          <w:szCs w:val="20"/>
        </w:rPr>
        <w:footnoteReference w:id="45"/>
      </w:r>
      <w:r>
        <w:rPr>
          <w:sz w:val="20"/>
          <w:szCs w:val="20"/>
        </w:rPr>
        <w:t>Lorsque les  parties en conflit conviennent d'utiliser des moyens locaux non juridictionnels, des</w:t>
      </w:r>
      <w:r>
        <w:rPr>
          <w:szCs w:val="22"/>
        </w:rPr>
        <w:t xml:space="preserve"> </w:t>
      </w:r>
      <w:r>
        <w:rPr>
          <w:sz w:val="20"/>
          <w:szCs w:val="20"/>
        </w:rPr>
        <w:t>mécanismes alternatifs de résolution des co</w:t>
      </w:r>
      <w:r w:rsidR="005164DF">
        <w:rPr>
          <w:sz w:val="20"/>
          <w:szCs w:val="20"/>
        </w:rPr>
        <w:t xml:space="preserve">nflits fonciers sont utilisés, </w:t>
      </w:r>
      <w:r>
        <w:rPr>
          <w:sz w:val="20"/>
          <w:szCs w:val="20"/>
        </w:rPr>
        <w:t xml:space="preserve">qui incluent les  organisations de la Société Civile et les  </w:t>
      </w:r>
      <w:r>
        <w:rPr>
          <w:i/>
          <w:sz w:val="20"/>
          <w:szCs w:val="20"/>
        </w:rPr>
        <w:t>bashingantahe</w:t>
      </w:r>
      <w:r>
        <w:rPr>
          <w:sz w:val="20"/>
          <w:szCs w:val="20"/>
        </w:rPr>
        <w:t>.</w:t>
      </w:r>
      <w:r w:rsidRPr="00C67914">
        <w:rPr>
          <w:rStyle w:val="FootnoteReference"/>
          <w:sz w:val="20"/>
          <w:szCs w:val="20"/>
        </w:rPr>
        <w:footnoteReference w:id="46"/>
      </w:r>
    </w:p>
    <w:p w:rsidR="00C67914" w:rsidRDefault="003F7870" w:rsidP="003E3ADB">
      <w:pPr>
        <w:pStyle w:val="WWBodyText3"/>
        <w:tabs>
          <w:tab w:val="clear" w:pos="3969"/>
          <w:tab w:val="clear" w:pos="4536"/>
          <w:tab w:val="left" w:pos="3439"/>
          <w:tab w:val="left" w:pos="4006"/>
        </w:tabs>
        <w:ind w:left="2127"/>
      </w:pPr>
      <w:r>
        <w:rPr>
          <w:sz w:val="20"/>
          <w:szCs w:val="20"/>
        </w:rPr>
        <w:t>Parmi les mécanismes spéciaux de règlement des litiges fonciers, on trouve la Commission Nationale des Terres et autres Biens ("</w:t>
      </w:r>
      <w:r>
        <w:rPr>
          <w:b/>
          <w:sz w:val="20"/>
          <w:szCs w:val="20"/>
        </w:rPr>
        <w:t>CNTB</w:t>
      </w:r>
      <w:r>
        <w:rPr>
          <w:sz w:val="20"/>
          <w:szCs w:val="20"/>
        </w:rPr>
        <w:t>"), qui a été créée en 2006 afin de servir de médiateur dans les litiges fonciers et immobiliers causés par la violence politique depuis l'indépendance du Burundi.</w:t>
      </w:r>
      <w:r w:rsidRPr="00C67914">
        <w:rPr>
          <w:rStyle w:val="FootnoteReference"/>
          <w:sz w:val="20"/>
          <w:szCs w:val="20"/>
        </w:rPr>
        <w:footnoteReference w:id="47"/>
      </w:r>
      <w:r>
        <w:rPr>
          <w:sz w:val="20"/>
          <w:szCs w:val="20"/>
        </w:rPr>
        <w:t xml:space="preserve"> Dans les années qui ont suivi sa création, la CNTB a acquis des pouvoirs juridiques et politiques plus importants. La CNTB a été dotée de la capacité juridique d'exécuter ses propres décisions sans attendre les décisions des tribunaux, ce qui signifie que les décisions de la CNTB sont décisives pour les parties concernées, étant donné que les parties précédentes avaient refusé ses décisions lorsqu'elles n'étaient pas</w:t>
      </w:r>
      <w:r>
        <w:rPr>
          <w:szCs w:val="22"/>
        </w:rPr>
        <w:t xml:space="preserve"> </w:t>
      </w:r>
      <w:r>
        <w:rPr>
          <w:sz w:val="20"/>
          <w:szCs w:val="20"/>
        </w:rPr>
        <w:t>favorables.</w:t>
      </w:r>
      <w:r w:rsidRPr="00C67914">
        <w:rPr>
          <w:rStyle w:val="FootnoteReference"/>
          <w:sz w:val="20"/>
          <w:szCs w:val="20"/>
        </w:rPr>
        <w:footnoteReference w:id="48"/>
      </w:r>
      <w:r>
        <w:rPr>
          <w:sz w:val="20"/>
          <w:szCs w:val="20"/>
        </w:rPr>
        <w:t xml:space="preserve"> L'autorité de la CNTB a encore été renforcée par la révision de la loi en 2011, où elle a été transférée de la juridiction du Premier </w:t>
      </w:r>
      <w:r w:rsidR="00764825">
        <w:rPr>
          <w:sz w:val="20"/>
          <w:szCs w:val="20"/>
        </w:rPr>
        <w:t>Vice-président</w:t>
      </w:r>
      <w:r>
        <w:rPr>
          <w:sz w:val="20"/>
          <w:szCs w:val="20"/>
        </w:rPr>
        <w:t xml:space="preserve"> à celle du Président.</w:t>
      </w:r>
      <w:r w:rsidRPr="00C67914">
        <w:rPr>
          <w:rStyle w:val="FootnoteReference"/>
          <w:sz w:val="20"/>
          <w:szCs w:val="20"/>
        </w:rPr>
        <w:footnoteReference w:id="49"/>
      </w:r>
    </w:p>
    <w:p w:rsidR="00C67914" w:rsidRDefault="003F7870" w:rsidP="003E3ADB">
      <w:pPr>
        <w:pStyle w:val="WWBodyText3"/>
        <w:tabs>
          <w:tab w:val="clear" w:pos="3969"/>
          <w:tab w:val="clear" w:pos="4536"/>
          <w:tab w:val="left" w:pos="3439"/>
          <w:tab w:val="left" w:pos="4006"/>
        </w:tabs>
        <w:ind w:left="2127"/>
      </w:pPr>
      <w:r>
        <w:rPr>
          <w:sz w:val="20"/>
          <w:szCs w:val="20"/>
        </w:rPr>
        <w:t xml:space="preserve">Les conflits au niveau des villages sont réglés par des institutions coutumières connues sous le nom de </w:t>
      </w:r>
      <w:r>
        <w:rPr>
          <w:i/>
          <w:sz w:val="20"/>
          <w:szCs w:val="20"/>
        </w:rPr>
        <w:t>Bashingantahe</w:t>
      </w:r>
      <w:r>
        <w:rPr>
          <w:sz w:val="20"/>
          <w:szCs w:val="20"/>
        </w:rPr>
        <w:t>.</w:t>
      </w:r>
      <w:r w:rsidRPr="00C67914">
        <w:rPr>
          <w:rStyle w:val="FootnoteReference"/>
          <w:sz w:val="20"/>
          <w:szCs w:val="20"/>
        </w:rPr>
        <w:footnoteReference w:id="50"/>
      </w:r>
    </w:p>
    <w:p w:rsidR="00C67914" w:rsidRDefault="003F7870" w:rsidP="00B42AF1">
      <w:pPr>
        <w:pStyle w:val="WWHeading2"/>
        <w:rPr>
          <w:bCs/>
        </w:rPr>
      </w:pPr>
      <w:bookmarkStart w:id="76" w:name="_Toc49960915"/>
      <w:bookmarkStart w:id="77" w:name="_Toc52029992"/>
      <w:r>
        <w:rPr>
          <w:bCs/>
        </w:rPr>
        <w:t>Groupes minoritaires</w:t>
      </w:r>
      <w:bookmarkEnd w:id="76"/>
      <w:bookmarkEnd w:id="77"/>
    </w:p>
    <w:p w:rsidR="00C67914" w:rsidRPr="003E3ADB" w:rsidRDefault="003F7870" w:rsidP="00946646">
      <w:pPr>
        <w:pStyle w:val="Style3"/>
      </w:pPr>
      <w:r w:rsidRPr="003E3ADB">
        <w:rPr>
          <w:rFonts w:eastAsia="Calibri"/>
        </w:rPr>
        <w:t>Les groupes minoritaires (c'est-à-dire les minorités ethniques, les immigrants, les apatrides) peuvent-ils légalement posséder et/ou louer des terres et des logements?</w:t>
      </w:r>
    </w:p>
    <w:p w:rsidR="00C67914" w:rsidRDefault="003F7870" w:rsidP="003E3ADB">
      <w:pPr>
        <w:pStyle w:val="WWBodyText3"/>
        <w:tabs>
          <w:tab w:val="clear" w:pos="3969"/>
          <w:tab w:val="clear" w:pos="4536"/>
          <w:tab w:val="left" w:pos="3478"/>
          <w:tab w:val="left" w:pos="4045"/>
        </w:tabs>
        <w:ind w:left="2127"/>
      </w:pPr>
      <w:r>
        <w:rPr>
          <w:sz w:val="20"/>
          <w:szCs w:val="20"/>
        </w:rPr>
        <w:t xml:space="preserve">Selon l'article 13 de la Constitution, </w:t>
      </w:r>
      <w:r w:rsidRPr="00C67914">
        <w:rPr>
          <w:rStyle w:val="FootnoteReference"/>
          <w:sz w:val="20"/>
          <w:szCs w:val="20"/>
        </w:rPr>
        <w:footnoteReference w:id="51"/>
      </w:r>
      <w:r>
        <w:rPr>
          <w:sz w:val="20"/>
          <w:szCs w:val="20"/>
        </w:rPr>
        <w:t xml:space="preserve"> tous les burundais sont égaux en droit et bénéficient de tous les droits et protections qui en découlent. Cependant, l'article 13 de la Constitution n'est applicable qu'aux citoyens burundais et, par conséquent, seuls les citoyens burundais bénéficient des droits et protections offerts par la loi.</w:t>
      </w:r>
    </w:p>
    <w:p w:rsidR="00C67914" w:rsidRDefault="003F7870" w:rsidP="003E3ADB">
      <w:pPr>
        <w:pStyle w:val="WWBodyText3"/>
        <w:tabs>
          <w:tab w:val="clear" w:pos="3969"/>
          <w:tab w:val="clear" w:pos="4536"/>
          <w:tab w:val="left" w:pos="3478"/>
          <w:tab w:val="left" w:pos="4045"/>
        </w:tabs>
        <w:ind w:left="2127"/>
        <w:rPr>
          <w:sz w:val="20"/>
          <w:szCs w:val="20"/>
        </w:rPr>
      </w:pPr>
      <w:r>
        <w:rPr>
          <w:sz w:val="20"/>
          <w:szCs w:val="20"/>
        </w:rPr>
        <w:t>L'article 22 de la Constitution stipule en outre que tous les citoyens sont égaux devant la loi, ce qui leur assure une protection égale et que personne ne peut être la cible d'une discrimination, y compris sur la base de l'appartenance ethnique.</w:t>
      </w:r>
    </w:p>
    <w:p w:rsidR="00C67914" w:rsidRDefault="003F7870" w:rsidP="003E3ADB">
      <w:pPr>
        <w:pStyle w:val="WWBodyText3"/>
        <w:tabs>
          <w:tab w:val="clear" w:pos="3969"/>
          <w:tab w:val="clear" w:pos="4536"/>
          <w:tab w:val="left" w:pos="1268"/>
          <w:tab w:val="left" w:pos="3497"/>
          <w:tab w:val="left" w:pos="4064"/>
        </w:tabs>
        <w:ind w:left="2127"/>
      </w:pPr>
      <w:r>
        <w:rPr>
          <w:sz w:val="20"/>
          <w:szCs w:val="20"/>
        </w:rPr>
        <w:t>Cependant, l'article 36 de la Constitution stipule que "</w:t>
      </w:r>
      <w:r>
        <w:rPr>
          <w:i/>
          <w:sz w:val="20"/>
          <w:szCs w:val="20"/>
        </w:rPr>
        <w:t>toute personne</w:t>
      </w:r>
      <w:r>
        <w:rPr>
          <w:sz w:val="20"/>
          <w:szCs w:val="20"/>
        </w:rPr>
        <w:t>" a droit à la propriété.</w:t>
      </w:r>
      <w:r w:rsidRPr="00C67914">
        <w:rPr>
          <w:rStyle w:val="FootnoteReference"/>
          <w:sz w:val="20"/>
          <w:szCs w:val="20"/>
        </w:rPr>
        <w:footnoteReference w:id="52"/>
      </w:r>
      <w:r>
        <w:rPr>
          <w:sz w:val="20"/>
          <w:szCs w:val="20"/>
        </w:rPr>
        <w:t>L'article 36 stipule en outre que nul ne peut être privé de sa propriété, sauf pour cause d'utilité publique, selon le cas et les modalités fixés par la loi et au</w:t>
      </w:r>
      <w:r>
        <w:t xml:space="preserve"> </w:t>
      </w:r>
      <w:r>
        <w:rPr>
          <w:sz w:val="20"/>
          <w:szCs w:val="20"/>
        </w:rPr>
        <w:t>moyen d'une indemnité juste et préalable ou en exécution d'une décision judiciaire.</w:t>
      </w:r>
      <w:r w:rsidRPr="00C67914">
        <w:rPr>
          <w:rStyle w:val="FootnoteReference"/>
          <w:sz w:val="20"/>
          <w:szCs w:val="20"/>
        </w:rPr>
        <w:footnoteReference w:id="53"/>
      </w:r>
      <w:r>
        <w:rPr>
          <w:sz w:val="20"/>
          <w:szCs w:val="20"/>
        </w:rPr>
        <w:t>Par l'inclusion de "</w:t>
      </w:r>
      <w:r>
        <w:rPr>
          <w:i/>
          <w:sz w:val="20"/>
          <w:szCs w:val="20"/>
        </w:rPr>
        <w:t>toute personne</w:t>
      </w:r>
      <w:r>
        <w:rPr>
          <w:sz w:val="20"/>
          <w:szCs w:val="20"/>
        </w:rPr>
        <w:t>" dans la clause de propriété, il semblerait que le droit à la propriété soit étendu à ceux qui ne sont pas spécifiquement citoyens burundais.</w:t>
      </w:r>
    </w:p>
    <w:p w:rsidR="00C67914" w:rsidRPr="003E3ADB" w:rsidRDefault="003F7870" w:rsidP="00B94C42">
      <w:pPr>
        <w:pStyle w:val="Style3"/>
        <w:rPr>
          <w:rFonts w:eastAsia="Calibri"/>
        </w:rPr>
      </w:pPr>
      <w:r w:rsidRPr="003E3ADB">
        <w:rPr>
          <w:rFonts w:eastAsia="Calibri"/>
        </w:rPr>
        <w:t>Dans la pratique, les groupes minoritaires sont-ils légalement propriétaires et/ou locataires de terrains et de logements? Si ce n'est pas le cas, pourquoi?</w:t>
      </w:r>
    </w:p>
    <w:p w:rsidR="00C67914" w:rsidRDefault="003F7870" w:rsidP="003E3ADB">
      <w:pPr>
        <w:pStyle w:val="WWBodyText3"/>
        <w:tabs>
          <w:tab w:val="clear" w:pos="3969"/>
          <w:tab w:val="clear" w:pos="4536"/>
          <w:tab w:val="left" w:pos="3497"/>
          <w:tab w:val="left" w:pos="4064"/>
        </w:tabs>
        <w:ind w:left="2127"/>
        <w:rPr>
          <w:sz w:val="20"/>
          <w:szCs w:val="20"/>
        </w:rPr>
      </w:pPr>
      <w:r>
        <w:rPr>
          <w:sz w:val="20"/>
          <w:szCs w:val="20"/>
        </w:rPr>
        <w:t>Oui, les groupes minoritaires possèdent des terres. L'article 22 de la Constitution garantit l'égalité des citoyens devant la loi, et l'article 36 précise que chacun a droit à la propriété.</w:t>
      </w:r>
    </w:p>
    <w:p w:rsidR="00C67914" w:rsidRDefault="003F7870" w:rsidP="003E3ADB">
      <w:pPr>
        <w:pStyle w:val="WWBodyText3"/>
        <w:tabs>
          <w:tab w:val="clear" w:pos="3969"/>
          <w:tab w:val="clear" w:pos="4536"/>
          <w:tab w:val="left" w:pos="3507"/>
          <w:tab w:val="left" w:pos="4074"/>
        </w:tabs>
        <w:ind w:left="2127"/>
      </w:pPr>
      <w:r>
        <w:rPr>
          <w:sz w:val="20"/>
          <w:szCs w:val="20"/>
        </w:rPr>
        <w:t>Les Batwa sont un groupe ethnique minoritaire au Burundi qui représente environ 1% de la population totale.</w:t>
      </w:r>
      <w:r w:rsidRPr="00C67914">
        <w:rPr>
          <w:rStyle w:val="FootnoteReference"/>
          <w:sz w:val="20"/>
          <w:szCs w:val="20"/>
        </w:rPr>
        <w:footnoteReference w:id="54"/>
      </w:r>
      <w:r>
        <w:rPr>
          <w:rStyle w:val="FootnoteReference"/>
          <w:sz w:val="20"/>
          <w:szCs w:val="20"/>
        </w:rPr>
        <w:t xml:space="preserve"> </w:t>
      </w:r>
      <w:r>
        <w:rPr>
          <w:sz w:val="20"/>
          <w:szCs w:val="20"/>
        </w:rPr>
        <w:t xml:space="preserve">En raison des effets des anciens systèmes juridiques coutumiers et coloniaux sur le mode de vie des chasseurs-cueilleurs </w:t>
      </w:r>
      <w:r w:rsidR="00764825">
        <w:rPr>
          <w:sz w:val="20"/>
          <w:szCs w:val="20"/>
        </w:rPr>
        <w:t>Batwa</w:t>
      </w:r>
      <w:r>
        <w:rPr>
          <w:sz w:val="20"/>
          <w:szCs w:val="20"/>
        </w:rPr>
        <w:t>, la grande majorité des Batwa vivent actuellement dans des zones rurales sur des terres collectives sans titre écrit.</w:t>
      </w:r>
      <w:r w:rsidRPr="00C67914">
        <w:rPr>
          <w:rStyle w:val="FootnoteReference"/>
          <w:sz w:val="20"/>
          <w:szCs w:val="20"/>
        </w:rPr>
        <w:footnoteReference w:id="55"/>
      </w:r>
      <w:r>
        <w:rPr>
          <w:sz w:val="20"/>
          <w:szCs w:val="20"/>
        </w:rPr>
        <w:t xml:space="preserve"> Certains Batwa qui ont reçu des terres des autorités administratives possèdent des documents administratifs qui prouvent leur possession ou leur cession de terres collectives.</w:t>
      </w:r>
      <w:r w:rsidRPr="00C67914">
        <w:rPr>
          <w:rStyle w:val="FootnoteReference"/>
          <w:sz w:val="20"/>
          <w:szCs w:val="20"/>
        </w:rPr>
        <w:footnoteReference w:id="56"/>
      </w:r>
      <w:r>
        <w:rPr>
          <w:sz w:val="20"/>
          <w:szCs w:val="20"/>
        </w:rPr>
        <w:t xml:space="preserve"> Cependant, comme les Batwa sont pauvres et que leur concept de propriété collective n'est pas pris en compte, les terres rurales des Batwa ne sont pas enregistrées par des titres fonciers.</w:t>
      </w:r>
      <w:r w:rsidRPr="00C67914">
        <w:rPr>
          <w:rStyle w:val="FootnoteReference"/>
          <w:sz w:val="20"/>
          <w:szCs w:val="20"/>
        </w:rPr>
        <w:footnoteReference w:id="57"/>
      </w:r>
      <w:r>
        <w:rPr>
          <w:sz w:val="20"/>
          <w:szCs w:val="20"/>
        </w:rPr>
        <w:t xml:space="preserve"> Les Batwa ont cependant le droit d'acheter des terres et d'en hériter. Les très rares Batwa qui vivent dans des ménages en zone urbaine disposent donc de parcelles de terre enregistrées individuellement.</w:t>
      </w:r>
      <w:r w:rsidRPr="00C67914">
        <w:rPr>
          <w:rStyle w:val="FootnoteReference"/>
          <w:sz w:val="20"/>
          <w:szCs w:val="20"/>
        </w:rPr>
        <w:footnoteReference w:id="58"/>
      </w:r>
      <w:r>
        <w:rPr>
          <w:sz w:val="20"/>
          <w:szCs w:val="20"/>
        </w:rPr>
        <w:t xml:space="preserve"> Dans les témoignages recueillis par le Groupe </w:t>
      </w:r>
      <w:r w:rsidR="00764825">
        <w:rPr>
          <w:sz w:val="20"/>
          <w:szCs w:val="20"/>
        </w:rPr>
        <w:t>Minoritaire</w:t>
      </w:r>
      <w:r>
        <w:rPr>
          <w:sz w:val="20"/>
          <w:szCs w:val="20"/>
        </w:rPr>
        <w:t xml:space="preserve"> International (Minority Rights Group International MRG) au Burundi en 2007, les Batwa se sont plaints de nombreuses difficultés liées aux droits fonciers, soit par l'absence de titres, soit par des pratiques discriminatoires en matière d'attribution de la part des autorités, soit par la non-reconnaissance de droits historiques sur les terres.</w:t>
      </w:r>
      <w:r w:rsidRPr="00C67914">
        <w:rPr>
          <w:rStyle w:val="FootnoteReference"/>
          <w:sz w:val="20"/>
          <w:szCs w:val="20"/>
        </w:rPr>
        <w:footnoteReference w:id="59"/>
      </w:r>
    </w:p>
    <w:p w:rsidR="00C67914" w:rsidRDefault="003F7870" w:rsidP="00B42AF1">
      <w:pPr>
        <w:pStyle w:val="WWHeading2"/>
        <w:rPr>
          <w:bCs/>
        </w:rPr>
      </w:pPr>
      <w:bookmarkStart w:id="78" w:name="_Toc52029993"/>
      <w:r>
        <w:rPr>
          <w:bCs/>
        </w:rPr>
        <w:t>L</w:t>
      </w:r>
      <w:bookmarkStart w:id="79" w:name="_Toc49960916"/>
      <w:r>
        <w:rPr>
          <w:bCs/>
        </w:rPr>
        <w:t>es sans-terre/squatters</w:t>
      </w:r>
      <w:bookmarkEnd w:id="78"/>
      <w:bookmarkEnd w:id="79"/>
    </w:p>
    <w:p w:rsidR="00C67914" w:rsidRDefault="003F7870" w:rsidP="00B94C42">
      <w:pPr>
        <w:pStyle w:val="Style3"/>
      </w:pPr>
      <w:r>
        <w:rPr>
          <w:rFonts w:eastAsia="Calibri"/>
        </w:rPr>
        <w:t>Les personnes sans terre/squatters ont-elles des droits sur la terre et/ou le logement (par exemple la possession adverse)? Si oui, ces droits sont-ils respectés?</w:t>
      </w:r>
      <w:bookmarkStart w:id="80" w:name="_Toc44075834"/>
    </w:p>
    <w:p w:rsidR="00C67914" w:rsidRDefault="003F7870" w:rsidP="003E3ADB">
      <w:pPr>
        <w:pStyle w:val="WWBodyText3"/>
        <w:tabs>
          <w:tab w:val="clear" w:pos="3969"/>
          <w:tab w:val="clear" w:pos="4536"/>
          <w:tab w:val="left" w:pos="3507"/>
          <w:tab w:val="left" w:pos="4074"/>
        </w:tabs>
        <w:ind w:left="2127"/>
        <w:rPr>
          <w:sz w:val="20"/>
          <w:szCs w:val="20"/>
        </w:rPr>
      </w:pPr>
      <w:r>
        <w:rPr>
          <w:sz w:val="20"/>
          <w:szCs w:val="20"/>
        </w:rPr>
        <w:t xml:space="preserve">Il n'existe pas de législation ou de politique qui accorde </w:t>
      </w:r>
      <w:r w:rsidR="00764825">
        <w:rPr>
          <w:sz w:val="20"/>
          <w:szCs w:val="20"/>
        </w:rPr>
        <w:t>à la sans-terre</w:t>
      </w:r>
      <w:r>
        <w:rPr>
          <w:sz w:val="20"/>
          <w:szCs w:val="20"/>
        </w:rPr>
        <w:t xml:space="preserve"> et/ou aux squatters des droits à la terre et/ou au logement au Burundi.</w:t>
      </w:r>
    </w:p>
    <w:p w:rsidR="003E3ADB" w:rsidRDefault="003F7870" w:rsidP="00CA2D86">
      <w:pPr>
        <w:pStyle w:val="Heading11"/>
      </w:pPr>
      <w:bookmarkStart w:id="81" w:name="_Toc49960917"/>
      <w:bookmarkStart w:id="82" w:name="_Toc52029994"/>
      <w:r>
        <w:t>Expropriation, expulsion et relocalisation</w:t>
      </w:r>
      <w:bookmarkStart w:id="83" w:name="_Toc49960918"/>
      <w:bookmarkStart w:id="84" w:name="_Toc44075835"/>
      <w:bookmarkEnd w:id="80"/>
      <w:bookmarkEnd w:id="81"/>
      <w:bookmarkEnd w:id="82"/>
    </w:p>
    <w:p w:rsidR="000E399E" w:rsidRPr="000E399E" w:rsidRDefault="000E399E" w:rsidP="0038489C">
      <w:pPr>
        <w:pStyle w:val="ListParagraph"/>
        <w:numPr>
          <w:ilvl w:val="0"/>
          <w:numId w:val="16"/>
        </w:numPr>
        <w:tabs>
          <w:tab w:val="left" w:pos="709"/>
        </w:tabs>
        <w:spacing w:after="240" w:line="360" w:lineRule="auto"/>
        <w:contextualSpacing w:val="0"/>
        <w:jc w:val="both"/>
        <w:outlineLvl w:val="1"/>
        <w:rPr>
          <w:b/>
          <w:bCs/>
          <w:vanish/>
        </w:rPr>
      </w:pPr>
      <w:bookmarkStart w:id="85" w:name="_Toc52018468"/>
      <w:bookmarkStart w:id="86" w:name="_Toc52018516"/>
      <w:bookmarkStart w:id="87" w:name="_Toc52025716"/>
      <w:bookmarkStart w:id="88" w:name="_Toc52026155"/>
      <w:bookmarkStart w:id="89" w:name="_Toc52029995"/>
      <w:bookmarkEnd w:id="85"/>
      <w:bookmarkEnd w:id="86"/>
      <w:bookmarkEnd w:id="87"/>
      <w:bookmarkEnd w:id="88"/>
      <w:bookmarkEnd w:id="89"/>
    </w:p>
    <w:p w:rsidR="00C67914" w:rsidRPr="003E3ADB" w:rsidRDefault="003F7870" w:rsidP="00DD58AE">
      <w:pPr>
        <w:pStyle w:val="WWHeading2"/>
      </w:pPr>
      <w:bookmarkStart w:id="90" w:name="_Toc52029996"/>
      <w:r>
        <w:rPr>
          <w:bCs/>
        </w:rPr>
        <w:t>Expropriation</w:t>
      </w:r>
      <w:bookmarkEnd w:id="83"/>
      <w:bookmarkEnd w:id="84"/>
      <w:bookmarkEnd w:id="90"/>
    </w:p>
    <w:p w:rsidR="00C67914" w:rsidRPr="003E3ADB" w:rsidRDefault="003F7870" w:rsidP="00946646">
      <w:pPr>
        <w:pStyle w:val="Style3"/>
      </w:pPr>
      <w:r w:rsidRPr="003E3ADB">
        <w:rPr>
          <w:rFonts w:eastAsia="Calibri"/>
        </w:rPr>
        <w:t>Existe-t-il des lois ou des règlements permettant au gouvernement d'exproprier des terres?</w:t>
      </w:r>
    </w:p>
    <w:p w:rsidR="00C67914" w:rsidRDefault="003F7870" w:rsidP="003E3ADB">
      <w:pPr>
        <w:pStyle w:val="WWBodyText3"/>
        <w:tabs>
          <w:tab w:val="clear" w:pos="3969"/>
          <w:tab w:val="clear" w:pos="4536"/>
          <w:tab w:val="left" w:pos="3516"/>
          <w:tab w:val="left" w:pos="4083"/>
        </w:tabs>
        <w:ind w:left="2127"/>
      </w:pPr>
      <w:bookmarkStart w:id="91" w:name="_Ref8807819"/>
      <w:r>
        <w:rPr>
          <w:sz w:val="20"/>
          <w:szCs w:val="20"/>
        </w:rPr>
        <w:t>Selon l'article 36 de la Constitution, nul ne peut être privé de sa propriété sauf pour cause d'utilité publique, selon le cas et les modalités établis par la loi et au moyen d'une indemnité juste et préalable ou en exécution d'une décision judiciaire prise en vigueur de la chose jugée.</w:t>
      </w:r>
      <w:r w:rsidRPr="00C67914">
        <w:rPr>
          <w:rStyle w:val="FootnoteReference"/>
          <w:sz w:val="20"/>
          <w:szCs w:val="20"/>
        </w:rPr>
        <w:footnoteReference w:id="60"/>
      </w:r>
      <w:r>
        <w:rPr>
          <w:sz w:val="20"/>
          <w:szCs w:val="20"/>
        </w:rPr>
        <w:t xml:space="preserve"> Aux termes du Code Foncier, la procédure d'expropriation pour cause d'utilité publique comprend les éléments suivants:</w:t>
      </w:r>
      <w:r w:rsidR="00717867">
        <w:rPr>
          <w:rStyle w:val="FootnoteReference"/>
          <w:szCs w:val="20"/>
        </w:rPr>
        <w:footnoteReference w:id="61"/>
      </w:r>
    </w:p>
    <w:p w:rsidR="00C67914" w:rsidRDefault="003F7870" w:rsidP="0038489C">
      <w:pPr>
        <w:pStyle w:val="WWBodyText3"/>
        <w:numPr>
          <w:ilvl w:val="0"/>
          <w:numId w:val="17"/>
        </w:numPr>
        <w:tabs>
          <w:tab w:val="clear" w:pos="3969"/>
          <w:tab w:val="clear" w:pos="4536"/>
          <w:tab w:val="left" w:pos="250"/>
          <w:tab w:val="left" w:pos="1701"/>
        </w:tabs>
        <w:rPr>
          <w:sz w:val="20"/>
          <w:szCs w:val="20"/>
        </w:rPr>
      </w:pPr>
      <w:r>
        <w:rPr>
          <w:sz w:val="20"/>
          <w:szCs w:val="20"/>
        </w:rPr>
        <w:t>Le dépôt du projet justifiant l'expropriation par son promoteur;</w:t>
      </w:r>
    </w:p>
    <w:p w:rsidR="00C67914" w:rsidRDefault="003F7870" w:rsidP="0038489C">
      <w:pPr>
        <w:pStyle w:val="WWBodyText3"/>
        <w:numPr>
          <w:ilvl w:val="0"/>
          <w:numId w:val="17"/>
        </w:numPr>
        <w:tabs>
          <w:tab w:val="clear" w:pos="3969"/>
          <w:tab w:val="clear" w:pos="4536"/>
          <w:tab w:val="left" w:pos="250"/>
          <w:tab w:val="left" w:pos="1701"/>
        </w:tabs>
        <w:rPr>
          <w:sz w:val="20"/>
          <w:szCs w:val="20"/>
        </w:rPr>
      </w:pPr>
      <w:r>
        <w:rPr>
          <w:sz w:val="20"/>
          <w:szCs w:val="20"/>
        </w:rPr>
        <w:t>La déclaration provisoire d'utilité publique;</w:t>
      </w:r>
    </w:p>
    <w:p w:rsidR="00C67914" w:rsidRDefault="003F7870" w:rsidP="0038489C">
      <w:pPr>
        <w:pStyle w:val="WWBodyText3"/>
        <w:numPr>
          <w:ilvl w:val="0"/>
          <w:numId w:val="17"/>
        </w:numPr>
        <w:tabs>
          <w:tab w:val="clear" w:pos="3969"/>
          <w:tab w:val="clear" w:pos="4536"/>
          <w:tab w:val="left" w:pos="250"/>
          <w:tab w:val="left" w:pos="1701"/>
        </w:tabs>
        <w:rPr>
          <w:sz w:val="20"/>
          <w:szCs w:val="20"/>
        </w:rPr>
      </w:pPr>
      <w:r>
        <w:rPr>
          <w:sz w:val="20"/>
          <w:szCs w:val="20"/>
        </w:rPr>
        <w:t>Le rapport d'enquête;</w:t>
      </w:r>
    </w:p>
    <w:p w:rsidR="00C67914" w:rsidRDefault="003F7870" w:rsidP="0038489C">
      <w:pPr>
        <w:pStyle w:val="WWBodyText3"/>
        <w:numPr>
          <w:ilvl w:val="0"/>
          <w:numId w:val="17"/>
        </w:numPr>
        <w:tabs>
          <w:tab w:val="clear" w:pos="3969"/>
          <w:tab w:val="clear" w:pos="4536"/>
          <w:tab w:val="left" w:pos="250"/>
          <w:tab w:val="left" w:pos="1701"/>
        </w:tabs>
        <w:rPr>
          <w:sz w:val="20"/>
          <w:szCs w:val="20"/>
        </w:rPr>
      </w:pPr>
      <w:r>
        <w:rPr>
          <w:sz w:val="20"/>
          <w:szCs w:val="20"/>
        </w:rPr>
        <w:t>L'avis de la Commission Foncière Nationale;</w:t>
      </w:r>
    </w:p>
    <w:p w:rsidR="00C67914" w:rsidRDefault="003F7870" w:rsidP="0038489C">
      <w:pPr>
        <w:pStyle w:val="WWBodyText3"/>
        <w:numPr>
          <w:ilvl w:val="0"/>
          <w:numId w:val="17"/>
        </w:numPr>
        <w:tabs>
          <w:tab w:val="clear" w:pos="3969"/>
          <w:tab w:val="clear" w:pos="4536"/>
          <w:tab w:val="left" w:pos="250"/>
          <w:tab w:val="left" w:pos="1701"/>
        </w:tabs>
        <w:rPr>
          <w:sz w:val="20"/>
          <w:szCs w:val="20"/>
        </w:rPr>
      </w:pPr>
      <w:r>
        <w:rPr>
          <w:sz w:val="20"/>
          <w:szCs w:val="20"/>
        </w:rPr>
        <w:t>Le décret ou l'ordonnance d'expropriation.</w:t>
      </w:r>
    </w:p>
    <w:p w:rsidR="00C67914" w:rsidRDefault="003F7870" w:rsidP="001B1D19">
      <w:pPr>
        <w:pStyle w:val="WWList3"/>
        <w:tabs>
          <w:tab w:val="clear" w:pos="-3402"/>
          <w:tab w:val="clear" w:pos="-1134"/>
          <w:tab w:val="clear" w:pos="-567"/>
          <w:tab w:val="left" w:pos="3545"/>
          <w:tab w:val="left" w:pos="4112"/>
        </w:tabs>
        <w:ind w:left="709"/>
        <w:outlineLvl w:val="9"/>
        <w:rPr>
          <w:sz w:val="20"/>
          <w:szCs w:val="20"/>
        </w:rPr>
      </w:pPr>
      <w:r>
        <w:rPr>
          <w:sz w:val="20"/>
          <w:szCs w:val="20"/>
        </w:rPr>
        <w:t>L'article 418 du Code Foncier stipule que la déclaration provisoire d'utilité publique est faite et l'expropriation ordonnée pour chaque opération par:</w:t>
      </w:r>
    </w:p>
    <w:p w:rsidR="00C67914" w:rsidRDefault="003F7870" w:rsidP="0038489C">
      <w:pPr>
        <w:pStyle w:val="WWList3"/>
        <w:numPr>
          <w:ilvl w:val="0"/>
          <w:numId w:val="18"/>
        </w:numPr>
        <w:tabs>
          <w:tab w:val="clear" w:pos="-3402"/>
          <w:tab w:val="clear" w:pos="-1134"/>
          <w:tab w:val="clear" w:pos="-567"/>
          <w:tab w:val="left" w:pos="2145"/>
          <w:tab w:val="left" w:pos="4536"/>
        </w:tabs>
        <w:ind w:left="1701"/>
        <w:outlineLvl w:val="9"/>
        <w:rPr>
          <w:sz w:val="20"/>
          <w:szCs w:val="20"/>
        </w:rPr>
      </w:pPr>
      <w:r>
        <w:rPr>
          <w:sz w:val="20"/>
          <w:szCs w:val="20"/>
        </w:rPr>
        <w:t>Le Ministre ayant des terres rurales dans ses attributions pour une superficie de terres rurales ne dépassant pas vingt-cinq hectares;</w:t>
      </w:r>
    </w:p>
    <w:p w:rsidR="00C67914" w:rsidRDefault="003F7870" w:rsidP="0038489C">
      <w:pPr>
        <w:pStyle w:val="WWList3"/>
        <w:numPr>
          <w:ilvl w:val="0"/>
          <w:numId w:val="18"/>
        </w:numPr>
        <w:tabs>
          <w:tab w:val="clear" w:pos="-3402"/>
          <w:tab w:val="clear" w:pos="-1134"/>
          <w:tab w:val="clear" w:pos="-567"/>
          <w:tab w:val="left" w:pos="2179"/>
          <w:tab w:val="left" w:pos="4536"/>
        </w:tabs>
        <w:ind w:left="1701"/>
        <w:outlineLvl w:val="9"/>
        <w:rPr>
          <w:sz w:val="20"/>
          <w:szCs w:val="20"/>
        </w:rPr>
      </w:pPr>
      <w:r>
        <w:rPr>
          <w:sz w:val="20"/>
          <w:szCs w:val="20"/>
        </w:rPr>
        <w:t>Le Ministre ayant l'urbanisme dans ses attributions pour une superficie de terrain urbain ne dépassant pas un hectare;</w:t>
      </w:r>
    </w:p>
    <w:p w:rsidR="00C67914" w:rsidRDefault="003F7870" w:rsidP="0038489C">
      <w:pPr>
        <w:pStyle w:val="WWList3"/>
        <w:numPr>
          <w:ilvl w:val="0"/>
          <w:numId w:val="18"/>
        </w:numPr>
        <w:tabs>
          <w:tab w:val="clear" w:pos="-3402"/>
          <w:tab w:val="clear" w:pos="-1134"/>
          <w:tab w:val="clear" w:pos="-567"/>
          <w:tab w:val="left" w:pos="2179"/>
          <w:tab w:val="left" w:pos="4536"/>
        </w:tabs>
        <w:ind w:left="1701"/>
        <w:outlineLvl w:val="9"/>
        <w:rPr>
          <w:sz w:val="20"/>
          <w:szCs w:val="20"/>
        </w:rPr>
      </w:pPr>
      <w:r>
        <w:rPr>
          <w:sz w:val="20"/>
          <w:szCs w:val="20"/>
        </w:rPr>
        <w:t>Le Président de la République du Burundi pour une superficie de terres rurales supérieure à vingt-cinq hectares et pour une superficie de terres urbaines supérieure à un hectare.</w:t>
      </w:r>
    </w:p>
    <w:p w:rsidR="00C67914" w:rsidRDefault="003F7870" w:rsidP="001B1D19">
      <w:pPr>
        <w:pStyle w:val="WWBodyText3"/>
        <w:tabs>
          <w:tab w:val="clear" w:pos="3969"/>
          <w:tab w:val="clear" w:pos="4536"/>
          <w:tab w:val="left" w:pos="3574"/>
          <w:tab w:val="left" w:pos="4141"/>
        </w:tabs>
        <w:ind w:left="709"/>
      </w:pPr>
      <w:r>
        <w:rPr>
          <w:sz w:val="20"/>
          <w:szCs w:val="20"/>
        </w:rPr>
        <w:t>L'article 419 du Code Foncier stipule que la déclaration provisoire d'utilité publique est effectuée d'</w:t>
      </w:r>
      <w:r>
        <w:rPr>
          <w:i/>
          <w:sz w:val="20"/>
          <w:szCs w:val="20"/>
        </w:rPr>
        <w:t>office</w:t>
      </w:r>
      <w:r>
        <w:rPr>
          <w:sz w:val="20"/>
          <w:szCs w:val="20"/>
        </w:rPr>
        <w:t xml:space="preserve">  ou sur demande. Elle indique l'opération projetée et donne la description du terrain ou du périmètre concerné.</w:t>
      </w:r>
    </w:p>
    <w:p w:rsidR="00C67914" w:rsidRDefault="003F7870" w:rsidP="00946646">
      <w:pPr>
        <w:pStyle w:val="Style3"/>
      </w:pPr>
      <w:r>
        <w:rPr>
          <w:rFonts w:eastAsia="Calibri"/>
        </w:rPr>
        <w:t>Si oui, ces lois ou règlements sont-ils applicables dans le contexte d'une catastrophe?</w:t>
      </w:r>
      <w:bookmarkEnd w:id="91"/>
    </w:p>
    <w:p w:rsidR="00C67914" w:rsidRDefault="003F7870" w:rsidP="001B1D19">
      <w:pPr>
        <w:pStyle w:val="WWBodyText3"/>
        <w:tabs>
          <w:tab w:val="clear" w:pos="3969"/>
          <w:tab w:val="clear" w:pos="4536"/>
          <w:tab w:val="left" w:pos="3603"/>
          <w:tab w:val="left" w:pos="4170"/>
        </w:tabs>
        <w:ind w:left="709"/>
        <w:rPr>
          <w:sz w:val="20"/>
          <w:szCs w:val="20"/>
        </w:rPr>
      </w:pPr>
      <w:r>
        <w:rPr>
          <w:sz w:val="20"/>
          <w:szCs w:val="20"/>
        </w:rPr>
        <w:t>Le Burundi n'a pas de législation ou de réglementation spécifique en matière de gestion des catastrophes.</w:t>
      </w:r>
    </w:p>
    <w:p w:rsidR="00C67914" w:rsidRDefault="003F7870" w:rsidP="00B42AF1">
      <w:pPr>
        <w:pStyle w:val="WWHeading2"/>
        <w:rPr>
          <w:bCs/>
        </w:rPr>
      </w:pPr>
      <w:bookmarkStart w:id="92" w:name="_Toc49960919"/>
      <w:bookmarkStart w:id="93" w:name="_Toc52029997"/>
      <w:r>
        <w:rPr>
          <w:bCs/>
        </w:rPr>
        <w:t>Expulsion</w:t>
      </w:r>
      <w:bookmarkEnd w:id="92"/>
      <w:bookmarkEnd w:id="93"/>
    </w:p>
    <w:p w:rsidR="00C67914" w:rsidRDefault="003F7870" w:rsidP="00946646">
      <w:pPr>
        <w:pStyle w:val="Style3"/>
      </w:pPr>
      <w:r>
        <w:t>Existe-t-il des lois ou des règlements interdisant les expulsions forcées?</w:t>
      </w:r>
    </w:p>
    <w:p w:rsidR="00C67914" w:rsidRDefault="003F7870" w:rsidP="00603BF1">
      <w:pPr>
        <w:pStyle w:val="WWList3"/>
        <w:tabs>
          <w:tab w:val="clear" w:pos="-3402"/>
          <w:tab w:val="clear" w:pos="-1134"/>
          <w:tab w:val="clear" w:pos="-567"/>
          <w:tab w:val="left" w:pos="3594"/>
          <w:tab w:val="left" w:pos="4161"/>
        </w:tabs>
        <w:ind w:left="2127"/>
        <w:outlineLvl w:val="9"/>
        <w:rPr>
          <w:sz w:val="20"/>
          <w:szCs w:val="20"/>
        </w:rPr>
      </w:pPr>
      <w:r>
        <w:rPr>
          <w:sz w:val="20"/>
          <w:szCs w:val="20"/>
        </w:rPr>
        <w:t>En vertu de l'article 244 du Code Foncier, l'État a notamment l'obligation de livraison et l'obligation de garantie contre l'expulsion. Toutefois, les terres cédées ou concédées sont sans garantie quant à leur valeur agricole, commerciale ou résidentielle. Il n'y a pas non plus de garantie de l'État quant au maintien de l'utilisation des terres, qui peut toujours être modifiée dans l'intérêt général en appliquant les dispositions relatives aux plans d'occupation des sols.</w:t>
      </w:r>
    </w:p>
    <w:p w:rsidR="00C67914" w:rsidRDefault="003F7870" w:rsidP="00946646">
      <w:pPr>
        <w:pStyle w:val="Style3"/>
      </w:pPr>
      <w:r>
        <w:rPr>
          <w:rFonts w:eastAsia="Calibri"/>
        </w:rPr>
        <w:t>Dans la pratique, ces lois sont-elles respectées?</w:t>
      </w:r>
    </w:p>
    <w:p w:rsidR="00C67914" w:rsidRDefault="003F7870" w:rsidP="00603BF1">
      <w:pPr>
        <w:pStyle w:val="WWBodyText3"/>
        <w:tabs>
          <w:tab w:val="clear" w:pos="3969"/>
          <w:tab w:val="clear" w:pos="4536"/>
          <w:tab w:val="left" w:pos="3613"/>
          <w:tab w:val="left" w:pos="4180"/>
        </w:tabs>
        <w:ind w:left="2127"/>
      </w:pPr>
      <w:r>
        <w:rPr>
          <w:sz w:val="20"/>
          <w:szCs w:val="20"/>
        </w:rPr>
        <w:t xml:space="preserve">Les lois et directives en matière d'expulsion sont généralement respectées au Burundi. Cependant, en 2017, les résidents de la zone de Gasenyi à Bujumbura ont été expulsés sans compensation afin que l'État construise un nouveau palais présidentiel, en raison d'une erreur administrative lors de la phase initiale des expulsions. Pour la première phase des expulsions, 40 hectares de terres devaient être délimités, mais seuls 37 l'ont été effectivement et seules les  personnes évacuées de ces 37 hectares ont reçu un préavis suffisant et une indemnisation sous  forme d'argent et de parcelles de terre de remplacement. </w:t>
      </w:r>
      <w:r w:rsidRPr="00C67914">
        <w:rPr>
          <w:rStyle w:val="FootnoteReference"/>
          <w:sz w:val="20"/>
          <w:szCs w:val="20"/>
        </w:rPr>
        <w:footnoteReference w:id="62"/>
      </w:r>
      <w:r>
        <w:rPr>
          <w:sz w:val="20"/>
          <w:szCs w:val="20"/>
        </w:rPr>
        <w:t xml:space="preserve"> Les  personnes évacuées des trois  hectares  de terre suivants ont été forcées de s'adresser au  Ministère de l'Environnement afin de recevoir une compensation sous forme d'argent et de parcelles de terre de remplacement.</w:t>
      </w:r>
      <w:r w:rsidRPr="00C67914">
        <w:rPr>
          <w:rStyle w:val="FootnoteReference"/>
          <w:sz w:val="20"/>
          <w:szCs w:val="20"/>
        </w:rPr>
        <w:footnoteReference w:id="63"/>
      </w:r>
    </w:p>
    <w:p w:rsidR="00C67914" w:rsidRPr="00603BF1" w:rsidRDefault="00D70962" w:rsidP="00B42AF1">
      <w:pPr>
        <w:pStyle w:val="WWHeading2"/>
        <w:rPr>
          <w:bCs/>
        </w:rPr>
      </w:pPr>
      <w:bookmarkStart w:id="94" w:name="_Toc49960920"/>
      <w:bookmarkStart w:id="95" w:name="_Toc52029998"/>
      <w:r w:rsidRPr="00603BF1">
        <w:rPr>
          <w:bCs/>
        </w:rPr>
        <w:t>Rel</w:t>
      </w:r>
      <w:r w:rsidR="003F7870" w:rsidRPr="00603BF1">
        <w:rPr>
          <w:bCs/>
        </w:rPr>
        <w:t>ocalisation</w:t>
      </w:r>
      <w:bookmarkEnd w:id="94"/>
      <w:bookmarkEnd w:id="95"/>
    </w:p>
    <w:p w:rsidR="00C67914" w:rsidRDefault="003F7870" w:rsidP="00946646">
      <w:pPr>
        <w:pStyle w:val="Style3"/>
      </w:pPr>
      <w:r>
        <w:t>Existe-t-il des lois ou des règlements régissant les délocalisations ?</w:t>
      </w:r>
    </w:p>
    <w:p w:rsidR="00C67914" w:rsidRDefault="00603BF1" w:rsidP="00603BF1">
      <w:pPr>
        <w:pStyle w:val="WWBodyText3"/>
        <w:tabs>
          <w:tab w:val="clear" w:pos="3969"/>
          <w:tab w:val="clear" w:pos="4536"/>
          <w:tab w:val="left" w:pos="3603"/>
          <w:tab w:val="left" w:pos="4170"/>
        </w:tabs>
        <w:ind w:left="2127"/>
        <w:rPr>
          <w:sz w:val="20"/>
          <w:szCs w:val="20"/>
        </w:rPr>
      </w:pPr>
      <w:r>
        <w:rPr>
          <w:sz w:val="20"/>
          <w:szCs w:val="20"/>
        </w:rPr>
        <w:t>Des milliers de B</w:t>
      </w:r>
      <w:r w:rsidR="003F7870">
        <w:rPr>
          <w:sz w:val="20"/>
          <w:szCs w:val="20"/>
        </w:rPr>
        <w:t>urundais ont cherché refuge dans les pays voisins pour échapper à la guerre civile et aux troubles auxquels le pays est confronté, tandis que d'autres ont été déplacés à l'intérieur du pays. Afin de répondre à la crise actuelle, le Burundi a promulgué diverses lois pour aider et réintégrer les réfugiés burundais ainsi que pour aider ceux qui sont devenus des déplacés internes.</w:t>
      </w:r>
    </w:p>
    <w:p w:rsidR="00C67914" w:rsidRDefault="003F7870" w:rsidP="00A7599C">
      <w:pPr>
        <w:pStyle w:val="WWList3"/>
        <w:tabs>
          <w:tab w:val="clear" w:pos="-3402"/>
          <w:tab w:val="clear" w:pos="-1134"/>
          <w:tab w:val="clear" w:pos="-567"/>
          <w:tab w:val="left" w:pos="3603"/>
          <w:tab w:val="left" w:pos="4170"/>
        </w:tabs>
        <w:ind w:left="709"/>
        <w:outlineLvl w:val="9"/>
        <w:rPr>
          <w:sz w:val="20"/>
          <w:szCs w:val="20"/>
        </w:rPr>
      </w:pPr>
      <w:r>
        <w:rPr>
          <w:sz w:val="20"/>
          <w:szCs w:val="20"/>
        </w:rPr>
        <w:t>Les lois suivantes régissent les délocalisations au Burundi:</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rPr>
          <w:sz w:val="20"/>
          <w:szCs w:val="20"/>
        </w:rPr>
      </w:pPr>
      <w:r>
        <w:rPr>
          <w:sz w:val="20"/>
          <w:szCs w:val="20"/>
        </w:rPr>
        <w:t>Décret du 30 juillet 1993 portant nomination des membres de la Commission Nationale chargée du retour, de l'accueil et de la réinsertion des réfugiés burundais;</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pPr>
      <w:r>
        <w:rPr>
          <w:sz w:val="20"/>
          <w:szCs w:val="20"/>
        </w:rPr>
        <w:t>Décret du 13 décembre 2002 déterminant les missions, les compétences, l'organisation et le fonctionnement de la Commission Nationale de Réhabilitation des Sinistres ("</w:t>
      </w:r>
      <w:r>
        <w:rPr>
          <w:b/>
          <w:sz w:val="20"/>
          <w:szCs w:val="20"/>
        </w:rPr>
        <w:t>CNRS</w:t>
      </w:r>
      <w:r>
        <w:rPr>
          <w:sz w:val="20"/>
          <w:szCs w:val="20"/>
        </w:rPr>
        <w:t>");</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rPr>
          <w:sz w:val="20"/>
          <w:szCs w:val="20"/>
        </w:rPr>
      </w:pPr>
      <w:r>
        <w:rPr>
          <w:sz w:val="20"/>
          <w:szCs w:val="20"/>
        </w:rPr>
        <w:t>Décret du 18 février 2003 portant nomination des membres de la Commission Nationale pour la réhabilitation des sinistrés;</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rPr>
          <w:sz w:val="20"/>
          <w:szCs w:val="20"/>
        </w:rPr>
      </w:pPr>
      <w:r>
        <w:rPr>
          <w:sz w:val="20"/>
          <w:szCs w:val="20"/>
        </w:rPr>
        <w:t>Loi du 16 février 2006 abrogeant la loi du 13 décembre 2002 relative à l'organisation, aux missions, aux pouvoirs et au fonctionnement de la Commission Nationale de réhabilitation des sinistrés;</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rPr>
          <w:sz w:val="20"/>
          <w:szCs w:val="20"/>
        </w:rPr>
      </w:pPr>
      <w:r>
        <w:rPr>
          <w:sz w:val="20"/>
          <w:szCs w:val="20"/>
        </w:rPr>
        <w:t>Loi du 4 mai 2006 relative à la mission, la composition, l'organisation et le fonctionnement de la Commission Nationale des Terres et autres Biens;</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rPr>
          <w:sz w:val="20"/>
          <w:szCs w:val="20"/>
        </w:rPr>
      </w:pPr>
      <w:r>
        <w:rPr>
          <w:sz w:val="20"/>
          <w:szCs w:val="20"/>
        </w:rPr>
        <w:t>Décret du 22 juillet 2006 portant sur l'application de la loi du 4 mai 2006 relative aux missions, à la composition, à l'organisation et au fonctionnement de la Commission Nationale des Terres et autres Biens;</w:t>
      </w:r>
    </w:p>
    <w:p w:rsidR="00C67914" w:rsidRDefault="003F7870" w:rsidP="00A13323">
      <w:pPr>
        <w:pStyle w:val="WWList3"/>
        <w:numPr>
          <w:ilvl w:val="0"/>
          <w:numId w:val="19"/>
        </w:numPr>
        <w:tabs>
          <w:tab w:val="clear" w:pos="-3402"/>
          <w:tab w:val="clear" w:pos="-1134"/>
          <w:tab w:val="clear" w:pos="-567"/>
          <w:tab w:val="left" w:pos="-4853"/>
          <w:tab w:val="left" w:pos="-2727"/>
        </w:tabs>
        <w:ind w:left="2127" w:hanging="426"/>
        <w:outlineLvl w:val="9"/>
      </w:pPr>
      <w:r>
        <w:rPr>
          <w:sz w:val="20"/>
          <w:szCs w:val="20"/>
        </w:rPr>
        <w:t>Loi n°1/32 du 13 novembre 2008 sur l'asile et la protection des réfugiés au Burundi.</w:t>
      </w:r>
    </w:p>
    <w:p w:rsidR="00C67914" w:rsidRDefault="003F7870" w:rsidP="00A13323">
      <w:pPr>
        <w:pStyle w:val="WWBodyText3"/>
        <w:tabs>
          <w:tab w:val="clear" w:pos="3969"/>
          <w:tab w:val="clear" w:pos="4536"/>
          <w:tab w:val="left" w:pos="3565"/>
          <w:tab w:val="left" w:pos="4132"/>
        </w:tabs>
        <w:ind w:left="2127"/>
      </w:pPr>
      <w:r>
        <w:rPr>
          <w:sz w:val="20"/>
          <w:szCs w:val="20"/>
        </w:rPr>
        <w:t>Le Burundi bénéficie également de l'aide de l'Agence des Nations Unies</w:t>
      </w:r>
      <w:r w:rsidRPr="00C67914">
        <w:rPr>
          <w:rStyle w:val="FootnoteReference"/>
          <w:sz w:val="20"/>
          <w:szCs w:val="20"/>
        </w:rPr>
        <w:footnoteReference w:id="64"/>
      </w:r>
      <w:r w:rsidRPr="00C67914">
        <w:rPr>
          <w:rStyle w:val="FootnoteReference"/>
          <w:sz w:val="20"/>
          <w:szCs w:val="20"/>
        </w:rPr>
        <w:footnoteReference w:id="65"/>
      </w:r>
      <w:r>
        <w:rPr>
          <w:sz w:val="20"/>
          <w:szCs w:val="20"/>
        </w:rPr>
        <w:t xml:space="preserve"> Avec l'aide de l'OIM, les PDI burundais sont suivis à l'aide de la matrice de suivi des déplacements ("Displacement Tracking Matrix"</w:t>
      </w:r>
      <w:r w:rsidR="00B651F0">
        <w:rPr>
          <w:sz w:val="20"/>
          <w:szCs w:val="20"/>
        </w:rPr>
        <w:t>,</w:t>
      </w:r>
      <w:r w:rsidR="00B651F0">
        <w:rPr>
          <w:b/>
          <w:sz w:val="20"/>
          <w:szCs w:val="20"/>
        </w:rPr>
        <w:t xml:space="preserve"> DTM</w:t>
      </w:r>
      <w:r w:rsidR="00B651F0">
        <w:rPr>
          <w:sz w:val="20"/>
          <w:szCs w:val="20"/>
        </w:rPr>
        <w:t>)</w:t>
      </w:r>
      <w:r>
        <w:rPr>
          <w:sz w:val="20"/>
          <w:szCs w:val="20"/>
        </w:rPr>
        <w:t>.</w:t>
      </w:r>
      <w:r w:rsidRPr="00C67914">
        <w:rPr>
          <w:rStyle w:val="FootnoteReference"/>
          <w:sz w:val="20"/>
          <w:szCs w:val="20"/>
        </w:rPr>
        <w:footnoteReference w:id="66"/>
      </w:r>
      <w:r>
        <w:rPr>
          <w:sz w:val="20"/>
          <w:szCs w:val="20"/>
        </w:rPr>
        <w:t xml:space="preserve"> Le DTM suit les PDI au niveau national et évalue leurs besoins humanitaires.</w:t>
      </w:r>
      <w:r w:rsidRPr="00C67914">
        <w:rPr>
          <w:rStyle w:val="FootnoteReference"/>
          <w:sz w:val="20"/>
          <w:szCs w:val="20"/>
        </w:rPr>
        <w:footnoteReference w:id="67"/>
      </w:r>
      <w:r>
        <w:rPr>
          <w:sz w:val="20"/>
          <w:szCs w:val="20"/>
        </w:rPr>
        <w:t xml:space="preserve"> Le projet repose sur la synergie entre  le DTM de l'OIM  et la Croix-Rouge Burundaise, qui sont conjointement responsables de la collecte de données sur les  personnes déplacées.</w:t>
      </w:r>
      <w:r w:rsidRPr="00C67914">
        <w:rPr>
          <w:rStyle w:val="FootnoteReference"/>
          <w:sz w:val="20"/>
          <w:szCs w:val="20"/>
        </w:rPr>
        <w:footnoteReference w:id="68"/>
      </w:r>
    </w:p>
    <w:p w:rsidR="00C67914" w:rsidRDefault="003F7870" w:rsidP="00946646">
      <w:pPr>
        <w:pStyle w:val="Style3"/>
      </w:pPr>
      <w:r>
        <w:t>Existe-t-il d'autres lois ou règlements (c'est-à-dire des instruments relatifs aux droits de l'homme) qui s'appliquent aux réinstallations?</w:t>
      </w:r>
    </w:p>
    <w:p w:rsidR="00C67914" w:rsidRDefault="003F7870" w:rsidP="00A13323">
      <w:pPr>
        <w:pStyle w:val="WWBodyText3"/>
        <w:tabs>
          <w:tab w:val="clear" w:pos="3969"/>
          <w:tab w:val="clear" w:pos="4536"/>
          <w:tab w:val="left" w:pos="3594"/>
          <w:tab w:val="left" w:pos="4161"/>
        </w:tabs>
        <w:ind w:left="2127"/>
      </w:pPr>
      <w:r>
        <w:rPr>
          <w:sz w:val="20"/>
          <w:szCs w:val="20"/>
        </w:rPr>
        <w:t>Le Burundi est membre de la Déclaration Universelle des Droits de l'Homme des Nations Unies ("</w:t>
      </w:r>
      <w:r>
        <w:rPr>
          <w:b/>
          <w:sz w:val="20"/>
          <w:szCs w:val="20"/>
        </w:rPr>
        <w:t>DUDH</w:t>
      </w:r>
      <w:r>
        <w:rPr>
          <w:sz w:val="20"/>
          <w:szCs w:val="20"/>
        </w:rPr>
        <w:t>").</w:t>
      </w:r>
    </w:p>
    <w:p w:rsidR="00C67914" w:rsidRDefault="003F7870" w:rsidP="00A13323">
      <w:pPr>
        <w:pStyle w:val="WWBodyText3"/>
        <w:tabs>
          <w:tab w:val="clear" w:pos="3969"/>
          <w:tab w:val="clear" w:pos="4536"/>
          <w:tab w:val="left" w:pos="3594"/>
          <w:tab w:val="left" w:pos="4161"/>
        </w:tabs>
        <w:ind w:left="2127"/>
      </w:pPr>
      <w:r>
        <w:rPr>
          <w:sz w:val="20"/>
          <w:szCs w:val="20"/>
        </w:rPr>
        <w:t>Le Burundi a signé le 19 juillet 1963 la Convention des Nations Unies relative au statut des réfugiés, également connue sous le nom de Convention de 1951 relative au statut des réfugiés au Burundi, et a adopté le protocole à cette convention le 15 mars 1971.</w:t>
      </w:r>
    </w:p>
    <w:p w:rsidR="00C67914" w:rsidRDefault="003F7870" w:rsidP="00A13323">
      <w:pPr>
        <w:pStyle w:val="WWBodyText3"/>
        <w:tabs>
          <w:tab w:val="clear" w:pos="3969"/>
          <w:tab w:val="clear" w:pos="4536"/>
          <w:tab w:val="left" w:pos="3613"/>
          <w:tab w:val="left" w:pos="4180"/>
        </w:tabs>
        <w:ind w:left="2126"/>
        <w:rPr>
          <w:sz w:val="20"/>
          <w:szCs w:val="20"/>
        </w:rPr>
      </w:pPr>
      <w:r>
        <w:rPr>
          <w:sz w:val="20"/>
          <w:szCs w:val="20"/>
        </w:rPr>
        <w:t>Le Burundi a également signé la Convention de l'Union Africaine de 2009 pour la protection et l'assistance aux personnes déplacées en Afrique (la "</w:t>
      </w:r>
      <w:r>
        <w:rPr>
          <w:b/>
          <w:sz w:val="20"/>
          <w:szCs w:val="20"/>
        </w:rPr>
        <w:t>Convention de Kampala</w:t>
      </w:r>
      <w:r>
        <w:rPr>
          <w:sz w:val="20"/>
          <w:szCs w:val="20"/>
        </w:rPr>
        <w:t>")</w:t>
      </w:r>
      <w:r w:rsidR="00A13323">
        <w:rPr>
          <w:sz w:val="20"/>
          <w:szCs w:val="20"/>
        </w:rPr>
        <w:t>.</w:t>
      </w:r>
    </w:p>
    <w:p w:rsidR="00A13323" w:rsidRDefault="00A13323" w:rsidP="00A13323">
      <w:pPr>
        <w:pStyle w:val="WWBodyText3"/>
        <w:tabs>
          <w:tab w:val="clear" w:pos="3969"/>
          <w:tab w:val="clear" w:pos="4536"/>
          <w:tab w:val="left" w:pos="3613"/>
          <w:tab w:val="left" w:pos="4180"/>
        </w:tabs>
        <w:ind w:left="2126"/>
        <w:sectPr w:rsidR="00A13323">
          <w:headerReference w:type="default" r:id="rId22"/>
          <w:footerReference w:type="default" r:id="rId23"/>
          <w:headerReference w:type="first" r:id="rId24"/>
          <w:footerReference w:type="first" r:id="rId25"/>
          <w:pgSz w:w="11906" w:h="16838"/>
          <w:pgMar w:top="1134" w:right="1134" w:bottom="1134" w:left="1418" w:header="567" w:footer="454" w:gutter="0"/>
          <w:cols w:space="720"/>
          <w:titlePg/>
        </w:sectPr>
      </w:pPr>
    </w:p>
    <w:p w:rsidR="00DD58AE" w:rsidRDefault="003F7870" w:rsidP="00CA2D86">
      <w:pPr>
        <w:pStyle w:val="Heading11"/>
      </w:pPr>
      <w:bookmarkStart w:id="96" w:name="_Toc49960921"/>
      <w:bookmarkStart w:id="97" w:name="_Toc44075838"/>
      <w:bookmarkStart w:id="98" w:name="_Toc52029999"/>
      <w:r>
        <w:t>Bibliographie</w:t>
      </w:r>
      <w:bookmarkStart w:id="99" w:name="_Toc49960922"/>
      <w:bookmarkStart w:id="100" w:name="_Toc44075839"/>
      <w:bookmarkEnd w:id="96"/>
      <w:bookmarkEnd w:id="97"/>
      <w:bookmarkEnd w:id="98"/>
    </w:p>
    <w:p w:rsidR="00C67914" w:rsidRDefault="003F7870" w:rsidP="00805054">
      <w:pPr>
        <w:pStyle w:val="WWHeading2"/>
      </w:pPr>
      <w:bookmarkStart w:id="101" w:name="_Toc52030000"/>
      <w:r>
        <w:t>Législation</w:t>
      </w:r>
      <w:bookmarkEnd w:id="99"/>
      <w:bookmarkEnd w:id="100"/>
      <w:bookmarkEnd w:id="101"/>
    </w:p>
    <w:p w:rsidR="00C67914" w:rsidRDefault="003F7870" w:rsidP="00B42AF1">
      <w:pPr>
        <w:pStyle w:val="WWBodyText2"/>
      </w:pPr>
      <w:bookmarkStart w:id="102" w:name="_Toc44075840"/>
      <w:r>
        <w:rPr>
          <w:sz w:val="20"/>
          <w:szCs w:val="20"/>
        </w:rPr>
        <w:t xml:space="preserve">La </w:t>
      </w:r>
      <w:r>
        <w:rPr>
          <w:b/>
          <w:bCs/>
          <w:sz w:val="20"/>
          <w:szCs w:val="20"/>
        </w:rPr>
        <w:t>Constitution</w:t>
      </w:r>
      <w:r>
        <w:rPr>
          <w:sz w:val="20"/>
          <w:szCs w:val="20"/>
        </w:rPr>
        <w:t xml:space="preserve"> du Burundi 2018</w:t>
      </w:r>
    </w:p>
    <w:p w:rsidR="00C67914" w:rsidRDefault="003F7870" w:rsidP="00B42AF1">
      <w:pPr>
        <w:pStyle w:val="WWBodyText2"/>
      </w:pPr>
      <w:r>
        <w:rPr>
          <w:sz w:val="20"/>
          <w:szCs w:val="20"/>
        </w:rPr>
        <w:t xml:space="preserve">La loi n° 1/13 du 09 août 2011, portant révision du </w:t>
      </w:r>
      <w:r>
        <w:rPr>
          <w:b/>
          <w:bCs/>
          <w:sz w:val="20"/>
          <w:szCs w:val="20"/>
        </w:rPr>
        <w:t>Code foncier</w:t>
      </w:r>
      <w:r>
        <w:rPr>
          <w:sz w:val="20"/>
          <w:szCs w:val="20"/>
        </w:rPr>
        <w:t xml:space="preserve"> du Burundi  </w:t>
      </w:r>
    </w:p>
    <w:p w:rsidR="00A7599C" w:rsidRDefault="003F7870" w:rsidP="00B42AF1">
      <w:pPr>
        <w:pStyle w:val="WWHeading2"/>
      </w:pPr>
      <w:bookmarkStart w:id="103" w:name="_Toc49960923"/>
      <w:bookmarkStart w:id="104" w:name="_Toc52030001"/>
      <w:r>
        <w:t>Jurisprudence</w:t>
      </w:r>
      <w:bookmarkStart w:id="105" w:name="_Toc49960924"/>
      <w:bookmarkStart w:id="106" w:name="_Toc44075841"/>
      <w:bookmarkEnd w:id="102"/>
      <w:bookmarkEnd w:id="103"/>
      <w:bookmarkEnd w:id="104"/>
    </w:p>
    <w:p w:rsidR="00C67914" w:rsidRDefault="003F7870" w:rsidP="00B42AF1">
      <w:pPr>
        <w:pStyle w:val="WWHeading2"/>
      </w:pPr>
      <w:bookmarkStart w:id="107" w:name="_Toc52030002"/>
      <w:r>
        <w:t>Sources secondaires</w:t>
      </w:r>
      <w:bookmarkEnd w:id="105"/>
      <w:bookmarkEnd w:id="106"/>
      <w:bookmarkEnd w:id="107"/>
    </w:p>
    <w:p w:rsidR="00C67914" w:rsidRDefault="003F7870" w:rsidP="00672D5F">
      <w:pPr>
        <w:pStyle w:val="WWBodyText2"/>
      </w:pPr>
      <w:r>
        <w:rPr>
          <w:sz w:val="20"/>
          <w:szCs w:val="20"/>
        </w:rPr>
        <w:t>UN HABITAT (2012) Burundi: Profil National Urbain. Programme des Nations Unies pour les établissements humains: Nairobi</w:t>
      </w:r>
    </w:p>
    <w:p w:rsidR="00C67914" w:rsidRPr="003F7870" w:rsidRDefault="003F7870" w:rsidP="00672D5F">
      <w:pPr>
        <w:pStyle w:val="WWBodyText2"/>
        <w:rPr>
          <w:sz w:val="20"/>
          <w:szCs w:val="20"/>
          <w:lang w:val="en-GB"/>
        </w:rPr>
      </w:pPr>
      <w:r w:rsidRPr="003F7870">
        <w:rPr>
          <w:sz w:val="20"/>
          <w:szCs w:val="20"/>
          <w:lang w:val="en-GB"/>
        </w:rPr>
        <w:t>Dominik Kohlhagen, Burundi: Land policy making in a conflict prone country, Summary paper for the Annual World Bank Conference on Land and Poverty, Washington DC, 23-26 April 2012</w:t>
      </w:r>
    </w:p>
    <w:p w:rsidR="00C67914" w:rsidRDefault="003F7870" w:rsidP="00672D5F">
      <w:pPr>
        <w:pStyle w:val="WWBodyText2"/>
        <w:jc w:val="left"/>
      </w:pPr>
      <w:r>
        <w:rPr>
          <w:sz w:val="20"/>
          <w:szCs w:val="20"/>
        </w:rPr>
        <w:t>Syldie Bizimana, Mise à jour par Jean-Claude Barakamfitiye et Janvier Ncamatwi, The Burundi Legal System and Research, 2017, consulté le 7 août 2020 sur</w:t>
      </w:r>
      <w:r w:rsidR="00A7599C">
        <w:rPr>
          <w:sz w:val="20"/>
          <w:szCs w:val="20"/>
        </w:rPr>
        <w:t xml:space="preserve"> : </w:t>
      </w:r>
      <w:r>
        <w:rPr>
          <w:sz w:val="20"/>
          <w:szCs w:val="20"/>
        </w:rPr>
        <w:t xml:space="preserve">  </w:t>
      </w:r>
      <w:hyperlink r:id="rId26" w:history="1">
        <w:r>
          <w:rPr>
            <w:rStyle w:val="Hyperlink"/>
            <w:sz w:val="20"/>
            <w:szCs w:val="20"/>
          </w:rPr>
          <w:t>https://www.nyulawglobal.org/globalex/Burundi1.html</w:t>
        </w:r>
      </w:hyperlink>
      <w:r>
        <w:rPr>
          <w:sz w:val="20"/>
          <w:szCs w:val="20"/>
        </w:rPr>
        <w:t xml:space="preserve">  </w:t>
      </w:r>
    </w:p>
    <w:p w:rsidR="00C67914" w:rsidRDefault="003F7870" w:rsidP="00672D5F">
      <w:pPr>
        <w:pStyle w:val="WWBodyText2"/>
      </w:pPr>
      <w:r>
        <w:rPr>
          <w:sz w:val="20"/>
          <w:szCs w:val="20"/>
        </w:rPr>
        <w:t xml:space="preserve">Fiche d'information </w:t>
      </w:r>
      <w:hyperlink r:id="rId27" w:history="1">
        <w:r>
          <w:rPr>
            <w:rStyle w:val="Hyperlink"/>
            <w:rFonts w:cs="Arial"/>
            <w:color w:val="000000"/>
            <w:sz w:val="20"/>
            <w:szCs w:val="20"/>
            <w:u w:val="none"/>
          </w:rPr>
          <w:t>sur la</w:t>
        </w:r>
      </w:hyperlink>
      <w:r>
        <w:rPr>
          <w:sz w:val="20"/>
          <w:szCs w:val="20"/>
        </w:rPr>
        <w:t xml:space="preserve"> sécurité alimentaire et l</w:t>
      </w:r>
      <w:r>
        <w:rPr>
          <w:rStyle w:val="Hyperlink"/>
          <w:rFonts w:cs="Arial"/>
          <w:color w:val="000000"/>
          <w:sz w:val="20"/>
          <w:szCs w:val="20"/>
          <w:u w:val="none"/>
        </w:rPr>
        <w:t xml:space="preserve">a </w:t>
      </w:r>
      <w:r>
        <w:rPr>
          <w:color w:val="000000"/>
          <w:sz w:val="20"/>
          <w:szCs w:val="20"/>
        </w:rPr>
        <w:t>g</w:t>
      </w:r>
      <w:r>
        <w:rPr>
          <w:sz w:val="20"/>
          <w:szCs w:val="20"/>
        </w:rPr>
        <w:t>ouvernance foncière, Burundi</w:t>
      </w:r>
      <w:r>
        <w:rPr>
          <w:rStyle w:val="Hyperlink"/>
          <w:rFonts w:cs="Arial"/>
          <w:sz w:val="20"/>
          <w:szCs w:val="20"/>
          <w:u w:val="none"/>
        </w:rPr>
        <w:t>.</w:t>
      </w:r>
      <w:r>
        <w:rPr>
          <w:sz w:val="20"/>
          <w:szCs w:val="20"/>
        </w:rPr>
        <w:t xml:space="preserve"> </w:t>
      </w:r>
      <w:r w:rsidR="00764825">
        <w:rPr>
          <w:sz w:val="20"/>
          <w:szCs w:val="20"/>
        </w:rPr>
        <w:t>Consultée</w:t>
      </w:r>
      <w:r>
        <w:rPr>
          <w:sz w:val="20"/>
          <w:szCs w:val="20"/>
        </w:rPr>
        <w:t xml:space="preserve"> le 24 juin 2020 à </w:t>
      </w:r>
      <w:r w:rsidR="00A7599C" w:rsidRPr="00A7599C">
        <w:rPr>
          <w:rFonts w:cs="Arial"/>
          <w:sz w:val="20"/>
          <w:szCs w:val="20"/>
        </w:rPr>
        <w:t xml:space="preserve">l'adresse suivante: </w:t>
      </w:r>
      <w:hyperlink r:id="rId28" w:history="1">
        <w:r>
          <w:rPr>
            <w:rStyle w:val="Hyperlink"/>
            <w:rFonts w:cs="Arial"/>
            <w:sz w:val="20"/>
            <w:szCs w:val="20"/>
          </w:rPr>
          <w:t>https://www.landgovernance.org/assets/20160608-Factsheet</w:t>
        </w:r>
      </w:hyperlink>
      <w:hyperlink r:id="rId29" w:history="1">
        <w:r>
          <w:rPr>
            <w:rStyle w:val="Hyperlink"/>
            <w:sz w:val="20"/>
            <w:szCs w:val="20"/>
          </w:rPr>
          <w:t>-Burundi.pdf</w:t>
        </w:r>
      </w:hyperlink>
    </w:p>
    <w:p w:rsidR="00C67914" w:rsidRDefault="003F7870" w:rsidP="00672D5F">
      <w:pPr>
        <w:pStyle w:val="WWBodyText2"/>
        <w:rPr>
          <w:sz w:val="20"/>
          <w:szCs w:val="20"/>
        </w:rPr>
      </w:pPr>
      <w:r>
        <w:rPr>
          <w:sz w:val="20"/>
          <w:szCs w:val="20"/>
        </w:rPr>
        <w:t>The World Bank La Gouvernance foncière au Burundi, Evaluation avec le Cadre d'Analyse de la Gouvernance Foncière (CAGF), Sous la coordination de Louis-Marie Nindorera en co-rédaction avec Gilbert Bigirimana, Jean Marie Habwintahe, Charles Nihangaza, Espérance Ninahaze, René Claude Niyonkuru, Dieudonné Ntibatingeso, Salvator Ruzima, Seth Sindayigaya, Bujumbura, September 2017</w:t>
      </w:r>
    </w:p>
    <w:p w:rsidR="00C67914" w:rsidRDefault="003F7870" w:rsidP="00672D5F">
      <w:pPr>
        <w:pStyle w:val="WWBodyText2"/>
        <w:rPr>
          <w:sz w:val="20"/>
          <w:szCs w:val="20"/>
        </w:rPr>
      </w:pPr>
      <w:r>
        <w:rPr>
          <w:sz w:val="20"/>
          <w:szCs w:val="20"/>
        </w:rPr>
        <w:t>Doing Business 2020, Profil de l'économie du Burundi, le Groupe de la Banque Mondiale</w:t>
      </w:r>
    </w:p>
    <w:p w:rsidR="00C67914" w:rsidRDefault="003F7870" w:rsidP="00672D5F">
      <w:pPr>
        <w:pStyle w:val="WWBodyText2"/>
        <w:rPr>
          <w:sz w:val="20"/>
          <w:szCs w:val="20"/>
        </w:rPr>
      </w:pPr>
      <w:r>
        <w:rPr>
          <w:sz w:val="20"/>
          <w:szCs w:val="20"/>
        </w:rPr>
        <w:t>Terres, développement et conflits dans les Grands Lacs, Réseau Européen pour l'Afrique Centrale (EURAC), 2017</w:t>
      </w:r>
    </w:p>
    <w:p w:rsidR="00C67914" w:rsidRPr="003F7870" w:rsidRDefault="003F7870" w:rsidP="00672D5F">
      <w:pPr>
        <w:pStyle w:val="WWBodyText2"/>
        <w:rPr>
          <w:sz w:val="20"/>
          <w:szCs w:val="20"/>
          <w:lang w:val="en-GB"/>
        </w:rPr>
      </w:pPr>
      <w:r w:rsidRPr="003F7870">
        <w:rPr>
          <w:sz w:val="20"/>
          <w:szCs w:val="20"/>
          <w:lang w:val="en-GB"/>
        </w:rPr>
        <w:t>Shinichi Takeuchi, Land Conflicts and the State in Rwanda And Burundi, 2014 World Bank Conference on Land and Poverty", The World Bank - Washington DC, 24-27 mars 2014</w:t>
      </w:r>
    </w:p>
    <w:p w:rsidR="00C67914" w:rsidRPr="003F7870" w:rsidRDefault="003F7870" w:rsidP="00672D5F">
      <w:pPr>
        <w:pStyle w:val="WWBodyText2"/>
        <w:jc w:val="left"/>
        <w:rPr>
          <w:lang w:val="en-GB"/>
        </w:rPr>
      </w:pPr>
      <w:r w:rsidRPr="003F7870">
        <w:rPr>
          <w:sz w:val="20"/>
          <w:szCs w:val="20"/>
          <w:lang w:val="en-GB"/>
        </w:rPr>
        <w:t>Ladd Serwat, A Feminist Perspective on Burundi's Land Reform, London School of Economics,</w:t>
      </w:r>
      <w:r w:rsidRPr="005E346C">
        <w:rPr>
          <w:sz w:val="20"/>
          <w:szCs w:val="20"/>
          <w:lang w:val="en-GB"/>
        </w:rPr>
        <w:t xml:space="preserve"> thèse</w:t>
      </w:r>
      <w:r w:rsidRPr="003F7870">
        <w:rPr>
          <w:sz w:val="20"/>
          <w:szCs w:val="20"/>
          <w:lang w:val="en-GB"/>
        </w:rPr>
        <w:t xml:space="preserve"> primée 2018, consultée le 24 juillet 2020 à l'adresse</w:t>
      </w:r>
      <w:r w:rsidR="00A7599C">
        <w:rPr>
          <w:sz w:val="20"/>
          <w:szCs w:val="20"/>
          <w:lang w:val="en-GB"/>
        </w:rPr>
        <w:t xml:space="preserve">: </w:t>
      </w:r>
      <w:r w:rsidRPr="003F7870">
        <w:rPr>
          <w:sz w:val="20"/>
          <w:szCs w:val="20"/>
          <w:lang w:val="en-GB"/>
        </w:rPr>
        <w:t xml:space="preserve"> </w:t>
      </w:r>
      <w:hyperlink r:id="rId30" w:history="1">
        <w:r w:rsidRPr="003F7870">
          <w:rPr>
            <w:rStyle w:val="Hyperlink"/>
            <w:lang w:val="en-GB"/>
          </w:rPr>
          <w:t>http://www.lse.ac.uk/internationalDevelopmen</w:t>
        </w:r>
      </w:hyperlink>
      <w:hyperlink r:id="rId31" w:history="1">
        <w:r w:rsidRPr="003F7870">
          <w:rPr>
            <w:rStyle w:val="Hyperlink"/>
            <w:lang w:val="en-GB"/>
          </w:rPr>
          <w:t>t/home.aspx</w:t>
        </w:r>
      </w:hyperlink>
    </w:p>
    <w:p w:rsidR="00C67914" w:rsidRPr="003F7870" w:rsidRDefault="003F7870" w:rsidP="00672D5F">
      <w:pPr>
        <w:pStyle w:val="WWBodyText2"/>
        <w:jc w:val="left"/>
        <w:rPr>
          <w:lang w:val="en-GB"/>
        </w:rPr>
      </w:pPr>
      <w:r w:rsidRPr="003F7870">
        <w:rPr>
          <w:bCs/>
          <w:sz w:val="20"/>
          <w:szCs w:val="20"/>
          <w:lang w:val="en-GB"/>
        </w:rPr>
        <w:t>Jean-Pierre</w:t>
      </w:r>
      <w:r w:rsidRPr="005E346C">
        <w:rPr>
          <w:bCs/>
          <w:sz w:val="20"/>
          <w:szCs w:val="20"/>
          <w:lang w:val="en-GB"/>
        </w:rPr>
        <w:t xml:space="preserve"> Amani</w:t>
      </w:r>
      <w:r w:rsidRPr="003F7870">
        <w:rPr>
          <w:bCs/>
          <w:sz w:val="20"/>
          <w:szCs w:val="20"/>
          <w:lang w:val="en-GB"/>
        </w:rPr>
        <w:t>, Land Rights and the Forest Peoples of Africa, Historical developments in Burundi's land law and impacts on Batwa land ownership, Forest Peoples Programme,</w:t>
      </w:r>
      <w:r w:rsidRPr="005E346C">
        <w:rPr>
          <w:bCs/>
          <w:sz w:val="20"/>
          <w:szCs w:val="20"/>
          <w:lang w:val="en-GB"/>
        </w:rPr>
        <w:t xml:space="preserve"> avril</w:t>
      </w:r>
      <w:r w:rsidRPr="003F7870">
        <w:rPr>
          <w:bCs/>
          <w:sz w:val="20"/>
          <w:szCs w:val="20"/>
          <w:lang w:val="en-GB"/>
        </w:rPr>
        <w:t xml:space="preserve"> 2009,</w:t>
      </w:r>
      <w:r w:rsidRPr="005E346C">
        <w:rPr>
          <w:bCs/>
          <w:sz w:val="20"/>
          <w:szCs w:val="20"/>
          <w:lang w:val="en-GB"/>
        </w:rPr>
        <w:t xml:space="preserve"> consulté</w:t>
      </w:r>
      <w:r w:rsidRPr="003F7870">
        <w:rPr>
          <w:bCs/>
          <w:sz w:val="20"/>
          <w:szCs w:val="20"/>
          <w:lang w:val="en-GB"/>
        </w:rPr>
        <w:t xml:space="preserve"> le 24</w:t>
      </w:r>
      <w:r w:rsidRPr="005E346C">
        <w:rPr>
          <w:bCs/>
          <w:sz w:val="20"/>
          <w:szCs w:val="20"/>
          <w:lang w:val="en-GB"/>
        </w:rPr>
        <w:t xml:space="preserve"> juin</w:t>
      </w:r>
      <w:r w:rsidRPr="003F7870">
        <w:rPr>
          <w:bCs/>
          <w:sz w:val="20"/>
          <w:szCs w:val="20"/>
          <w:lang w:val="en-GB"/>
        </w:rPr>
        <w:t xml:space="preserve"> 2020 à l'adresse:  </w:t>
      </w:r>
      <w:hyperlink r:id="rId32" w:history="1">
        <w:r w:rsidRPr="003F7870">
          <w:rPr>
            <w:rStyle w:val="Hyperlink"/>
            <w:rFonts w:cs="Arial"/>
            <w:sz w:val="20"/>
            <w:szCs w:val="20"/>
            <w:lang w:val="en-GB"/>
          </w:rPr>
          <w:t>http://www.forestpeoples.org/sites/fpp/files/publication/2010/05/burundilandrightsstudy09eng.pdf</w:t>
        </w:r>
      </w:hyperlink>
    </w:p>
    <w:p w:rsidR="00C67914" w:rsidRDefault="003F7870" w:rsidP="00672D5F">
      <w:pPr>
        <w:pStyle w:val="WWBodyText2"/>
      </w:pPr>
      <w:r>
        <w:rPr>
          <w:sz w:val="20"/>
          <w:szCs w:val="20"/>
        </w:rPr>
        <w:t>Organisation des Nations et des Peuples non représentés, Batwa: Un des nombreux groupes minoritaires dont les moyens de subsistance et la culture sont sacrifiés sur l'autel du "développement", consulté le 7 août 2020 à l</w:t>
      </w:r>
      <w:r w:rsidR="00A7599C">
        <w:rPr>
          <w:sz w:val="20"/>
          <w:szCs w:val="20"/>
        </w:rPr>
        <w:t xml:space="preserve">'adresse : </w:t>
      </w:r>
      <w:r>
        <w:rPr>
          <w:sz w:val="20"/>
          <w:szCs w:val="20"/>
        </w:rPr>
        <w:t xml:space="preserve"> </w:t>
      </w:r>
      <w:hyperlink r:id="rId33" w:history="1">
        <w:r>
          <w:rPr>
            <w:rStyle w:val="Hyperlink"/>
            <w:sz w:val="20"/>
            <w:szCs w:val="20"/>
          </w:rPr>
          <w:t>https://unpo.org/article/19112</w:t>
        </w:r>
      </w:hyperlink>
    </w:p>
    <w:p w:rsidR="00C67914" w:rsidRPr="003F7870" w:rsidRDefault="003F7870" w:rsidP="00672D5F">
      <w:pPr>
        <w:pStyle w:val="WWBodyText2"/>
        <w:rPr>
          <w:lang w:val="en-GB"/>
        </w:rPr>
      </w:pPr>
      <w:r w:rsidRPr="003F7870">
        <w:rPr>
          <w:sz w:val="20"/>
          <w:szCs w:val="20"/>
          <w:lang w:val="en-GB"/>
        </w:rPr>
        <w:t>IWACU English News, Eviction by government to send dozens into the street,</w:t>
      </w:r>
      <w:r w:rsidRPr="005E346C">
        <w:rPr>
          <w:sz w:val="20"/>
          <w:szCs w:val="20"/>
          <w:lang w:val="en-GB"/>
        </w:rPr>
        <w:t xml:space="preserve"> consulté</w:t>
      </w:r>
      <w:r w:rsidRPr="003F7870">
        <w:rPr>
          <w:sz w:val="20"/>
          <w:szCs w:val="20"/>
          <w:lang w:val="en-GB"/>
        </w:rPr>
        <w:t xml:space="preserve"> le 7</w:t>
      </w:r>
      <w:r w:rsidRPr="005E346C">
        <w:rPr>
          <w:sz w:val="20"/>
          <w:szCs w:val="20"/>
          <w:lang w:val="en-GB"/>
        </w:rPr>
        <w:t xml:space="preserve"> août</w:t>
      </w:r>
      <w:r w:rsidRPr="003F7870">
        <w:rPr>
          <w:sz w:val="20"/>
          <w:szCs w:val="20"/>
          <w:lang w:val="en-GB"/>
        </w:rPr>
        <w:t xml:space="preserve"> 2020</w:t>
      </w:r>
      <w:r w:rsidRPr="005E346C">
        <w:rPr>
          <w:sz w:val="20"/>
          <w:szCs w:val="20"/>
          <w:lang w:val="en-GB"/>
        </w:rPr>
        <w:t xml:space="preserve"> sur</w:t>
      </w:r>
      <w:r w:rsidRPr="003F7870">
        <w:rPr>
          <w:sz w:val="20"/>
          <w:szCs w:val="20"/>
          <w:lang w:val="en-GB"/>
        </w:rPr>
        <w:t xml:space="preserve"> </w:t>
      </w:r>
      <w:hyperlink r:id="rId34" w:history="1">
        <w:r w:rsidRPr="003F7870">
          <w:rPr>
            <w:rStyle w:val="Hyperlink"/>
            <w:lang w:val="en-GB"/>
          </w:rPr>
          <w:t>https://ww</w:t>
        </w:r>
      </w:hyperlink>
      <w:hyperlink r:id="rId35" w:history="1">
        <w:r w:rsidRPr="003F7870">
          <w:rPr>
            <w:rStyle w:val="Hyperlink"/>
            <w:lang w:val="en-GB"/>
          </w:rPr>
          <w:t>w.iwacu-burundi.org/englishnews/eviction-by-government-to-send-dozens-into-the-street/</w:t>
        </w:r>
      </w:hyperlink>
    </w:p>
    <w:p w:rsidR="00C67914" w:rsidRPr="003F7870" w:rsidRDefault="003F7870" w:rsidP="00672D5F">
      <w:pPr>
        <w:pStyle w:val="WWBodyText2"/>
        <w:jc w:val="left"/>
        <w:rPr>
          <w:lang w:val="en-GB"/>
        </w:rPr>
      </w:pPr>
      <w:r w:rsidRPr="003F7870">
        <w:rPr>
          <w:sz w:val="20"/>
          <w:szCs w:val="20"/>
          <w:lang w:val="en-GB"/>
        </w:rPr>
        <w:t>IWACU English News,</w:t>
      </w:r>
      <w:r w:rsidRPr="005E346C">
        <w:rPr>
          <w:sz w:val="20"/>
          <w:szCs w:val="20"/>
          <w:lang w:val="en-GB"/>
        </w:rPr>
        <w:t xml:space="preserve"> Gasenyi</w:t>
      </w:r>
      <w:r w:rsidRPr="003F7870">
        <w:rPr>
          <w:sz w:val="20"/>
          <w:szCs w:val="20"/>
          <w:lang w:val="en-GB"/>
        </w:rPr>
        <w:t xml:space="preserve"> evicted residents remind environment minister that they are leading miserable life, accessed on 07 August 2020 at</w:t>
      </w:r>
      <w:r w:rsidR="00A7599C">
        <w:rPr>
          <w:sz w:val="20"/>
          <w:szCs w:val="20"/>
          <w:lang w:val="en-GB"/>
        </w:rPr>
        <w:t xml:space="preserve">: </w:t>
      </w:r>
      <w:r w:rsidRPr="003F7870">
        <w:rPr>
          <w:sz w:val="20"/>
          <w:szCs w:val="20"/>
          <w:lang w:val="en-GB"/>
        </w:rPr>
        <w:t xml:space="preserve"> </w:t>
      </w:r>
      <w:hyperlink r:id="rId36" w:history="1">
        <w:r w:rsidRPr="003F7870">
          <w:rPr>
            <w:rStyle w:val="Hyperlink"/>
            <w:lang w:val="en-GB"/>
          </w:rPr>
          <w:t>https://iwacu.global.ssl.fastly.net/englishnews/gasenyi-evicted-residents-remind-environment-minister-that-they-are-leading-miserable-lif</w:t>
        </w:r>
      </w:hyperlink>
      <w:hyperlink r:id="rId37" w:history="1">
        <w:r w:rsidRPr="003F7870">
          <w:rPr>
            <w:rStyle w:val="Hyperlink"/>
            <w:lang w:val="en-GB"/>
          </w:rPr>
          <w:t>e/</w:t>
        </w:r>
      </w:hyperlink>
    </w:p>
    <w:p w:rsidR="00C67914" w:rsidRDefault="003F7870" w:rsidP="00672D5F">
      <w:pPr>
        <w:pStyle w:val="WWBodyText2"/>
        <w:jc w:val="left"/>
      </w:pPr>
      <w:r>
        <w:rPr>
          <w:sz w:val="20"/>
          <w:szCs w:val="20"/>
        </w:rPr>
        <w:t>Stef Vandeginste, Quotas ethniques et ONG étrangères au Burundi: Shrinking Civic Space Framed as Affirmative Action, Africa Spectrum, (2019) 54(3), 181-200 consulté le 14 août 2020 sur</w:t>
      </w:r>
      <w:r w:rsidR="00A7599C">
        <w:rPr>
          <w:sz w:val="20"/>
          <w:szCs w:val="20"/>
        </w:rPr>
        <w:t xml:space="preserve"> </w:t>
      </w:r>
      <w:r>
        <w:rPr>
          <w:sz w:val="20"/>
          <w:szCs w:val="20"/>
        </w:rPr>
        <w:t xml:space="preserve">: </w:t>
      </w:r>
      <w:hyperlink r:id="rId38" w:anchor="articleCitationDownloadContainer" w:history="1">
        <w:r>
          <w:rPr>
            <w:rStyle w:val="Hyperlink"/>
            <w:sz w:val="20"/>
            <w:szCs w:val="20"/>
          </w:rPr>
          <w:t>https://journals.sagepub.com/doi/full/10.1177/0002039719881460#articleCitationDownloadContainer</w:t>
        </w:r>
      </w:hyperlink>
    </w:p>
    <w:p w:rsidR="00C67914" w:rsidRDefault="003F7870" w:rsidP="00672D5F">
      <w:pPr>
        <w:pStyle w:val="WWBodyText2"/>
      </w:pPr>
      <w:r>
        <w:rPr>
          <w:sz w:val="20"/>
          <w:szCs w:val="20"/>
        </w:rPr>
        <w:t>Amnesty International, Burundi: Abandonner la demande faite aux ONG Internationales de divulguer l'identité ethnique des employés, 27 février 2020, consulté le 14 août 2020 sur</w:t>
      </w:r>
      <w:r w:rsidR="00A7599C">
        <w:rPr>
          <w:sz w:val="20"/>
          <w:szCs w:val="20"/>
        </w:rPr>
        <w:t>:</w:t>
      </w:r>
      <w:r>
        <w:rPr>
          <w:sz w:val="20"/>
          <w:szCs w:val="20"/>
        </w:rPr>
        <w:t xml:space="preserve"> </w:t>
      </w:r>
      <w:hyperlink r:id="rId39" w:history="1">
        <w:r>
          <w:rPr>
            <w:rStyle w:val="Hyperlink"/>
          </w:rPr>
          <w:t>https://www.amnesty.org/en/latest/news/2020/02/burundi-drop-demand-on-international-ngos-to-</w:t>
        </w:r>
      </w:hyperlink>
      <w:hyperlink r:id="rId40" w:history="1">
        <w:r>
          <w:rPr>
            <w:rStyle w:val="Hyperlink"/>
          </w:rPr>
          <w:t>disclose-ethnic-identity-of-employees/</w:t>
        </w:r>
      </w:hyperlink>
    </w:p>
    <w:p w:rsidR="00C67914" w:rsidRDefault="003F7870" w:rsidP="00672D5F">
      <w:pPr>
        <w:pStyle w:val="WWBodyText2"/>
      </w:pPr>
      <w:r>
        <w:rPr>
          <w:sz w:val="20"/>
          <w:szCs w:val="20"/>
        </w:rPr>
        <w:t>Agence des Nations Unies pour les Réfugiés, Burundi Situation, consulté le 14 août 2020 sur</w:t>
      </w:r>
      <w:r w:rsidR="00A7599C">
        <w:rPr>
          <w:sz w:val="20"/>
          <w:szCs w:val="20"/>
        </w:rPr>
        <w:t xml:space="preserve"> : </w:t>
      </w:r>
      <w:r>
        <w:rPr>
          <w:sz w:val="20"/>
          <w:szCs w:val="20"/>
        </w:rPr>
        <w:t xml:space="preserve"> </w:t>
      </w:r>
      <w:hyperlink r:id="rId41" w:history="1">
        <w:r>
          <w:rPr>
            <w:rStyle w:val="Hyperlink"/>
            <w:sz w:val="20"/>
            <w:szCs w:val="20"/>
          </w:rPr>
          <w:t>https://www.unhcr.org/afr/burundi-situation.html</w:t>
        </w:r>
      </w:hyperlink>
    </w:p>
    <w:p w:rsidR="00C67914" w:rsidRDefault="003F7870" w:rsidP="00672D5F">
      <w:pPr>
        <w:pStyle w:val="WWBodyText2"/>
      </w:pPr>
      <w:r>
        <w:rPr>
          <w:sz w:val="20"/>
          <w:szCs w:val="20"/>
        </w:rPr>
        <w:t>HCR, Agence des Nations Unies pour les réfugiés, Global Appeal 2013 Update, consulté le 14 août 2020 sur</w:t>
      </w:r>
      <w:r w:rsidR="00A7599C">
        <w:rPr>
          <w:sz w:val="20"/>
          <w:szCs w:val="20"/>
        </w:rPr>
        <w:t xml:space="preserve"> : </w:t>
      </w:r>
      <w:r>
        <w:rPr>
          <w:sz w:val="20"/>
          <w:szCs w:val="20"/>
        </w:rPr>
        <w:t xml:space="preserve"> </w:t>
      </w:r>
      <w:hyperlink r:id="rId42" w:history="1">
        <w:r>
          <w:rPr>
            <w:rStyle w:val="Hyperlink"/>
            <w:sz w:val="20"/>
            <w:szCs w:val="20"/>
          </w:rPr>
          <w:t>https://www.unhcr.org/50a9f81db02.pdf</w:t>
        </w:r>
      </w:hyperlink>
      <w:r>
        <w:rPr>
          <w:sz w:val="20"/>
          <w:szCs w:val="20"/>
        </w:rPr>
        <w:t xml:space="preserve">  </w:t>
      </w:r>
    </w:p>
    <w:p w:rsidR="00C67914" w:rsidRDefault="003F7870" w:rsidP="00672D5F">
      <w:pPr>
        <w:pStyle w:val="WWBodyText2"/>
      </w:pPr>
      <w:r>
        <w:rPr>
          <w:sz w:val="20"/>
          <w:szCs w:val="20"/>
        </w:rPr>
        <w:t>Organisation Internationale des Nations Unies pour les Migrations, The Displacement Tracking Matrix, Burundi, disponible sur</w:t>
      </w:r>
      <w:r w:rsidR="00A7599C">
        <w:rPr>
          <w:sz w:val="20"/>
          <w:szCs w:val="20"/>
        </w:rPr>
        <w:t xml:space="preserve"> : </w:t>
      </w:r>
      <w:r>
        <w:rPr>
          <w:sz w:val="20"/>
          <w:szCs w:val="20"/>
        </w:rPr>
        <w:t xml:space="preserve">  </w:t>
      </w:r>
      <w:hyperlink r:id="rId43" w:history="1">
        <w:r>
          <w:rPr>
            <w:rStyle w:val="Hyperlink"/>
            <w:sz w:val="20"/>
            <w:szCs w:val="20"/>
          </w:rPr>
          <w:t>https://dtm.iom.int/burundi</w:t>
        </w:r>
      </w:hyperlink>
      <w:r>
        <w:rPr>
          <w:sz w:val="20"/>
          <w:szCs w:val="20"/>
        </w:rPr>
        <w:t xml:space="preserve">  </w:t>
      </w:r>
    </w:p>
    <w:p w:rsidR="00C67914" w:rsidRDefault="00C67914" w:rsidP="00A7599C">
      <w:pPr>
        <w:pStyle w:val="WWBodyText2"/>
        <w:ind w:left="426"/>
      </w:pPr>
    </w:p>
    <w:sectPr w:rsidR="00C67914" w:rsidSect="00C67914">
      <w:headerReference w:type="default" r:id="rId44"/>
      <w:footerReference w:type="default" r:id="rId45"/>
      <w:headerReference w:type="first" r:id="rId46"/>
      <w:footerReference w:type="first" r:id="rId47"/>
      <w:pgSz w:w="11906" w:h="16838"/>
      <w:pgMar w:top="1134" w:right="1134" w:bottom="1134"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022" w:rsidRDefault="00320022" w:rsidP="00C67914">
      <w:r>
        <w:separator/>
      </w:r>
    </w:p>
  </w:endnote>
  <w:endnote w:type="continuationSeparator" w:id="0">
    <w:p w:rsidR="00320022" w:rsidRDefault="00320022" w:rsidP="00C679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Yu Gothic Light">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Times New Roman"/>
    <w:charset w:val="00"/>
    <w:family w:val="auto"/>
    <w:pitch w:val="default"/>
    <w:sig w:usb0="00000000" w:usb1="00000000" w:usb2="00000000" w:usb3="00000000" w:csb0="00000000" w:csb1="00000000"/>
  </w:font>
  <w:font w:name="Arial, Italic">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pBdr>
        <w:top w:val="single" w:sz="4" w:space="0" w:color="000000"/>
      </w:pBdr>
      <w:spacing w:before="240"/>
      <w:jc w:val="right"/>
      <w:rPr>
        <w:sz w:val="2"/>
        <w:szCs w:val="2"/>
      </w:rPr>
    </w:pPr>
  </w:p>
  <w:p w:rsidR="0092208A" w:rsidRDefault="0092208A">
    <w:pPr>
      <w:pStyle w:val="Footer"/>
      <w:tabs>
        <w:tab w:val="clear" w:pos="4253"/>
        <w:tab w:val="clear" w:pos="8505"/>
      </w:tabs>
      <w:spacing w:before="240" w:after="240"/>
      <w:jc w:val="right"/>
    </w:pPr>
    <w:r>
      <w:rPr>
        <w:noProof/>
        <w:lang w:val="en-GB"/>
      </w:rPr>
      <w:drawing>
        <wp:inline distT="0" distB="0" distL="0" distR="0">
          <wp:extent cx="1907987" cy="405719"/>
          <wp:effectExtent l="0" t="0" r="0" b="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907987" cy="405719"/>
                  </a:xfrm>
                  <a:prstGeom prst="rect">
                    <a:avLst/>
                  </a:prstGeom>
                  <a:noFill/>
                  <a:ln>
                    <a:noFill/>
                    <a:prstDash/>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pBdr>
        <w:top w:val="single" w:sz="4" w:space="0" w:color="000000"/>
      </w:pBdr>
      <w:spacing w:before="240"/>
      <w:jc w:val="right"/>
      <w:rPr>
        <w:sz w:val="2"/>
        <w:szCs w:val="2"/>
      </w:rPr>
    </w:pPr>
  </w:p>
  <w:p w:rsidR="0092208A" w:rsidRDefault="0092208A">
    <w:pPr>
      <w:pStyle w:val="Footer"/>
      <w:tabs>
        <w:tab w:val="clear" w:pos="4253"/>
        <w:tab w:val="clear" w:pos="8505"/>
      </w:tabs>
      <w:spacing w:before="240" w:after="240"/>
      <w:jc w:val="right"/>
    </w:pPr>
    <w:r>
      <w:rPr>
        <w:noProof/>
        <w:lang w:val="en-GB"/>
      </w:rPr>
      <w:drawing>
        <wp:inline distT="0" distB="0" distL="0" distR="0">
          <wp:extent cx="1907987" cy="405719"/>
          <wp:effectExtent l="0" t="0" r="0" b="0"/>
          <wp:docPr id="1" name="Picture 1" descr="Description : WW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907987" cy="405719"/>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pBdr>
        <w:top w:val="single" w:sz="4" w:space="0" w:color="000000"/>
      </w:pBdr>
      <w:spacing w:before="240"/>
      <w:jc w:val="right"/>
      <w:rPr>
        <w:sz w:val="2"/>
        <w:szCs w:val="2"/>
      </w:rPr>
    </w:pPr>
  </w:p>
  <w:p w:rsidR="0092208A" w:rsidRDefault="0092208A">
    <w:pPr>
      <w:pStyle w:val="Footer"/>
      <w:tabs>
        <w:tab w:val="clear" w:pos="4253"/>
        <w:tab w:val="clear" w:pos="8505"/>
      </w:tabs>
      <w:spacing w:before="240" w:after="240"/>
      <w:jc w:val="right"/>
    </w:pPr>
    <w:r>
      <w:rPr>
        <w:noProof/>
        <w:lang w:val="en-GB"/>
      </w:rPr>
      <w:drawing>
        <wp:inline distT="0" distB="0" distL="0" distR="0">
          <wp:extent cx="1907987" cy="405719"/>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907987" cy="405719"/>
                  </a:xfrm>
                  <a:prstGeom prst="rect">
                    <a:avLst/>
                  </a:prstGeom>
                  <a:noFill/>
                  <a:ln>
                    <a:noFill/>
                    <a:prstDash/>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pBdr>
        <w:top w:val="single" w:sz="4" w:space="0" w:color="000000"/>
      </w:pBdr>
      <w:spacing w:before="240"/>
      <w:jc w:val="right"/>
      <w:rPr>
        <w:sz w:val="2"/>
        <w:szCs w:val="2"/>
      </w:rPr>
    </w:pPr>
  </w:p>
  <w:p w:rsidR="0092208A" w:rsidRDefault="0092208A">
    <w:pPr>
      <w:pStyle w:val="Footer"/>
      <w:tabs>
        <w:tab w:val="clear" w:pos="4253"/>
        <w:tab w:val="clear" w:pos="8505"/>
      </w:tabs>
      <w:spacing w:before="240" w:after="240"/>
      <w:jc w:val="right"/>
    </w:pPr>
    <w:r>
      <w:rPr>
        <w:noProof/>
        <w:lang w:val="en-GB"/>
      </w:rPr>
      <w:drawing>
        <wp:inline distT="0" distB="0" distL="0" distR="0">
          <wp:extent cx="1907987" cy="405719"/>
          <wp:effectExtent l="0" t="0" r="0" b="0"/>
          <wp:docPr id="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907987" cy="405719"/>
                  </a:xfrm>
                  <a:prstGeom prst="rect">
                    <a:avLst/>
                  </a:prstGeom>
                  <a:noFill/>
                  <a:ln>
                    <a:noFill/>
                    <a:prstDash/>
                  </a:ln>
                </pic:spPr>
              </pic:pic>
            </a:graphicData>
          </a:graphic>
        </wp:inline>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pBdr>
        <w:top w:val="single" w:sz="4" w:space="0" w:color="000000"/>
      </w:pBdr>
      <w:spacing w:before="240"/>
      <w:jc w:val="right"/>
      <w:rPr>
        <w:sz w:val="2"/>
        <w:szCs w:val="2"/>
      </w:rPr>
    </w:pPr>
  </w:p>
  <w:p w:rsidR="0092208A" w:rsidRDefault="0092208A">
    <w:pPr>
      <w:pStyle w:val="Footer"/>
      <w:tabs>
        <w:tab w:val="clear" w:pos="4253"/>
        <w:tab w:val="clear" w:pos="8505"/>
      </w:tabs>
      <w:spacing w:before="240" w:after="240"/>
      <w:jc w:val="right"/>
    </w:pPr>
    <w:r>
      <w:rPr>
        <w:noProof/>
        <w:lang w:val="en-GB"/>
      </w:rPr>
      <w:drawing>
        <wp:inline distT="0" distB="0" distL="0" distR="0">
          <wp:extent cx="1907987" cy="405719"/>
          <wp:effectExtent l="0" t="0" r="0" b="0"/>
          <wp:docPr id="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907987" cy="405719"/>
                  </a:xfrm>
                  <a:prstGeom prst="rect">
                    <a:avLst/>
                  </a:prstGeom>
                  <a:noFill/>
                  <a:ln>
                    <a:noFill/>
                    <a:prstDash/>
                  </a:ln>
                </pic:spPr>
              </pic:pic>
            </a:graphicData>
          </a:graphic>
        </wp:inline>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022" w:rsidRDefault="00320022" w:rsidP="00C67914">
      <w:r w:rsidRPr="00C67914">
        <w:rPr>
          <w:color w:val="000000"/>
        </w:rPr>
        <w:separator/>
      </w:r>
    </w:p>
  </w:footnote>
  <w:footnote w:type="continuationSeparator" w:id="0">
    <w:p w:rsidR="00320022" w:rsidRDefault="00320022" w:rsidP="00C67914">
      <w:r>
        <w:continuationSeparator/>
      </w:r>
    </w:p>
  </w:footnote>
  <w:footnote w:id="1">
    <w:p w:rsidR="0092208A" w:rsidRDefault="0092208A">
      <w:pPr>
        <w:pStyle w:val="FootnoteText"/>
      </w:pPr>
      <w:r w:rsidRPr="00C67914">
        <w:rPr>
          <w:rStyle w:val="FootnoteReference"/>
        </w:rPr>
        <w:footnoteRef/>
      </w:r>
      <w:r>
        <w:t xml:space="preserve"> Programme des Nations Unies pour les établissements humains: Nairobi, page 11.</w:t>
      </w:r>
    </w:p>
  </w:footnote>
  <w:footnote w:id="2">
    <w:p w:rsidR="0092208A" w:rsidRPr="003F7870" w:rsidRDefault="0092208A">
      <w:pPr>
        <w:pStyle w:val="FootnoteText"/>
        <w:rPr>
          <w:lang w:val="en-GB"/>
        </w:rPr>
      </w:pPr>
      <w:r w:rsidRPr="00C67914">
        <w:rPr>
          <w:rStyle w:val="FootnoteReference"/>
        </w:rPr>
        <w:footnoteRef/>
      </w:r>
      <w:r w:rsidRPr="003F7870">
        <w:rPr>
          <w:lang w:val="en-GB"/>
        </w:rPr>
        <w:t>Dominik Kohlhagen, Burundi: Land policy making in a conflict prone country, Summary paper for the Annual   World Bank Conference on Land and Poverty, Washington DC, 23-26 April 2012.</w:t>
      </w:r>
    </w:p>
  </w:footnote>
  <w:footnote w:id="3">
    <w:p w:rsidR="0092208A" w:rsidRDefault="0092208A">
      <w:pPr>
        <w:pStyle w:val="FootnoteText"/>
      </w:pPr>
      <w:r w:rsidRPr="00C67914">
        <w:rPr>
          <w:rStyle w:val="FootnoteReference"/>
        </w:rPr>
        <w:footnoteRef/>
      </w:r>
      <w:r>
        <w:t xml:space="preserve">Syldie Bizimana,  Mise à jour par Jean-Claude Barakamfitiye et Janvier Ncamatwi, Le système juridique du Burundi et la recherche, 2017, disponible sur </w:t>
      </w:r>
      <w:hyperlink r:id="rId1" w:history="1">
        <w:r>
          <w:rPr>
            <w:rStyle w:val="Hyperlink"/>
            <w:rFonts w:ascii="ArialMT" w:hAnsi="ArialMT" w:cs="ArialMT"/>
            <w:sz w:val="16"/>
            <w:szCs w:val="16"/>
          </w:rPr>
          <w:t>https://www.nyulawglobal.org/globalex/Burundi1.html</w:t>
        </w:r>
      </w:hyperlink>
    </w:p>
  </w:footnote>
  <w:footnote w:id="4">
    <w:p w:rsidR="0092208A" w:rsidRDefault="0092208A">
      <w:pPr>
        <w:pStyle w:val="FootnoteText"/>
      </w:pPr>
      <w:r w:rsidRPr="00C67914">
        <w:rPr>
          <w:rStyle w:val="FootnoteReference"/>
        </w:rPr>
        <w:footnoteRef/>
      </w:r>
      <w:r>
        <w:t>Fiche d'information sur la sécurité alimentaire et la gouvernance foncière</w:t>
      </w:r>
      <w:r>
        <w:rPr>
          <w:b/>
        </w:rPr>
        <w:t xml:space="preserve"> </w:t>
      </w:r>
      <w:r>
        <w:t>au Burundi.</w:t>
      </w:r>
    </w:p>
  </w:footnote>
  <w:footnote w:id="5">
    <w:p w:rsidR="0092208A" w:rsidRDefault="0092208A">
      <w:pPr>
        <w:pStyle w:val="FootnoteText"/>
      </w:pPr>
      <w:r w:rsidRPr="00C67914">
        <w:rPr>
          <w:rStyle w:val="FootnoteReference"/>
        </w:rPr>
        <w:footnoteRef/>
      </w:r>
      <w:r>
        <w:t xml:space="preserve"> Article 4 du Code foncier.</w:t>
      </w:r>
    </w:p>
  </w:footnote>
  <w:footnote w:id="6">
    <w:p w:rsidR="0092208A" w:rsidRDefault="0092208A">
      <w:pPr>
        <w:pStyle w:val="FootnoteText"/>
      </w:pPr>
      <w:r w:rsidRPr="00C67914">
        <w:rPr>
          <w:rStyle w:val="FootnoteReference"/>
        </w:rPr>
        <w:footnoteRef/>
      </w:r>
      <w:r>
        <w:t xml:space="preserve"> Articles 188-200 du Code foncier.</w:t>
      </w:r>
    </w:p>
  </w:footnote>
  <w:footnote w:id="7">
    <w:p w:rsidR="0092208A" w:rsidRDefault="0092208A">
      <w:pPr>
        <w:pStyle w:val="FootnoteText"/>
      </w:pPr>
      <w:r w:rsidRPr="00C67914">
        <w:rPr>
          <w:rStyle w:val="FootnoteReference"/>
        </w:rPr>
        <w:footnoteRef/>
      </w:r>
      <w:r>
        <w:t xml:space="preserve"> Article 199 du Code foncier.</w:t>
      </w:r>
    </w:p>
  </w:footnote>
  <w:footnote w:id="8">
    <w:p w:rsidR="0092208A" w:rsidRDefault="0092208A">
      <w:pPr>
        <w:pStyle w:val="FootnoteText"/>
      </w:pPr>
      <w:r w:rsidRPr="00C67914">
        <w:rPr>
          <w:rStyle w:val="FootnoteReference"/>
        </w:rPr>
        <w:footnoteRef/>
      </w:r>
      <w:r>
        <w:t xml:space="preserve"> Article 200 du Code foncier.</w:t>
      </w:r>
    </w:p>
  </w:footnote>
  <w:footnote w:id="9">
    <w:p w:rsidR="0092208A" w:rsidRDefault="0092208A">
      <w:pPr>
        <w:pStyle w:val="FootnoteText"/>
      </w:pPr>
      <w:r w:rsidRPr="00C67914">
        <w:rPr>
          <w:rStyle w:val="FootnoteReference"/>
        </w:rPr>
        <w:footnoteRef/>
      </w:r>
      <w:r>
        <w:t xml:space="preserve"> Article 201 du Code foncier.</w:t>
      </w:r>
    </w:p>
  </w:footnote>
  <w:footnote w:id="10">
    <w:p w:rsidR="0092208A" w:rsidRDefault="0092208A">
      <w:pPr>
        <w:pStyle w:val="FootnoteText"/>
      </w:pPr>
      <w:r w:rsidRPr="00C67914">
        <w:rPr>
          <w:rStyle w:val="FootnoteReference"/>
        </w:rPr>
        <w:footnoteRef/>
      </w:r>
      <w:r>
        <w:t xml:space="preserve"> Article 202 du Code foncier.</w:t>
      </w:r>
    </w:p>
  </w:footnote>
  <w:footnote w:id="11">
    <w:p w:rsidR="0092208A" w:rsidRDefault="0092208A">
      <w:pPr>
        <w:pStyle w:val="FootnoteText"/>
      </w:pPr>
      <w:r w:rsidRPr="00C67914">
        <w:rPr>
          <w:rStyle w:val="FootnoteReference"/>
        </w:rPr>
        <w:footnoteRef/>
      </w:r>
      <w:r>
        <w:t xml:space="preserve"> Article 12 du Code Foncier.</w:t>
      </w:r>
    </w:p>
  </w:footnote>
  <w:footnote w:id="12">
    <w:p w:rsidR="0092208A" w:rsidRDefault="0092208A">
      <w:pPr>
        <w:pStyle w:val="FootnoteText"/>
      </w:pPr>
      <w:r w:rsidRPr="00C67914">
        <w:rPr>
          <w:rStyle w:val="FootnoteReference"/>
        </w:rPr>
        <w:footnoteRef/>
      </w:r>
      <w:r>
        <w:t xml:space="preserve"> Chapitre II du Code Foncier.</w:t>
      </w:r>
    </w:p>
  </w:footnote>
  <w:footnote w:id="13">
    <w:p w:rsidR="0092208A" w:rsidRDefault="0092208A">
      <w:pPr>
        <w:pStyle w:val="FootnoteText"/>
      </w:pPr>
      <w:r w:rsidRPr="00C67914">
        <w:rPr>
          <w:rStyle w:val="FootnoteReference"/>
        </w:rPr>
        <w:footnoteRef/>
      </w:r>
      <w:r>
        <w:t xml:space="preserve"> Chapitre III du Code Foncier.</w:t>
      </w:r>
    </w:p>
  </w:footnote>
  <w:footnote w:id="14">
    <w:p w:rsidR="0092208A" w:rsidRDefault="0092208A">
      <w:pPr>
        <w:pStyle w:val="FootnoteText"/>
      </w:pPr>
      <w:r w:rsidRPr="00C67914">
        <w:rPr>
          <w:rStyle w:val="FootnoteReference"/>
        </w:rPr>
        <w:footnoteRef/>
      </w:r>
      <w:r>
        <w:t xml:space="preserve"> UN HABITAT (2012), page 21.</w:t>
      </w:r>
    </w:p>
  </w:footnote>
  <w:footnote w:id="15">
    <w:p w:rsidR="0092208A" w:rsidRDefault="0092208A">
      <w:pPr>
        <w:pStyle w:val="FootnoteText"/>
      </w:pPr>
      <w:r w:rsidRPr="00C67914">
        <w:rPr>
          <w:rStyle w:val="FootnoteReference"/>
        </w:rPr>
        <w:footnoteRef/>
      </w:r>
      <w:r>
        <w:t xml:space="preserve"> Article 4 du Code Foncier.</w:t>
      </w:r>
    </w:p>
  </w:footnote>
  <w:footnote w:id="16">
    <w:p w:rsidR="0092208A" w:rsidRDefault="0092208A">
      <w:pPr>
        <w:pStyle w:val="FootnoteText"/>
      </w:pPr>
      <w:r w:rsidRPr="00C67914">
        <w:rPr>
          <w:rStyle w:val="FootnoteReference"/>
        </w:rPr>
        <w:footnoteRef/>
      </w:r>
      <w:r>
        <w:t>UN HABITAT (2012), page 21.</w:t>
      </w:r>
    </w:p>
  </w:footnote>
  <w:footnote w:id="17">
    <w:p w:rsidR="0092208A" w:rsidRDefault="0092208A">
      <w:pPr>
        <w:pStyle w:val="FootnoteText"/>
      </w:pPr>
      <w:r w:rsidRPr="00C67914">
        <w:rPr>
          <w:rStyle w:val="FootnoteReference"/>
        </w:rPr>
        <w:footnoteRef/>
      </w:r>
      <w:r>
        <w:t>UN HABITAT (2012), page 21.</w:t>
      </w:r>
    </w:p>
  </w:footnote>
  <w:footnote w:id="18">
    <w:p w:rsidR="0092208A" w:rsidRDefault="0092208A">
      <w:pPr>
        <w:pStyle w:val="FootnoteText"/>
      </w:pPr>
      <w:r w:rsidRPr="00C67914">
        <w:rPr>
          <w:rStyle w:val="FootnoteReference"/>
        </w:rPr>
        <w:footnoteRef/>
      </w:r>
      <w:r>
        <w:t>UN HABITAT (2012), page 21.</w:t>
      </w:r>
    </w:p>
  </w:footnote>
  <w:footnote w:id="19">
    <w:p w:rsidR="0092208A" w:rsidRDefault="0092208A">
      <w:pPr>
        <w:pStyle w:val="FootnoteText"/>
      </w:pPr>
      <w:r w:rsidRPr="00C67914">
        <w:rPr>
          <w:rStyle w:val="FootnoteReference"/>
        </w:rPr>
        <w:footnoteRef/>
      </w:r>
      <w:r>
        <w:t>La Banque Mondiale (World Bank) La Gouvernance foncière au Burundi, Evaluation avec le Cadre d'Analyse de la Gouvernance Foncière (CAGF) Bujumbura, Septembre 201/, page 33.</w:t>
      </w:r>
    </w:p>
  </w:footnote>
  <w:footnote w:id="20">
    <w:p w:rsidR="0092208A" w:rsidRDefault="0092208A">
      <w:pPr>
        <w:pStyle w:val="FootnoteText"/>
      </w:pPr>
      <w:r w:rsidRPr="00C67914">
        <w:rPr>
          <w:rStyle w:val="FootnoteReference"/>
        </w:rPr>
        <w:footnoteRef/>
      </w:r>
      <w:r>
        <w:t>Loi n°1/17 du 15 mai 2014, supprimant le pouvoir de cessation devant la Cour suprême et attribuant la compétence aux cours d'appel pour les affaires relatives aux terres rurales.</w:t>
      </w:r>
    </w:p>
  </w:footnote>
  <w:footnote w:id="21">
    <w:p w:rsidR="0092208A" w:rsidRDefault="0092208A">
      <w:pPr>
        <w:pStyle w:val="FootnoteText"/>
      </w:pPr>
      <w:r w:rsidRPr="00C67914">
        <w:rPr>
          <w:rStyle w:val="FootnoteReference"/>
        </w:rPr>
        <w:footnoteRef/>
      </w:r>
      <w:r>
        <w:t xml:space="preserve"> Doing Business 2020, Profil économique du Burundi, Groupe de la Banque mondiale.</w:t>
      </w:r>
    </w:p>
  </w:footnote>
  <w:footnote w:id="22">
    <w:p w:rsidR="0092208A" w:rsidRDefault="0092208A">
      <w:pPr>
        <w:pStyle w:val="FootnoteText"/>
      </w:pPr>
      <w:r w:rsidRPr="00C67914">
        <w:rPr>
          <w:rStyle w:val="FootnoteReference"/>
        </w:rPr>
        <w:footnoteRef/>
      </w:r>
      <w:r>
        <w:t>Land, Development and Conflicts in The Great Lakes, Réseau Européen pour l'Afrique Centrale (EURAC), 2017, page 51.</w:t>
      </w:r>
    </w:p>
  </w:footnote>
  <w:footnote w:id="23">
    <w:p w:rsidR="0092208A" w:rsidRDefault="0092208A">
      <w:pPr>
        <w:pStyle w:val="FootnoteText"/>
      </w:pPr>
      <w:r w:rsidRPr="00C67914">
        <w:rPr>
          <w:rStyle w:val="FootnoteReference"/>
        </w:rPr>
        <w:footnoteRef/>
      </w:r>
      <w:r>
        <w:t xml:space="preserve"> Voir la loi n°01/01 du 23 janvier 2017 modifiant la loi n°01/011 du 23 juin 1999 modifiant le décret-loi°01/033 du 22 août 1990 relatif au cadre général de la coopération entre la République du Burundi et les organisations non gouvernementales étrangères("</w:t>
      </w:r>
      <w:r>
        <w:rPr>
          <w:b/>
        </w:rPr>
        <w:t>ONGE</w:t>
      </w:r>
      <w:r>
        <w:t>" ).</w:t>
      </w:r>
    </w:p>
  </w:footnote>
  <w:footnote w:id="24">
    <w:p w:rsidR="0092208A" w:rsidRDefault="0092208A">
      <w:pPr>
        <w:pStyle w:val="FootnoteText"/>
      </w:pPr>
      <w:r w:rsidRPr="00C67914">
        <w:rPr>
          <w:rStyle w:val="FootnoteReference"/>
        </w:rPr>
        <w:footnoteRef/>
      </w:r>
      <w:r>
        <w:t>Stef Vandeginste, Quotas ethniques et ONG étrangères au Burundi: Shrinking Civic Space Framed as Affirmative Action, Africa Spectrum, (2019) 54(3), 181-200, page 6. "</w:t>
      </w:r>
      <w:r>
        <w:rPr>
          <w:i/>
        </w:rPr>
        <w:t>La mesure serait d'application immédiate pour tout le personnel existant. Les quotas ethniques à appliquer étaient ceux utilisés pour les postes politiques et les entreprises publiques (60 % de Hutus, 40 % de Tutsis), en combinaison avec un quota de 30 % de femmes</w:t>
      </w:r>
      <w:r>
        <w:t>".</w:t>
      </w:r>
    </w:p>
  </w:footnote>
  <w:footnote w:id="25">
    <w:p w:rsidR="0092208A" w:rsidRDefault="0092208A">
      <w:pPr>
        <w:pStyle w:val="FootnoteText"/>
        <w:jc w:val="left"/>
      </w:pPr>
      <w:r w:rsidRPr="00C67914">
        <w:rPr>
          <w:rStyle w:val="FootnoteReference"/>
        </w:rPr>
        <w:footnoteRef/>
      </w:r>
      <w:r>
        <w:t>Amnesty International,  Burundi: Abandonner la demande faite aux ONG internationales de divulguer l'identité ethnique des employés, 27 février 2020, disponible  surhttps://www.amnesty.org/en/latest/news/2020/02/burundi-drop-demand-on-international-ngos-to-disclose-ethnic-identity-of-employees/.</w:t>
      </w:r>
    </w:p>
  </w:footnote>
  <w:footnote w:id="26">
    <w:p w:rsidR="0092208A" w:rsidRDefault="0092208A">
      <w:pPr>
        <w:pStyle w:val="FootnoteText"/>
      </w:pPr>
      <w:r w:rsidRPr="00C67914">
        <w:rPr>
          <w:rStyle w:val="FootnoteReference"/>
        </w:rPr>
        <w:footnoteRef/>
      </w:r>
      <w:r>
        <w:t xml:space="preserve"> Vandeginste, page 6.</w:t>
      </w:r>
    </w:p>
  </w:footnote>
  <w:footnote w:id="27">
    <w:p w:rsidR="0092208A" w:rsidRDefault="0092208A">
      <w:pPr>
        <w:pStyle w:val="FootnoteText"/>
      </w:pPr>
      <w:r w:rsidRPr="00C67914">
        <w:rPr>
          <w:rStyle w:val="FootnoteReference"/>
        </w:rPr>
        <w:footnoteRef/>
      </w:r>
      <w:r>
        <w:t xml:space="preserve"> Article 315 du Code foncier.</w:t>
      </w:r>
    </w:p>
  </w:footnote>
  <w:footnote w:id="28">
    <w:p w:rsidR="0092208A" w:rsidRDefault="0092208A">
      <w:pPr>
        <w:pStyle w:val="FootnoteText"/>
      </w:pPr>
      <w:r w:rsidRPr="00C67914">
        <w:rPr>
          <w:rStyle w:val="FootnoteReference"/>
        </w:rPr>
        <w:footnoteRef/>
      </w:r>
      <w:r>
        <w:t xml:space="preserve"> Article 313 du Code foncier: Le droit de propriété foncière peut être établi :  ou par un certificat foncier délivré par le service foncier municipal.</w:t>
      </w:r>
    </w:p>
  </w:footnote>
  <w:footnote w:id="29">
    <w:p w:rsidR="0092208A" w:rsidRDefault="0092208A">
      <w:pPr>
        <w:pStyle w:val="FootnoteText"/>
      </w:pPr>
      <w:r w:rsidRPr="00C67914">
        <w:rPr>
          <w:rStyle w:val="FootnoteReference"/>
        </w:rPr>
        <w:footnoteRef/>
      </w:r>
      <w:r>
        <w:t xml:space="preserve"> Article 317 du Code foncier.</w:t>
      </w:r>
    </w:p>
  </w:footnote>
  <w:footnote w:id="30">
    <w:p w:rsidR="0092208A" w:rsidRDefault="0092208A">
      <w:pPr>
        <w:pStyle w:val="FootnoteText"/>
      </w:pPr>
      <w:r w:rsidRPr="00C67914">
        <w:rPr>
          <w:rStyle w:val="FootnoteReference"/>
        </w:rPr>
        <w:footnoteRef/>
      </w:r>
      <w:r>
        <w:t xml:space="preserve"> Article 380 du Code foncier.</w:t>
      </w:r>
    </w:p>
  </w:footnote>
  <w:footnote w:id="31">
    <w:p w:rsidR="0092208A" w:rsidRDefault="0092208A">
      <w:pPr>
        <w:pStyle w:val="FootnoteText"/>
      </w:pPr>
      <w:r w:rsidRPr="00C67914">
        <w:rPr>
          <w:rStyle w:val="FootnoteReference"/>
        </w:rPr>
        <w:footnoteRef/>
      </w:r>
      <w:r>
        <w:t xml:space="preserve"> Article 313 du Code foncier.</w:t>
      </w:r>
    </w:p>
  </w:footnote>
  <w:footnote w:id="32">
    <w:p w:rsidR="0092208A" w:rsidRDefault="0092208A">
      <w:pPr>
        <w:pStyle w:val="FootnoteText"/>
      </w:pPr>
      <w:r w:rsidRPr="00C67914">
        <w:rPr>
          <w:rStyle w:val="FootnoteReference"/>
        </w:rPr>
        <w:footnoteRef/>
      </w:r>
      <w:r>
        <w:t xml:space="preserve"> Doing Business 2020, page 23.</w:t>
      </w:r>
    </w:p>
  </w:footnote>
  <w:footnote w:id="33">
    <w:p w:rsidR="0092208A" w:rsidRDefault="0092208A">
      <w:pPr>
        <w:pStyle w:val="FootnoteText"/>
      </w:pPr>
      <w:r w:rsidRPr="00C67914">
        <w:rPr>
          <w:rStyle w:val="FootnoteReference"/>
        </w:rPr>
        <w:footnoteRef/>
      </w:r>
      <w:r>
        <w:t xml:space="preserve"> Article 380 du Code foncier.</w:t>
      </w:r>
    </w:p>
  </w:footnote>
  <w:footnote w:id="34">
    <w:p w:rsidR="0092208A" w:rsidRDefault="0092208A">
      <w:pPr>
        <w:pStyle w:val="FootnoteText"/>
      </w:pPr>
      <w:r w:rsidRPr="00C67914">
        <w:rPr>
          <w:rStyle w:val="FootnoteReference"/>
        </w:rPr>
        <w:footnoteRef/>
      </w:r>
      <w:r>
        <w:t>La Banque Mondiale La Gouvernance foncière au Burundi, Evaluation avec le Cadre d'Analyse de la Gouvernance Foncière (CAGF), page 28.</w:t>
      </w:r>
    </w:p>
  </w:footnote>
  <w:footnote w:id="35">
    <w:p w:rsidR="0092208A" w:rsidRDefault="0092208A">
      <w:pPr>
        <w:pStyle w:val="FootnoteText"/>
      </w:pPr>
      <w:r w:rsidRPr="00C67914">
        <w:rPr>
          <w:rStyle w:val="FootnoteReference"/>
        </w:rPr>
        <w:footnoteRef/>
      </w:r>
      <w:r>
        <w:t>La Banque Mondiale La Gouvernance foncière au Burundi, Evaluation avec le Cadre d'Analyse de la Gouvernance Foncière (CAGF), page 28.</w:t>
      </w:r>
    </w:p>
  </w:footnote>
  <w:footnote w:id="36">
    <w:p w:rsidR="0092208A" w:rsidRDefault="0092208A">
      <w:pPr>
        <w:pStyle w:val="FootnoteText"/>
      </w:pPr>
      <w:r w:rsidRPr="00C67914">
        <w:rPr>
          <w:rStyle w:val="FootnoteReference"/>
        </w:rPr>
        <w:footnoteRef/>
      </w:r>
      <w:r>
        <w:t>Article 2 de la loi du 4 janvier 2011 ( portant révision de la loi n° 1/17 du 04 septembre 2009) relative à la mission, la composition, l'organisation et le fonctionnement de la Commission nationale des terres et autres biens.</w:t>
      </w:r>
    </w:p>
  </w:footnote>
  <w:footnote w:id="37">
    <w:p w:rsidR="0092208A" w:rsidRDefault="0092208A">
      <w:pPr>
        <w:pStyle w:val="FootnoteText"/>
      </w:pPr>
      <w:r w:rsidRPr="00C67914">
        <w:rPr>
          <w:rStyle w:val="FootnoteReference"/>
        </w:rPr>
        <w:footnoteRef/>
      </w:r>
      <w:r>
        <w:t xml:space="preserve"> Article 36 de la Constitution.</w:t>
      </w:r>
    </w:p>
  </w:footnote>
  <w:footnote w:id="38">
    <w:p w:rsidR="0092208A" w:rsidRDefault="0092208A">
      <w:pPr>
        <w:pStyle w:val="FootnoteText"/>
      </w:pPr>
      <w:r w:rsidRPr="00C67914">
        <w:rPr>
          <w:rStyle w:val="FootnoteReference"/>
        </w:rPr>
        <w:footnoteRef/>
      </w:r>
      <w:r>
        <w:t xml:space="preserve"> Article 12 du Code foncier.</w:t>
      </w:r>
    </w:p>
  </w:footnote>
  <w:footnote w:id="39">
    <w:p w:rsidR="0092208A" w:rsidRPr="003F7870" w:rsidRDefault="0092208A">
      <w:pPr>
        <w:pStyle w:val="FootnoteText"/>
        <w:rPr>
          <w:lang w:val="en-GB"/>
        </w:rPr>
      </w:pPr>
      <w:r w:rsidRPr="00C67914">
        <w:rPr>
          <w:rStyle w:val="FootnoteReference"/>
        </w:rPr>
        <w:footnoteRef/>
      </w:r>
      <w:r w:rsidRPr="003F7870">
        <w:rPr>
          <w:lang w:val="en-GB"/>
        </w:rPr>
        <w:t xml:space="preserve"> </w:t>
      </w:r>
      <w:r w:rsidRPr="005E346C">
        <w:rPr>
          <w:lang w:val="en-GB"/>
        </w:rPr>
        <w:t>Ladd Serwat, A Feminist Perspective on Burundi's Land Reform, London School of Economics, thèse primée 2018, disponible sur  http://www.lse.ac.uk/internationalDevelopment/home.aspx.</w:t>
      </w:r>
    </w:p>
  </w:footnote>
  <w:footnote w:id="40">
    <w:p w:rsidR="0092208A" w:rsidRDefault="0092208A">
      <w:pPr>
        <w:pStyle w:val="FootnoteText"/>
      </w:pPr>
      <w:r w:rsidRPr="00C67914">
        <w:rPr>
          <w:rStyle w:val="FootnoteReference"/>
        </w:rPr>
        <w:footnoteRef/>
      </w:r>
      <w:r>
        <w:t xml:space="preserve"> Ladd, page 18.</w:t>
      </w:r>
    </w:p>
  </w:footnote>
  <w:footnote w:id="41">
    <w:p w:rsidR="0092208A" w:rsidRDefault="0092208A">
      <w:pPr>
        <w:pStyle w:val="FootnoteText"/>
      </w:pPr>
      <w:r w:rsidRPr="00C67914">
        <w:rPr>
          <w:rStyle w:val="FootnoteReference"/>
        </w:rPr>
        <w:footnoteRef/>
      </w:r>
      <w:r>
        <w:t xml:space="preserve"> Article 380 du Code foncier.</w:t>
      </w:r>
    </w:p>
  </w:footnote>
  <w:footnote w:id="42">
    <w:p w:rsidR="0092208A" w:rsidRPr="003F7870" w:rsidRDefault="0092208A">
      <w:pPr>
        <w:pStyle w:val="FootnoteText"/>
        <w:rPr>
          <w:lang w:val="en-GB"/>
        </w:rPr>
      </w:pPr>
      <w:r w:rsidRPr="00C67914">
        <w:rPr>
          <w:rStyle w:val="FootnoteReference"/>
        </w:rPr>
        <w:footnoteRef/>
      </w:r>
      <w:r w:rsidRPr="003F7870">
        <w:rPr>
          <w:lang w:val="en-GB"/>
        </w:rPr>
        <w:t>Shinichi Takeuchi, Land Conflicts and the Statein Rwanda And Burundi, 2014 World Bank Conference on Land and Poverty", The World Bank - Washington DC, 24-27 mars 2014.</w:t>
      </w:r>
    </w:p>
  </w:footnote>
  <w:footnote w:id="43">
    <w:p w:rsidR="0092208A" w:rsidRDefault="0092208A">
      <w:pPr>
        <w:pStyle w:val="FootnoteText"/>
      </w:pPr>
      <w:r w:rsidRPr="00C67914">
        <w:rPr>
          <w:rStyle w:val="FootnoteReference"/>
        </w:rPr>
        <w:footnoteRef/>
      </w:r>
      <w:r>
        <w:t xml:space="preserve"> Takeuchi, page 7.</w:t>
      </w:r>
    </w:p>
  </w:footnote>
  <w:footnote w:id="44">
    <w:p w:rsidR="0092208A" w:rsidRDefault="0092208A">
      <w:pPr>
        <w:pStyle w:val="FootnoteText"/>
      </w:pPr>
      <w:r w:rsidRPr="00C67914">
        <w:rPr>
          <w:rStyle w:val="FootnoteReference"/>
        </w:rPr>
        <w:footnoteRef/>
      </w:r>
      <w:r>
        <w:t xml:space="preserve"> EURAC, page 45.</w:t>
      </w:r>
    </w:p>
  </w:footnote>
  <w:footnote w:id="45">
    <w:p w:rsidR="0092208A" w:rsidRDefault="0092208A">
      <w:pPr>
        <w:pStyle w:val="FootnoteText"/>
      </w:pPr>
      <w:r w:rsidRPr="00C67914">
        <w:rPr>
          <w:rStyle w:val="FootnoteReference"/>
        </w:rPr>
        <w:footnoteRef/>
      </w:r>
      <w:r>
        <w:t xml:space="preserve"> EURAC, page 45.</w:t>
      </w:r>
    </w:p>
  </w:footnote>
  <w:footnote w:id="46">
    <w:p w:rsidR="0092208A" w:rsidRDefault="0092208A">
      <w:pPr>
        <w:pStyle w:val="FootnoteText"/>
      </w:pPr>
      <w:r w:rsidRPr="00C67914">
        <w:rPr>
          <w:rStyle w:val="FootnoteReference"/>
        </w:rPr>
        <w:footnoteRef/>
      </w:r>
      <w:r>
        <w:t xml:space="preserve"> EURAC, page 45.</w:t>
      </w:r>
    </w:p>
  </w:footnote>
  <w:footnote w:id="47">
    <w:p w:rsidR="0092208A" w:rsidRDefault="0092208A">
      <w:pPr>
        <w:pStyle w:val="FootnoteText"/>
      </w:pPr>
      <w:r w:rsidRPr="00C67914">
        <w:rPr>
          <w:rStyle w:val="FootnoteReference"/>
        </w:rPr>
        <w:footnoteRef/>
      </w:r>
      <w:r>
        <w:t xml:space="preserve"> Takeuchi, page 9.</w:t>
      </w:r>
    </w:p>
  </w:footnote>
  <w:footnote w:id="48">
    <w:p w:rsidR="0092208A" w:rsidRDefault="0092208A">
      <w:pPr>
        <w:pStyle w:val="FootnoteText"/>
      </w:pPr>
      <w:r w:rsidRPr="00C67914">
        <w:rPr>
          <w:rStyle w:val="FootnoteReference"/>
        </w:rPr>
        <w:footnoteRef/>
      </w:r>
      <w:r>
        <w:t xml:space="preserve"> Takeuchi, page 9.</w:t>
      </w:r>
    </w:p>
  </w:footnote>
  <w:footnote w:id="49">
    <w:p w:rsidR="0092208A" w:rsidRDefault="0092208A">
      <w:pPr>
        <w:pStyle w:val="FootnoteText"/>
      </w:pPr>
      <w:r w:rsidRPr="00C67914">
        <w:rPr>
          <w:rStyle w:val="FootnoteReference"/>
        </w:rPr>
        <w:footnoteRef/>
      </w:r>
      <w:r>
        <w:t xml:space="preserve"> Takeuchi, page 9.</w:t>
      </w:r>
    </w:p>
  </w:footnote>
  <w:footnote w:id="50">
    <w:p w:rsidR="0092208A" w:rsidRDefault="0092208A">
      <w:pPr>
        <w:pStyle w:val="FootnoteText"/>
      </w:pPr>
      <w:r w:rsidRPr="00C67914">
        <w:rPr>
          <w:rStyle w:val="FootnoteReference"/>
        </w:rPr>
        <w:footnoteRef/>
      </w:r>
      <w:r>
        <w:t xml:space="preserve"> LANDac, page 4.</w:t>
      </w:r>
    </w:p>
  </w:footnote>
  <w:footnote w:id="51">
    <w:p w:rsidR="0092208A" w:rsidRDefault="0092208A">
      <w:pPr>
        <w:pStyle w:val="FootnoteText"/>
      </w:pPr>
      <w:r w:rsidRPr="00C67914">
        <w:rPr>
          <w:rStyle w:val="FootnoteReference"/>
        </w:rPr>
        <w:footnoteRef/>
      </w:r>
      <w:r>
        <w:t xml:space="preserve"> Article 13 de la Constitution: "</w:t>
      </w:r>
      <w:r>
        <w:rPr>
          <w:i/>
        </w:rPr>
        <w:t>Tous les Burundais sont égaux en mérite et en dignité. Tous les citoyens jouissent des mêmes droits et ont la même protection de la loi. Aucun Burundais ne sera exclu de la vie sociale, politique ou économique en raison de sa race, de sa langue, de sa religion, de son sexe ou de son origine ethnique.</w:t>
      </w:r>
      <w:r>
        <w:t>"</w:t>
      </w:r>
    </w:p>
  </w:footnote>
  <w:footnote w:id="52">
    <w:p w:rsidR="0092208A" w:rsidRDefault="0092208A">
      <w:pPr>
        <w:pStyle w:val="FootnoteText"/>
      </w:pPr>
      <w:r w:rsidRPr="00C67914">
        <w:rPr>
          <w:rStyle w:val="FootnoteReference"/>
        </w:rPr>
        <w:footnoteRef/>
      </w:r>
      <w:r>
        <w:t xml:space="preserve"> Article 36 de la Constitution.</w:t>
      </w:r>
    </w:p>
  </w:footnote>
  <w:footnote w:id="53">
    <w:p w:rsidR="0092208A" w:rsidRDefault="0092208A">
      <w:pPr>
        <w:pStyle w:val="FootnoteText"/>
      </w:pPr>
      <w:r w:rsidRPr="00C67914">
        <w:rPr>
          <w:rStyle w:val="FootnoteReference"/>
        </w:rPr>
        <w:footnoteRef/>
      </w:r>
      <w:r>
        <w:t xml:space="preserve"> Article 36 de la Constitution.</w:t>
      </w:r>
    </w:p>
  </w:footnote>
  <w:footnote w:id="54">
    <w:p w:rsidR="0092208A" w:rsidRPr="003F7870" w:rsidRDefault="0092208A">
      <w:pPr>
        <w:pStyle w:val="FootnoteText"/>
        <w:rPr>
          <w:lang w:val="en-GB"/>
        </w:rPr>
      </w:pPr>
      <w:r w:rsidRPr="00C67914">
        <w:rPr>
          <w:rStyle w:val="FootnoteReference"/>
        </w:rPr>
        <w:footnoteRef/>
      </w:r>
      <w:r w:rsidRPr="003F7870">
        <w:rPr>
          <w:lang w:val="en-GB"/>
        </w:rPr>
        <w:t xml:space="preserve"> </w:t>
      </w:r>
      <w:r w:rsidRPr="005E346C">
        <w:rPr>
          <w:lang w:val="en-GB"/>
        </w:rPr>
        <w:t xml:space="preserve">Jean-Pierre Amani, Land Rights and </w:t>
      </w:r>
      <w:r w:rsidRPr="005E346C">
        <w:rPr>
          <w:szCs w:val="18"/>
          <w:lang w:val="en-GB"/>
        </w:rPr>
        <w:t>the Forest Peoples of Africa,</w:t>
      </w:r>
      <w:r w:rsidRPr="005E346C">
        <w:rPr>
          <w:rFonts w:ascii="Arial, Italic" w:hAnsi="Arial, Italic" w:cs="Arial, Italic"/>
          <w:iCs/>
          <w:szCs w:val="18"/>
          <w:lang w:val="en-GB"/>
        </w:rPr>
        <w:t xml:space="preserve"> Historical developments in Burundi's land law  and impacts on Batwa land ownership,</w:t>
      </w:r>
      <w:r w:rsidRPr="005E346C">
        <w:rPr>
          <w:rFonts w:ascii="Arial, Italic" w:hAnsi="Arial, Italic" w:cs="Arial, Italic"/>
          <w:i/>
          <w:iCs/>
          <w:szCs w:val="18"/>
          <w:lang w:val="en-GB"/>
        </w:rPr>
        <w:t xml:space="preserve"> </w:t>
      </w:r>
      <w:r w:rsidRPr="005E346C">
        <w:rPr>
          <w:rFonts w:ascii="Arial, Italic" w:hAnsi="Arial, Italic" w:cs="Arial, Italic"/>
          <w:iCs/>
          <w:szCs w:val="18"/>
          <w:lang w:val="en-GB"/>
        </w:rPr>
        <w:t>Forest Peoples Programme, avril 2009, page 1.</w:t>
      </w:r>
    </w:p>
  </w:footnote>
  <w:footnote w:id="55">
    <w:p w:rsidR="0092208A" w:rsidRDefault="0092208A">
      <w:pPr>
        <w:pStyle w:val="FootnoteText"/>
      </w:pPr>
      <w:r w:rsidRPr="00C67914">
        <w:rPr>
          <w:rStyle w:val="FootnoteReference"/>
        </w:rPr>
        <w:footnoteRef/>
      </w:r>
      <w:r>
        <w:t xml:space="preserve"> Amani, page 27.</w:t>
      </w:r>
    </w:p>
  </w:footnote>
  <w:footnote w:id="56">
    <w:p w:rsidR="0092208A" w:rsidRDefault="0092208A">
      <w:pPr>
        <w:pStyle w:val="FootnoteText"/>
      </w:pPr>
      <w:r w:rsidRPr="00C67914">
        <w:rPr>
          <w:rStyle w:val="FootnoteReference"/>
        </w:rPr>
        <w:footnoteRef/>
      </w:r>
      <w:r>
        <w:t xml:space="preserve"> Amani, page 27.</w:t>
      </w:r>
    </w:p>
  </w:footnote>
  <w:footnote w:id="57">
    <w:p w:rsidR="0092208A" w:rsidRDefault="0092208A">
      <w:pPr>
        <w:pStyle w:val="FootnoteText"/>
      </w:pPr>
      <w:r w:rsidRPr="00C67914">
        <w:rPr>
          <w:rStyle w:val="FootnoteReference"/>
        </w:rPr>
        <w:footnoteRef/>
      </w:r>
      <w:r>
        <w:t xml:space="preserve"> Amani, page 27.</w:t>
      </w:r>
    </w:p>
  </w:footnote>
  <w:footnote w:id="58">
    <w:p w:rsidR="0092208A" w:rsidRDefault="0092208A">
      <w:pPr>
        <w:pStyle w:val="FootnoteText"/>
      </w:pPr>
      <w:r w:rsidRPr="00C67914">
        <w:rPr>
          <w:rStyle w:val="FootnoteReference"/>
        </w:rPr>
        <w:footnoteRef/>
      </w:r>
      <w:r>
        <w:t xml:space="preserve"> Amani, page 27.</w:t>
      </w:r>
    </w:p>
  </w:footnote>
  <w:footnote w:id="59">
    <w:p w:rsidR="0092208A" w:rsidRDefault="0092208A" w:rsidP="005164DF">
      <w:pPr>
        <w:pStyle w:val="FootnoteText"/>
        <w:tabs>
          <w:tab w:val="clear" w:pos="340"/>
          <w:tab w:val="left" w:pos="142"/>
        </w:tabs>
      </w:pPr>
      <w:r w:rsidRPr="00C67914">
        <w:rPr>
          <w:rStyle w:val="FootnoteReference"/>
        </w:rPr>
        <w:footnoteRef/>
      </w:r>
      <w:r>
        <w:t xml:space="preserve"> Organisation des nations et des peuples non représentés, Batwa : Un des nombreux groupes minoritaires dont les moyens de subsistance et la culture sont sacrifiés sur l'autel du "développement", disponible sur</w:t>
      </w:r>
      <w:hyperlink r:id="rId2" w:history="1">
        <w:r>
          <w:rPr>
            <w:rStyle w:val="Hyperlink"/>
          </w:rPr>
          <w:t>https://unpo.org/article/19112</w:t>
        </w:r>
      </w:hyperlink>
    </w:p>
  </w:footnote>
  <w:footnote w:id="60">
    <w:p w:rsidR="0092208A" w:rsidRDefault="0092208A">
      <w:pPr>
        <w:pStyle w:val="FootnoteText"/>
      </w:pPr>
      <w:r w:rsidRPr="00C67914">
        <w:rPr>
          <w:rStyle w:val="FootnoteReference"/>
        </w:rPr>
        <w:footnoteRef/>
      </w:r>
      <w:r>
        <w:t xml:space="preserve"> Article 36 de la Constitution du Burundi 2017.</w:t>
      </w:r>
    </w:p>
  </w:footnote>
  <w:footnote w:id="61">
    <w:p w:rsidR="0092208A" w:rsidRPr="00717867" w:rsidRDefault="0092208A">
      <w:pPr>
        <w:pStyle w:val="FootnoteText"/>
        <w:rPr>
          <w:lang w:val="en-GB"/>
        </w:rPr>
      </w:pPr>
      <w:r>
        <w:rPr>
          <w:rStyle w:val="FootnoteReference"/>
        </w:rPr>
        <w:footnoteRef/>
      </w:r>
      <w:r w:rsidRPr="005E346C">
        <w:rPr>
          <w:lang w:val="en-GB"/>
        </w:rPr>
        <w:t xml:space="preserve"> </w:t>
      </w:r>
      <w:r>
        <w:rPr>
          <w:lang w:val="en-GB"/>
        </w:rPr>
        <w:t>Article 417 du code foncier</w:t>
      </w:r>
    </w:p>
  </w:footnote>
  <w:footnote w:id="62">
    <w:p w:rsidR="0092208A" w:rsidRPr="003F7870" w:rsidRDefault="0092208A">
      <w:pPr>
        <w:pStyle w:val="FootnoteText"/>
        <w:rPr>
          <w:lang w:val="en-GB"/>
        </w:rPr>
      </w:pPr>
      <w:r w:rsidRPr="00C67914">
        <w:rPr>
          <w:rStyle w:val="FootnoteReference"/>
        </w:rPr>
        <w:footnoteRef/>
      </w:r>
      <w:r w:rsidRPr="003F7870">
        <w:rPr>
          <w:lang w:val="en-GB"/>
        </w:rPr>
        <w:t xml:space="preserve"> </w:t>
      </w:r>
      <w:r w:rsidRPr="005E346C">
        <w:rPr>
          <w:lang w:val="en-GB"/>
        </w:rPr>
        <w:t xml:space="preserve">IWACU English News, Eviction by government to send dozens into the street, disponible sur  </w:t>
      </w:r>
      <w:r w:rsidRPr="005E346C">
        <w:rPr>
          <w:rStyle w:val="Hyperlink"/>
          <w:lang w:val="en-GB"/>
        </w:rPr>
        <w:t>https://www.iwacu-burundi.org/englishnews/eviction-by-government-to-send-dozens-into-the-street/</w:t>
      </w:r>
      <w:r w:rsidRPr="005E346C">
        <w:rPr>
          <w:lang w:val="en-GB"/>
        </w:rPr>
        <w:t>.</w:t>
      </w:r>
    </w:p>
  </w:footnote>
  <w:footnote w:id="63">
    <w:p w:rsidR="0092208A" w:rsidRPr="003F7870" w:rsidRDefault="0092208A">
      <w:pPr>
        <w:pStyle w:val="FootnoteText"/>
        <w:rPr>
          <w:lang w:val="en-GB"/>
        </w:rPr>
      </w:pPr>
      <w:r w:rsidRPr="00C67914">
        <w:rPr>
          <w:rStyle w:val="FootnoteReference"/>
        </w:rPr>
        <w:footnoteRef/>
      </w:r>
      <w:r w:rsidRPr="003F7870">
        <w:rPr>
          <w:lang w:val="en-GB"/>
        </w:rPr>
        <w:t xml:space="preserve"> </w:t>
      </w:r>
      <w:r w:rsidRPr="005E346C">
        <w:rPr>
          <w:lang w:val="en-GB"/>
        </w:rPr>
        <w:t xml:space="preserve">IWACU English News, Gasenyi evicted residents remind environment minister that they are leading miserable life, disponible  sur </w:t>
      </w:r>
      <w:r w:rsidRPr="005E346C">
        <w:rPr>
          <w:rStyle w:val="Hyperlink"/>
          <w:lang w:val="en-GB"/>
        </w:rPr>
        <w:t>https://iwacu.global.ssl.fastly.net/englishnews/gasenyi-evicted-residents-remind-environment-minister-that-they-are-leading-miserable-life/.</w:t>
      </w:r>
    </w:p>
  </w:footnote>
  <w:footnote w:id="64">
    <w:p w:rsidR="0092208A" w:rsidRDefault="0092208A">
      <w:pPr>
        <w:pStyle w:val="FootnoteText"/>
      </w:pPr>
      <w:r w:rsidRPr="00C67914">
        <w:rPr>
          <w:rStyle w:val="FootnoteReference"/>
        </w:rPr>
        <w:footnoteRef/>
      </w:r>
      <w:r>
        <w:t xml:space="preserve">L'Agence des Nations unies pour les réfugiés, Situation au Burundi, est disponible sur </w:t>
      </w:r>
      <w:r w:rsidRPr="00717867">
        <w:rPr>
          <w:rStyle w:val="Hyperlink"/>
        </w:rPr>
        <w:t>https://www.unhcr.org/afr/burundi-situation.html.</w:t>
      </w:r>
      <w:r>
        <w:t xml:space="preserve">  </w:t>
      </w:r>
    </w:p>
  </w:footnote>
  <w:footnote w:id="65">
    <w:p w:rsidR="0092208A" w:rsidRDefault="0092208A">
      <w:pPr>
        <w:pStyle w:val="FootnoteText"/>
      </w:pPr>
      <w:r w:rsidRPr="00C67914">
        <w:rPr>
          <w:rStyle w:val="FootnoteReference"/>
        </w:rPr>
        <w:footnoteRef/>
      </w:r>
      <w:r>
        <w:t xml:space="preserve"> https://www.unhcr.org/50a9f81db02.pdf.  </w:t>
      </w:r>
    </w:p>
  </w:footnote>
  <w:footnote w:id="66">
    <w:p w:rsidR="0092208A" w:rsidRPr="00717867" w:rsidRDefault="0092208A">
      <w:pPr>
        <w:pStyle w:val="FootnoteText"/>
        <w:rPr>
          <w:rStyle w:val="Hyperlink"/>
        </w:rPr>
      </w:pPr>
      <w:r w:rsidRPr="00C67914">
        <w:rPr>
          <w:rStyle w:val="FootnoteReference"/>
        </w:rPr>
        <w:footnoteRef/>
      </w:r>
      <w:r>
        <w:t xml:space="preserve"> The Displacement Tracking Matrix, Burundi, disponible </w:t>
      </w:r>
      <w:r w:rsidRPr="00717867">
        <w:t xml:space="preserve">sur  </w:t>
      </w:r>
      <w:r w:rsidRPr="00717867">
        <w:rPr>
          <w:rStyle w:val="Hyperlink"/>
        </w:rPr>
        <w:t xml:space="preserve">https://dtm.iom.int/burundi.  </w:t>
      </w:r>
    </w:p>
  </w:footnote>
  <w:footnote w:id="67">
    <w:p w:rsidR="0092208A" w:rsidRDefault="0092208A">
      <w:pPr>
        <w:pStyle w:val="FootnoteText"/>
      </w:pPr>
      <w:r w:rsidRPr="00C67914">
        <w:rPr>
          <w:rStyle w:val="FootnoteReference"/>
        </w:rPr>
        <w:footnoteRef/>
      </w:r>
      <w:r>
        <w:t xml:space="preserve"> The Displacement Tracking Matrix, Burundi, disponible sur  </w:t>
      </w:r>
      <w:r w:rsidRPr="00717867">
        <w:rPr>
          <w:rStyle w:val="Hyperlink"/>
        </w:rPr>
        <w:t>https://dtm.iom.int/burundi.</w:t>
      </w:r>
      <w:r>
        <w:t xml:space="preserve">  </w:t>
      </w:r>
    </w:p>
  </w:footnote>
  <w:footnote w:id="68">
    <w:p w:rsidR="0092208A" w:rsidRDefault="0092208A">
      <w:pPr>
        <w:pStyle w:val="FootnoteText"/>
      </w:pPr>
      <w:r w:rsidRPr="00C67914">
        <w:rPr>
          <w:rStyle w:val="FootnoteReference"/>
        </w:rPr>
        <w:footnoteRef/>
      </w:r>
      <w:r>
        <w:t xml:space="preserve"> The Displacement Tracking Matrix, Burundi, disponible sur  </w:t>
      </w:r>
      <w:r w:rsidRPr="00717867">
        <w:rPr>
          <w:rStyle w:val="Hyperlink"/>
        </w:rPr>
        <w:t>https://dtm.iom.int/burundi.</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tabs>
        <w:tab w:val="right" w:pos="9356"/>
      </w:tabs>
      <w:spacing w:before="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59518"/>
      <w:docPartObj>
        <w:docPartGallery w:val="Page Numbers (Top of Page)"/>
        <w:docPartUnique/>
      </w:docPartObj>
    </w:sdtPr>
    <w:sdtContent>
      <w:p w:rsidR="0092208A" w:rsidRDefault="009D24F2">
        <w:pPr>
          <w:pStyle w:val="Header"/>
          <w:jc w:val="right"/>
        </w:pPr>
        <w:r>
          <w:fldChar w:fldCharType="begin"/>
        </w:r>
        <w:r w:rsidR="0092208A">
          <w:instrText xml:space="preserve"> PAGE   \* MERGEFORMAT </w:instrText>
        </w:r>
        <w:r>
          <w:fldChar w:fldCharType="separate"/>
        </w:r>
        <w:r w:rsidR="00037D5D">
          <w:rPr>
            <w:noProof/>
          </w:rPr>
          <w:t>27</w:t>
        </w:r>
        <w:r>
          <w:rPr>
            <w:noProof/>
          </w:rPr>
          <w:fldChar w:fldCharType="end"/>
        </w:r>
      </w:p>
    </w:sdtContent>
  </w:sdt>
  <w:p w:rsidR="0092208A" w:rsidRDefault="0092208A" w:rsidP="00E64F27">
    <w:pPr>
      <w:pStyle w:val="Header"/>
      <w:tabs>
        <w:tab w:val="clear" w:pos="4253"/>
        <w:tab w:val="right" w:pos="935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pPr>
  </w:p>
  <w:p w:rsidR="0092208A" w:rsidRDefault="009220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tabs>
        <w:tab w:val="right" w:pos="9356"/>
      </w:tabs>
      <w:spacing w:before="60"/>
    </w:pPr>
    <w:r>
      <w:rPr>
        <w:rStyle w:val="WWFilename"/>
        <w:rFonts w:cs="Arial"/>
        <w:sz w:val="12"/>
      </w:rPr>
      <w:tab/>
    </w:r>
    <w:r w:rsidR="009D24F2">
      <w:rPr>
        <w:rStyle w:val="PageNumber"/>
      </w:rPr>
      <w:fldChar w:fldCharType="begin"/>
    </w:r>
    <w:r>
      <w:rPr>
        <w:rStyle w:val="PageNumber"/>
      </w:rPr>
      <w:instrText xml:space="preserve"> PAGE </w:instrText>
    </w:r>
    <w:r w:rsidR="009D24F2">
      <w:rPr>
        <w:rStyle w:val="PageNumber"/>
      </w:rPr>
      <w:fldChar w:fldCharType="separate"/>
    </w:r>
    <w:r w:rsidR="00037D5D">
      <w:rPr>
        <w:rStyle w:val="PageNumber"/>
        <w:noProof/>
      </w:rPr>
      <w:t>4</w:t>
    </w:r>
    <w:r w:rsidR="009D24F2">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D24F2">
    <w:pPr>
      <w:tabs>
        <w:tab w:val="right" w:pos="9356"/>
      </w:tabs>
      <w:spacing w:before="60"/>
    </w:pPr>
    <w:r>
      <w:rPr>
        <w:rStyle w:val="WWFilename"/>
        <w:rFonts w:cs="Arial"/>
      </w:rPr>
      <w:fldChar w:fldCharType="begin"/>
    </w:r>
    <w:r w:rsidR="0092208A">
      <w:rPr>
        <w:rStyle w:val="WWFilename"/>
        <w:rFonts w:cs="Arial"/>
      </w:rPr>
      <w:instrText xml:space="preserve"> FILENAME </w:instrText>
    </w:r>
    <w:r>
      <w:rPr>
        <w:rStyle w:val="WWFilename"/>
        <w:rFonts w:cs="Arial"/>
      </w:rPr>
      <w:fldChar w:fldCharType="separate"/>
    </w:r>
    <w:r w:rsidR="0092208A">
      <w:rPr>
        <w:rStyle w:val="WWFilename"/>
        <w:rFonts w:cs="Arial"/>
      </w:rPr>
      <w:t>IOM BURUNDI Projet de cartographie foncier 11.odt</w:t>
    </w:r>
    <w:r>
      <w:rPr>
        <w:rStyle w:val="WWFilename"/>
        <w:rFonts w:cs="Arial"/>
      </w:rPr>
      <w:fldChar w:fldCharType="end"/>
    </w:r>
    <w:r w:rsidR="0092208A">
      <w:rPr>
        <w:rStyle w:val="WWFilename"/>
        <w:rFonts w:cs="Arial"/>
        <w:sz w:val="12"/>
      </w:rPr>
      <w:tab/>
    </w:r>
    <w:r>
      <w:rPr>
        <w:rStyle w:val="PageNumber"/>
      </w:rPr>
      <w:fldChar w:fldCharType="begin"/>
    </w:r>
    <w:r w:rsidR="0092208A">
      <w:rPr>
        <w:rStyle w:val="PageNumber"/>
      </w:rPr>
      <w:instrText xml:space="preserve"> PAGE </w:instrText>
    </w:r>
    <w:r>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tabs>
        <w:tab w:val="clear" w:pos="4253"/>
      </w:tabs>
    </w:pPr>
    <w:r>
      <w:rPr>
        <w:rStyle w:val="Filename"/>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pPr>
    <w:r>
      <w:tab/>
    </w:r>
    <w:r>
      <w:tab/>
    </w:r>
    <w:r w:rsidR="009D24F2">
      <w:rPr>
        <w:rStyle w:val="PageNumber"/>
      </w:rPr>
      <w:fldChar w:fldCharType="begin"/>
    </w:r>
    <w:r>
      <w:rPr>
        <w:rStyle w:val="PageNumber"/>
      </w:rPr>
      <w:instrText xml:space="preserve"> PAGE </w:instrText>
    </w:r>
    <w:r w:rsidR="009D24F2">
      <w:rPr>
        <w:rStyle w:val="PageNumber"/>
      </w:rPr>
      <w:fldChar w:fldCharType="separate"/>
    </w:r>
    <w:r w:rsidR="00037D5D">
      <w:rPr>
        <w:rStyle w:val="PageNumber"/>
        <w:noProof/>
      </w:rPr>
      <w:t>26</w:t>
    </w:r>
    <w:r w:rsidR="009D24F2">
      <w:rPr>
        <w:rStyle w:val="PageNumber"/>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tabs>
        <w:tab w:val="clear" w:pos="4253"/>
      </w:tabs>
    </w:pPr>
    <w:r>
      <w:rPr>
        <w:rStyle w:val="Filename"/>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08A" w:rsidRDefault="0092208A">
    <w:pPr>
      <w:pStyle w:val="Header"/>
    </w:pPr>
    <w:r>
      <w:tab/>
    </w:r>
    <w:r>
      <w:tab/>
    </w:r>
    <w:r w:rsidR="009D24F2">
      <w:rPr>
        <w:rStyle w:val="PageNumber"/>
      </w:rPr>
      <w:fldChar w:fldCharType="begin"/>
    </w:r>
    <w:r>
      <w:rPr>
        <w:rStyle w:val="PageNumber"/>
      </w:rPr>
      <w:instrText xml:space="preserve"> PAGE </w:instrText>
    </w:r>
    <w:r w:rsidR="009D24F2">
      <w:rPr>
        <w:rStyle w:val="PageNumber"/>
      </w:rPr>
      <w:fldChar w:fldCharType="separate"/>
    </w:r>
    <w:r w:rsidR="00037D5D">
      <w:rPr>
        <w:rStyle w:val="PageNumber"/>
        <w:noProof/>
      </w:rPr>
      <w:t>28</w:t>
    </w:r>
    <w:r w:rsidR="009D24F2">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B0B"/>
    <w:multiLevelType w:val="hybridMultilevel"/>
    <w:tmpl w:val="0FFA62B6"/>
    <w:lvl w:ilvl="0" w:tplc="6F768A26">
      <w:start w:val="1"/>
      <w:numFmt w:val="decimal"/>
      <w:pStyle w:val="Headingintro"/>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89027D"/>
    <w:multiLevelType w:val="multilevel"/>
    <w:tmpl w:val="B596E8E2"/>
    <w:lvl w:ilvl="0">
      <w:start w:val="2"/>
      <w:numFmt w:val="decimal"/>
      <w:lvlText w:val="%1."/>
      <w:lvlJc w:val="left"/>
      <w:pPr>
        <w:ind w:left="0" w:firstLine="0"/>
      </w:pPr>
      <w:rPr>
        <w:rFonts w:hint="default"/>
        <w:b/>
        <w:bCs/>
      </w:rPr>
    </w:lvl>
    <w:lvl w:ilvl="1">
      <w:start w:val="1"/>
      <w:numFmt w:val="decimal"/>
      <w:pStyle w:val="Style2"/>
      <w:lvlText w:val="%1.%2"/>
      <w:lvlJc w:val="left"/>
      <w:pPr>
        <w:ind w:left="0" w:firstLine="0"/>
      </w:pPr>
      <w:rPr>
        <w:rFonts w:hint="default"/>
        <w:b/>
        <w:bCs/>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07FE4FC8"/>
    <w:multiLevelType w:val="multilevel"/>
    <w:tmpl w:val="CC44E3A6"/>
    <w:styleLink w:val="LFO4"/>
    <w:lvl w:ilvl="0">
      <w:start w:val="1"/>
      <w:numFmt w:val="upperLetter"/>
      <w:pStyle w:val="WWSectionAlpha"/>
      <w:lvlText w:val="%1."/>
      <w:lvlJc w:val="left"/>
      <w:pPr>
        <w:ind w:left="567" w:hanging="567"/>
      </w:pPr>
      <w:rPr>
        <w:b w:val="0"/>
        <w:i w:val="0"/>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3">
    <w:nsid w:val="0FA674F3"/>
    <w:multiLevelType w:val="multilevel"/>
    <w:tmpl w:val="DB4EC6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41C3D2E"/>
    <w:multiLevelType w:val="multilevel"/>
    <w:tmpl w:val="D6A2A614"/>
    <w:lvl w:ilvl="0">
      <w:start w:val="1"/>
      <w:numFmt w:val="decimal"/>
      <w:lvlText w:val="%1"/>
      <w:lvlJc w:val="left"/>
      <w:pPr>
        <w:ind w:left="615" w:hanging="615"/>
      </w:pPr>
      <w:rPr>
        <w:rFonts w:ascii="Arial" w:eastAsia="Times New Roman" w:hAnsi="Arial" w:cs="Times New Roman" w:hint="default"/>
        <w:color w:val="0000FF"/>
        <w:u w:val="single"/>
      </w:rPr>
    </w:lvl>
    <w:lvl w:ilvl="1">
      <w:start w:val="1"/>
      <w:numFmt w:val="decimal"/>
      <w:lvlText w:val="%1.%2"/>
      <w:lvlJc w:val="left"/>
      <w:pPr>
        <w:ind w:left="604" w:hanging="615"/>
      </w:pPr>
      <w:rPr>
        <w:rFonts w:ascii="Arial" w:eastAsia="Times New Roman" w:hAnsi="Arial" w:cs="Times New Roman" w:hint="default"/>
        <w:color w:val="auto"/>
        <w:u w:val="none"/>
      </w:rPr>
    </w:lvl>
    <w:lvl w:ilvl="2">
      <w:start w:val="1"/>
      <w:numFmt w:val="decimal"/>
      <w:lvlText w:val="%1.%2.%3"/>
      <w:lvlJc w:val="left"/>
      <w:pPr>
        <w:ind w:left="698" w:hanging="720"/>
      </w:pPr>
      <w:rPr>
        <w:rFonts w:ascii="Arial" w:eastAsia="Times New Roman" w:hAnsi="Arial" w:cs="Times New Roman" w:hint="default"/>
        <w:color w:val="0000FF"/>
        <w:u w:val="single"/>
      </w:rPr>
    </w:lvl>
    <w:lvl w:ilvl="3">
      <w:start w:val="1"/>
      <w:numFmt w:val="decimal"/>
      <w:lvlText w:val="%1.%2.%3.%4"/>
      <w:lvlJc w:val="left"/>
      <w:pPr>
        <w:ind w:left="687" w:hanging="720"/>
      </w:pPr>
      <w:rPr>
        <w:rFonts w:ascii="Arial" w:eastAsia="Times New Roman" w:hAnsi="Arial" w:cs="Times New Roman" w:hint="default"/>
        <w:color w:val="0000FF"/>
        <w:u w:val="single"/>
      </w:rPr>
    </w:lvl>
    <w:lvl w:ilvl="4">
      <w:start w:val="1"/>
      <w:numFmt w:val="decimal"/>
      <w:lvlText w:val="%1.%2.%3.%4.%5"/>
      <w:lvlJc w:val="left"/>
      <w:pPr>
        <w:ind w:left="1036" w:hanging="1080"/>
      </w:pPr>
      <w:rPr>
        <w:rFonts w:ascii="Arial" w:eastAsia="Times New Roman" w:hAnsi="Arial" w:cs="Times New Roman" w:hint="default"/>
        <w:color w:val="0000FF"/>
        <w:u w:val="single"/>
      </w:rPr>
    </w:lvl>
    <w:lvl w:ilvl="5">
      <w:start w:val="1"/>
      <w:numFmt w:val="decimal"/>
      <w:lvlText w:val="%1.%2.%3.%4.%5.%6"/>
      <w:lvlJc w:val="left"/>
      <w:pPr>
        <w:ind w:left="1025" w:hanging="1080"/>
      </w:pPr>
      <w:rPr>
        <w:rFonts w:ascii="Arial" w:eastAsia="Times New Roman" w:hAnsi="Arial" w:cs="Times New Roman" w:hint="default"/>
        <w:color w:val="0000FF"/>
        <w:u w:val="single"/>
      </w:rPr>
    </w:lvl>
    <w:lvl w:ilvl="6">
      <w:start w:val="1"/>
      <w:numFmt w:val="decimal"/>
      <w:lvlText w:val="%1.%2.%3.%4.%5.%6.%7"/>
      <w:lvlJc w:val="left"/>
      <w:pPr>
        <w:ind w:left="1374" w:hanging="1440"/>
      </w:pPr>
      <w:rPr>
        <w:rFonts w:ascii="Arial" w:eastAsia="Times New Roman" w:hAnsi="Arial" w:cs="Times New Roman" w:hint="default"/>
        <w:color w:val="0000FF"/>
        <w:u w:val="single"/>
      </w:rPr>
    </w:lvl>
    <w:lvl w:ilvl="7">
      <w:start w:val="1"/>
      <w:numFmt w:val="decimal"/>
      <w:lvlText w:val="%1.%2.%3.%4.%5.%6.%7.%8"/>
      <w:lvlJc w:val="left"/>
      <w:pPr>
        <w:ind w:left="1363" w:hanging="1440"/>
      </w:pPr>
      <w:rPr>
        <w:rFonts w:ascii="Arial" w:eastAsia="Times New Roman" w:hAnsi="Arial" w:cs="Times New Roman" w:hint="default"/>
        <w:color w:val="0000FF"/>
        <w:u w:val="single"/>
      </w:rPr>
    </w:lvl>
    <w:lvl w:ilvl="8">
      <w:start w:val="1"/>
      <w:numFmt w:val="decimal"/>
      <w:lvlText w:val="%1.%2.%3.%4.%5.%6.%7.%8.%9"/>
      <w:lvlJc w:val="left"/>
      <w:pPr>
        <w:ind w:left="1352" w:hanging="1440"/>
      </w:pPr>
      <w:rPr>
        <w:rFonts w:ascii="Arial" w:eastAsia="Times New Roman" w:hAnsi="Arial" w:cs="Times New Roman" w:hint="default"/>
        <w:color w:val="0000FF"/>
        <w:u w:val="single"/>
      </w:rPr>
    </w:lvl>
  </w:abstractNum>
  <w:abstractNum w:abstractNumId="5">
    <w:nsid w:val="1ED0512E"/>
    <w:multiLevelType w:val="multilevel"/>
    <w:tmpl w:val="27EA89AE"/>
    <w:lvl w:ilvl="0">
      <w:numFmt w:val="bullet"/>
      <w:lvlText w:val=""/>
      <w:lvlJc w:val="left"/>
      <w:pPr>
        <w:ind w:left="2421" w:hanging="360"/>
      </w:pPr>
      <w:rPr>
        <w:rFonts w:ascii="Symbol" w:hAnsi="Symbol"/>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6">
    <w:nsid w:val="1F070B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515D8"/>
    <w:multiLevelType w:val="multilevel"/>
    <w:tmpl w:val="5EF8B3BE"/>
    <w:styleLink w:val="LFO3"/>
    <w:lvl w:ilvl="0">
      <w:start w:val="1"/>
      <w:numFmt w:val="decimal"/>
      <w:pStyle w:val="WWAnnexList7"/>
      <w:lvlText w:val="%1."/>
      <w:lvlJc w:val="left"/>
      <w:pPr>
        <w:ind w:left="510" w:hanging="510"/>
      </w:pPr>
      <w:rPr>
        <w:b w:val="0"/>
        <w:i w:val="0"/>
      </w:rPr>
    </w:lvl>
    <w:lvl w:ilvl="1">
      <w:start w:val="1"/>
      <w:numFmt w:val="decimal"/>
      <w:lvlText w:val="%1.%2"/>
      <w:lvlJc w:val="left"/>
      <w:pPr>
        <w:ind w:left="1021" w:hanging="1021"/>
      </w:pPr>
      <w:rPr>
        <w:b w:val="0"/>
        <w:i w:val="0"/>
      </w:rPr>
    </w:lvl>
    <w:lvl w:ilvl="2">
      <w:start w:val="1"/>
      <w:numFmt w:val="decimal"/>
      <w:lvlText w:val="%1.%2.%3"/>
      <w:lvlJc w:val="left"/>
      <w:pPr>
        <w:ind w:left="1531" w:hanging="1531"/>
      </w:pPr>
      <w:rPr>
        <w:b w:val="0"/>
        <w:i w:val="0"/>
      </w:rPr>
    </w:lvl>
    <w:lvl w:ilvl="3">
      <w:start w:val="1"/>
      <w:numFmt w:val="decimal"/>
      <w:lvlText w:val="%1.%2.%3.%4"/>
      <w:lvlJc w:val="left"/>
      <w:pPr>
        <w:ind w:left="2041" w:hanging="2041"/>
      </w:pPr>
      <w:rPr>
        <w:b w:val="0"/>
        <w:i w:val="0"/>
      </w:rPr>
    </w:lvl>
    <w:lvl w:ilvl="4">
      <w:start w:val="1"/>
      <w:numFmt w:val="decimal"/>
      <w:lvlText w:val="%1.%2.%3.%4.%5"/>
      <w:lvlJc w:val="left"/>
      <w:pPr>
        <w:ind w:left="2552" w:hanging="2552"/>
      </w:pPr>
      <w:rPr>
        <w:b w:val="0"/>
        <w:i w:val="0"/>
      </w:rPr>
    </w:lvl>
    <w:lvl w:ilvl="5">
      <w:start w:val="1"/>
      <w:numFmt w:val="decimal"/>
      <w:lvlText w:val="%1.%2.%3.%4.%5.%6"/>
      <w:lvlJc w:val="left"/>
      <w:pPr>
        <w:ind w:left="3062" w:hanging="3062"/>
      </w:pPr>
      <w:rPr>
        <w:b w:val="0"/>
        <w:i w:val="0"/>
      </w:rPr>
    </w:lvl>
    <w:lvl w:ilvl="6">
      <w:start w:val="1"/>
      <w:numFmt w:val="decimal"/>
      <w:lvlText w:val="%1.%2.%3.%4.%5.%6.%7"/>
      <w:lvlJc w:val="left"/>
      <w:pPr>
        <w:ind w:left="3572" w:hanging="3572"/>
      </w:pPr>
      <w:rPr>
        <w:b w:val="0"/>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2A83F82"/>
    <w:multiLevelType w:val="multilevel"/>
    <w:tmpl w:val="4BD807DA"/>
    <w:styleLink w:val="LFO33"/>
    <w:lvl w:ilvl="0">
      <w:start w:val="1"/>
      <w:numFmt w:val="decimal"/>
      <w:pStyle w:val="Level6"/>
      <w:lvlText w:val="%1."/>
      <w:lvlJc w:val="left"/>
      <w:pPr>
        <w:ind w:left="709" w:hanging="709"/>
      </w:pPr>
      <w:rPr>
        <w:rFonts w:ascii="Arial" w:hAnsi="Arial" w:cs="Arial"/>
        <w:b w:val="0"/>
      </w:rPr>
    </w:lvl>
    <w:lvl w:ilvl="1">
      <w:start w:val="1"/>
      <w:numFmt w:val="decimal"/>
      <w:lvlText w:val="%1.%2"/>
      <w:lvlJc w:val="left"/>
      <w:pPr>
        <w:ind w:left="709" w:hanging="709"/>
      </w:pPr>
      <w:rPr>
        <w:rFonts w:ascii="Arial" w:hAnsi="Arial" w:cs="Arial"/>
        <w:b w:val="0"/>
      </w:rPr>
    </w:lvl>
    <w:lvl w:ilvl="2">
      <w:start w:val="1"/>
      <w:numFmt w:val="lowerLetter"/>
      <w:lvlText w:val="(%3)"/>
      <w:lvlJc w:val="left"/>
      <w:pPr>
        <w:ind w:left="1417" w:hanging="708"/>
      </w:pPr>
      <w:rPr>
        <w:rFonts w:ascii="Arial" w:hAnsi="Arial" w:cs="Arial"/>
        <w:b w:val="0"/>
      </w:rPr>
    </w:lvl>
    <w:lvl w:ilvl="3">
      <w:start w:val="1"/>
      <w:numFmt w:val="lowerRoman"/>
      <w:lvlText w:val="(%4)"/>
      <w:lvlJc w:val="left"/>
      <w:pPr>
        <w:ind w:left="2125" w:hanging="709"/>
      </w:pPr>
      <w:rPr>
        <w:rFonts w:ascii="Arial" w:hAnsi="Arial" w:cs="Arial"/>
        <w:b w:val="0"/>
      </w:rPr>
    </w:lvl>
    <w:lvl w:ilvl="4">
      <w:start w:val="1"/>
      <w:numFmt w:val="decimal"/>
      <w:lvlText w:val="%5."/>
      <w:lvlJc w:val="left"/>
      <w:pPr>
        <w:ind w:left="2835" w:hanging="709"/>
      </w:pPr>
      <w:rPr>
        <w:rFonts w:ascii="Arial" w:eastAsia="Arial Unicode MS" w:hAnsi="Arial" w:cs="Times New Roman"/>
        <w:b w:val="0"/>
      </w:rPr>
    </w:lvl>
    <w:lvl w:ilvl="5">
      <w:start w:val="1"/>
      <w:numFmt w:val="upperLetter"/>
      <w:lvlText w:val="(%6)"/>
      <w:lvlJc w:val="left"/>
      <w:pPr>
        <w:ind w:left="3542" w:hanging="709"/>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1F4DF1"/>
    <w:multiLevelType w:val="multilevel"/>
    <w:tmpl w:val="9EFC975A"/>
    <w:styleLink w:val="LFO6"/>
    <w:lvl w:ilvl="0">
      <w:start w:val="1"/>
      <w:numFmt w:val="decimal"/>
      <w:pStyle w:val="WWRecital6"/>
      <w:lvlText w:val="%1)"/>
      <w:lvlJc w:val="left"/>
      <w:pPr>
        <w:ind w:left="567" w:hanging="567"/>
      </w:pPr>
    </w:lvl>
    <w:lvl w:ilvl="1">
      <w:start w:val="1"/>
      <w:numFmt w:val="lowerLetter"/>
      <w:lvlText w:val="(%2)"/>
      <w:lvlJc w:val="left"/>
      <w:pPr>
        <w:ind w:left="1134" w:hanging="567"/>
      </w:pPr>
    </w:lvl>
    <w:lvl w:ilvl="2">
      <w:start w:val="1"/>
      <w:numFmt w:val="lowerRoman"/>
      <w:lvlText w:val="(%3)"/>
      <w:lvlJc w:val="left"/>
      <w:pPr>
        <w:ind w:left="1701" w:hanging="567"/>
      </w:pPr>
    </w:lvl>
    <w:lvl w:ilvl="3">
      <w:start w:val="1"/>
      <w:numFmt w:val="upperLetter"/>
      <w:lvlText w:val="(%4)"/>
      <w:lvlJc w:val="left"/>
      <w:pPr>
        <w:ind w:left="2268" w:hanging="567"/>
      </w:pPr>
    </w:lvl>
    <w:lvl w:ilvl="4">
      <w:start w:val="1"/>
      <w:numFmt w:val="upperRoman"/>
      <w:lvlText w:val="(%5)"/>
      <w:lvlJc w:val="left"/>
      <w:pPr>
        <w:ind w:left="2835" w:hanging="567"/>
      </w:pPr>
    </w:lvl>
    <w:lvl w:ilvl="5">
      <w:start w:val="1"/>
      <w:numFmt w:val="decimal"/>
      <w:lvlText w:val="(%6)"/>
      <w:lvlJc w:val="left"/>
      <w:pPr>
        <w:ind w:left="3402"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74780E"/>
    <w:multiLevelType w:val="hybridMultilevel"/>
    <w:tmpl w:val="00C28776"/>
    <w:lvl w:ilvl="0" w:tplc="08090001">
      <w:start w:val="1"/>
      <w:numFmt w:val="bullet"/>
      <w:lvlText w:val=""/>
      <w:lvlJc w:val="left"/>
      <w:pPr>
        <w:ind w:left="1080" w:hanging="360"/>
      </w:pPr>
      <w:rPr>
        <w:rFonts w:ascii="Symbol" w:hAnsi="Symbol"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1541715"/>
    <w:multiLevelType w:val="multilevel"/>
    <w:tmpl w:val="73E48A16"/>
    <w:styleLink w:val="WWOutlineListStyle1"/>
    <w:lvl w:ilvl="0">
      <w:start w:val="1"/>
      <w:numFmt w:val="decimal"/>
      <w:lvlText w:val="%1."/>
      <w:lvlJc w:val="left"/>
      <w:pPr>
        <w:ind w:left="567" w:hanging="567"/>
      </w:pPr>
      <w:rPr>
        <w:rFonts w:cs="Times New Roman"/>
        <w:b w:val="0"/>
        <w:i w:val="0"/>
      </w:rPr>
    </w:lvl>
    <w:lvl w:ilvl="1">
      <w:start w:val="1"/>
      <w:numFmt w:val="decimal"/>
      <w:lvlText w:val="%1.%2"/>
      <w:lvlJc w:val="left"/>
      <w:pPr>
        <w:ind w:left="1134" w:hanging="1134"/>
      </w:pPr>
      <w:rPr>
        <w:rFonts w:cs="Times New Roman"/>
        <w:b w:val="0"/>
        <w:i w:val="0"/>
      </w:rPr>
    </w:lvl>
    <w:lvl w:ilvl="2">
      <w:start w:val="1"/>
      <w:numFmt w:val="decimal"/>
      <w:lvlText w:val="%1.%2.%3"/>
      <w:lvlJc w:val="left"/>
      <w:pPr>
        <w:ind w:left="1701" w:hanging="1701"/>
      </w:pPr>
      <w:rPr>
        <w:rFonts w:cs="Times New Roman"/>
        <w:b w:val="0"/>
        <w:i w:val="0"/>
      </w:rPr>
    </w:lvl>
    <w:lvl w:ilvl="3">
      <w:start w:val="1"/>
      <w:numFmt w:val="decimal"/>
      <w:lvlText w:val="%1.%2.%3.%4"/>
      <w:lvlJc w:val="left"/>
      <w:pPr>
        <w:ind w:left="2268" w:hanging="2268"/>
      </w:pPr>
      <w:rPr>
        <w:rFonts w:cs="Times New Roman"/>
        <w:b w:val="0"/>
        <w:i w:val="0"/>
      </w:rPr>
    </w:lvl>
    <w:lvl w:ilvl="4">
      <w:start w:val="1"/>
      <w:numFmt w:val="decimal"/>
      <w:lvlText w:val="%1.%2.%3.%4.%5"/>
      <w:lvlJc w:val="left"/>
      <w:pPr>
        <w:ind w:left="2835" w:hanging="2835"/>
      </w:pPr>
      <w:rPr>
        <w:rFonts w:cs="Times New Roman"/>
        <w:b w:val="0"/>
        <w:i w:val="0"/>
      </w:rPr>
    </w:lvl>
    <w:lvl w:ilvl="5">
      <w:start w:val="1"/>
      <w:numFmt w:val="decimal"/>
      <w:lvlText w:val="%1.%2.%3.%4.%5.%6"/>
      <w:lvlJc w:val="left"/>
      <w:pPr>
        <w:ind w:left="3402" w:hanging="3402"/>
      </w:pPr>
      <w:rPr>
        <w:rFonts w:cs="Times New Roman"/>
        <w:b w:val="0"/>
        <w:i w:val="0"/>
      </w:rPr>
    </w:lvl>
    <w:lvl w:ilvl="6">
      <w:start w:val="1"/>
      <w:numFmt w:val="decimal"/>
      <w:lvlText w:val="%1.%2.%3.%4.%5.%6.%7"/>
      <w:lvlJc w:val="left"/>
      <w:pPr>
        <w:ind w:left="3572" w:hanging="3572"/>
      </w:pPr>
      <w:rPr>
        <w:b w:val="0"/>
        <w:i w:val="0"/>
      </w:rPr>
    </w:lvl>
    <w:lvl w:ilvl="7">
      <w:start w:val="1"/>
      <w:numFmt w:val="none"/>
      <w:lvlText w:val="%8"/>
      <w:lvlJc w:val="left"/>
    </w:lvl>
    <w:lvl w:ilvl="8">
      <w:start w:val="1"/>
      <w:numFmt w:val="none"/>
      <w:lvlText w:val="%9"/>
      <w:lvlJc w:val="left"/>
    </w:lvl>
  </w:abstractNum>
  <w:abstractNum w:abstractNumId="12">
    <w:nsid w:val="33A320AC"/>
    <w:multiLevelType w:val="hybridMultilevel"/>
    <w:tmpl w:val="726AB7A2"/>
    <w:lvl w:ilvl="0" w:tplc="DB38A612">
      <w:start w:val="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913842"/>
    <w:multiLevelType w:val="hybridMultilevel"/>
    <w:tmpl w:val="F0D011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9955ADE"/>
    <w:multiLevelType w:val="multilevel"/>
    <w:tmpl w:val="61764ACC"/>
    <w:lvl w:ilvl="0">
      <w:start w:val="2"/>
      <w:numFmt w:val="decimal"/>
      <w:lvlText w:val="%1."/>
      <w:lvlJc w:val="left"/>
      <w:rPr>
        <w:b/>
        <w:bCs/>
      </w:rPr>
    </w:lvl>
    <w:lvl w:ilvl="1">
      <w:start w:val="3"/>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3B6E20BB"/>
    <w:multiLevelType w:val="multilevel"/>
    <w:tmpl w:val="F1E802D0"/>
    <w:styleLink w:val="WWOutlineListStyle2"/>
    <w:lvl w:ilvl="0">
      <w:start w:val="1"/>
      <w:numFmt w:val="decimal"/>
      <w:pStyle w:val="Heading11"/>
      <w:lvlText w:val="%1."/>
      <w:lvlJc w:val="left"/>
      <w:pPr>
        <w:ind w:left="567" w:hanging="567"/>
      </w:pPr>
      <w:rPr>
        <w:rFonts w:cs="Times New Roman"/>
        <w:b/>
        <w:bCs/>
        <w:i w:val="0"/>
      </w:rPr>
    </w:lvl>
    <w:lvl w:ilvl="1">
      <w:start w:val="1"/>
      <w:numFmt w:val="decimal"/>
      <w:pStyle w:val="WWHeading2"/>
      <w:lvlText w:val="%1.%2"/>
      <w:lvlJc w:val="left"/>
      <w:pPr>
        <w:ind w:left="1134" w:hanging="1134"/>
      </w:pPr>
      <w:rPr>
        <w:rFonts w:cs="Times New Roman"/>
        <w:b/>
        <w:bCs/>
        <w:i w:val="0"/>
      </w:rPr>
    </w:lvl>
    <w:lvl w:ilvl="2">
      <w:start w:val="1"/>
      <w:numFmt w:val="decimal"/>
      <w:pStyle w:val="WWHeading3"/>
      <w:lvlText w:val="%1.%2.%3"/>
      <w:lvlJc w:val="left"/>
      <w:pPr>
        <w:ind w:left="2126" w:hanging="1701"/>
      </w:pPr>
      <w:rPr>
        <w:rFonts w:cs="Times New Roman"/>
        <w:b/>
        <w:bCs/>
        <w:i w:val="0"/>
      </w:rPr>
    </w:lvl>
    <w:lvl w:ilvl="3">
      <w:start w:val="1"/>
      <w:numFmt w:val="decimal"/>
      <w:pStyle w:val="WWHeading4"/>
      <w:lvlText w:val="%1.%2.%3.%4"/>
      <w:lvlJc w:val="left"/>
      <w:pPr>
        <w:ind w:left="2268" w:hanging="2268"/>
      </w:pPr>
      <w:rPr>
        <w:rFonts w:cs="Times New Roman"/>
        <w:b w:val="0"/>
        <w:i w:val="0"/>
      </w:rPr>
    </w:lvl>
    <w:lvl w:ilvl="4">
      <w:start w:val="1"/>
      <w:numFmt w:val="decimal"/>
      <w:pStyle w:val="WWHeading5"/>
      <w:lvlText w:val="%1.%2.%3.%4.%5"/>
      <w:lvlJc w:val="left"/>
      <w:pPr>
        <w:ind w:left="2835" w:hanging="2835"/>
      </w:pPr>
      <w:rPr>
        <w:rFonts w:cs="Times New Roman"/>
        <w:b w:val="0"/>
        <w:i w:val="0"/>
      </w:rPr>
    </w:lvl>
    <w:lvl w:ilvl="5">
      <w:start w:val="1"/>
      <w:numFmt w:val="decimal"/>
      <w:pStyle w:val="WWHeading6"/>
      <w:lvlText w:val="%1.%2.%3.%4.%5.%6"/>
      <w:lvlJc w:val="left"/>
      <w:pPr>
        <w:ind w:left="3402" w:hanging="3402"/>
      </w:pPr>
      <w:rPr>
        <w:rFonts w:cs="Times New Roman"/>
        <w:b w:val="0"/>
        <w:i w:val="0"/>
      </w:rPr>
    </w:lvl>
    <w:lvl w:ilvl="6">
      <w:start w:val="1"/>
      <w:numFmt w:val="decimal"/>
      <w:pStyle w:val="WWHeading7"/>
      <w:lvlText w:val="%1.%2.%3.%4.%5.%6.%7"/>
      <w:lvlJc w:val="left"/>
      <w:pPr>
        <w:ind w:left="3572" w:hanging="3572"/>
      </w:pPr>
      <w:rPr>
        <w:b w:val="0"/>
        <w:i w:val="0"/>
      </w:rPr>
    </w:lvl>
    <w:lvl w:ilvl="7">
      <w:start w:val="1"/>
      <w:numFmt w:val="none"/>
      <w:lvlText w:val="%8"/>
      <w:lvlJc w:val="left"/>
    </w:lvl>
    <w:lvl w:ilvl="8">
      <w:start w:val="1"/>
      <w:numFmt w:val="none"/>
      <w:lvlText w:val="%9"/>
      <w:lvlJc w:val="left"/>
    </w:lvl>
  </w:abstractNum>
  <w:abstractNum w:abstractNumId="16">
    <w:nsid w:val="3FB708E0"/>
    <w:multiLevelType w:val="multilevel"/>
    <w:tmpl w:val="7FF4157E"/>
    <w:lvl w:ilvl="0">
      <w:start w:val="1"/>
      <w:numFmt w:val="lowerRoman"/>
      <w:lvlText w:val="(%1)"/>
      <w:lvlJc w:val="left"/>
      <w:pPr>
        <w:ind w:left="720" w:hanging="720"/>
      </w:pPr>
      <w:rPr>
        <w:rFonts w:ascii="Arial" w:eastAsia="Times New Roman" w:hAnsi="Arial" w:cs="Times New Roman"/>
      </w:rPr>
    </w:lvl>
    <w:lvl w:ilvl="1">
      <w:start w:val="1"/>
      <w:numFmt w:val="lowerLetter"/>
      <w:lvlText w:val="%2."/>
      <w:lvlJc w:val="left"/>
      <w:pPr>
        <w:ind w:left="360" w:hanging="360"/>
      </w:pPr>
    </w:lvl>
    <w:lvl w:ilvl="2">
      <w:start w:val="1"/>
      <w:numFmt w:val="lowerRoman"/>
      <w:lvlText w:val="%3."/>
      <w:lvlJc w:val="right"/>
      <w:pPr>
        <w:ind w:left="18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180" w:hanging="180"/>
      </w:pPr>
    </w:lvl>
    <w:lvl w:ilvl="6">
      <w:start w:val="1"/>
      <w:numFmt w:val="decimal"/>
      <w:lvlText w:val="%7."/>
      <w:lvlJc w:val="left"/>
      <w:pPr>
        <w:ind w:left="360" w:hanging="360"/>
      </w:pPr>
    </w:lvl>
    <w:lvl w:ilvl="7">
      <w:start w:val="1"/>
      <w:numFmt w:val="lowerLetter"/>
      <w:lvlText w:val="%8."/>
      <w:lvlJc w:val="left"/>
      <w:pPr>
        <w:ind w:left="360" w:hanging="360"/>
      </w:pPr>
    </w:lvl>
    <w:lvl w:ilvl="8">
      <w:start w:val="1"/>
      <w:numFmt w:val="lowerRoman"/>
      <w:lvlText w:val="%9."/>
      <w:lvlJc w:val="right"/>
      <w:pPr>
        <w:ind w:left="180" w:hanging="180"/>
      </w:pPr>
    </w:lvl>
  </w:abstractNum>
  <w:abstractNum w:abstractNumId="17">
    <w:nsid w:val="4FF81A66"/>
    <w:multiLevelType w:val="multilevel"/>
    <w:tmpl w:val="F59E4ACE"/>
    <w:lvl w:ilvl="0">
      <w:start w:val="1"/>
      <w:numFmt w:val="decimal"/>
      <w:lvlText w:val="(%1)"/>
      <w:lvlJc w:val="left"/>
      <w:rPr>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5978120F"/>
    <w:multiLevelType w:val="hybridMultilevel"/>
    <w:tmpl w:val="0128C4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nsid w:val="5B2E3437"/>
    <w:multiLevelType w:val="multilevel"/>
    <w:tmpl w:val="B818E9E2"/>
    <w:styleLink w:val="LFO10"/>
    <w:lvl w:ilvl="0">
      <w:start w:val="1"/>
      <w:numFmt w:val="upperLetter"/>
      <w:pStyle w:val="WWAnnexeAlpha"/>
      <w:lvlText w:val="Annexe %1"/>
      <w:lvlJc w:val="right"/>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D294737"/>
    <w:multiLevelType w:val="multilevel"/>
    <w:tmpl w:val="A6186F5C"/>
    <w:styleLink w:val="LFO9"/>
    <w:lvl w:ilvl="0">
      <w:start w:val="1"/>
      <w:numFmt w:val="decimal"/>
      <w:pStyle w:val="WWSimpleList6"/>
      <w:lvlText w:val="%1."/>
      <w:lvlJc w:val="left"/>
      <w:pPr>
        <w:ind w:left="567" w:hanging="567"/>
      </w:pPr>
      <w:rPr>
        <w:b w:val="0"/>
        <w:i w:val="0"/>
      </w:rPr>
    </w:lvl>
    <w:lvl w:ilvl="1">
      <w:start w:val="1"/>
      <w:numFmt w:val="decimal"/>
      <w:lvlText w:val="%1.%2"/>
      <w:lvlJc w:val="left"/>
      <w:pPr>
        <w:ind w:left="1134" w:hanging="1134"/>
      </w:pPr>
      <w:rPr>
        <w:b w:val="0"/>
        <w:i w:val="0"/>
      </w:rPr>
    </w:lvl>
    <w:lvl w:ilvl="2">
      <w:start w:val="1"/>
      <w:numFmt w:val="decimal"/>
      <w:lvlText w:val="%1.%2.%3"/>
      <w:lvlJc w:val="left"/>
      <w:pPr>
        <w:ind w:left="1701" w:hanging="1701"/>
      </w:pPr>
      <w:rPr>
        <w:b w:val="0"/>
        <w:i w:val="0"/>
      </w:rPr>
    </w:lvl>
    <w:lvl w:ilvl="3">
      <w:start w:val="1"/>
      <w:numFmt w:val="decimal"/>
      <w:lvlText w:val="%1.%2.%3.%4"/>
      <w:lvlJc w:val="left"/>
      <w:pPr>
        <w:ind w:left="2268" w:hanging="2268"/>
      </w:pPr>
    </w:lvl>
    <w:lvl w:ilvl="4">
      <w:start w:val="1"/>
      <w:numFmt w:val="decimal"/>
      <w:lvlText w:val="%1.%2.%3.%4.%5"/>
      <w:lvlJc w:val="left"/>
      <w:pPr>
        <w:ind w:left="2835" w:hanging="2835"/>
      </w:pPr>
      <w:rPr>
        <w:b w:val="0"/>
        <w:i w:val="0"/>
      </w:rPr>
    </w:lvl>
    <w:lvl w:ilvl="5">
      <w:start w:val="1"/>
      <w:numFmt w:val="decimal"/>
      <w:lvlText w:val="%1.%2.%3.%4.%5.%6"/>
      <w:lvlJc w:val="left"/>
      <w:pPr>
        <w:ind w:left="3402" w:hanging="3402"/>
      </w:pPr>
      <w:rPr>
        <w:b w:val="0"/>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894268"/>
    <w:multiLevelType w:val="multilevel"/>
    <w:tmpl w:val="93B623AE"/>
    <w:styleLink w:val="LFO2"/>
    <w:lvl w:ilvl="0">
      <w:numFmt w:val="bullet"/>
      <w:pStyle w:val="List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nsid w:val="64D32F08"/>
    <w:multiLevelType w:val="multilevel"/>
    <w:tmpl w:val="17DCBC06"/>
    <w:lvl w:ilvl="0">
      <w:start w:val="1"/>
      <w:numFmt w:val="lowerRoman"/>
      <w:lvlText w:val="(%1)"/>
      <w:lvlJc w:val="left"/>
      <w:rPr>
        <w:rFonts w:ascii="Arial" w:eastAsia="Times New Roman" w:hAnsi="Arial" w:cs="Times New Roman"/>
        <w:b/>
        <w:bC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6EED3EF8"/>
    <w:multiLevelType w:val="multilevel"/>
    <w:tmpl w:val="F2E602F4"/>
    <w:styleLink w:val="LFO8"/>
    <w:lvl w:ilvl="0">
      <w:start w:val="1"/>
      <w:numFmt w:val="decimal"/>
      <w:pStyle w:val="WWAnnexHead6"/>
      <w:lvlText w:val="%1."/>
      <w:lvlJc w:val="left"/>
      <w:pPr>
        <w:ind w:left="567" w:hanging="567"/>
      </w:pPr>
      <w:rPr>
        <w:rFonts w:cs="Times New Roman"/>
        <w:b w:val="0"/>
        <w:i w:val="0"/>
      </w:rPr>
    </w:lvl>
    <w:lvl w:ilvl="1">
      <w:start w:val="1"/>
      <w:numFmt w:val="decimal"/>
      <w:lvlText w:val="%1.%2"/>
      <w:lvlJc w:val="left"/>
      <w:pPr>
        <w:ind w:left="1134" w:hanging="1134"/>
      </w:pPr>
      <w:rPr>
        <w:rFonts w:cs="Times New Roman"/>
        <w:b w:val="0"/>
        <w:i w:val="0"/>
      </w:rPr>
    </w:lvl>
    <w:lvl w:ilvl="2">
      <w:start w:val="1"/>
      <w:numFmt w:val="decimal"/>
      <w:lvlText w:val="%1.%2.%3"/>
      <w:lvlJc w:val="left"/>
      <w:pPr>
        <w:ind w:left="1701" w:hanging="1701"/>
      </w:pPr>
      <w:rPr>
        <w:rFonts w:cs="Times New Roman"/>
        <w:b w:val="0"/>
        <w:i w:val="0"/>
      </w:rPr>
    </w:lvl>
    <w:lvl w:ilvl="3">
      <w:start w:val="1"/>
      <w:numFmt w:val="decimal"/>
      <w:lvlText w:val="%1.%2.%3.%4"/>
      <w:lvlJc w:val="left"/>
      <w:pPr>
        <w:ind w:left="2268" w:hanging="2268"/>
      </w:pPr>
      <w:rPr>
        <w:rFonts w:cs="Times New Roman"/>
        <w:b w:val="0"/>
        <w:i w:val="0"/>
      </w:rPr>
    </w:lvl>
    <w:lvl w:ilvl="4">
      <w:start w:val="1"/>
      <w:numFmt w:val="decimal"/>
      <w:lvlText w:val="%1.%2.%3.%4.%5"/>
      <w:lvlJc w:val="left"/>
      <w:pPr>
        <w:ind w:left="2835" w:hanging="2835"/>
      </w:pPr>
      <w:rPr>
        <w:rFonts w:cs="Times New Roman"/>
        <w:b w:val="0"/>
        <w:i w:val="0"/>
      </w:rPr>
    </w:lvl>
    <w:lvl w:ilvl="5">
      <w:start w:val="1"/>
      <w:numFmt w:val="decimal"/>
      <w:lvlText w:val="%1.%2.%3.%4.%5.%6"/>
      <w:lvlJc w:val="left"/>
      <w:pPr>
        <w:ind w:left="3402" w:hanging="3402"/>
      </w:pPr>
      <w:rPr>
        <w:rFonts w:cs="Times New Roman"/>
        <w:b w:val="0"/>
        <w:i w:val="0"/>
      </w:rPr>
    </w:lvl>
    <w:lvl w:ilvl="6">
      <w:start w:val="1"/>
      <w:numFmt w:val="decimal"/>
      <w:lvlText w:val="%1.%2.%3.%4.%5.%6.%7"/>
      <w:lvlJc w:val="left"/>
      <w:pPr>
        <w:ind w:left="3969" w:hanging="3969"/>
      </w:pPr>
      <w:rPr>
        <w:rFonts w:cs="Times New Roman"/>
        <w:b w:val="0"/>
        <w:i w:val="0"/>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44C6762"/>
    <w:multiLevelType w:val="multilevel"/>
    <w:tmpl w:val="CABC09DC"/>
    <w:styleLink w:val="WWOutlineListStyle"/>
    <w:lvl w:ilvl="0">
      <w:start w:val="1"/>
      <w:numFmt w:val="decimal"/>
      <w:lvlText w:val="%1."/>
      <w:lvlJc w:val="left"/>
      <w:pPr>
        <w:ind w:left="567" w:hanging="567"/>
      </w:pPr>
      <w:rPr>
        <w:rFonts w:cs="Times New Roman"/>
        <w:b w:val="0"/>
        <w:i w:val="0"/>
      </w:rPr>
    </w:lvl>
    <w:lvl w:ilvl="1">
      <w:start w:val="1"/>
      <w:numFmt w:val="decimal"/>
      <w:lvlText w:val="%1.%2"/>
      <w:lvlJc w:val="left"/>
      <w:pPr>
        <w:ind w:left="1134" w:hanging="1134"/>
      </w:pPr>
      <w:rPr>
        <w:rFonts w:cs="Times New Roman"/>
        <w:b w:val="0"/>
        <w:i w:val="0"/>
      </w:rPr>
    </w:lvl>
    <w:lvl w:ilvl="2">
      <w:start w:val="1"/>
      <w:numFmt w:val="decimal"/>
      <w:lvlText w:val="%1.%2.%3"/>
      <w:lvlJc w:val="left"/>
      <w:pPr>
        <w:ind w:left="1701" w:hanging="1701"/>
      </w:pPr>
      <w:rPr>
        <w:rFonts w:cs="Times New Roman"/>
        <w:b w:val="0"/>
        <w:i w:val="0"/>
      </w:rPr>
    </w:lvl>
    <w:lvl w:ilvl="3">
      <w:start w:val="1"/>
      <w:numFmt w:val="decimal"/>
      <w:lvlText w:val="%1.%2.%3.%4"/>
      <w:lvlJc w:val="left"/>
      <w:pPr>
        <w:ind w:left="2268" w:hanging="2268"/>
      </w:pPr>
      <w:rPr>
        <w:rFonts w:cs="Times New Roman"/>
        <w:b w:val="0"/>
        <w:i w:val="0"/>
      </w:rPr>
    </w:lvl>
    <w:lvl w:ilvl="4">
      <w:start w:val="1"/>
      <w:numFmt w:val="decimal"/>
      <w:lvlText w:val="%1.%2.%3.%4.%5"/>
      <w:lvlJc w:val="left"/>
      <w:pPr>
        <w:ind w:left="2835" w:hanging="2835"/>
      </w:pPr>
      <w:rPr>
        <w:rFonts w:cs="Times New Roman"/>
        <w:b w:val="0"/>
        <w:i w:val="0"/>
      </w:rPr>
    </w:lvl>
    <w:lvl w:ilvl="5">
      <w:start w:val="1"/>
      <w:numFmt w:val="decimal"/>
      <w:lvlText w:val="%1.%2.%3.%4.%5.%6"/>
      <w:lvlJc w:val="left"/>
      <w:pPr>
        <w:ind w:left="3402" w:hanging="3402"/>
      </w:pPr>
      <w:rPr>
        <w:rFonts w:cs="Times New Roman"/>
        <w:b w:val="0"/>
        <w:i w:val="0"/>
      </w:rPr>
    </w:lvl>
    <w:lvl w:ilvl="6">
      <w:start w:val="1"/>
      <w:numFmt w:val="decimal"/>
      <w:lvlText w:val="%1.%2.%3.%4.%5.%6.%7"/>
      <w:lvlJc w:val="left"/>
      <w:pPr>
        <w:ind w:left="3572" w:hanging="3572"/>
      </w:pPr>
      <w:rPr>
        <w:b w:val="0"/>
        <w:i w:val="0"/>
      </w:rPr>
    </w:lvl>
    <w:lvl w:ilvl="7">
      <w:start w:val="1"/>
      <w:numFmt w:val="none"/>
      <w:lvlText w:val="%8"/>
      <w:lvlJc w:val="left"/>
    </w:lvl>
    <w:lvl w:ilvl="8">
      <w:start w:val="1"/>
      <w:numFmt w:val="none"/>
      <w:lvlText w:val="%9"/>
      <w:lvlJc w:val="left"/>
    </w:lvl>
  </w:abstractNum>
  <w:abstractNum w:abstractNumId="25">
    <w:nsid w:val="78A46F06"/>
    <w:multiLevelType w:val="multilevel"/>
    <w:tmpl w:val="EF2867EC"/>
    <w:styleLink w:val="LFO5"/>
    <w:lvl w:ilvl="0">
      <w:numFmt w:val="bullet"/>
      <w:pStyle w:val="WWBullet6"/>
      <w:lvlText w:val=""/>
      <w:lvlJc w:val="left"/>
      <w:pPr>
        <w:ind w:left="1134" w:hanging="567"/>
      </w:pPr>
      <w:rPr>
        <w:rFonts w:ascii="Symbol" w:hAnsi="Symbol"/>
      </w:rPr>
    </w:lvl>
    <w:lvl w:ilvl="1">
      <w:numFmt w:val="bullet"/>
      <w:lvlText w:val="»"/>
      <w:lvlJc w:val="left"/>
      <w:pPr>
        <w:ind w:left="1701" w:hanging="567"/>
      </w:pPr>
      <w:rPr>
        <w:rFonts w:ascii="Arial" w:hAnsi="Arial"/>
      </w:rPr>
    </w:lvl>
    <w:lvl w:ilvl="2">
      <w:numFmt w:val="bullet"/>
      <w:lvlText w:val=""/>
      <w:lvlJc w:val="left"/>
      <w:pPr>
        <w:ind w:left="2268" w:hanging="567"/>
      </w:pPr>
      <w:rPr>
        <w:rFonts w:ascii="Wingdings" w:hAnsi="Wingdings"/>
      </w:rPr>
    </w:lvl>
    <w:lvl w:ilvl="3">
      <w:numFmt w:val="bullet"/>
      <w:lvlText w:val="-"/>
      <w:lvlJc w:val="left"/>
      <w:pPr>
        <w:ind w:left="2835" w:hanging="567"/>
      </w:pPr>
      <w:rPr>
        <w:rFonts w:ascii="Arial" w:hAnsi="Arial"/>
      </w:rPr>
    </w:lvl>
    <w:lvl w:ilvl="4">
      <w:numFmt w:val="bullet"/>
      <w:lvlText w:val=""/>
      <w:lvlJc w:val="left"/>
      <w:pPr>
        <w:ind w:left="3402" w:hanging="567"/>
      </w:pPr>
      <w:rPr>
        <w:rFonts w:ascii="Wingdings" w:hAnsi="Wingdings"/>
      </w:rPr>
    </w:lvl>
    <w:lvl w:ilvl="5">
      <w:numFmt w:val="bullet"/>
      <w:lvlText w:val=""/>
      <w:lvlJc w:val="left"/>
      <w:pPr>
        <w:ind w:left="3969" w:hanging="567"/>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26">
    <w:nsid w:val="7AFF69BE"/>
    <w:multiLevelType w:val="hybridMultilevel"/>
    <w:tmpl w:val="BBF4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lvlOverride w:ilvl="0">
      <w:lvl w:ilvl="0">
        <w:numFmt w:val="decimal"/>
        <w:pStyle w:val="Heading11"/>
        <w:lvlText w:val=""/>
        <w:lvlJc w:val="left"/>
      </w:lvl>
    </w:lvlOverride>
    <w:lvlOverride w:ilvl="1">
      <w:lvl w:ilvl="1">
        <w:numFmt w:val="decimal"/>
        <w:pStyle w:val="WWHeading2"/>
        <w:lvlText w:val=""/>
        <w:lvlJc w:val="left"/>
      </w:lvl>
    </w:lvlOverride>
    <w:lvlOverride w:ilvl="2">
      <w:lvl w:ilvl="2">
        <w:start w:val="1"/>
        <w:numFmt w:val="decimal"/>
        <w:pStyle w:val="WWHeading3"/>
        <w:lvlText w:val="%1.%2.%3"/>
        <w:lvlJc w:val="left"/>
        <w:pPr>
          <w:ind w:left="2126" w:hanging="1701"/>
        </w:pPr>
        <w:rPr>
          <w:rFonts w:cs="Times New Roman"/>
          <w:b/>
          <w:bCs/>
          <w:i w:val="0"/>
        </w:rPr>
      </w:lvl>
    </w:lvlOverride>
  </w:num>
  <w:num w:numId="2">
    <w:abstractNumId w:val="11"/>
  </w:num>
  <w:num w:numId="3">
    <w:abstractNumId w:val="24"/>
  </w:num>
  <w:num w:numId="4">
    <w:abstractNumId w:val="21"/>
  </w:num>
  <w:num w:numId="5">
    <w:abstractNumId w:val="7"/>
  </w:num>
  <w:num w:numId="6">
    <w:abstractNumId w:val="2"/>
  </w:num>
  <w:num w:numId="7">
    <w:abstractNumId w:val="25"/>
  </w:num>
  <w:num w:numId="8">
    <w:abstractNumId w:val="9"/>
  </w:num>
  <w:num w:numId="9">
    <w:abstractNumId w:val="23"/>
  </w:num>
  <w:num w:numId="10">
    <w:abstractNumId w:val="20"/>
  </w:num>
  <w:num w:numId="11">
    <w:abstractNumId w:val="19"/>
  </w:num>
  <w:num w:numId="12">
    <w:abstractNumId w:val="8"/>
  </w:num>
  <w:num w:numId="13">
    <w:abstractNumId w:val="16"/>
  </w:num>
  <w:num w:numId="14">
    <w:abstractNumId w:val="22"/>
  </w:num>
  <w:num w:numId="15">
    <w:abstractNumId w:val="14"/>
  </w:num>
  <w:num w:numId="16">
    <w:abstractNumId w:val="1"/>
  </w:num>
  <w:num w:numId="17">
    <w:abstractNumId w:val="3"/>
  </w:num>
  <w:num w:numId="18">
    <w:abstractNumId w:val="17"/>
  </w:num>
  <w:num w:numId="19">
    <w:abstractNumId w:val="5"/>
  </w:num>
  <w:num w:numId="20">
    <w:abstractNumId w:val="18"/>
  </w:num>
  <w:num w:numId="21">
    <w:abstractNumId w:val="12"/>
  </w:num>
  <w:num w:numId="22">
    <w:abstractNumId w:val="10"/>
  </w:num>
  <w:num w:numId="23">
    <w:abstractNumId w:val="13"/>
  </w:num>
  <w:num w:numId="24">
    <w:abstractNumId w:val="6"/>
  </w:num>
  <w:num w:numId="25">
    <w:abstractNumId w:val="15"/>
    <w:lvlOverride w:ilvl="0">
      <w:startOverride w:val="1"/>
      <w:lvl w:ilvl="0">
        <w:start w:val="1"/>
        <w:numFmt w:val="decimal"/>
        <w:pStyle w:val="Heading11"/>
        <w:lvlText w:val="%׾䄂ޜ㉸࣫䄂ޙꯠ़䄂ޙ.ࣼ 䊨ݗ䄂۬.垠ޑ䄂ࡼ"/>
        <w:lvlJc w:val="left"/>
        <w:pPr>
          <w:ind w:left="5040" w:hanging="360"/>
        </w:pPr>
      </w:lvl>
    </w:lvlOverride>
    <w:lvlOverride w:ilvl="1">
      <w:startOverride w:val="1"/>
      <w:lvl w:ilvl="1">
        <w:start w:val="1"/>
        <w:numFmt w:val="decimal"/>
        <w:pStyle w:val="WWHeading2"/>
        <w:lvlText w:val="%2%Qﳨ׍䄂"/>
        <w:lvlJc w:val="left"/>
      </w:lvl>
    </w:lvlOverride>
    <w:lvlOverride w:ilvl="2">
      <w:startOverride w:val="1"/>
      <w:lvl w:ilvl="2">
        <w:start w:val="1"/>
        <w:numFmt w:val="decimal"/>
        <w:pStyle w:val="WWHeading3"/>
        <w:lvlText w:val="%1%1炨%দ"/>
        <w:lvlJc w:val="left"/>
        <w:pPr>
          <w:outlineLvl w:val="0"/>
        </w:pPr>
      </w:lvl>
    </w:lvlOverride>
    <w:lvlOverride w:ilvl="3">
      <w:startOverride w:val="1"/>
      <w:lvl w:ilvl="3">
        <w:start w:val="1"/>
        <w:numFmt w:val="decimal"/>
        <w:pStyle w:val="WWHeading4"/>
        <w:lvlText w:val="%੗켨%੗쾀%੗ﮀ%੗ᙈ㪯ᙈ㪯湦"/>
        <w:lvlJc w:val="left"/>
      </w:lvl>
    </w:lvlOverride>
    <w:lvlOverride w:ilvl="4">
      <w:startOverride w:val="1"/>
      <w:lvl w:ilvl="4">
        <w:start w:val="1"/>
        <w:numFmt w:val="decimal"/>
        <w:pStyle w:val="WWHeading5"/>
        <w:lvlText w:val="%1炨%দ䋘%ू%%"/>
        <w:lvlJc w:val="left"/>
        <w:rPr>
          <w:rFonts w:ascii="Symbol" w:hAnsi="Symbol" w:hint="default"/>
        </w:rPr>
      </w:lvl>
    </w:lvlOverride>
    <w:lvlOverride w:ilvl="5">
      <w:startOverride w:val="1"/>
      <w:lvl w:ilvl="5">
        <w:start w:val="1"/>
        <w:numFmt w:val="decimal"/>
        <w:pStyle w:val="WWHeading6"/>
        <w:lvlText w:val="%ࣆ%ޙﲐ%ޙ%ޙ﷐%ޙ︀%ޙOMangal&#10;"/>
        <w:lvlJc w:val="left"/>
        <w:rPr>
          <w:rFonts w:ascii="Courier New" w:hAnsi="Courier New" w:cs="Yu Gothic Light"/>
        </w:rPr>
      </w:lvl>
    </w:lvlOverride>
    <w:lvlOverride w:ilvl="6">
      <w:startOverride w:val="1"/>
      <w:lvl w:ilvl="6">
        <w:start w:val="1"/>
        <w:numFmt w:val="decimal"/>
        <w:pStyle w:val="WWHeading7"/>
        <w:lvlText w:val="%1.%2.%3.%4.%5.%6.%7"/>
        <w:lvlJc w:val="left"/>
      </w:lvl>
    </w:lvlOverride>
    <w:lvlOverride w:ilvl="7">
      <w:startOverride w:val="1"/>
      <w:lvl w:ilvl="7">
        <w:start w:val="1"/>
        <w:numFmt w:val="none"/>
        <w:lvlText w:val="%"/>
        <w:lvlJc w:val="left"/>
      </w:lvl>
    </w:lvlOverride>
    <w:lvlOverride w:ilvl="8">
      <w:startOverride w:val="1"/>
      <w:lvl w:ilvl="8">
        <w:start w:val="1"/>
        <w:numFmt w:val="none"/>
        <w:lvlText w:val="%"/>
        <w:lvlJc w:val="left"/>
      </w:lvl>
    </w:lvlOverride>
  </w:num>
  <w:num w:numId="26">
    <w:abstractNumId w:val="15"/>
  </w:num>
  <w:num w:numId="27">
    <w:abstractNumId w:val="26"/>
  </w:num>
  <w:num w:numId="28">
    <w:abstractNumId w:val="15"/>
    <w:lvlOverride w:ilvl="0">
      <w:lvl w:ilvl="0">
        <w:start w:val="1"/>
        <w:numFmt w:val="decimal"/>
        <w:pStyle w:val="Heading11"/>
        <w:lvlText w:val="%1."/>
        <w:lvlJc w:val="left"/>
        <w:pPr>
          <w:ind w:left="567" w:hanging="567"/>
        </w:pPr>
        <w:rPr>
          <w:rFonts w:cs="Times New Roman"/>
          <w:b/>
          <w:bCs/>
          <w:i w:val="0"/>
        </w:rPr>
      </w:lvl>
    </w:lvlOverride>
    <w:lvlOverride w:ilvl="1">
      <w:lvl w:ilvl="1">
        <w:start w:val="1"/>
        <w:numFmt w:val="decimal"/>
        <w:pStyle w:val="WWHeading2"/>
        <w:lvlText w:val="%1.%2"/>
        <w:lvlJc w:val="left"/>
        <w:pPr>
          <w:ind w:left="1134" w:hanging="1134"/>
        </w:pPr>
        <w:rPr>
          <w:rFonts w:cs="Times New Roman"/>
          <w:b/>
          <w:bCs/>
          <w:i w:val="0"/>
        </w:rPr>
      </w:lvl>
    </w:lvlOverride>
    <w:lvlOverride w:ilvl="2">
      <w:lvl w:ilvl="2">
        <w:start w:val="1"/>
        <w:numFmt w:val="decimal"/>
        <w:pStyle w:val="WWHeading3"/>
        <w:lvlText w:val="%1.%2.%3"/>
        <w:lvlJc w:val="left"/>
        <w:pPr>
          <w:ind w:left="2126" w:hanging="1701"/>
        </w:pPr>
        <w:rPr>
          <w:rFonts w:cs="Times New Roman"/>
          <w:b/>
          <w:bCs/>
          <w:i w:val="0"/>
        </w:rPr>
      </w:lvl>
    </w:lvlOverride>
    <w:lvlOverride w:ilvl="3">
      <w:lvl w:ilvl="3">
        <w:start w:val="1"/>
        <w:numFmt w:val="decimal"/>
        <w:pStyle w:val="WWHeading4"/>
        <w:lvlText w:val="%1.%2.%3.%4"/>
        <w:lvlJc w:val="left"/>
        <w:pPr>
          <w:ind w:left="2268" w:hanging="2268"/>
        </w:pPr>
        <w:rPr>
          <w:rFonts w:cs="Times New Roman"/>
          <w:b w:val="0"/>
          <w:i w:val="0"/>
        </w:rPr>
      </w:lvl>
    </w:lvlOverride>
    <w:lvlOverride w:ilvl="4">
      <w:lvl w:ilvl="4">
        <w:start w:val="1"/>
        <w:numFmt w:val="decimal"/>
        <w:pStyle w:val="WWHeading5"/>
        <w:lvlText w:val="%1.%2.%3.%4.%5"/>
        <w:lvlJc w:val="left"/>
        <w:pPr>
          <w:ind w:left="2835" w:hanging="2835"/>
        </w:pPr>
        <w:rPr>
          <w:rFonts w:cs="Times New Roman"/>
          <w:b w:val="0"/>
          <w:i w:val="0"/>
        </w:rPr>
      </w:lvl>
    </w:lvlOverride>
    <w:lvlOverride w:ilvl="5">
      <w:lvl w:ilvl="5">
        <w:start w:val="1"/>
        <w:numFmt w:val="decimal"/>
        <w:pStyle w:val="WWHeading6"/>
        <w:lvlText w:val="%1.%2.%3.%4.%5.%6"/>
        <w:lvlJc w:val="left"/>
        <w:pPr>
          <w:ind w:left="3402" w:hanging="3402"/>
        </w:pPr>
        <w:rPr>
          <w:rFonts w:cs="Times New Roman"/>
          <w:b w:val="0"/>
          <w:i w:val="0"/>
        </w:rPr>
      </w:lvl>
    </w:lvlOverride>
    <w:lvlOverride w:ilvl="6">
      <w:lvl w:ilvl="6">
        <w:start w:val="1"/>
        <w:numFmt w:val="decimal"/>
        <w:pStyle w:val="WWHeading7"/>
        <w:lvlText w:val="%1.%2.%3.%4.%5.%6.%7"/>
        <w:lvlJc w:val="left"/>
        <w:pPr>
          <w:ind w:left="3572" w:hanging="3572"/>
        </w:pPr>
        <w:rPr>
          <w:b w:val="0"/>
          <w:i w:val="0"/>
        </w:rPr>
      </w:lvl>
    </w:lvlOverride>
    <w:lvlOverride w:ilvl="7">
      <w:lvl w:ilvl="7">
        <w:start w:val="1"/>
        <w:numFmt w:val="none"/>
        <w:lvlText w:val="%8"/>
        <w:lvlJc w:val="left"/>
      </w:lvl>
    </w:lvlOverride>
    <w:lvlOverride w:ilvl="8">
      <w:lvl w:ilvl="8">
        <w:start w:val="1"/>
        <w:numFmt w:val="none"/>
        <w:lvlText w:val="%9"/>
        <w:lvlJc w:val="left"/>
      </w:lvl>
    </w:lvlOverride>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0"/>
  </w:num>
  <w:num w:numId="37">
    <w:abstractNumId w:val="4"/>
  </w:num>
  <w:num w:numId="38">
    <w:abstractNumId w:val="15"/>
  </w:num>
  <w:num w:numId="39">
    <w:abstractNumId w:val="1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PES Ibere">
    <w15:presenceInfo w15:providerId="AD" w15:userId="S::ilopes@iom.int::0a1888a9-339c-4114-9522-50c87334e8c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autoHyphenation/>
  <w:characterSpacingControl w:val="doNotCompress"/>
  <w:hdrShapeDefaults>
    <o:shapedefaults v:ext="edit" spidmax="7169"/>
  </w:hdrShapeDefaults>
  <w:footnotePr>
    <w:footnote w:id="-1"/>
    <w:footnote w:id="0"/>
  </w:footnotePr>
  <w:endnotePr>
    <w:endnote w:id="-1"/>
    <w:endnote w:id="0"/>
  </w:endnotePr>
  <w:compat/>
  <w:rsids>
    <w:rsidRoot w:val="00C67914"/>
    <w:rsid w:val="00037D5D"/>
    <w:rsid w:val="00052C03"/>
    <w:rsid w:val="00054486"/>
    <w:rsid w:val="00063988"/>
    <w:rsid w:val="000B79B5"/>
    <w:rsid w:val="000B7C0D"/>
    <w:rsid w:val="000E399E"/>
    <w:rsid w:val="000F3811"/>
    <w:rsid w:val="00187AD2"/>
    <w:rsid w:val="0019565B"/>
    <w:rsid w:val="001B1D19"/>
    <w:rsid w:val="001C16C0"/>
    <w:rsid w:val="00260601"/>
    <w:rsid w:val="00271E54"/>
    <w:rsid w:val="002A1C0B"/>
    <w:rsid w:val="002C759D"/>
    <w:rsid w:val="00320022"/>
    <w:rsid w:val="003511F4"/>
    <w:rsid w:val="0038489C"/>
    <w:rsid w:val="003A04C1"/>
    <w:rsid w:val="003A2B42"/>
    <w:rsid w:val="003E3ADB"/>
    <w:rsid w:val="003E6BEB"/>
    <w:rsid w:val="003F7870"/>
    <w:rsid w:val="004623C5"/>
    <w:rsid w:val="004F24DA"/>
    <w:rsid w:val="004F3F34"/>
    <w:rsid w:val="00511C5A"/>
    <w:rsid w:val="005164DF"/>
    <w:rsid w:val="005333A7"/>
    <w:rsid w:val="005631CF"/>
    <w:rsid w:val="00592297"/>
    <w:rsid w:val="00596454"/>
    <w:rsid w:val="005B0B69"/>
    <w:rsid w:val="005C78A9"/>
    <w:rsid w:val="005E346C"/>
    <w:rsid w:val="00600121"/>
    <w:rsid w:val="00603BF1"/>
    <w:rsid w:val="00604926"/>
    <w:rsid w:val="00611DD3"/>
    <w:rsid w:val="0061252A"/>
    <w:rsid w:val="006300E1"/>
    <w:rsid w:val="00653F50"/>
    <w:rsid w:val="006555C2"/>
    <w:rsid w:val="00664FCA"/>
    <w:rsid w:val="00672D5F"/>
    <w:rsid w:val="00676F03"/>
    <w:rsid w:val="0068438C"/>
    <w:rsid w:val="00696FF6"/>
    <w:rsid w:val="00717867"/>
    <w:rsid w:val="00734E0E"/>
    <w:rsid w:val="00764825"/>
    <w:rsid w:val="00775A6B"/>
    <w:rsid w:val="007941AC"/>
    <w:rsid w:val="007A0E85"/>
    <w:rsid w:val="007C2821"/>
    <w:rsid w:val="007E3252"/>
    <w:rsid w:val="007F6852"/>
    <w:rsid w:val="00805054"/>
    <w:rsid w:val="00807A9C"/>
    <w:rsid w:val="00835643"/>
    <w:rsid w:val="00854417"/>
    <w:rsid w:val="00855DCD"/>
    <w:rsid w:val="00865A68"/>
    <w:rsid w:val="00893024"/>
    <w:rsid w:val="008A2548"/>
    <w:rsid w:val="008E5FC1"/>
    <w:rsid w:val="0092208A"/>
    <w:rsid w:val="00945C72"/>
    <w:rsid w:val="00946646"/>
    <w:rsid w:val="00946835"/>
    <w:rsid w:val="009573FE"/>
    <w:rsid w:val="00962889"/>
    <w:rsid w:val="00982B80"/>
    <w:rsid w:val="009A1F03"/>
    <w:rsid w:val="009B4254"/>
    <w:rsid w:val="009D24F2"/>
    <w:rsid w:val="009D2767"/>
    <w:rsid w:val="009F1E29"/>
    <w:rsid w:val="009F3466"/>
    <w:rsid w:val="00A13323"/>
    <w:rsid w:val="00A346C7"/>
    <w:rsid w:val="00A55D02"/>
    <w:rsid w:val="00A7599C"/>
    <w:rsid w:val="00AE09E6"/>
    <w:rsid w:val="00AF2524"/>
    <w:rsid w:val="00AF686D"/>
    <w:rsid w:val="00B267DD"/>
    <w:rsid w:val="00B42AF1"/>
    <w:rsid w:val="00B6335A"/>
    <w:rsid w:val="00B651F0"/>
    <w:rsid w:val="00B722C4"/>
    <w:rsid w:val="00B83711"/>
    <w:rsid w:val="00B94C42"/>
    <w:rsid w:val="00BB04E1"/>
    <w:rsid w:val="00BF2D72"/>
    <w:rsid w:val="00BF47A2"/>
    <w:rsid w:val="00C129FD"/>
    <w:rsid w:val="00C16AD5"/>
    <w:rsid w:val="00C17EDA"/>
    <w:rsid w:val="00C67914"/>
    <w:rsid w:val="00C95A3D"/>
    <w:rsid w:val="00CA2D86"/>
    <w:rsid w:val="00CA75E5"/>
    <w:rsid w:val="00CC6347"/>
    <w:rsid w:val="00D2388F"/>
    <w:rsid w:val="00D30D4C"/>
    <w:rsid w:val="00D4444C"/>
    <w:rsid w:val="00D52018"/>
    <w:rsid w:val="00D70962"/>
    <w:rsid w:val="00D74EA0"/>
    <w:rsid w:val="00D929AC"/>
    <w:rsid w:val="00DD4C05"/>
    <w:rsid w:val="00DD58AE"/>
    <w:rsid w:val="00DD7538"/>
    <w:rsid w:val="00DE7B79"/>
    <w:rsid w:val="00E52190"/>
    <w:rsid w:val="00E64F27"/>
    <w:rsid w:val="00E749DB"/>
    <w:rsid w:val="00ED007F"/>
    <w:rsid w:val="00F15645"/>
    <w:rsid w:val="00F53AB6"/>
    <w:rsid w:val="00F8120B"/>
    <w:rsid w:val="00FD22DC"/>
    <w:rsid w:val="00FF6C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67914"/>
    <w:pPr>
      <w:suppressAutoHyphens/>
    </w:pPr>
    <w:rPr>
      <w:rFonts w:ascii="Arial" w:hAnsi="Arial"/>
      <w:sz w:val="22"/>
      <w:szCs w:val="24"/>
    </w:rPr>
  </w:style>
  <w:style w:type="paragraph" w:styleId="Heading1">
    <w:name w:val="heading 1"/>
    <w:basedOn w:val="Normal"/>
    <w:next w:val="Normal"/>
    <w:rsid w:val="00C67914"/>
    <w:pPr>
      <w:keepNext/>
      <w:spacing w:before="240" w:after="60"/>
      <w:outlineLvl w:val="0"/>
    </w:pPr>
    <w:rPr>
      <w:rFonts w:cs="Arial"/>
      <w:b/>
      <w:bCs/>
      <w:kern w:val="3"/>
      <w:sz w:val="32"/>
      <w:szCs w:val="32"/>
    </w:rPr>
  </w:style>
  <w:style w:type="paragraph" w:styleId="Heading2">
    <w:name w:val="heading 2"/>
    <w:basedOn w:val="Normal"/>
    <w:next w:val="Normal"/>
    <w:rsid w:val="00C67914"/>
    <w:pPr>
      <w:keepNext/>
      <w:spacing w:before="240" w:after="60"/>
      <w:outlineLvl w:val="1"/>
    </w:pPr>
    <w:rPr>
      <w:rFonts w:cs="Arial"/>
      <w:b/>
      <w:bCs/>
      <w:i/>
      <w:iCs/>
      <w:sz w:val="28"/>
      <w:szCs w:val="28"/>
    </w:rPr>
  </w:style>
  <w:style w:type="paragraph" w:styleId="Heading3">
    <w:name w:val="heading 3"/>
    <w:basedOn w:val="Normal"/>
    <w:next w:val="Normal"/>
    <w:rsid w:val="00C67914"/>
    <w:pPr>
      <w:keepNext/>
      <w:spacing w:before="240" w:after="60"/>
      <w:outlineLvl w:val="2"/>
    </w:pPr>
    <w:rPr>
      <w:rFonts w:cs="Arial"/>
      <w:b/>
      <w:bCs/>
      <w:sz w:val="26"/>
      <w:szCs w:val="26"/>
    </w:rPr>
  </w:style>
  <w:style w:type="paragraph" w:styleId="Heading8">
    <w:name w:val="heading 8"/>
    <w:basedOn w:val="Heading"/>
    <w:next w:val="Textbody"/>
    <w:rsid w:val="00C67914"/>
    <w:pPr>
      <w:outlineLvl w:val="7"/>
    </w:pPr>
    <w:rPr>
      <w:b/>
      <w:bCs/>
    </w:rPr>
  </w:style>
  <w:style w:type="paragraph" w:styleId="Heading9">
    <w:name w:val="heading 9"/>
    <w:basedOn w:val="Heading"/>
    <w:next w:val="Textbody"/>
    <w:rsid w:val="00C67914"/>
    <w:p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rsid w:val="00C67914"/>
    <w:pPr>
      <w:numPr>
        <w:numId w:val="26"/>
      </w:numPr>
    </w:pPr>
  </w:style>
  <w:style w:type="paragraph" w:customStyle="1" w:styleId="Standard">
    <w:name w:val="Standard"/>
    <w:rsid w:val="00C67914"/>
  </w:style>
  <w:style w:type="paragraph" w:customStyle="1" w:styleId="WWHeading1">
    <w:name w:val="WW_Heading1"/>
    <w:basedOn w:val="WWHead"/>
    <w:next w:val="WWList2"/>
    <w:link w:val="WWHeading1Char"/>
    <w:rsid w:val="00C67914"/>
    <w:pPr>
      <w:spacing w:before="240" w:after="0"/>
      <w:outlineLvl w:val="0"/>
    </w:pPr>
  </w:style>
  <w:style w:type="paragraph" w:customStyle="1" w:styleId="WWHeading2">
    <w:name w:val="WW_Heading2"/>
    <w:basedOn w:val="WWHead"/>
    <w:next w:val="WWList3"/>
    <w:rsid w:val="00C67914"/>
    <w:pPr>
      <w:numPr>
        <w:ilvl w:val="1"/>
        <w:numId w:val="28"/>
      </w:numPr>
      <w:tabs>
        <w:tab w:val="left" w:pos="-2268"/>
        <w:tab w:val="left" w:pos="0"/>
        <w:tab w:val="left" w:pos="567"/>
      </w:tabs>
      <w:outlineLvl w:val="1"/>
    </w:pPr>
  </w:style>
  <w:style w:type="paragraph" w:customStyle="1" w:styleId="WWHeading3">
    <w:name w:val="WW_Heading3"/>
    <w:basedOn w:val="WWHead"/>
    <w:next w:val="WWList4"/>
    <w:link w:val="WWHeading3Char"/>
    <w:rsid w:val="00C67914"/>
    <w:pPr>
      <w:numPr>
        <w:ilvl w:val="2"/>
        <w:numId w:val="28"/>
      </w:numPr>
      <w:tabs>
        <w:tab w:val="left" w:pos="-3402"/>
        <w:tab w:val="left" w:pos="-1134"/>
        <w:tab w:val="left" w:pos="-567"/>
      </w:tabs>
      <w:outlineLvl w:val="2"/>
    </w:pPr>
  </w:style>
  <w:style w:type="paragraph" w:customStyle="1" w:styleId="WWHeading4">
    <w:name w:val="WW_Heading4"/>
    <w:basedOn w:val="WWHead"/>
    <w:next w:val="WWList5"/>
    <w:link w:val="WWHeading4Char"/>
    <w:rsid w:val="00C67914"/>
    <w:pPr>
      <w:numPr>
        <w:ilvl w:val="3"/>
        <w:numId w:val="28"/>
      </w:numPr>
      <w:outlineLvl w:val="3"/>
    </w:pPr>
  </w:style>
  <w:style w:type="paragraph" w:customStyle="1" w:styleId="WWHeading5">
    <w:name w:val="WW_Heading5"/>
    <w:basedOn w:val="WWHead"/>
    <w:next w:val="WWList6"/>
    <w:rsid w:val="00C67914"/>
    <w:pPr>
      <w:numPr>
        <w:ilvl w:val="4"/>
        <w:numId w:val="28"/>
      </w:numPr>
      <w:outlineLvl w:val="4"/>
    </w:pPr>
  </w:style>
  <w:style w:type="paragraph" w:customStyle="1" w:styleId="WWHeading6">
    <w:name w:val="WW_Heading6"/>
    <w:basedOn w:val="WWHead"/>
    <w:next w:val="WWBodyText6"/>
    <w:rsid w:val="00C67914"/>
    <w:pPr>
      <w:numPr>
        <w:ilvl w:val="5"/>
        <w:numId w:val="28"/>
      </w:numPr>
      <w:outlineLvl w:val="5"/>
    </w:pPr>
  </w:style>
  <w:style w:type="paragraph" w:customStyle="1" w:styleId="WWHeading7">
    <w:name w:val="WW_Heading7"/>
    <w:basedOn w:val="Normal"/>
    <w:next w:val="WWBodyText7"/>
    <w:rsid w:val="00C67914"/>
    <w:pPr>
      <w:keepNext/>
      <w:numPr>
        <w:ilvl w:val="6"/>
        <w:numId w:val="28"/>
      </w:numPr>
      <w:outlineLvl w:val="6"/>
    </w:pPr>
    <w:rPr>
      <w:b/>
    </w:rPr>
  </w:style>
  <w:style w:type="paragraph" w:customStyle="1" w:styleId="Heading">
    <w:name w:val="Heading"/>
    <w:basedOn w:val="Standard"/>
    <w:next w:val="Textbody"/>
    <w:rsid w:val="00C67914"/>
    <w:pPr>
      <w:keepNext/>
      <w:spacing w:before="240" w:after="120"/>
    </w:pPr>
    <w:rPr>
      <w:rFonts w:ascii="Arial" w:eastAsia="MS Gothic" w:hAnsi="Arial" w:cs="Tahoma"/>
      <w:sz w:val="28"/>
      <w:szCs w:val="28"/>
    </w:rPr>
  </w:style>
  <w:style w:type="paragraph" w:customStyle="1" w:styleId="Textbody">
    <w:name w:val="Text body"/>
    <w:basedOn w:val="Standard"/>
    <w:rsid w:val="00C67914"/>
    <w:pPr>
      <w:spacing w:after="120"/>
    </w:pPr>
  </w:style>
  <w:style w:type="paragraph" w:customStyle="1" w:styleId="WWBodyText1">
    <w:name w:val="WW_BodyText1"/>
    <w:basedOn w:val="WWBodyText"/>
    <w:rsid w:val="00C67914"/>
    <w:pPr>
      <w:ind w:left="567"/>
    </w:pPr>
  </w:style>
  <w:style w:type="paragraph" w:customStyle="1" w:styleId="WWBodyText2">
    <w:name w:val="WW_BodyText2"/>
    <w:basedOn w:val="WWBodyText"/>
    <w:rsid w:val="00C67914"/>
    <w:pPr>
      <w:tabs>
        <w:tab w:val="left" w:pos="3402"/>
        <w:tab w:val="left" w:pos="3969"/>
      </w:tabs>
      <w:ind w:left="1134"/>
    </w:pPr>
  </w:style>
  <w:style w:type="paragraph" w:customStyle="1" w:styleId="WWBodyText3">
    <w:name w:val="WW_BodyText3"/>
    <w:basedOn w:val="WWBodyText"/>
    <w:link w:val="WWBodyText3Char"/>
    <w:rsid w:val="00C67914"/>
    <w:pPr>
      <w:tabs>
        <w:tab w:val="left" w:pos="3969"/>
        <w:tab w:val="left" w:pos="4536"/>
      </w:tabs>
      <w:ind w:left="1701"/>
    </w:pPr>
  </w:style>
  <w:style w:type="paragraph" w:customStyle="1" w:styleId="WWBodyText4">
    <w:name w:val="WW_BodyText4"/>
    <w:basedOn w:val="WWBodyText"/>
    <w:rsid w:val="00C67914"/>
    <w:pPr>
      <w:ind w:left="2268"/>
    </w:pPr>
  </w:style>
  <w:style w:type="paragraph" w:customStyle="1" w:styleId="WWBodyText5">
    <w:name w:val="WW_BodyText5"/>
    <w:basedOn w:val="WWBodyText"/>
    <w:rsid w:val="00C67914"/>
    <w:pPr>
      <w:ind w:left="2835"/>
    </w:pPr>
  </w:style>
  <w:style w:type="paragraph" w:customStyle="1" w:styleId="WWBodyText6">
    <w:name w:val="WW_BodyText6"/>
    <w:basedOn w:val="WWBodyText"/>
    <w:rsid w:val="00C67914"/>
    <w:pPr>
      <w:ind w:left="3402"/>
    </w:pPr>
  </w:style>
  <w:style w:type="paragraph" w:customStyle="1" w:styleId="WWBodyText7">
    <w:name w:val="WW_BodyText7"/>
    <w:basedOn w:val="WWBodyText"/>
    <w:rsid w:val="00C67914"/>
    <w:pPr>
      <w:ind w:left="3969"/>
    </w:pPr>
  </w:style>
  <w:style w:type="paragraph" w:customStyle="1" w:styleId="WWBodyText8">
    <w:name w:val="WW_BodyText8"/>
    <w:basedOn w:val="WWBodyText"/>
    <w:rsid w:val="00C67914"/>
    <w:pPr>
      <w:ind w:left="4536"/>
    </w:pPr>
  </w:style>
  <w:style w:type="paragraph" w:styleId="Header">
    <w:name w:val="header"/>
    <w:basedOn w:val="Normal"/>
    <w:uiPriority w:val="99"/>
    <w:rsid w:val="00C67914"/>
    <w:pPr>
      <w:tabs>
        <w:tab w:val="center" w:pos="4253"/>
        <w:tab w:val="right" w:pos="8505"/>
      </w:tabs>
      <w:jc w:val="both"/>
    </w:pPr>
  </w:style>
  <w:style w:type="paragraph" w:styleId="Footer">
    <w:name w:val="footer"/>
    <w:basedOn w:val="Normal"/>
    <w:rsid w:val="00C67914"/>
    <w:pPr>
      <w:tabs>
        <w:tab w:val="center" w:pos="4253"/>
        <w:tab w:val="right" w:pos="8505"/>
      </w:tabs>
      <w:jc w:val="both"/>
    </w:pPr>
  </w:style>
  <w:style w:type="paragraph" w:styleId="TOC1">
    <w:name w:val="toc 1"/>
    <w:basedOn w:val="Normal"/>
    <w:next w:val="Normal"/>
    <w:autoRedefine/>
    <w:uiPriority w:val="39"/>
    <w:rsid w:val="00A346C7"/>
    <w:pPr>
      <w:tabs>
        <w:tab w:val="left" w:pos="0"/>
        <w:tab w:val="left" w:pos="1701"/>
      </w:tabs>
      <w:spacing w:before="120" w:line="360" w:lineRule="auto"/>
      <w:ind w:left="426" w:right="567" w:hanging="426"/>
    </w:pPr>
  </w:style>
  <w:style w:type="paragraph" w:styleId="TOC2">
    <w:name w:val="toc 2"/>
    <w:basedOn w:val="Normal"/>
    <w:next w:val="Normal"/>
    <w:autoRedefine/>
    <w:uiPriority w:val="39"/>
    <w:rsid w:val="00C67914"/>
    <w:pPr>
      <w:tabs>
        <w:tab w:val="left" w:pos="1738"/>
        <w:tab w:val="right" w:leader="dot" w:pos="8255"/>
      </w:tabs>
      <w:spacing w:before="120"/>
      <w:ind w:left="600" w:right="567" w:hanging="611"/>
      <w:jc w:val="both"/>
    </w:pPr>
  </w:style>
  <w:style w:type="paragraph" w:styleId="TOC3">
    <w:name w:val="toc 3"/>
    <w:basedOn w:val="Normal"/>
    <w:next w:val="Normal"/>
    <w:autoRedefine/>
    <w:uiPriority w:val="39"/>
    <w:rsid w:val="00C67914"/>
    <w:pPr>
      <w:tabs>
        <w:tab w:val="left" w:pos="1701"/>
        <w:tab w:val="right" w:leader="dot" w:pos="8448"/>
      </w:tabs>
      <w:spacing w:before="120"/>
      <w:ind w:left="1701" w:right="680" w:hanging="1701"/>
    </w:pPr>
  </w:style>
  <w:style w:type="paragraph" w:styleId="TOC4">
    <w:name w:val="toc 4"/>
    <w:basedOn w:val="Normal"/>
    <w:next w:val="Normal"/>
    <w:autoRedefine/>
    <w:rsid w:val="00C67914"/>
    <w:pPr>
      <w:tabs>
        <w:tab w:val="left" w:pos="2041"/>
        <w:tab w:val="right" w:leader="dot" w:pos="8448"/>
      </w:tabs>
      <w:spacing w:before="120"/>
      <w:jc w:val="both"/>
    </w:pPr>
  </w:style>
  <w:style w:type="paragraph" w:customStyle="1" w:styleId="WWMainHead">
    <w:name w:val="WW_MainHead"/>
    <w:basedOn w:val="Normal"/>
    <w:next w:val="Normal"/>
    <w:rsid w:val="00C67914"/>
    <w:pPr>
      <w:keepNext/>
    </w:pPr>
    <w:rPr>
      <w:b/>
    </w:rPr>
  </w:style>
  <w:style w:type="paragraph" w:customStyle="1" w:styleId="WWAnnexHead">
    <w:name w:val="WW_AnnexHead"/>
    <w:basedOn w:val="Normal"/>
    <w:next w:val="Normal"/>
    <w:rsid w:val="00C67914"/>
    <w:pPr>
      <w:keepNext/>
    </w:pPr>
    <w:rPr>
      <w:b/>
    </w:rPr>
  </w:style>
  <w:style w:type="paragraph" w:styleId="EndnoteText">
    <w:name w:val="endnote text"/>
    <w:basedOn w:val="Normal"/>
    <w:rsid w:val="00C67914"/>
    <w:pPr>
      <w:tabs>
        <w:tab w:val="left" w:pos="340"/>
      </w:tabs>
      <w:spacing w:after="60"/>
      <w:ind w:left="340" w:hanging="340"/>
      <w:jc w:val="both"/>
    </w:pPr>
    <w:rPr>
      <w:sz w:val="20"/>
      <w:szCs w:val="20"/>
    </w:rPr>
  </w:style>
  <w:style w:type="paragraph" w:styleId="FootnoteText">
    <w:name w:val="footnote text"/>
    <w:basedOn w:val="Normal"/>
    <w:rsid w:val="00C67914"/>
    <w:pPr>
      <w:tabs>
        <w:tab w:val="left" w:pos="340"/>
      </w:tabs>
      <w:spacing w:after="60"/>
      <w:ind w:left="340" w:hanging="340"/>
      <w:jc w:val="both"/>
    </w:pPr>
    <w:rPr>
      <w:sz w:val="18"/>
      <w:szCs w:val="20"/>
    </w:rPr>
  </w:style>
  <w:style w:type="paragraph" w:customStyle="1" w:styleId="StyleNormal">
    <w:name w:val="StyleNormal"/>
    <w:basedOn w:val="Normal"/>
    <w:rsid w:val="00C67914"/>
  </w:style>
  <w:style w:type="paragraph" w:customStyle="1" w:styleId="TitlePage">
    <w:name w:val="Title Page"/>
    <w:basedOn w:val="Normal"/>
    <w:rsid w:val="00C67914"/>
  </w:style>
  <w:style w:type="paragraph" w:customStyle="1" w:styleId="En-ttedetabledesmatires1">
    <w:name w:val="En-tête de table des matières1"/>
    <w:basedOn w:val="Normal"/>
    <w:next w:val="Normal"/>
    <w:rsid w:val="00C67914"/>
    <w:pPr>
      <w:jc w:val="center"/>
    </w:pPr>
    <w:rPr>
      <w:rFonts w:cs="Arial"/>
      <w:b/>
      <w:bCs/>
      <w:caps/>
      <w:szCs w:val="22"/>
    </w:rPr>
  </w:style>
  <w:style w:type="paragraph" w:customStyle="1" w:styleId="TOCPage">
    <w:name w:val="TOC Page"/>
    <w:basedOn w:val="Normal"/>
    <w:next w:val="Normal"/>
    <w:rsid w:val="00C67914"/>
    <w:pPr>
      <w:jc w:val="right"/>
    </w:pPr>
    <w:rPr>
      <w:b/>
    </w:rPr>
  </w:style>
  <w:style w:type="paragraph" w:customStyle="1" w:styleId="WWAnnexNum">
    <w:name w:val="WW_AnnexNum"/>
    <w:basedOn w:val="Normal"/>
    <w:next w:val="Normal"/>
    <w:rsid w:val="00C67914"/>
    <w:pPr>
      <w:keepNext/>
      <w:jc w:val="right"/>
    </w:pPr>
    <w:rPr>
      <w:b/>
    </w:rPr>
  </w:style>
  <w:style w:type="paragraph" w:customStyle="1" w:styleId="WWBodyText9">
    <w:name w:val="WW_BodyText9"/>
    <w:basedOn w:val="WWBodyText"/>
    <w:rsid w:val="00C67914"/>
    <w:pPr>
      <w:ind w:left="5103"/>
    </w:pPr>
  </w:style>
  <w:style w:type="paragraph" w:styleId="Signature">
    <w:name w:val="Signature"/>
    <w:basedOn w:val="Normal"/>
    <w:rsid w:val="00C67914"/>
    <w:rPr>
      <w:sz w:val="12"/>
    </w:rPr>
  </w:style>
  <w:style w:type="paragraph" w:customStyle="1" w:styleId="WWBodyText10">
    <w:name w:val="WW_BodyText10"/>
    <w:basedOn w:val="WWBodyText"/>
    <w:rsid w:val="00C67914"/>
    <w:pPr>
      <w:ind w:left="5670"/>
    </w:pPr>
  </w:style>
  <w:style w:type="paragraph" w:customStyle="1" w:styleId="WWList1">
    <w:name w:val="WW_List1"/>
    <w:basedOn w:val="WWHeading1"/>
    <w:rsid w:val="00C67914"/>
    <w:pPr>
      <w:keepNext w:val="0"/>
      <w:spacing w:before="0"/>
    </w:pPr>
    <w:rPr>
      <w:b w:val="0"/>
    </w:rPr>
  </w:style>
  <w:style w:type="paragraph" w:customStyle="1" w:styleId="WWList2">
    <w:name w:val="WW_List2"/>
    <w:basedOn w:val="WWHeading2"/>
    <w:rsid w:val="00C67914"/>
    <w:pPr>
      <w:keepNext w:val="0"/>
      <w:numPr>
        <w:ilvl w:val="0"/>
        <w:numId w:val="0"/>
      </w:numPr>
    </w:pPr>
    <w:rPr>
      <w:b w:val="0"/>
    </w:rPr>
  </w:style>
  <w:style w:type="paragraph" w:customStyle="1" w:styleId="WWList3">
    <w:name w:val="WW_List3"/>
    <w:basedOn w:val="WWHeading3"/>
    <w:rsid w:val="00C67914"/>
    <w:pPr>
      <w:keepNext w:val="0"/>
      <w:numPr>
        <w:ilvl w:val="0"/>
        <w:numId w:val="0"/>
      </w:numPr>
    </w:pPr>
    <w:rPr>
      <w:b w:val="0"/>
    </w:rPr>
  </w:style>
  <w:style w:type="paragraph" w:customStyle="1" w:styleId="WWList4">
    <w:name w:val="WW_List4"/>
    <w:basedOn w:val="WWHeading4"/>
    <w:rsid w:val="00C67914"/>
    <w:pPr>
      <w:keepNext w:val="0"/>
      <w:numPr>
        <w:ilvl w:val="0"/>
        <w:numId w:val="0"/>
      </w:numPr>
    </w:pPr>
    <w:rPr>
      <w:b w:val="0"/>
    </w:rPr>
  </w:style>
  <w:style w:type="paragraph" w:customStyle="1" w:styleId="WWList5">
    <w:name w:val="WW_List5"/>
    <w:basedOn w:val="WWHeading5"/>
    <w:rsid w:val="00C67914"/>
    <w:pPr>
      <w:keepNext w:val="0"/>
      <w:numPr>
        <w:ilvl w:val="0"/>
        <w:numId w:val="0"/>
      </w:numPr>
    </w:pPr>
    <w:rPr>
      <w:b w:val="0"/>
    </w:rPr>
  </w:style>
  <w:style w:type="paragraph" w:customStyle="1" w:styleId="WWList6">
    <w:name w:val="WW_List6"/>
    <w:basedOn w:val="WWHeading6"/>
    <w:rsid w:val="00C67914"/>
    <w:pPr>
      <w:keepNext w:val="0"/>
      <w:numPr>
        <w:ilvl w:val="0"/>
        <w:numId w:val="0"/>
      </w:numPr>
    </w:pPr>
    <w:rPr>
      <w:b w:val="0"/>
    </w:rPr>
  </w:style>
  <w:style w:type="paragraph" w:customStyle="1" w:styleId="WWList7">
    <w:name w:val="WW_List7"/>
    <w:basedOn w:val="WWHeading7"/>
    <w:next w:val="WWBodyText7"/>
    <w:rsid w:val="00C67914"/>
    <w:pPr>
      <w:keepNext w:val="0"/>
      <w:numPr>
        <w:ilvl w:val="0"/>
        <w:numId w:val="0"/>
      </w:numPr>
    </w:pPr>
    <w:rPr>
      <w:b w:val="0"/>
    </w:rPr>
  </w:style>
  <w:style w:type="paragraph" w:customStyle="1" w:styleId="WWAnnexList1">
    <w:name w:val="WW_AnnexList1"/>
    <w:basedOn w:val="WWAnnexHead1"/>
    <w:next w:val="WWBodyText"/>
    <w:rsid w:val="00C67914"/>
    <w:pPr>
      <w:keepNext w:val="0"/>
      <w:spacing w:before="0"/>
    </w:pPr>
    <w:rPr>
      <w:b w:val="0"/>
    </w:rPr>
  </w:style>
  <w:style w:type="paragraph" w:customStyle="1" w:styleId="WWAnnexList2">
    <w:name w:val="WW_AnnexList2"/>
    <w:basedOn w:val="WWAnnexHead2"/>
    <w:rsid w:val="00C67914"/>
    <w:pPr>
      <w:keepNext w:val="0"/>
    </w:pPr>
    <w:rPr>
      <w:b w:val="0"/>
    </w:rPr>
  </w:style>
  <w:style w:type="paragraph" w:customStyle="1" w:styleId="WWAnnexList3">
    <w:name w:val="WW_AnnexList3"/>
    <w:basedOn w:val="WWAnnexHead3"/>
    <w:rsid w:val="00C67914"/>
    <w:pPr>
      <w:keepNext w:val="0"/>
    </w:pPr>
    <w:rPr>
      <w:b w:val="0"/>
    </w:rPr>
  </w:style>
  <w:style w:type="paragraph" w:customStyle="1" w:styleId="WWAnnexList4">
    <w:name w:val="WW_AnnexList4"/>
    <w:basedOn w:val="WWAnnexHead4"/>
    <w:rsid w:val="00C67914"/>
    <w:pPr>
      <w:keepNext w:val="0"/>
    </w:pPr>
    <w:rPr>
      <w:b w:val="0"/>
    </w:rPr>
  </w:style>
  <w:style w:type="paragraph" w:customStyle="1" w:styleId="WWAnnexList5">
    <w:name w:val="WW_AnnexList5"/>
    <w:basedOn w:val="WWAnnexHead5"/>
    <w:rsid w:val="00C67914"/>
    <w:pPr>
      <w:keepNext w:val="0"/>
    </w:pPr>
    <w:rPr>
      <w:b w:val="0"/>
    </w:rPr>
  </w:style>
  <w:style w:type="paragraph" w:customStyle="1" w:styleId="WWAnnexList6">
    <w:name w:val="WW_AnnexList6"/>
    <w:basedOn w:val="WWAnnexHead6"/>
    <w:next w:val="WWBodyText6"/>
    <w:rsid w:val="00C67914"/>
    <w:pPr>
      <w:keepNext w:val="0"/>
    </w:pPr>
    <w:rPr>
      <w:b w:val="0"/>
    </w:rPr>
  </w:style>
  <w:style w:type="paragraph" w:customStyle="1" w:styleId="WWAnnexList7">
    <w:name w:val="WW_AnnexList7"/>
    <w:basedOn w:val="Normal"/>
    <w:next w:val="WWBodyText7"/>
    <w:rsid w:val="00C67914"/>
    <w:pPr>
      <w:numPr>
        <w:numId w:val="5"/>
      </w:numPr>
      <w:outlineLvl w:val="6"/>
    </w:pPr>
  </w:style>
  <w:style w:type="paragraph" w:customStyle="1" w:styleId="SignatureEnding">
    <w:name w:val="Signature Ending"/>
    <w:basedOn w:val="Normal"/>
    <w:rsid w:val="00C67914"/>
  </w:style>
  <w:style w:type="paragraph" w:styleId="BalloonText">
    <w:name w:val="Balloon Text"/>
    <w:basedOn w:val="Normal"/>
    <w:rsid w:val="00C67914"/>
    <w:rPr>
      <w:rFonts w:ascii="Tahoma" w:hAnsi="Tahoma" w:cs="Tahoma"/>
      <w:sz w:val="16"/>
      <w:szCs w:val="16"/>
    </w:rPr>
  </w:style>
  <w:style w:type="paragraph" w:customStyle="1" w:styleId="WWAnnexHead1">
    <w:name w:val="WW_AnnexHead1"/>
    <w:basedOn w:val="WWHead"/>
    <w:next w:val="WWAnnexList2"/>
    <w:rsid w:val="00C67914"/>
    <w:pPr>
      <w:spacing w:before="240" w:after="0"/>
      <w:outlineLvl w:val="0"/>
    </w:pPr>
  </w:style>
  <w:style w:type="paragraph" w:customStyle="1" w:styleId="WWAnnexHead2">
    <w:name w:val="WW_AnnexHead2"/>
    <w:basedOn w:val="WWHead"/>
    <w:next w:val="WWAnnexList3"/>
    <w:rsid w:val="00C67914"/>
    <w:pPr>
      <w:tabs>
        <w:tab w:val="left" w:pos="0"/>
        <w:tab w:val="left" w:pos="2268"/>
        <w:tab w:val="left" w:pos="2835"/>
      </w:tabs>
      <w:outlineLvl w:val="1"/>
    </w:pPr>
  </w:style>
  <w:style w:type="paragraph" w:customStyle="1" w:styleId="WWAnnexHead3">
    <w:name w:val="WW_AnnexHead3"/>
    <w:basedOn w:val="WWHead"/>
    <w:next w:val="WWAnnexList4"/>
    <w:rsid w:val="00C67914"/>
    <w:pPr>
      <w:tabs>
        <w:tab w:val="left" w:pos="0"/>
        <w:tab w:val="left" w:pos="2268"/>
        <w:tab w:val="left" w:pos="2835"/>
      </w:tabs>
      <w:outlineLvl w:val="2"/>
    </w:pPr>
  </w:style>
  <w:style w:type="paragraph" w:customStyle="1" w:styleId="WWAnnexHead4">
    <w:name w:val="WW_AnnexHead4"/>
    <w:basedOn w:val="WWHead"/>
    <w:next w:val="WWAnnexList5"/>
    <w:rsid w:val="00C67914"/>
    <w:pPr>
      <w:outlineLvl w:val="3"/>
    </w:pPr>
  </w:style>
  <w:style w:type="paragraph" w:customStyle="1" w:styleId="WWAnnexHead5">
    <w:name w:val="WW_AnnexHead5"/>
    <w:basedOn w:val="WWHead"/>
    <w:next w:val="WWAnnexList6"/>
    <w:rsid w:val="00C67914"/>
    <w:pPr>
      <w:outlineLvl w:val="4"/>
    </w:pPr>
  </w:style>
  <w:style w:type="paragraph" w:styleId="DocumentMap">
    <w:name w:val="Document Map"/>
    <w:basedOn w:val="Normal"/>
    <w:rsid w:val="00C67914"/>
    <w:pPr>
      <w:shd w:val="clear" w:color="auto" w:fill="000080"/>
    </w:pPr>
    <w:rPr>
      <w:rFonts w:ascii="Tahoma" w:hAnsi="Tahoma" w:cs="Tahoma"/>
      <w:sz w:val="20"/>
      <w:szCs w:val="20"/>
    </w:rPr>
  </w:style>
  <w:style w:type="paragraph" w:customStyle="1" w:styleId="WWTitleCentre">
    <w:name w:val="WW_TitleCentre"/>
    <w:basedOn w:val="WWBodyText"/>
    <w:next w:val="WWBodyText"/>
    <w:rsid w:val="00C67914"/>
    <w:pPr>
      <w:keepNext/>
      <w:jc w:val="center"/>
    </w:pPr>
    <w:rPr>
      <w:b/>
    </w:rPr>
  </w:style>
  <w:style w:type="paragraph" w:customStyle="1" w:styleId="WWSectionAlpha">
    <w:name w:val="WW_SectionAlpha"/>
    <w:basedOn w:val="WWBodyText"/>
    <w:next w:val="WWBodyText"/>
    <w:rsid w:val="00C67914"/>
    <w:pPr>
      <w:keepNext/>
      <w:numPr>
        <w:numId w:val="6"/>
      </w:numPr>
    </w:pPr>
    <w:rPr>
      <w:b/>
      <w:spacing w:val="2"/>
    </w:rPr>
  </w:style>
  <w:style w:type="paragraph" w:customStyle="1" w:styleId="WWRecital1">
    <w:name w:val="WW_Recital1"/>
    <w:basedOn w:val="WWBodyText"/>
    <w:rsid w:val="00C67914"/>
    <w:pPr>
      <w:outlineLvl w:val="0"/>
    </w:pPr>
  </w:style>
  <w:style w:type="paragraph" w:styleId="Title">
    <w:name w:val="Title"/>
    <w:basedOn w:val="Normal"/>
    <w:next w:val="Normal"/>
    <w:rsid w:val="00C67914"/>
    <w:pPr>
      <w:keepNext/>
      <w:jc w:val="center"/>
    </w:pPr>
    <w:rPr>
      <w:rFonts w:cs="Arial"/>
      <w:b/>
      <w:bCs/>
      <w:caps/>
      <w:szCs w:val="32"/>
    </w:rPr>
  </w:style>
  <w:style w:type="paragraph" w:styleId="Subtitle">
    <w:name w:val="Subtitle"/>
    <w:basedOn w:val="Heading"/>
    <w:next w:val="Textbody"/>
    <w:rsid w:val="00C67914"/>
    <w:pPr>
      <w:jc w:val="center"/>
    </w:pPr>
    <w:rPr>
      <w:i/>
      <w:iCs/>
    </w:rPr>
  </w:style>
  <w:style w:type="paragraph" w:styleId="CommentText">
    <w:name w:val="annotation text"/>
    <w:basedOn w:val="Normal"/>
    <w:rsid w:val="00C67914"/>
    <w:rPr>
      <w:sz w:val="16"/>
      <w:szCs w:val="20"/>
    </w:rPr>
  </w:style>
  <w:style w:type="paragraph" w:styleId="CommentSubject">
    <w:name w:val="annotation subject"/>
    <w:basedOn w:val="CommentText"/>
    <w:next w:val="CommentText"/>
    <w:rsid w:val="00C67914"/>
    <w:rPr>
      <w:b/>
      <w:bCs/>
    </w:rPr>
  </w:style>
  <w:style w:type="paragraph" w:customStyle="1" w:styleId="WWSection">
    <w:name w:val="WW_Section"/>
    <w:basedOn w:val="WWBodyText"/>
    <w:next w:val="WWBodyText"/>
    <w:rsid w:val="00C67914"/>
    <w:pPr>
      <w:keepNext/>
    </w:pPr>
    <w:rPr>
      <w:b/>
    </w:rPr>
  </w:style>
  <w:style w:type="paragraph" w:customStyle="1" w:styleId="WWTramLines">
    <w:name w:val="WW_TramLines"/>
    <w:basedOn w:val="WWBodyText"/>
    <w:next w:val="WWBodyText"/>
    <w:rsid w:val="00C67914"/>
    <w:pPr>
      <w:pBdr>
        <w:top w:val="single" w:sz="4" w:space="0" w:color="000000"/>
        <w:bottom w:val="single" w:sz="4" w:space="0" w:color="000000"/>
      </w:pBdr>
      <w:spacing w:after="360" w:line="240" w:lineRule="auto"/>
      <w:jc w:val="center"/>
    </w:pPr>
    <w:rPr>
      <w:b/>
    </w:rPr>
  </w:style>
  <w:style w:type="paragraph" w:customStyle="1" w:styleId="WWParties">
    <w:name w:val="WW_Parties"/>
    <w:basedOn w:val="WWBodyText"/>
    <w:next w:val="WWBodyText"/>
    <w:rsid w:val="00C67914"/>
    <w:pPr>
      <w:tabs>
        <w:tab w:val="right" w:pos="8789"/>
      </w:tabs>
    </w:pPr>
  </w:style>
  <w:style w:type="paragraph" w:customStyle="1" w:styleId="WWBodyText">
    <w:name w:val="WW_BodyText"/>
    <w:basedOn w:val="Normal"/>
    <w:link w:val="WWBodyTextChar"/>
    <w:rsid w:val="00C67914"/>
    <w:pPr>
      <w:spacing w:after="240" w:line="360" w:lineRule="auto"/>
      <w:jc w:val="both"/>
    </w:pPr>
  </w:style>
  <w:style w:type="paragraph" w:customStyle="1" w:styleId="WWAddressee">
    <w:name w:val="WW_Addressee"/>
    <w:basedOn w:val="Normal"/>
    <w:next w:val="WWBodyText"/>
    <w:rsid w:val="00C67914"/>
    <w:pPr>
      <w:spacing w:before="480" w:after="480"/>
    </w:pPr>
    <w:rPr>
      <w:lang w:eastAsia="en-US"/>
    </w:rPr>
  </w:style>
  <w:style w:type="paragraph" w:customStyle="1" w:styleId="WWBox">
    <w:name w:val="WW_Box"/>
    <w:basedOn w:val="Normal"/>
    <w:next w:val="Normal"/>
    <w:rsid w:val="00C67914"/>
    <w:pPr>
      <w:spacing w:before="60" w:after="60"/>
    </w:pPr>
    <w:rPr>
      <w:sz w:val="20"/>
      <w:lang w:eastAsia="en-US"/>
    </w:rPr>
  </w:style>
  <w:style w:type="paragraph" w:customStyle="1" w:styleId="WWEnding">
    <w:name w:val="WW_Ending"/>
    <w:basedOn w:val="Normal"/>
    <w:next w:val="Normal"/>
    <w:rsid w:val="00C67914"/>
    <w:pPr>
      <w:keepNext/>
      <w:spacing w:before="360" w:after="720"/>
      <w:jc w:val="both"/>
    </w:pPr>
    <w:rPr>
      <w:bCs/>
      <w:szCs w:val="20"/>
      <w:lang w:eastAsia="en-US"/>
    </w:rPr>
  </w:style>
  <w:style w:type="paragraph" w:customStyle="1" w:styleId="WWSalutation">
    <w:name w:val="WW_Salutation"/>
    <w:basedOn w:val="Normal"/>
    <w:next w:val="Normal"/>
    <w:rsid w:val="00C67914"/>
    <w:pPr>
      <w:spacing w:before="480"/>
      <w:jc w:val="both"/>
    </w:pPr>
    <w:rPr>
      <w:lang w:eastAsia="en-US"/>
    </w:rPr>
  </w:style>
  <w:style w:type="paragraph" w:customStyle="1" w:styleId="WWSubject">
    <w:name w:val="WW_Subject"/>
    <w:basedOn w:val="Normal"/>
    <w:next w:val="Normal"/>
    <w:rsid w:val="00C67914"/>
    <w:pPr>
      <w:keepNext/>
      <w:spacing w:before="480" w:after="480"/>
      <w:jc w:val="both"/>
    </w:pPr>
    <w:rPr>
      <w:rFonts w:ascii="Arial Bold" w:hAnsi="Arial Bold"/>
      <w:b/>
      <w:lang w:val="en-US" w:eastAsia="en-US"/>
    </w:rPr>
  </w:style>
  <w:style w:type="paragraph" w:customStyle="1" w:styleId="WWTitleLeft">
    <w:name w:val="WW_TitleLeft"/>
    <w:basedOn w:val="WWTitleCentre"/>
    <w:next w:val="WWBodyText"/>
    <w:rsid w:val="00C67914"/>
    <w:pPr>
      <w:jc w:val="left"/>
    </w:pPr>
  </w:style>
  <w:style w:type="paragraph" w:customStyle="1" w:styleId="WWBullet1">
    <w:name w:val="WW_Bullet1"/>
    <w:basedOn w:val="WWBodyText"/>
    <w:rsid w:val="00C67914"/>
    <w:pPr>
      <w:outlineLvl w:val="0"/>
    </w:pPr>
  </w:style>
  <w:style w:type="paragraph" w:customStyle="1" w:styleId="WWBullet2">
    <w:name w:val="WW_Bullet2"/>
    <w:basedOn w:val="WWBodyText"/>
    <w:rsid w:val="00C67914"/>
    <w:pPr>
      <w:outlineLvl w:val="1"/>
    </w:pPr>
  </w:style>
  <w:style w:type="paragraph" w:customStyle="1" w:styleId="WWBullet3">
    <w:name w:val="WW_Bullet3"/>
    <w:basedOn w:val="WWBodyText"/>
    <w:rsid w:val="00C67914"/>
    <w:pPr>
      <w:outlineLvl w:val="2"/>
    </w:pPr>
  </w:style>
  <w:style w:type="paragraph" w:customStyle="1" w:styleId="WWBullet4">
    <w:name w:val="WW_Bullet4"/>
    <w:basedOn w:val="WWBodyText"/>
    <w:rsid w:val="00C67914"/>
    <w:pPr>
      <w:outlineLvl w:val="3"/>
    </w:pPr>
  </w:style>
  <w:style w:type="paragraph" w:customStyle="1" w:styleId="WWBullet5">
    <w:name w:val="WW_Bullet5"/>
    <w:basedOn w:val="WWBodyText"/>
    <w:rsid w:val="00C67914"/>
    <w:pPr>
      <w:outlineLvl w:val="4"/>
    </w:pPr>
  </w:style>
  <w:style w:type="paragraph" w:customStyle="1" w:styleId="WWBullet6">
    <w:name w:val="WW_Bullet6"/>
    <w:basedOn w:val="WWBodyText"/>
    <w:rsid w:val="00C67914"/>
    <w:pPr>
      <w:numPr>
        <w:numId w:val="7"/>
      </w:numPr>
    </w:pPr>
  </w:style>
  <w:style w:type="paragraph" w:customStyle="1" w:styleId="WWTitleRight">
    <w:name w:val="WW_TitleRight"/>
    <w:basedOn w:val="WWTitleCentre"/>
    <w:next w:val="WWBodyText"/>
    <w:rsid w:val="00C67914"/>
    <w:pPr>
      <w:jc w:val="right"/>
    </w:pPr>
  </w:style>
  <w:style w:type="paragraph" w:styleId="ListBullet">
    <w:name w:val="List Bullet"/>
    <w:basedOn w:val="Normal"/>
    <w:rsid w:val="00C67914"/>
    <w:pPr>
      <w:numPr>
        <w:numId w:val="4"/>
      </w:numPr>
    </w:pPr>
  </w:style>
  <w:style w:type="paragraph" w:customStyle="1" w:styleId="WWRecital2">
    <w:name w:val="WW_Recital2"/>
    <w:basedOn w:val="WWBodyText"/>
    <w:rsid w:val="00C67914"/>
    <w:pPr>
      <w:outlineLvl w:val="1"/>
    </w:pPr>
  </w:style>
  <w:style w:type="paragraph" w:customStyle="1" w:styleId="WWRecital3">
    <w:name w:val="WW_Recital3"/>
    <w:basedOn w:val="WWBodyText"/>
    <w:rsid w:val="00C67914"/>
    <w:pPr>
      <w:outlineLvl w:val="2"/>
    </w:pPr>
  </w:style>
  <w:style w:type="paragraph" w:customStyle="1" w:styleId="WWRecital4">
    <w:name w:val="WW_Recital4"/>
    <w:basedOn w:val="WWBodyText"/>
    <w:rsid w:val="00C67914"/>
    <w:pPr>
      <w:outlineLvl w:val="3"/>
    </w:pPr>
  </w:style>
  <w:style w:type="paragraph" w:customStyle="1" w:styleId="WWRecital5">
    <w:name w:val="WW_Recital5"/>
    <w:basedOn w:val="WWBodyText"/>
    <w:rsid w:val="00C67914"/>
    <w:pPr>
      <w:outlineLvl w:val="4"/>
    </w:pPr>
  </w:style>
  <w:style w:type="paragraph" w:customStyle="1" w:styleId="WWRecital6">
    <w:name w:val="WW_Recital6"/>
    <w:basedOn w:val="WWBodyText"/>
    <w:rsid w:val="00C67914"/>
    <w:pPr>
      <w:numPr>
        <w:numId w:val="8"/>
      </w:numPr>
      <w:outlineLvl w:val="5"/>
    </w:pPr>
  </w:style>
  <w:style w:type="paragraph" w:customStyle="1" w:styleId="WWAnnexHead6">
    <w:name w:val="WW_AnnexHead6"/>
    <w:basedOn w:val="WWHead"/>
    <w:next w:val="WWBodyText6"/>
    <w:rsid w:val="00C67914"/>
    <w:pPr>
      <w:numPr>
        <w:numId w:val="9"/>
      </w:numPr>
      <w:outlineLvl w:val="5"/>
    </w:pPr>
  </w:style>
  <w:style w:type="paragraph" w:customStyle="1" w:styleId="WWAppendNum">
    <w:name w:val="WW_AppendNum"/>
    <w:basedOn w:val="WWBodyText"/>
    <w:next w:val="WWBodyText"/>
    <w:rsid w:val="00C67914"/>
    <w:pPr>
      <w:keepNext/>
      <w:jc w:val="right"/>
    </w:pPr>
    <w:rPr>
      <w:b/>
    </w:rPr>
  </w:style>
  <w:style w:type="paragraph" w:customStyle="1" w:styleId="WWHead">
    <w:name w:val="WW_Head"/>
    <w:basedOn w:val="WWBodyText"/>
    <w:link w:val="WWHeadChar"/>
    <w:rsid w:val="00C67914"/>
    <w:pPr>
      <w:keepNext/>
    </w:pPr>
    <w:rPr>
      <w:b/>
    </w:rPr>
  </w:style>
  <w:style w:type="paragraph" w:customStyle="1" w:styleId="WWSimpleList1">
    <w:name w:val="WW_SimpleList1"/>
    <w:basedOn w:val="WWBodyText"/>
    <w:rsid w:val="00C67914"/>
    <w:pPr>
      <w:outlineLvl w:val="0"/>
    </w:pPr>
  </w:style>
  <w:style w:type="paragraph" w:customStyle="1" w:styleId="WWSimpleList2">
    <w:name w:val="WW_SimpleList2"/>
    <w:basedOn w:val="WWBodyText"/>
    <w:rsid w:val="00C67914"/>
    <w:pPr>
      <w:outlineLvl w:val="1"/>
    </w:pPr>
  </w:style>
  <w:style w:type="paragraph" w:customStyle="1" w:styleId="WWSimpleList3">
    <w:name w:val="WW_SimpleList3"/>
    <w:basedOn w:val="WWBodyText"/>
    <w:rsid w:val="00C67914"/>
    <w:pPr>
      <w:outlineLvl w:val="2"/>
    </w:pPr>
  </w:style>
  <w:style w:type="paragraph" w:customStyle="1" w:styleId="WWSimpleList4">
    <w:name w:val="WW_SimpleList4"/>
    <w:basedOn w:val="WWBodyText"/>
    <w:rsid w:val="00C67914"/>
    <w:pPr>
      <w:outlineLvl w:val="3"/>
    </w:pPr>
  </w:style>
  <w:style w:type="paragraph" w:customStyle="1" w:styleId="WWSimpleList5">
    <w:name w:val="WW_SimpleList5"/>
    <w:basedOn w:val="WWBodyText"/>
    <w:rsid w:val="00C67914"/>
    <w:pPr>
      <w:outlineLvl w:val="4"/>
    </w:pPr>
  </w:style>
  <w:style w:type="paragraph" w:customStyle="1" w:styleId="WWSimpleList6">
    <w:name w:val="WW_SimpleList6"/>
    <w:basedOn w:val="WWBodyText"/>
    <w:rsid w:val="00C67914"/>
    <w:pPr>
      <w:numPr>
        <w:numId w:val="10"/>
      </w:numPr>
      <w:outlineLvl w:val="5"/>
    </w:pPr>
  </w:style>
  <w:style w:type="paragraph" w:customStyle="1" w:styleId="WWTOCHead">
    <w:name w:val="WW_TOCHead"/>
    <w:basedOn w:val="WWTitleCentre"/>
    <w:next w:val="WWBodyText"/>
    <w:rsid w:val="00C67914"/>
    <w:rPr>
      <w:caps/>
    </w:rPr>
  </w:style>
  <w:style w:type="paragraph" w:customStyle="1" w:styleId="WWAnnexeHead">
    <w:name w:val="WW_AnnexeHead"/>
    <w:basedOn w:val="WWBodyText"/>
    <w:rsid w:val="00C67914"/>
    <w:pPr>
      <w:keepNext/>
      <w:jc w:val="center"/>
    </w:pPr>
    <w:rPr>
      <w:b/>
    </w:rPr>
  </w:style>
  <w:style w:type="paragraph" w:customStyle="1" w:styleId="WWAnnexeAlpha">
    <w:name w:val="WW_AnnexeAlpha"/>
    <w:basedOn w:val="WWAnnexeHead"/>
    <w:next w:val="WWAnnexeHead"/>
    <w:rsid w:val="00C67914"/>
    <w:pPr>
      <w:numPr>
        <w:numId w:val="11"/>
      </w:numPr>
      <w:jc w:val="right"/>
      <w:outlineLvl w:val="0"/>
    </w:pPr>
  </w:style>
  <w:style w:type="paragraph" w:customStyle="1" w:styleId="WWInfo">
    <w:name w:val="WW_Info"/>
    <w:basedOn w:val="Normal"/>
    <w:next w:val="Normal"/>
    <w:rsid w:val="00C67914"/>
    <w:pPr>
      <w:spacing w:before="240" w:after="240"/>
      <w:jc w:val="both"/>
    </w:pPr>
    <w:rPr>
      <w:rFonts w:ascii="Arial Bold" w:hAnsi="Arial Bold"/>
      <w:b/>
    </w:rPr>
  </w:style>
  <w:style w:type="paragraph" w:styleId="TOC9">
    <w:name w:val="toc 9"/>
    <w:basedOn w:val="Normal"/>
    <w:next w:val="Normal"/>
    <w:autoRedefine/>
    <w:rsid w:val="00C67914"/>
    <w:pPr>
      <w:tabs>
        <w:tab w:val="right" w:leader="dot" w:pos="7314"/>
      </w:tabs>
    </w:pPr>
  </w:style>
  <w:style w:type="paragraph" w:customStyle="1" w:styleId="WWFirmEnding">
    <w:name w:val="WW_FirmEnding"/>
    <w:basedOn w:val="Normal"/>
    <w:next w:val="WWAuthorDetails"/>
    <w:rsid w:val="00C67914"/>
    <w:pPr>
      <w:keepNext/>
      <w:spacing w:after="60"/>
      <w:jc w:val="both"/>
    </w:pPr>
    <w:rPr>
      <w:rFonts w:ascii="Arial Bold" w:hAnsi="Arial Bold"/>
      <w:b/>
    </w:rPr>
  </w:style>
  <w:style w:type="paragraph" w:customStyle="1" w:styleId="WWAuthorDetails">
    <w:name w:val="WW_AuthorDetails"/>
    <w:basedOn w:val="WWFirmEnding"/>
    <w:rsid w:val="00C67914"/>
    <w:rPr>
      <w:rFonts w:ascii="Arial" w:hAnsi="Arial" w:cs="Arial"/>
      <w:b w:val="0"/>
      <w:sz w:val="17"/>
      <w:szCs w:val="12"/>
    </w:rPr>
  </w:style>
  <w:style w:type="paragraph" w:customStyle="1" w:styleId="GeneralHeading1">
    <w:name w:val="General Heading 1"/>
    <w:basedOn w:val="Normal"/>
    <w:next w:val="Normal"/>
    <w:rsid w:val="00C67914"/>
    <w:pPr>
      <w:keepNext/>
      <w:spacing w:before="200" w:line="288" w:lineRule="auto"/>
    </w:pPr>
    <w:rPr>
      <w:b/>
      <w:szCs w:val="20"/>
      <w:lang w:val="en-AU" w:eastAsia="en-AU"/>
    </w:rPr>
  </w:style>
  <w:style w:type="paragraph" w:customStyle="1" w:styleId="ColorfulList-Accent11">
    <w:name w:val="Colorful List - Accent 11"/>
    <w:basedOn w:val="Normal"/>
    <w:rsid w:val="00C67914"/>
    <w:pPr>
      <w:ind w:left="720"/>
    </w:pPr>
  </w:style>
  <w:style w:type="paragraph" w:customStyle="1" w:styleId="ColorfulShading-Accent11">
    <w:name w:val="Colorful Shading - Accent 11"/>
    <w:rsid w:val="00C67914"/>
    <w:pPr>
      <w:suppressAutoHyphens/>
    </w:pPr>
    <w:rPr>
      <w:rFonts w:ascii="Arial" w:hAnsi="Arial"/>
      <w:sz w:val="22"/>
      <w:szCs w:val="24"/>
    </w:rPr>
  </w:style>
  <w:style w:type="paragraph" w:styleId="Revision">
    <w:name w:val="Revision"/>
    <w:rsid w:val="00C67914"/>
    <w:pPr>
      <w:suppressAutoHyphens/>
    </w:pPr>
    <w:rPr>
      <w:rFonts w:ascii="Arial" w:hAnsi="Arial"/>
      <w:sz w:val="22"/>
      <w:szCs w:val="24"/>
    </w:rPr>
  </w:style>
  <w:style w:type="paragraph" w:customStyle="1" w:styleId="Level1">
    <w:name w:val="Level 1"/>
    <w:basedOn w:val="Normal"/>
    <w:next w:val="Normal"/>
    <w:rsid w:val="00C67914"/>
    <w:pPr>
      <w:spacing w:after="210" w:line="264" w:lineRule="auto"/>
      <w:jc w:val="both"/>
      <w:outlineLvl w:val="0"/>
    </w:pPr>
    <w:rPr>
      <w:rFonts w:eastAsia="Arial Unicode MS"/>
      <w:sz w:val="21"/>
      <w:szCs w:val="21"/>
    </w:rPr>
  </w:style>
  <w:style w:type="paragraph" w:customStyle="1" w:styleId="Level2">
    <w:name w:val="Level 2"/>
    <w:basedOn w:val="Normal"/>
    <w:next w:val="Normal"/>
    <w:rsid w:val="00C67914"/>
    <w:pPr>
      <w:spacing w:after="210" w:line="264" w:lineRule="auto"/>
      <w:jc w:val="both"/>
      <w:outlineLvl w:val="1"/>
    </w:pPr>
    <w:rPr>
      <w:rFonts w:eastAsia="Arial Unicode MS"/>
      <w:sz w:val="21"/>
      <w:szCs w:val="21"/>
    </w:rPr>
  </w:style>
  <w:style w:type="paragraph" w:customStyle="1" w:styleId="Level3">
    <w:name w:val="Level 3"/>
    <w:basedOn w:val="Normal"/>
    <w:next w:val="Normal"/>
    <w:rsid w:val="00C67914"/>
    <w:pPr>
      <w:tabs>
        <w:tab w:val="left" w:pos="1701"/>
      </w:tabs>
      <w:spacing w:after="210" w:line="264" w:lineRule="auto"/>
      <w:ind w:left="1701" w:hanging="1701"/>
      <w:jc w:val="both"/>
      <w:outlineLvl w:val="2"/>
    </w:pPr>
    <w:rPr>
      <w:rFonts w:eastAsia="Arial Unicode MS"/>
      <w:sz w:val="21"/>
      <w:szCs w:val="21"/>
    </w:rPr>
  </w:style>
  <w:style w:type="paragraph" w:customStyle="1" w:styleId="Level4">
    <w:name w:val="Level 4"/>
    <w:basedOn w:val="Normal"/>
    <w:next w:val="Normal"/>
    <w:rsid w:val="00C67914"/>
    <w:pPr>
      <w:tabs>
        <w:tab w:val="left" w:pos="2268"/>
      </w:tabs>
      <w:spacing w:after="210" w:line="264" w:lineRule="auto"/>
      <w:ind w:left="2268" w:hanging="2268"/>
      <w:jc w:val="both"/>
      <w:outlineLvl w:val="3"/>
    </w:pPr>
    <w:rPr>
      <w:rFonts w:eastAsia="Arial Unicode MS"/>
      <w:sz w:val="21"/>
      <w:szCs w:val="21"/>
    </w:rPr>
  </w:style>
  <w:style w:type="paragraph" w:customStyle="1" w:styleId="Level5">
    <w:name w:val="Level 5"/>
    <w:basedOn w:val="Normal"/>
    <w:next w:val="Normal"/>
    <w:rsid w:val="00C67914"/>
    <w:pPr>
      <w:spacing w:after="210" w:line="264" w:lineRule="auto"/>
      <w:jc w:val="both"/>
      <w:outlineLvl w:val="4"/>
    </w:pPr>
    <w:rPr>
      <w:rFonts w:eastAsia="Arial Unicode MS"/>
      <w:sz w:val="21"/>
      <w:szCs w:val="21"/>
    </w:rPr>
  </w:style>
  <w:style w:type="paragraph" w:customStyle="1" w:styleId="Level6">
    <w:name w:val="Level 6"/>
    <w:basedOn w:val="Normal"/>
    <w:rsid w:val="00C67914"/>
    <w:pPr>
      <w:numPr>
        <w:numId w:val="12"/>
      </w:numPr>
      <w:spacing w:after="210" w:line="264" w:lineRule="auto"/>
      <w:jc w:val="both"/>
    </w:pPr>
    <w:rPr>
      <w:rFonts w:eastAsia="Arial Unicode MS"/>
      <w:sz w:val="21"/>
      <w:szCs w:val="21"/>
    </w:rPr>
  </w:style>
  <w:style w:type="paragraph" w:customStyle="1" w:styleId="Framecontents">
    <w:name w:val="Frame contents"/>
    <w:basedOn w:val="Textbody"/>
    <w:rsid w:val="00C67914"/>
  </w:style>
  <w:style w:type="paragraph" w:customStyle="1" w:styleId="TableContents">
    <w:name w:val="Table Contents"/>
    <w:basedOn w:val="Standard"/>
    <w:rsid w:val="00C67914"/>
    <w:pPr>
      <w:suppressLineNumbers/>
    </w:pPr>
  </w:style>
  <w:style w:type="paragraph" w:customStyle="1" w:styleId="Footnote">
    <w:name w:val="Footnote"/>
    <w:basedOn w:val="Standard"/>
    <w:rsid w:val="00C67914"/>
    <w:pPr>
      <w:suppressLineNumbers/>
      <w:ind w:left="283" w:hanging="283"/>
    </w:pPr>
  </w:style>
  <w:style w:type="paragraph" w:customStyle="1" w:styleId="Heading10">
    <w:name w:val="Heading 10"/>
    <w:basedOn w:val="Heading"/>
    <w:next w:val="Textbody"/>
    <w:rsid w:val="00C67914"/>
    <w:rPr>
      <w:b/>
      <w:bCs/>
    </w:rPr>
  </w:style>
  <w:style w:type="character" w:customStyle="1" w:styleId="Filename">
    <w:name w:val="Filename"/>
    <w:rsid w:val="00C67914"/>
    <w:rPr>
      <w:rFonts w:cs="Times New Roman"/>
      <w:sz w:val="13"/>
    </w:rPr>
  </w:style>
  <w:style w:type="character" w:styleId="FootnoteReference">
    <w:name w:val="footnote reference"/>
    <w:rsid w:val="00C67914"/>
    <w:rPr>
      <w:rFonts w:cs="Times New Roman"/>
      <w:position w:val="0"/>
      <w:sz w:val="22"/>
      <w:vertAlign w:val="superscript"/>
    </w:rPr>
  </w:style>
  <w:style w:type="character" w:styleId="EndnoteReference">
    <w:name w:val="endnote reference"/>
    <w:rsid w:val="00C67914"/>
    <w:rPr>
      <w:rFonts w:cs="Times New Roman"/>
      <w:position w:val="0"/>
      <w:vertAlign w:val="superscript"/>
    </w:rPr>
  </w:style>
  <w:style w:type="character" w:styleId="PageNumber">
    <w:name w:val="page number"/>
    <w:rsid w:val="00C67914"/>
    <w:rPr>
      <w:rFonts w:cs="Times New Roman"/>
      <w:sz w:val="22"/>
    </w:rPr>
  </w:style>
  <w:style w:type="character" w:styleId="Hyperlink">
    <w:name w:val="Hyperlink"/>
    <w:uiPriority w:val="99"/>
    <w:rsid w:val="00C67914"/>
    <w:rPr>
      <w:color w:val="0000FF"/>
      <w:u w:val="single"/>
    </w:rPr>
  </w:style>
  <w:style w:type="character" w:customStyle="1" w:styleId="AuthorDetails">
    <w:name w:val="AuthorDetails"/>
    <w:rsid w:val="00C67914"/>
    <w:rPr>
      <w:sz w:val="17"/>
    </w:rPr>
  </w:style>
  <w:style w:type="character" w:customStyle="1" w:styleId="BalloonTextChar">
    <w:name w:val="Balloon Text Char"/>
    <w:rsid w:val="00C67914"/>
    <w:rPr>
      <w:rFonts w:ascii="Tahoma" w:hAnsi="Tahoma" w:cs="Tahoma"/>
      <w:sz w:val="16"/>
      <w:szCs w:val="16"/>
    </w:rPr>
  </w:style>
  <w:style w:type="character" w:customStyle="1" w:styleId="Heading1Char">
    <w:name w:val="Heading 1 Char"/>
    <w:rsid w:val="00C67914"/>
    <w:rPr>
      <w:rFonts w:ascii="Arial" w:hAnsi="Arial" w:cs="Arial"/>
      <w:b/>
      <w:bCs/>
      <w:kern w:val="3"/>
      <w:sz w:val="32"/>
      <w:szCs w:val="32"/>
    </w:rPr>
  </w:style>
  <w:style w:type="character" w:customStyle="1" w:styleId="Heading2Char">
    <w:name w:val="Heading 2 Char"/>
    <w:rsid w:val="00C67914"/>
    <w:rPr>
      <w:rFonts w:ascii="Arial" w:hAnsi="Arial" w:cs="Arial"/>
      <w:b/>
      <w:bCs/>
      <w:i/>
      <w:iCs/>
      <w:sz w:val="28"/>
      <w:szCs w:val="28"/>
    </w:rPr>
  </w:style>
  <w:style w:type="character" w:customStyle="1" w:styleId="Heading3Char">
    <w:name w:val="Heading 3 Char"/>
    <w:rsid w:val="00C67914"/>
    <w:rPr>
      <w:rFonts w:ascii="Arial" w:hAnsi="Arial" w:cs="Arial"/>
      <w:b/>
      <w:bCs/>
      <w:sz w:val="26"/>
      <w:szCs w:val="26"/>
    </w:rPr>
  </w:style>
  <w:style w:type="character" w:customStyle="1" w:styleId="WWFilename">
    <w:name w:val="WW_Filename"/>
    <w:rsid w:val="00C67914"/>
    <w:rPr>
      <w:rFonts w:cs="Times New Roman"/>
      <w:sz w:val="16"/>
    </w:rPr>
  </w:style>
  <w:style w:type="character" w:customStyle="1" w:styleId="DocumentMapChar">
    <w:name w:val="Document Map Char"/>
    <w:rsid w:val="00C67914"/>
    <w:rPr>
      <w:rFonts w:ascii="Tahoma" w:hAnsi="Tahoma" w:cs="Tahoma"/>
      <w:shd w:val="clear" w:color="auto" w:fill="000080"/>
    </w:rPr>
  </w:style>
  <w:style w:type="character" w:customStyle="1" w:styleId="TitleChar">
    <w:name w:val="Title Char"/>
    <w:rsid w:val="00C67914"/>
    <w:rPr>
      <w:rFonts w:ascii="Arial" w:hAnsi="Arial" w:cs="Arial"/>
      <w:b/>
      <w:bCs/>
      <w:caps/>
      <w:sz w:val="22"/>
      <w:szCs w:val="32"/>
    </w:rPr>
  </w:style>
  <w:style w:type="character" w:styleId="CommentReference">
    <w:name w:val="annotation reference"/>
    <w:rsid w:val="00C67914"/>
    <w:rPr>
      <w:rFonts w:cs="Times New Roman"/>
      <w:sz w:val="16"/>
      <w:szCs w:val="16"/>
    </w:rPr>
  </w:style>
  <w:style w:type="character" w:customStyle="1" w:styleId="CommentTextChar">
    <w:name w:val="Comment Text Char"/>
    <w:rsid w:val="00C67914"/>
    <w:rPr>
      <w:rFonts w:ascii="Arial" w:hAnsi="Arial"/>
      <w:sz w:val="16"/>
    </w:rPr>
  </w:style>
  <w:style w:type="character" w:customStyle="1" w:styleId="CommentSubjectChar">
    <w:name w:val="Comment Subject Char"/>
    <w:rsid w:val="00C67914"/>
    <w:rPr>
      <w:rFonts w:ascii="Arial" w:hAnsi="Arial"/>
      <w:b/>
      <w:bCs/>
      <w:sz w:val="16"/>
    </w:rPr>
  </w:style>
  <w:style w:type="character" w:customStyle="1" w:styleId="HeaderChar">
    <w:name w:val="Header Char"/>
    <w:uiPriority w:val="99"/>
    <w:rsid w:val="00C67914"/>
    <w:rPr>
      <w:rFonts w:ascii="Arial" w:hAnsi="Arial"/>
      <w:sz w:val="22"/>
      <w:szCs w:val="24"/>
    </w:rPr>
  </w:style>
  <w:style w:type="character" w:customStyle="1" w:styleId="FootnoteTextChar">
    <w:name w:val="Footnote Text Char"/>
    <w:rsid w:val="00C67914"/>
    <w:rPr>
      <w:rFonts w:ascii="Arial" w:hAnsi="Arial"/>
      <w:sz w:val="18"/>
    </w:rPr>
  </w:style>
  <w:style w:type="character" w:customStyle="1" w:styleId="UnresolvedMention1">
    <w:name w:val="Unresolved Mention1"/>
    <w:rsid w:val="00C67914"/>
    <w:rPr>
      <w:color w:val="605E5C"/>
      <w:shd w:val="clear" w:color="auto" w:fill="E1DFDD"/>
    </w:rPr>
  </w:style>
  <w:style w:type="character" w:styleId="FollowedHyperlink">
    <w:name w:val="FollowedHyperlink"/>
    <w:rsid w:val="00C67914"/>
    <w:rPr>
      <w:color w:val="954F72"/>
      <w:u w:val="single"/>
    </w:rPr>
  </w:style>
  <w:style w:type="character" w:customStyle="1" w:styleId="FootnoteSymbol">
    <w:name w:val="Footnote Symbol"/>
    <w:rsid w:val="00C67914"/>
  </w:style>
  <w:style w:type="character" w:customStyle="1" w:styleId="EndnoteSymbol">
    <w:name w:val="Endnote Symbol"/>
    <w:rsid w:val="00C67914"/>
  </w:style>
  <w:style w:type="character" w:customStyle="1" w:styleId="Internetlink">
    <w:name w:val="Internet link"/>
    <w:rsid w:val="00C67914"/>
    <w:rPr>
      <w:color w:val="000080"/>
      <w:u w:val="single"/>
    </w:rPr>
  </w:style>
  <w:style w:type="character" w:customStyle="1" w:styleId="NumberingSymbols">
    <w:name w:val="Numbering Symbols"/>
    <w:rsid w:val="00C67914"/>
    <w:rPr>
      <w:b/>
      <w:bCs/>
    </w:rPr>
  </w:style>
  <w:style w:type="character" w:customStyle="1" w:styleId="BulletSymbols">
    <w:name w:val="Bullet Symbols"/>
    <w:rsid w:val="00C67914"/>
    <w:rPr>
      <w:rFonts w:ascii="OpenSymbol" w:eastAsia="OpenSymbol" w:hAnsi="OpenSymbol" w:cs="OpenSymbol"/>
    </w:rPr>
  </w:style>
  <w:style w:type="numbering" w:customStyle="1" w:styleId="WWOutlineListStyle1">
    <w:name w:val="WW_OutlineListStyle_1"/>
    <w:basedOn w:val="NoList"/>
    <w:rsid w:val="00C67914"/>
    <w:pPr>
      <w:numPr>
        <w:numId w:val="2"/>
      </w:numPr>
    </w:pPr>
  </w:style>
  <w:style w:type="numbering" w:customStyle="1" w:styleId="WWOutlineListStyle">
    <w:name w:val="WW_OutlineListStyle"/>
    <w:basedOn w:val="NoList"/>
    <w:rsid w:val="00C67914"/>
    <w:pPr>
      <w:numPr>
        <w:numId w:val="3"/>
      </w:numPr>
    </w:pPr>
  </w:style>
  <w:style w:type="numbering" w:customStyle="1" w:styleId="LFO2">
    <w:name w:val="LFO2"/>
    <w:basedOn w:val="NoList"/>
    <w:rsid w:val="00C67914"/>
    <w:pPr>
      <w:numPr>
        <w:numId w:val="4"/>
      </w:numPr>
    </w:pPr>
  </w:style>
  <w:style w:type="numbering" w:customStyle="1" w:styleId="LFO3">
    <w:name w:val="LFO3"/>
    <w:basedOn w:val="NoList"/>
    <w:rsid w:val="00C67914"/>
    <w:pPr>
      <w:numPr>
        <w:numId w:val="5"/>
      </w:numPr>
    </w:pPr>
  </w:style>
  <w:style w:type="numbering" w:customStyle="1" w:styleId="LFO4">
    <w:name w:val="LFO4"/>
    <w:basedOn w:val="NoList"/>
    <w:rsid w:val="00C67914"/>
    <w:pPr>
      <w:numPr>
        <w:numId w:val="6"/>
      </w:numPr>
    </w:pPr>
  </w:style>
  <w:style w:type="numbering" w:customStyle="1" w:styleId="LFO5">
    <w:name w:val="LFO5"/>
    <w:basedOn w:val="NoList"/>
    <w:rsid w:val="00C67914"/>
    <w:pPr>
      <w:numPr>
        <w:numId w:val="7"/>
      </w:numPr>
    </w:pPr>
  </w:style>
  <w:style w:type="numbering" w:customStyle="1" w:styleId="LFO6">
    <w:name w:val="LFO6"/>
    <w:basedOn w:val="NoList"/>
    <w:rsid w:val="00C67914"/>
    <w:pPr>
      <w:numPr>
        <w:numId w:val="8"/>
      </w:numPr>
    </w:pPr>
  </w:style>
  <w:style w:type="numbering" w:customStyle="1" w:styleId="LFO8">
    <w:name w:val="LFO8"/>
    <w:basedOn w:val="NoList"/>
    <w:rsid w:val="00C67914"/>
    <w:pPr>
      <w:numPr>
        <w:numId w:val="9"/>
      </w:numPr>
    </w:pPr>
  </w:style>
  <w:style w:type="numbering" w:customStyle="1" w:styleId="LFO9">
    <w:name w:val="LFO9"/>
    <w:basedOn w:val="NoList"/>
    <w:rsid w:val="00C67914"/>
    <w:pPr>
      <w:numPr>
        <w:numId w:val="10"/>
      </w:numPr>
    </w:pPr>
  </w:style>
  <w:style w:type="numbering" w:customStyle="1" w:styleId="LFO10">
    <w:name w:val="LFO10"/>
    <w:basedOn w:val="NoList"/>
    <w:rsid w:val="00C67914"/>
    <w:pPr>
      <w:numPr>
        <w:numId w:val="11"/>
      </w:numPr>
    </w:pPr>
  </w:style>
  <w:style w:type="numbering" w:customStyle="1" w:styleId="LFO33">
    <w:name w:val="LFO33"/>
    <w:basedOn w:val="NoList"/>
    <w:rsid w:val="00C67914"/>
    <w:pPr>
      <w:numPr>
        <w:numId w:val="12"/>
      </w:numPr>
    </w:pPr>
  </w:style>
  <w:style w:type="paragraph" w:styleId="ListParagraph">
    <w:name w:val="List Paragraph"/>
    <w:basedOn w:val="Normal"/>
    <w:uiPriority w:val="34"/>
    <w:qFormat/>
    <w:rsid w:val="00187AD2"/>
    <w:pPr>
      <w:ind w:left="720"/>
      <w:contextualSpacing/>
    </w:pPr>
  </w:style>
  <w:style w:type="paragraph" w:customStyle="1" w:styleId="Style3">
    <w:name w:val="Style3"/>
    <w:basedOn w:val="WWHeading3"/>
    <w:link w:val="Style3Char"/>
    <w:qFormat/>
    <w:rsid w:val="00271E54"/>
  </w:style>
  <w:style w:type="paragraph" w:customStyle="1" w:styleId="Style2">
    <w:name w:val="Style2"/>
    <w:basedOn w:val="WWBodyText3"/>
    <w:link w:val="Style2Char"/>
    <w:qFormat/>
    <w:rsid w:val="00271E54"/>
    <w:pPr>
      <w:numPr>
        <w:ilvl w:val="1"/>
        <w:numId w:val="16"/>
      </w:numPr>
      <w:tabs>
        <w:tab w:val="clear" w:pos="3969"/>
        <w:tab w:val="clear" w:pos="4536"/>
        <w:tab w:val="left" w:pos="709"/>
      </w:tabs>
    </w:pPr>
    <w:rPr>
      <w:b/>
      <w:bCs/>
    </w:rPr>
  </w:style>
  <w:style w:type="character" w:customStyle="1" w:styleId="WWBodyTextChar">
    <w:name w:val="WW_BodyText Char"/>
    <w:basedOn w:val="DefaultParagraphFont"/>
    <w:link w:val="WWBodyText"/>
    <w:rsid w:val="00271E54"/>
    <w:rPr>
      <w:rFonts w:ascii="Arial" w:hAnsi="Arial"/>
      <w:sz w:val="22"/>
      <w:szCs w:val="24"/>
    </w:rPr>
  </w:style>
  <w:style w:type="character" w:customStyle="1" w:styleId="WWHeadChar">
    <w:name w:val="WW_Head Char"/>
    <w:basedOn w:val="WWBodyTextChar"/>
    <w:link w:val="WWHead"/>
    <w:rsid w:val="00271E54"/>
    <w:rPr>
      <w:rFonts w:ascii="Arial" w:hAnsi="Arial"/>
      <w:b/>
      <w:sz w:val="22"/>
      <w:szCs w:val="24"/>
    </w:rPr>
  </w:style>
  <w:style w:type="character" w:customStyle="1" w:styleId="WWHeading3Char">
    <w:name w:val="WW_Heading3 Char"/>
    <w:basedOn w:val="WWHeadChar"/>
    <w:link w:val="WWHeading3"/>
    <w:rsid w:val="00271E54"/>
    <w:rPr>
      <w:rFonts w:ascii="Arial" w:hAnsi="Arial"/>
      <w:b/>
      <w:sz w:val="22"/>
      <w:szCs w:val="24"/>
    </w:rPr>
  </w:style>
  <w:style w:type="character" w:customStyle="1" w:styleId="Style3Char">
    <w:name w:val="Style3 Char"/>
    <w:basedOn w:val="WWHeading3Char"/>
    <w:link w:val="Style3"/>
    <w:rsid w:val="00271E54"/>
    <w:rPr>
      <w:rFonts w:ascii="Arial" w:hAnsi="Arial"/>
      <w:b/>
      <w:sz w:val="22"/>
      <w:szCs w:val="24"/>
    </w:rPr>
  </w:style>
  <w:style w:type="paragraph" w:customStyle="1" w:styleId="Style1">
    <w:name w:val="Style1"/>
    <w:basedOn w:val="WWHeading1"/>
    <w:link w:val="Style1Char"/>
    <w:qFormat/>
    <w:rsid w:val="00271E54"/>
  </w:style>
  <w:style w:type="character" w:customStyle="1" w:styleId="WWBodyText3Char">
    <w:name w:val="WW_BodyText3 Char"/>
    <w:basedOn w:val="WWBodyTextChar"/>
    <w:link w:val="WWBodyText3"/>
    <w:rsid w:val="00271E54"/>
    <w:rPr>
      <w:rFonts w:ascii="Arial" w:hAnsi="Arial"/>
      <w:sz w:val="22"/>
      <w:szCs w:val="24"/>
    </w:rPr>
  </w:style>
  <w:style w:type="character" w:customStyle="1" w:styleId="Style2Char">
    <w:name w:val="Style2 Char"/>
    <w:basedOn w:val="WWBodyText3Char"/>
    <w:link w:val="Style2"/>
    <w:rsid w:val="00271E54"/>
    <w:rPr>
      <w:rFonts w:ascii="Arial" w:hAnsi="Arial"/>
      <w:b/>
      <w:bCs/>
      <w:sz w:val="22"/>
      <w:szCs w:val="24"/>
    </w:rPr>
  </w:style>
  <w:style w:type="paragraph" w:customStyle="1" w:styleId="Style4">
    <w:name w:val="Style4"/>
    <w:basedOn w:val="WWHeading4"/>
    <w:link w:val="Style4Char"/>
    <w:qFormat/>
    <w:rsid w:val="009573FE"/>
    <w:pPr>
      <w:ind w:left="2127" w:hanging="1276"/>
    </w:pPr>
  </w:style>
  <w:style w:type="character" w:customStyle="1" w:styleId="WWHeading1Char">
    <w:name w:val="WW_Heading1 Char"/>
    <w:basedOn w:val="WWHeadChar"/>
    <w:link w:val="WWHeading1"/>
    <w:rsid w:val="00271E54"/>
    <w:rPr>
      <w:rFonts w:ascii="Arial" w:hAnsi="Arial"/>
      <w:b/>
      <w:sz w:val="22"/>
      <w:szCs w:val="24"/>
    </w:rPr>
  </w:style>
  <w:style w:type="character" w:customStyle="1" w:styleId="Style1Char">
    <w:name w:val="Style1 Char"/>
    <w:basedOn w:val="WWHeading1Char"/>
    <w:link w:val="Style1"/>
    <w:rsid w:val="00271E54"/>
    <w:rPr>
      <w:rFonts w:ascii="Arial" w:hAnsi="Arial"/>
      <w:b/>
      <w:sz w:val="22"/>
      <w:szCs w:val="24"/>
    </w:rPr>
  </w:style>
  <w:style w:type="table" w:styleId="TableGrid">
    <w:name w:val="Table Grid"/>
    <w:basedOn w:val="TableNormal"/>
    <w:uiPriority w:val="59"/>
    <w:rsid w:val="0068438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Heading4Char">
    <w:name w:val="WW_Heading4 Char"/>
    <w:basedOn w:val="WWHeadChar"/>
    <w:link w:val="WWHeading4"/>
    <w:rsid w:val="009573FE"/>
    <w:rPr>
      <w:rFonts w:ascii="Arial" w:hAnsi="Arial"/>
      <w:b/>
      <w:sz w:val="22"/>
      <w:szCs w:val="24"/>
    </w:rPr>
  </w:style>
  <w:style w:type="character" w:customStyle="1" w:styleId="Style4Char">
    <w:name w:val="Style4 Char"/>
    <w:basedOn w:val="WWHeading4Char"/>
    <w:link w:val="Style4"/>
    <w:rsid w:val="009573FE"/>
    <w:rPr>
      <w:rFonts w:ascii="Arial" w:hAnsi="Arial"/>
      <w:b/>
      <w:sz w:val="22"/>
      <w:szCs w:val="24"/>
    </w:rPr>
  </w:style>
  <w:style w:type="paragraph" w:styleId="TOCHeading">
    <w:name w:val="TOC Heading"/>
    <w:basedOn w:val="Heading1"/>
    <w:next w:val="Normal"/>
    <w:uiPriority w:val="39"/>
    <w:semiHidden/>
    <w:unhideWhenUsed/>
    <w:qFormat/>
    <w:rsid w:val="00B267DD"/>
    <w:pPr>
      <w:keepLines/>
      <w:suppressAutoHyphens w:val="0"/>
      <w:autoSpaceDN/>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Heading11">
    <w:name w:val="Heading 11"/>
    <w:basedOn w:val="WWHeading1"/>
    <w:link w:val="heading1Char0"/>
    <w:qFormat/>
    <w:rsid w:val="004F24DA"/>
    <w:pPr>
      <w:numPr>
        <w:numId w:val="28"/>
      </w:numPr>
    </w:pPr>
  </w:style>
  <w:style w:type="paragraph" w:customStyle="1" w:styleId="Headingintro">
    <w:name w:val="Heading intro"/>
    <w:basedOn w:val="Style1"/>
    <w:link w:val="HeadingintroChar"/>
    <w:qFormat/>
    <w:rsid w:val="004F24DA"/>
    <w:pPr>
      <w:numPr>
        <w:numId w:val="36"/>
      </w:numPr>
    </w:pPr>
  </w:style>
  <w:style w:type="character" w:customStyle="1" w:styleId="heading1Char0">
    <w:name w:val="heading 1 Char"/>
    <w:basedOn w:val="WWHeading1Char"/>
    <w:link w:val="Heading11"/>
    <w:rsid w:val="004F24DA"/>
    <w:rPr>
      <w:rFonts w:ascii="Arial" w:hAnsi="Arial"/>
      <w:b/>
      <w:sz w:val="22"/>
      <w:szCs w:val="24"/>
    </w:rPr>
  </w:style>
  <w:style w:type="character" w:customStyle="1" w:styleId="HeadingintroChar">
    <w:name w:val="Heading intro Char"/>
    <w:basedOn w:val="Style1Char"/>
    <w:link w:val="Headingintro"/>
    <w:rsid w:val="004F24DA"/>
    <w:rPr>
      <w:rFonts w:ascii="Arial" w:hAnsi="Arial"/>
      <w:b/>
      <w:sz w:val="22"/>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nyulawglobal.org/globalex/Burundi1.html" TargetMode="External"/><Relationship Id="rId39" Type="http://schemas.openxmlformats.org/officeDocument/2006/relationships/hyperlink" Target="https://www.amnesty.org/en/latest/news/2020/02/burundi-drop-demand-on-international-ngos-to-disclose-ethnic-identity-of-employe"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www.iwacu-burundi.org/englishnews/eviction-by-government-to-send-dozens-into-the-street/" TargetMode="External"/><Relationship Id="rId42" Type="http://schemas.openxmlformats.org/officeDocument/2006/relationships/hyperlink" Target="https://www.unhcr.org/50a9f81db02.pdf" TargetMode="External"/><Relationship Id="rId47" Type="http://schemas.openxmlformats.org/officeDocument/2006/relationships/footer" Target="footer10.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unpo.org/article/19112" TargetMode="External"/><Relationship Id="rId38" Type="http://schemas.openxmlformats.org/officeDocument/2006/relationships/hyperlink" Target="https://journals.sagepub.com/doi/full/10.1177/0002039719881460" TargetMode="Externa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www.landgovernance.org/assets/20160608-Factsheet-Burundi.pdf" TargetMode="External"/><Relationship Id="rId41" Type="http://schemas.openxmlformats.org/officeDocument/2006/relationships/hyperlink" Target="https://www.unhcr.org/afr/burundi-situ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forestpeoples.org/sites/fpp/files/publication/2010/05/burundilandrightsstudy09eng.pdf" TargetMode="External"/><Relationship Id="rId37" Type="http://schemas.openxmlformats.org/officeDocument/2006/relationships/hyperlink" Target="https://iwacu.global.ssl.fastly.net/englishnews/gasenyi-evicted-residents-remind-environment-minister-that-they-are-leading-mis" TargetMode="External"/><Relationship Id="rId40" Type="http://schemas.openxmlformats.org/officeDocument/2006/relationships/hyperlink" Target="https://www.amnesty.org/en/latest/news/2020/02/burundi-drop-demand-on-international-ngos-to-disclose-ethnic-identity-of-employe"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www.landgovernance.org/assets/20160608-Factsheet-Burundi.pdf" TargetMode="External"/><Relationship Id="rId36" Type="http://schemas.openxmlformats.org/officeDocument/2006/relationships/hyperlink" Target="https://iwacu.global.ssl.fastly.net/englishnews/gasenyi-evicted-residents-remind-environment-minister-that-they-are-leading-mis"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lse.ac.uk/internationalDevelopment/home.aspx"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s://www.landgovernance.org/assets/20160608-Factsheet-Burundi.pdf" TargetMode="External"/><Relationship Id="rId30" Type="http://schemas.openxmlformats.org/officeDocument/2006/relationships/hyperlink" Target="http://www.lse.ac.uk/internationalDevelopment/home.aspx" TargetMode="External"/><Relationship Id="rId35" Type="http://schemas.openxmlformats.org/officeDocument/2006/relationships/hyperlink" Target="https://www.iwacu-burundi.org/englishnews/eviction-by-government-to-send-dozens-into-the-street/" TargetMode="External"/><Relationship Id="rId43" Type="http://schemas.openxmlformats.org/officeDocument/2006/relationships/hyperlink" Target="https://dtm.iom.int/burundi" TargetMode="External"/><Relationship Id="rId48" Type="http://schemas.openxmlformats.org/officeDocument/2006/relationships/fontTable" Target="fontTable.xml"/><Relationship Id="rId8" Type="http://schemas.openxmlformats.org/officeDocument/2006/relationships/hyperlink" Target="mailto:ilopes@iom.int"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unpo.org/article/19112" TargetMode="External"/><Relationship Id="rId1" Type="http://schemas.openxmlformats.org/officeDocument/2006/relationships/hyperlink" Target="https://www.nyulawglobal.org/globalex/Burundi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20CDB-0790-4D2B-AF69-E43217FB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7659</Words>
  <Characters>43661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51218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Treherne</dc:creator>
  <dc:description>Produced by XpressDox® version 3.10.2.0 on 2020-07-01 09:18:23 from template A-Blank document LOGO.xdtpl</dc:description>
  <cp:lastModifiedBy>Frederic Blas</cp:lastModifiedBy>
  <cp:revision>2</cp:revision>
  <dcterms:created xsi:type="dcterms:W3CDTF">2020-09-29T16:42:00Z</dcterms:created>
  <dcterms:modified xsi:type="dcterms:W3CDTF">2020-09-29T16:42:00Z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0x01010005C43AE0F5430642847FA0BA11E316A6</vt:lpwstr>
  </property>
  <property fmtid="{D5CDD505-2E9C-101B-9397-08002B2CF9AE}" pid="3" name="Draft_Signature">
    <vt:lpwstr>DRAFT - NOT FOR SIGNATURE</vt:lpwstr>
  </property>
</Properties>
</file>