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7A6" w:rsidRDefault="008B52D1" w:rsidP="001227A6">
      <w:pPr>
        <w:pStyle w:val="GeneralHeading1"/>
        <w:jc w:val="center"/>
        <w:rPr>
          <w:sz w:val="24"/>
        </w:rPr>
      </w:pPr>
      <w:bookmarkStart w:id="0" w:name="DocumentBody"/>
      <w:bookmarkEnd w:id="0"/>
      <w:r>
        <w:rPr>
          <w:sz w:val="24"/>
        </w:rPr>
        <w:t xml:space="preserve">Housing, Land and Property Mapping Project </w:t>
      </w:r>
    </w:p>
    <w:p w:rsidR="001227A6" w:rsidRDefault="008B52D1" w:rsidP="001227A6">
      <w:pPr>
        <w:pStyle w:val="GeneralHeading1"/>
        <w:jc w:val="center"/>
        <w:rPr>
          <w:sz w:val="24"/>
        </w:rPr>
      </w:pPr>
      <w:r>
        <w:rPr>
          <w:sz w:val="24"/>
        </w:rPr>
        <w:t>Jordan</w:t>
      </w:r>
    </w:p>
    <w:p w:rsidR="001227A6" w:rsidRDefault="001227A6" w:rsidP="00572FF9">
      <w:pPr>
        <w:jc w:val="both"/>
      </w:pPr>
    </w:p>
    <w:p w:rsidR="001227A6" w:rsidRDefault="008B52D1" w:rsidP="00572FF9">
      <w:pPr>
        <w:jc w:val="both"/>
        <w:rPr>
          <w:b/>
          <w:sz w:val="22"/>
          <w:szCs w:val="22"/>
        </w:rPr>
      </w:pPr>
      <w:r>
        <w:rPr>
          <w:b/>
          <w:sz w:val="22"/>
          <w:szCs w:val="22"/>
        </w:rPr>
        <w:t>Background</w:t>
      </w:r>
    </w:p>
    <w:p w:rsidR="001227A6" w:rsidRDefault="008B52D1" w:rsidP="00572FF9">
      <w:pPr>
        <w:jc w:val="both"/>
      </w:pPr>
      <w:r>
        <w:t>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will assist in delivering stronger and more equitable responses.</w:t>
      </w:r>
    </w:p>
    <w:p w:rsidR="001227A6" w:rsidRDefault="008B52D1" w:rsidP="00572FF9">
      <w:pPr>
        <w:jc w:val="both"/>
      </w:pPr>
      <w:r>
        <w:t xml:space="preserve">The HLP mapping project has been undertaken by Hogan </w:t>
      </w:r>
      <w:proofErr w:type="spellStart"/>
      <w:r>
        <w:t>Lovells</w:t>
      </w:r>
      <w:proofErr w:type="spellEnd"/>
      <w:r>
        <w:t xml:space="preserve"> lawyers for CARE International, using templates developed by the Australian Red Cross (ARC) and the International Federation of the Red Cross and Red Crescent Societies (IFRC). All of the research has gone through a verification process with in country </w:t>
      </w:r>
      <w:r w:rsidR="00572FF9">
        <w:t>lawyers and/or country experts.</w:t>
      </w:r>
    </w:p>
    <w:p w:rsidR="001227A6" w:rsidRDefault="001227A6" w:rsidP="00572FF9">
      <w:pPr>
        <w:jc w:val="both"/>
      </w:pPr>
    </w:p>
    <w:p w:rsidR="001227A6" w:rsidRDefault="008B52D1" w:rsidP="00572FF9">
      <w:pPr>
        <w:jc w:val="both"/>
        <w:rPr>
          <w:b/>
          <w:sz w:val="22"/>
          <w:szCs w:val="22"/>
        </w:rPr>
      </w:pPr>
      <w:r>
        <w:rPr>
          <w:b/>
          <w:sz w:val="22"/>
          <w:szCs w:val="22"/>
        </w:rPr>
        <w:t>Document Change Management</w:t>
      </w:r>
    </w:p>
    <w:p w:rsidR="001227A6" w:rsidRDefault="008B52D1" w:rsidP="00572FF9">
      <w:pPr>
        <w:jc w:val="both"/>
      </w:pPr>
      <w:r>
        <w:t>These documents are intended to be used and updated as necessary to ensure that they are always providing the most current and relevant information.  We would appreciate ongoing feedback and updates from those working in country, in response or preparedness.</w:t>
      </w:r>
    </w:p>
    <w:p w:rsidR="001227A6" w:rsidRDefault="008B52D1" w:rsidP="001227A6">
      <w:r>
        <w:t xml:space="preserve">If you would like to make any changes to the document, please submit to the document manager via the below table. </w:t>
      </w:r>
    </w:p>
    <w:p w:rsidR="001227A6" w:rsidRDefault="001227A6" w:rsidP="001227A6"/>
    <w:tbl>
      <w:tblPr>
        <w:tblStyle w:val="TableGrid"/>
        <w:tblW w:w="5050" w:type="pct"/>
        <w:tblLook w:val="04A0" w:firstRow="1" w:lastRow="0" w:firstColumn="1" w:lastColumn="0" w:noHBand="0" w:noVBand="1"/>
      </w:tblPr>
      <w:tblGrid>
        <w:gridCol w:w="1616"/>
        <w:gridCol w:w="2586"/>
        <w:gridCol w:w="4270"/>
        <w:gridCol w:w="967"/>
      </w:tblGrid>
      <w:tr w:rsidR="006D0A9D" w:rsidTr="001227A6">
        <w:trPr>
          <w:trHeight w:val="20"/>
        </w:trPr>
        <w:tc>
          <w:tcPr>
            <w:tcW w:w="856" w:type="pct"/>
            <w:tcBorders>
              <w:top w:val="single" w:sz="4" w:space="0" w:color="auto"/>
              <w:left w:val="single" w:sz="4" w:space="0" w:color="auto"/>
              <w:bottom w:val="single" w:sz="4" w:space="0" w:color="auto"/>
              <w:right w:val="single" w:sz="4" w:space="0" w:color="auto"/>
            </w:tcBorders>
            <w:hideMark/>
          </w:tcPr>
          <w:p w:rsidR="001227A6" w:rsidRDefault="008B52D1">
            <w:pPr>
              <w:rPr>
                <w:b/>
              </w:rPr>
            </w:pPr>
            <w:r>
              <w:rPr>
                <w:b/>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rsidR="001227A6" w:rsidRDefault="008B52D1">
            <w:r>
              <w:t xml:space="preserve">Jordan HLP Profile </w:t>
            </w:r>
          </w:p>
        </w:tc>
      </w:tr>
      <w:tr w:rsidR="006D0A9D" w:rsidTr="001227A6">
        <w:trPr>
          <w:trHeight w:val="20"/>
        </w:trPr>
        <w:tc>
          <w:tcPr>
            <w:tcW w:w="856" w:type="pct"/>
            <w:tcBorders>
              <w:top w:val="single" w:sz="4" w:space="0" w:color="auto"/>
              <w:left w:val="single" w:sz="4" w:space="0" w:color="auto"/>
              <w:bottom w:val="single" w:sz="4" w:space="0" w:color="auto"/>
              <w:right w:val="single" w:sz="4" w:space="0" w:color="auto"/>
            </w:tcBorders>
            <w:hideMark/>
          </w:tcPr>
          <w:p w:rsidR="001227A6" w:rsidRDefault="008B52D1">
            <w:pPr>
              <w:rPr>
                <w:b/>
              </w:rPr>
            </w:pPr>
            <w:r>
              <w:rPr>
                <w:b/>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rsidR="001227A6" w:rsidRDefault="008B52D1">
            <w:r>
              <w:t>Fact Sheet and Research Memo</w:t>
            </w:r>
          </w:p>
        </w:tc>
      </w:tr>
      <w:tr w:rsidR="006D0A9D" w:rsidTr="001227A6">
        <w:trPr>
          <w:trHeight w:val="20"/>
        </w:trPr>
        <w:tc>
          <w:tcPr>
            <w:tcW w:w="856" w:type="pct"/>
            <w:tcBorders>
              <w:top w:val="single" w:sz="4" w:space="0" w:color="auto"/>
              <w:left w:val="single" w:sz="4" w:space="0" w:color="auto"/>
              <w:bottom w:val="single" w:sz="4" w:space="0" w:color="auto"/>
              <w:right w:val="single" w:sz="4" w:space="0" w:color="auto"/>
            </w:tcBorders>
            <w:hideMark/>
          </w:tcPr>
          <w:p w:rsidR="001227A6" w:rsidRDefault="008B52D1">
            <w:pPr>
              <w:rPr>
                <w:b/>
              </w:rPr>
            </w:pPr>
            <w:r>
              <w:rPr>
                <w:b/>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rsidR="001227A6" w:rsidRDefault="008B52D1">
            <w:r>
              <w:t xml:space="preserve">Hogan </w:t>
            </w:r>
            <w:proofErr w:type="spellStart"/>
            <w:r>
              <w:t>Lovells</w:t>
            </w:r>
            <w:proofErr w:type="spellEnd"/>
            <w:r>
              <w:t xml:space="preserve"> Lawyers, CARE International</w:t>
            </w:r>
          </w:p>
        </w:tc>
      </w:tr>
      <w:tr w:rsidR="006D0A9D" w:rsidTr="001227A6">
        <w:trPr>
          <w:trHeight w:val="20"/>
        </w:trPr>
        <w:tc>
          <w:tcPr>
            <w:tcW w:w="856" w:type="pct"/>
            <w:tcBorders>
              <w:top w:val="single" w:sz="4" w:space="0" w:color="auto"/>
              <w:left w:val="single" w:sz="4" w:space="0" w:color="auto"/>
              <w:bottom w:val="single" w:sz="4" w:space="0" w:color="auto"/>
              <w:right w:val="single" w:sz="4" w:space="0" w:color="auto"/>
            </w:tcBorders>
            <w:hideMark/>
          </w:tcPr>
          <w:p w:rsidR="001227A6" w:rsidRDefault="008B52D1">
            <w:pPr>
              <w:rPr>
                <w:b/>
              </w:rPr>
            </w:pPr>
            <w:r>
              <w:rPr>
                <w:b/>
              </w:rPr>
              <w:t>Date Created</w:t>
            </w:r>
          </w:p>
        </w:tc>
        <w:tc>
          <w:tcPr>
            <w:tcW w:w="4144" w:type="pct"/>
            <w:gridSpan w:val="3"/>
            <w:tcBorders>
              <w:top w:val="single" w:sz="4" w:space="0" w:color="auto"/>
              <w:left w:val="single" w:sz="4" w:space="0" w:color="auto"/>
              <w:bottom w:val="single" w:sz="4" w:space="0" w:color="auto"/>
              <w:right w:val="single" w:sz="4" w:space="0" w:color="auto"/>
            </w:tcBorders>
          </w:tcPr>
          <w:p w:rsidR="001227A6" w:rsidRDefault="008B52D1">
            <w:r>
              <w:t>October 2019</w:t>
            </w:r>
          </w:p>
        </w:tc>
      </w:tr>
      <w:tr w:rsidR="006D0A9D" w:rsidTr="001227A6">
        <w:trPr>
          <w:trHeight w:val="20"/>
        </w:trPr>
        <w:tc>
          <w:tcPr>
            <w:tcW w:w="856" w:type="pct"/>
            <w:tcBorders>
              <w:top w:val="single" w:sz="4" w:space="0" w:color="auto"/>
              <w:left w:val="single" w:sz="4" w:space="0" w:color="auto"/>
              <w:bottom w:val="single" w:sz="4" w:space="0" w:color="auto"/>
              <w:right w:val="single" w:sz="4" w:space="0" w:color="auto"/>
            </w:tcBorders>
            <w:hideMark/>
          </w:tcPr>
          <w:p w:rsidR="001227A6" w:rsidRDefault="008B52D1">
            <w:pPr>
              <w:rPr>
                <w:b/>
              </w:rPr>
            </w:pPr>
            <w:r>
              <w:rPr>
                <w:b/>
              </w:rPr>
              <w:t>Maintained by</w:t>
            </w:r>
          </w:p>
        </w:tc>
        <w:tc>
          <w:tcPr>
            <w:tcW w:w="4144" w:type="pct"/>
            <w:gridSpan w:val="3"/>
            <w:tcBorders>
              <w:top w:val="single" w:sz="4" w:space="0" w:color="auto"/>
              <w:left w:val="single" w:sz="4" w:space="0" w:color="auto"/>
              <w:bottom w:val="single" w:sz="4" w:space="0" w:color="auto"/>
              <w:right w:val="single" w:sz="4" w:space="0" w:color="auto"/>
            </w:tcBorders>
          </w:tcPr>
          <w:p w:rsidR="001227A6" w:rsidRDefault="008B52D1">
            <w:r>
              <w:t xml:space="preserve">Global Shelter Cluster/ Step Haiselden </w:t>
            </w:r>
            <w:hyperlink r:id="rId9" w:history="1">
              <w:r w:rsidRPr="00327BF7">
                <w:rPr>
                  <w:rStyle w:val="Hyperlink"/>
                </w:rPr>
                <w:t>Haiselden@careinternational.org</w:t>
              </w:r>
            </w:hyperlink>
            <w:r>
              <w:t xml:space="preserve"> </w:t>
            </w:r>
          </w:p>
        </w:tc>
      </w:tr>
      <w:tr w:rsidR="006D0A9D" w:rsidTr="001227A6">
        <w:trPr>
          <w:trHeight w:val="20"/>
        </w:trPr>
        <w:tc>
          <w:tcPr>
            <w:tcW w:w="856" w:type="pct"/>
            <w:tcBorders>
              <w:top w:val="single" w:sz="4" w:space="0" w:color="auto"/>
              <w:left w:val="single" w:sz="4" w:space="0" w:color="auto"/>
              <w:bottom w:val="single" w:sz="4" w:space="0" w:color="auto"/>
              <w:right w:val="single" w:sz="4" w:space="0" w:color="auto"/>
            </w:tcBorders>
            <w:hideMark/>
          </w:tcPr>
          <w:p w:rsidR="001227A6" w:rsidRDefault="008B52D1">
            <w:pPr>
              <w:rPr>
                <w:b/>
              </w:rPr>
            </w:pPr>
            <w:r>
              <w:rPr>
                <w:b/>
              </w:rPr>
              <w:t>Date</w:t>
            </w:r>
          </w:p>
        </w:tc>
        <w:tc>
          <w:tcPr>
            <w:tcW w:w="1370" w:type="pct"/>
            <w:tcBorders>
              <w:top w:val="single" w:sz="4" w:space="0" w:color="auto"/>
              <w:left w:val="single" w:sz="4" w:space="0" w:color="auto"/>
              <w:bottom w:val="single" w:sz="4" w:space="0" w:color="auto"/>
              <w:right w:val="single" w:sz="4" w:space="0" w:color="auto"/>
            </w:tcBorders>
            <w:hideMark/>
          </w:tcPr>
          <w:p w:rsidR="001227A6" w:rsidRDefault="008B52D1">
            <w:pPr>
              <w:rPr>
                <w:b/>
              </w:rPr>
            </w:pPr>
            <w:r>
              <w:rPr>
                <w:b/>
              </w:rPr>
              <w:t>Submitted by</w:t>
            </w:r>
          </w:p>
          <w:p w:rsidR="001227A6" w:rsidRDefault="008B52D1">
            <w:r>
              <w:t>(name, organisation, email)</w:t>
            </w:r>
          </w:p>
        </w:tc>
        <w:tc>
          <w:tcPr>
            <w:tcW w:w="2262" w:type="pct"/>
            <w:tcBorders>
              <w:top w:val="single" w:sz="4" w:space="0" w:color="auto"/>
              <w:left w:val="single" w:sz="4" w:space="0" w:color="auto"/>
              <w:bottom w:val="single" w:sz="4" w:space="0" w:color="auto"/>
              <w:right w:val="single" w:sz="4" w:space="0" w:color="auto"/>
            </w:tcBorders>
            <w:hideMark/>
          </w:tcPr>
          <w:p w:rsidR="001227A6" w:rsidRDefault="008B52D1">
            <w:pPr>
              <w:rPr>
                <w:b/>
              </w:rPr>
            </w:pPr>
            <w:r>
              <w:rPr>
                <w:b/>
              </w:rPr>
              <w:t>Suggested amendments</w:t>
            </w:r>
          </w:p>
          <w:p w:rsidR="001227A6" w:rsidRDefault="008B52D1">
            <w:r>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rsidR="001227A6" w:rsidRDefault="008B52D1">
            <w:pPr>
              <w:rPr>
                <w:b/>
              </w:rPr>
            </w:pPr>
            <w:r>
              <w:rPr>
                <w:b/>
              </w:rPr>
              <w:t>Status</w:t>
            </w:r>
          </w:p>
        </w:tc>
      </w:tr>
      <w:tr w:rsidR="006D0A9D" w:rsidTr="001227A6">
        <w:trPr>
          <w:trHeight w:val="20"/>
        </w:trPr>
        <w:tc>
          <w:tcPr>
            <w:tcW w:w="856" w:type="pct"/>
            <w:tcBorders>
              <w:top w:val="single" w:sz="4" w:space="0" w:color="auto"/>
              <w:left w:val="single" w:sz="4" w:space="0" w:color="auto"/>
              <w:bottom w:val="single" w:sz="4" w:space="0" w:color="auto"/>
              <w:right w:val="single" w:sz="4" w:space="0" w:color="auto"/>
            </w:tcBorders>
          </w:tcPr>
          <w:p w:rsidR="001227A6" w:rsidRDefault="001227A6"/>
        </w:tc>
        <w:tc>
          <w:tcPr>
            <w:tcW w:w="1370" w:type="pct"/>
            <w:tcBorders>
              <w:top w:val="single" w:sz="4" w:space="0" w:color="auto"/>
              <w:left w:val="single" w:sz="4" w:space="0" w:color="auto"/>
              <w:bottom w:val="single" w:sz="4" w:space="0" w:color="auto"/>
              <w:right w:val="single" w:sz="4" w:space="0" w:color="auto"/>
            </w:tcBorders>
          </w:tcPr>
          <w:p w:rsidR="001227A6" w:rsidRDefault="001227A6"/>
        </w:tc>
        <w:tc>
          <w:tcPr>
            <w:tcW w:w="2262" w:type="pct"/>
            <w:tcBorders>
              <w:top w:val="single" w:sz="4" w:space="0" w:color="auto"/>
              <w:left w:val="single" w:sz="4" w:space="0" w:color="auto"/>
              <w:bottom w:val="single" w:sz="4" w:space="0" w:color="auto"/>
              <w:right w:val="single" w:sz="4" w:space="0" w:color="auto"/>
            </w:tcBorders>
          </w:tcPr>
          <w:p w:rsidR="001227A6" w:rsidRDefault="001227A6"/>
        </w:tc>
        <w:tc>
          <w:tcPr>
            <w:tcW w:w="512" w:type="pct"/>
            <w:tcBorders>
              <w:top w:val="single" w:sz="4" w:space="0" w:color="auto"/>
              <w:left w:val="single" w:sz="4" w:space="0" w:color="auto"/>
              <w:bottom w:val="single" w:sz="4" w:space="0" w:color="auto"/>
              <w:right w:val="single" w:sz="4" w:space="0" w:color="auto"/>
            </w:tcBorders>
          </w:tcPr>
          <w:p w:rsidR="001227A6" w:rsidRDefault="001227A6"/>
        </w:tc>
      </w:tr>
      <w:tr w:rsidR="006D0A9D" w:rsidTr="001227A6">
        <w:trPr>
          <w:trHeight w:val="20"/>
        </w:trPr>
        <w:tc>
          <w:tcPr>
            <w:tcW w:w="856" w:type="pct"/>
            <w:tcBorders>
              <w:top w:val="single" w:sz="4" w:space="0" w:color="auto"/>
              <w:left w:val="single" w:sz="4" w:space="0" w:color="auto"/>
              <w:bottom w:val="single" w:sz="4" w:space="0" w:color="auto"/>
              <w:right w:val="single" w:sz="4" w:space="0" w:color="auto"/>
            </w:tcBorders>
          </w:tcPr>
          <w:p w:rsidR="001227A6" w:rsidRDefault="001227A6"/>
        </w:tc>
        <w:tc>
          <w:tcPr>
            <w:tcW w:w="1370" w:type="pct"/>
            <w:tcBorders>
              <w:top w:val="single" w:sz="4" w:space="0" w:color="auto"/>
              <w:left w:val="single" w:sz="4" w:space="0" w:color="auto"/>
              <w:bottom w:val="single" w:sz="4" w:space="0" w:color="auto"/>
              <w:right w:val="single" w:sz="4" w:space="0" w:color="auto"/>
            </w:tcBorders>
          </w:tcPr>
          <w:p w:rsidR="001227A6" w:rsidRDefault="001227A6"/>
        </w:tc>
        <w:tc>
          <w:tcPr>
            <w:tcW w:w="2262" w:type="pct"/>
            <w:tcBorders>
              <w:top w:val="single" w:sz="4" w:space="0" w:color="auto"/>
              <w:left w:val="single" w:sz="4" w:space="0" w:color="auto"/>
              <w:bottom w:val="single" w:sz="4" w:space="0" w:color="auto"/>
              <w:right w:val="single" w:sz="4" w:space="0" w:color="auto"/>
            </w:tcBorders>
          </w:tcPr>
          <w:p w:rsidR="001227A6" w:rsidRDefault="001227A6"/>
        </w:tc>
        <w:tc>
          <w:tcPr>
            <w:tcW w:w="512" w:type="pct"/>
            <w:tcBorders>
              <w:top w:val="single" w:sz="4" w:space="0" w:color="auto"/>
              <w:left w:val="single" w:sz="4" w:space="0" w:color="auto"/>
              <w:bottom w:val="single" w:sz="4" w:space="0" w:color="auto"/>
              <w:right w:val="single" w:sz="4" w:space="0" w:color="auto"/>
            </w:tcBorders>
          </w:tcPr>
          <w:p w:rsidR="001227A6" w:rsidRDefault="001227A6"/>
        </w:tc>
      </w:tr>
      <w:tr w:rsidR="006D0A9D" w:rsidTr="001227A6">
        <w:trPr>
          <w:trHeight w:val="20"/>
        </w:trPr>
        <w:tc>
          <w:tcPr>
            <w:tcW w:w="856" w:type="pct"/>
            <w:tcBorders>
              <w:top w:val="single" w:sz="4" w:space="0" w:color="auto"/>
              <w:left w:val="single" w:sz="4" w:space="0" w:color="auto"/>
              <w:bottom w:val="single" w:sz="4" w:space="0" w:color="auto"/>
              <w:right w:val="single" w:sz="4" w:space="0" w:color="auto"/>
            </w:tcBorders>
          </w:tcPr>
          <w:p w:rsidR="001227A6" w:rsidRDefault="001227A6"/>
        </w:tc>
        <w:tc>
          <w:tcPr>
            <w:tcW w:w="1370" w:type="pct"/>
            <w:tcBorders>
              <w:top w:val="single" w:sz="4" w:space="0" w:color="auto"/>
              <w:left w:val="single" w:sz="4" w:space="0" w:color="auto"/>
              <w:bottom w:val="single" w:sz="4" w:space="0" w:color="auto"/>
              <w:right w:val="single" w:sz="4" w:space="0" w:color="auto"/>
            </w:tcBorders>
          </w:tcPr>
          <w:p w:rsidR="001227A6" w:rsidRDefault="001227A6"/>
        </w:tc>
        <w:tc>
          <w:tcPr>
            <w:tcW w:w="2262" w:type="pct"/>
            <w:tcBorders>
              <w:top w:val="single" w:sz="4" w:space="0" w:color="auto"/>
              <w:left w:val="single" w:sz="4" w:space="0" w:color="auto"/>
              <w:bottom w:val="single" w:sz="4" w:space="0" w:color="auto"/>
              <w:right w:val="single" w:sz="4" w:space="0" w:color="auto"/>
            </w:tcBorders>
          </w:tcPr>
          <w:p w:rsidR="001227A6" w:rsidRDefault="001227A6"/>
        </w:tc>
        <w:tc>
          <w:tcPr>
            <w:tcW w:w="512" w:type="pct"/>
            <w:tcBorders>
              <w:top w:val="single" w:sz="4" w:space="0" w:color="auto"/>
              <w:left w:val="single" w:sz="4" w:space="0" w:color="auto"/>
              <w:bottom w:val="single" w:sz="4" w:space="0" w:color="auto"/>
              <w:right w:val="single" w:sz="4" w:space="0" w:color="auto"/>
            </w:tcBorders>
          </w:tcPr>
          <w:p w:rsidR="001227A6" w:rsidRDefault="001227A6"/>
        </w:tc>
      </w:tr>
      <w:tr w:rsidR="006D0A9D" w:rsidTr="001227A6">
        <w:trPr>
          <w:trHeight w:val="20"/>
        </w:trPr>
        <w:tc>
          <w:tcPr>
            <w:tcW w:w="856" w:type="pct"/>
            <w:tcBorders>
              <w:top w:val="single" w:sz="4" w:space="0" w:color="auto"/>
              <w:left w:val="single" w:sz="4" w:space="0" w:color="auto"/>
              <w:bottom w:val="single" w:sz="4" w:space="0" w:color="auto"/>
              <w:right w:val="single" w:sz="4" w:space="0" w:color="auto"/>
            </w:tcBorders>
          </w:tcPr>
          <w:p w:rsidR="001227A6" w:rsidRDefault="001227A6"/>
        </w:tc>
        <w:tc>
          <w:tcPr>
            <w:tcW w:w="1370" w:type="pct"/>
            <w:tcBorders>
              <w:top w:val="single" w:sz="4" w:space="0" w:color="auto"/>
              <w:left w:val="single" w:sz="4" w:space="0" w:color="auto"/>
              <w:bottom w:val="single" w:sz="4" w:space="0" w:color="auto"/>
              <w:right w:val="single" w:sz="4" w:space="0" w:color="auto"/>
            </w:tcBorders>
          </w:tcPr>
          <w:p w:rsidR="001227A6" w:rsidRDefault="001227A6"/>
        </w:tc>
        <w:tc>
          <w:tcPr>
            <w:tcW w:w="2262" w:type="pct"/>
            <w:tcBorders>
              <w:top w:val="single" w:sz="4" w:space="0" w:color="auto"/>
              <w:left w:val="single" w:sz="4" w:space="0" w:color="auto"/>
              <w:bottom w:val="single" w:sz="4" w:space="0" w:color="auto"/>
              <w:right w:val="single" w:sz="4" w:space="0" w:color="auto"/>
            </w:tcBorders>
          </w:tcPr>
          <w:p w:rsidR="001227A6" w:rsidRDefault="001227A6"/>
        </w:tc>
        <w:tc>
          <w:tcPr>
            <w:tcW w:w="512" w:type="pct"/>
            <w:tcBorders>
              <w:top w:val="single" w:sz="4" w:space="0" w:color="auto"/>
              <w:left w:val="single" w:sz="4" w:space="0" w:color="auto"/>
              <w:bottom w:val="single" w:sz="4" w:space="0" w:color="auto"/>
              <w:right w:val="single" w:sz="4" w:space="0" w:color="auto"/>
            </w:tcBorders>
          </w:tcPr>
          <w:p w:rsidR="001227A6" w:rsidRDefault="001227A6"/>
        </w:tc>
      </w:tr>
      <w:tr w:rsidR="006D0A9D" w:rsidTr="001227A6">
        <w:trPr>
          <w:trHeight w:val="20"/>
        </w:trPr>
        <w:tc>
          <w:tcPr>
            <w:tcW w:w="856" w:type="pct"/>
            <w:tcBorders>
              <w:top w:val="single" w:sz="4" w:space="0" w:color="auto"/>
              <w:left w:val="single" w:sz="4" w:space="0" w:color="auto"/>
              <w:bottom w:val="single" w:sz="4" w:space="0" w:color="auto"/>
              <w:right w:val="single" w:sz="4" w:space="0" w:color="auto"/>
            </w:tcBorders>
          </w:tcPr>
          <w:p w:rsidR="001227A6" w:rsidRDefault="001227A6"/>
        </w:tc>
        <w:tc>
          <w:tcPr>
            <w:tcW w:w="1370" w:type="pct"/>
            <w:tcBorders>
              <w:top w:val="single" w:sz="4" w:space="0" w:color="auto"/>
              <w:left w:val="single" w:sz="4" w:space="0" w:color="auto"/>
              <w:bottom w:val="single" w:sz="4" w:space="0" w:color="auto"/>
              <w:right w:val="single" w:sz="4" w:space="0" w:color="auto"/>
            </w:tcBorders>
          </w:tcPr>
          <w:p w:rsidR="001227A6" w:rsidRDefault="001227A6"/>
        </w:tc>
        <w:tc>
          <w:tcPr>
            <w:tcW w:w="2262" w:type="pct"/>
            <w:tcBorders>
              <w:top w:val="single" w:sz="4" w:space="0" w:color="auto"/>
              <w:left w:val="single" w:sz="4" w:space="0" w:color="auto"/>
              <w:bottom w:val="single" w:sz="4" w:space="0" w:color="auto"/>
              <w:right w:val="single" w:sz="4" w:space="0" w:color="auto"/>
            </w:tcBorders>
          </w:tcPr>
          <w:p w:rsidR="001227A6" w:rsidRDefault="001227A6"/>
        </w:tc>
        <w:tc>
          <w:tcPr>
            <w:tcW w:w="512" w:type="pct"/>
            <w:tcBorders>
              <w:top w:val="single" w:sz="4" w:space="0" w:color="auto"/>
              <w:left w:val="single" w:sz="4" w:space="0" w:color="auto"/>
              <w:bottom w:val="single" w:sz="4" w:space="0" w:color="auto"/>
              <w:right w:val="single" w:sz="4" w:space="0" w:color="auto"/>
            </w:tcBorders>
          </w:tcPr>
          <w:p w:rsidR="001227A6" w:rsidRDefault="001227A6"/>
        </w:tc>
      </w:tr>
      <w:tr w:rsidR="006D0A9D" w:rsidTr="001227A6">
        <w:trPr>
          <w:trHeight w:val="20"/>
        </w:trPr>
        <w:tc>
          <w:tcPr>
            <w:tcW w:w="856" w:type="pct"/>
            <w:tcBorders>
              <w:top w:val="single" w:sz="4" w:space="0" w:color="auto"/>
              <w:left w:val="single" w:sz="4" w:space="0" w:color="auto"/>
              <w:bottom w:val="single" w:sz="4" w:space="0" w:color="auto"/>
              <w:right w:val="single" w:sz="4" w:space="0" w:color="auto"/>
            </w:tcBorders>
          </w:tcPr>
          <w:p w:rsidR="001227A6" w:rsidRDefault="001227A6"/>
        </w:tc>
        <w:tc>
          <w:tcPr>
            <w:tcW w:w="1370" w:type="pct"/>
            <w:tcBorders>
              <w:top w:val="single" w:sz="4" w:space="0" w:color="auto"/>
              <w:left w:val="single" w:sz="4" w:space="0" w:color="auto"/>
              <w:bottom w:val="single" w:sz="4" w:space="0" w:color="auto"/>
              <w:right w:val="single" w:sz="4" w:space="0" w:color="auto"/>
            </w:tcBorders>
          </w:tcPr>
          <w:p w:rsidR="001227A6" w:rsidRDefault="001227A6"/>
        </w:tc>
        <w:tc>
          <w:tcPr>
            <w:tcW w:w="2262" w:type="pct"/>
            <w:tcBorders>
              <w:top w:val="single" w:sz="4" w:space="0" w:color="auto"/>
              <w:left w:val="single" w:sz="4" w:space="0" w:color="auto"/>
              <w:bottom w:val="single" w:sz="4" w:space="0" w:color="auto"/>
              <w:right w:val="single" w:sz="4" w:space="0" w:color="auto"/>
            </w:tcBorders>
          </w:tcPr>
          <w:p w:rsidR="001227A6" w:rsidRDefault="001227A6"/>
        </w:tc>
        <w:tc>
          <w:tcPr>
            <w:tcW w:w="512" w:type="pct"/>
            <w:tcBorders>
              <w:top w:val="single" w:sz="4" w:space="0" w:color="auto"/>
              <w:left w:val="single" w:sz="4" w:space="0" w:color="auto"/>
              <w:bottom w:val="single" w:sz="4" w:space="0" w:color="auto"/>
              <w:right w:val="single" w:sz="4" w:space="0" w:color="auto"/>
            </w:tcBorders>
          </w:tcPr>
          <w:p w:rsidR="001227A6" w:rsidRDefault="001227A6"/>
        </w:tc>
      </w:tr>
      <w:tr w:rsidR="006D0A9D" w:rsidTr="001227A6">
        <w:trPr>
          <w:trHeight w:val="20"/>
        </w:trPr>
        <w:tc>
          <w:tcPr>
            <w:tcW w:w="856" w:type="pct"/>
            <w:tcBorders>
              <w:top w:val="single" w:sz="4" w:space="0" w:color="auto"/>
              <w:left w:val="single" w:sz="4" w:space="0" w:color="auto"/>
              <w:bottom w:val="single" w:sz="4" w:space="0" w:color="auto"/>
              <w:right w:val="single" w:sz="4" w:space="0" w:color="auto"/>
            </w:tcBorders>
          </w:tcPr>
          <w:p w:rsidR="001227A6" w:rsidRDefault="001227A6"/>
        </w:tc>
        <w:tc>
          <w:tcPr>
            <w:tcW w:w="1370" w:type="pct"/>
            <w:tcBorders>
              <w:top w:val="single" w:sz="4" w:space="0" w:color="auto"/>
              <w:left w:val="single" w:sz="4" w:space="0" w:color="auto"/>
              <w:bottom w:val="single" w:sz="4" w:space="0" w:color="auto"/>
              <w:right w:val="single" w:sz="4" w:space="0" w:color="auto"/>
            </w:tcBorders>
          </w:tcPr>
          <w:p w:rsidR="001227A6" w:rsidRDefault="001227A6"/>
        </w:tc>
        <w:tc>
          <w:tcPr>
            <w:tcW w:w="2262" w:type="pct"/>
            <w:tcBorders>
              <w:top w:val="single" w:sz="4" w:space="0" w:color="auto"/>
              <w:left w:val="single" w:sz="4" w:space="0" w:color="auto"/>
              <w:bottom w:val="single" w:sz="4" w:space="0" w:color="auto"/>
              <w:right w:val="single" w:sz="4" w:space="0" w:color="auto"/>
            </w:tcBorders>
          </w:tcPr>
          <w:p w:rsidR="001227A6" w:rsidRDefault="001227A6"/>
        </w:tc>
        <w:tc>
          <w:tcPr>
            <w:tcW w:w="512" w:type="pct"/>
            <w:tcBorders>
              <w:top w:val="single" w:sz="4" w:space="0" w:color="auto"/>
              <w:left w:val="single" w:sz="4" w:space="0" w:color="auto"/>
              <w:bottom w:val="single" w:sz="4" w:space="0" w:color="auto"/>
              <w:right w:val="single" w:sz="4" w:space="0" w:color="auto"/>
            </w:tcBorders>
          </w:tcPr>
          <w:p w:rsidR="001227A6" w:rsidRDefault="001227A6"/>
        </w:tc>
      </w:tr>
    </w:tbl>
    <w:p w:rsidR="001227A6" w:rsidRDefault="001227A6" w:rsidP="001227A6">
      <w:pPr>
        <w:pStyle w:val="GeneralHeading1"/>
        <w:rPr>
          <w:sz w:val="24"/>
        </w:rPr>
      </w:pPr>
    </w:p>
    <w:p w:rsidR="001227A6" w:rsidRDefault="008B52D1" w:rsidP="001227A6">
      <w:pPr>
        <w:pStyle w:val="GeneralHeading1"/>
        <w:jc w:val="center"/>
        <w:rPr>
          <w:sz w:val="24"/>
        </w:rPr>
      </w:pPr>
      <w:r>
        <w:rPr>
          <w:sz w:val="24"/>
        </w:rPr>
        <w:t>Housing, Land and Property Law in Jordan</w:t>
      </w:r>
    </w:p>
    <w:p w:rsidR="001227A6" w:rsidRDefault="008B52D1" w:rsidP="001227A6">
      <w:pPr>
        <w:rPr>
          <w:b/>
          <w:sz w:val="22"/>
          <w:szCs w:val="22"/>
        </w:rPr>
      </w:pPr>
      <w:bookmarkStart w:id="1" w:name="_Toc512953125"/>
      <w:bookmarkStart w:id="2" w:name="_Toc512952851"/>
      <w:r>
        <w:rPr>
          <w:b/>
          <w:sz w:val="22"/>
          <w:szCs w:val="22"/>
        </w:rPr>
        <w:t>1</w:t>
      </w:r>
      <w:r>
        <w:rPr>
          <w:b/>
          <w:sz w:val="22"/>
          <w:szCs w:val="22"/>
        </w:rPr>
        <w:tab/>
        <w:t>Key laws and actors</w:t>
      </w:r>
      <w:bookmarkEnd w:id="1"/>
      <w:bookmarkEnd w:id="2"/>
    </w:p>
    <w:tbl>
      <w:tblPr>
        <w:tblStyle w:val="TableGrid"/>
        <w:tblW w:w="0" w:type="auto"/>
        <w:tblInd w:w="108" w:type="dxa"/>
        <w:tblLook w:val="04A0" w:firstRow="1" w:lastRow="0" w:firstColumn="1" w:lastColumn="0" w:noHBand="0" w:noVBand="1"/>
      </w:tblPr>
      <w:tblGrid>
        <w:gridCol w:w="1551"/>
        <w:gridCol w:w="7687"/>
      </w:tblGrid>
      <w:tr w:rsidR="006D0A9D" w:rsidTr="001227A6">
        <w:tc>
          <w:tcPr>
            <w:tcW w:w="1560" w:type="dxa"/>
            <w:tcBorders>
              <w:top w:val="single" w:sz="4" w:space="0" w:color="auto"/>
              <w:left w:val="single" w:sz="4" w:space="0" w:color="auto"/>
              <w:bottom w:val="single" w:sz="4" w:space="0" w:color="auto"/>
              <w:right w:val="single" w:sz="4" w:space="0" w:color="auto"/>
            </w:tcBorders>
            <w:hideMark/>
          </w:tcPr>
          <w:p w:rsidR="001227A6" w:rsidRDefault="008B52D1">
            <w:hyperlink w:anchor="Bibliography" w:history="1">
              <w:bookmarkStart w:id="3" w:name="_Toc512952852"/>
              <w:bookmarkStart w:id="4" w:name="_Toc512953126"/>
              <w:r w:rsidR="00702ACD">
                <w:rPr>
                  <w:rStyle w:val="Hyperlink"/>
                </w:rPr>
                <w:t>Laws</w:t>
              </w:r>
              <w:bookmarkEnd w:id="3"/>
              <w:bookmarkEnd w:id="4"/>
            </w:hyperlink>
          </w:p>
        </w:tc>
        <w:tc>
          <w:tcPr>
            <w:tcW w:w="7904" w:type="dxa"/>
            <w:tcBorders>
              <w:top w:val="single" w:sz="4" w:space="0" w:color="auto"/>
              <w:left w:val="single" w:sz="4" w:space="0" w:color="auto"/>
              <w:bottom w:val="single" w:sz="4" w:space="0" w:color="auto"/>
              <w:right w:val="single" w:sz="4" w:space="0" w:color="auto"/>
            </w:tcBorders>
          </w:tcPr>
          <w:p w:rsidR="001227A6" w:rsidRDefault="008B52D1">
            <w:r>
              <w:t>Constitution of Jordan</w:t>
            </w:r>
            <w:r w:rsidR="00B11AA1">
              <w:t>.</w:t>
            </w:r>
          </w:p>
        </w:tc>
      </w:tr>
      <w:bookmarkStart w:id="5" w:name="_Toc512952853"/>
      <w:bookmarkStart w:id="6" w:name="_Toc512953127"/>
      <w:tr w:rsidR="006D0A9D" w:rsidTr="001227A6">
        <w:tc>
          <w:tcPr>
            <w:tcW w:w="1560" w:type="dxa"/>
            <w:tcBorders>
              <w:top w:val="single" w:sz="4" w:space="0" w:color="auto"/>
              <w:left w:val="single" w:sz="4" w:space="0" w:color="auto"/>
              <w:bottom w:val="single" w:sz="4" w:space="0" w:color="auto"/>
              <w:right w:val="single" w:sz="4" w:space="0" w:color="auto"/>
            </w:tcBorders>
            <w:hideMark/>
          </w:tcPr>
          <w:p w:rsidR="001227A6" w:rsidRDefault="008B52D1">
            <w:r>
              <w:fldChar w:fldCharType="begin"/>
            </w:r>
            <w:r>
              <w:instrText xml:space="preserve"> HYPERLINK \l "KeyGovtActors" </w:instrText>
            </w:r>
            <w:r>
              <w:fldChar w:fldCharType="separate"/>
            </w:r>
            <w:r>
              <w:rPr>
                <w:rStyle w:val="Hyperlink"/>
              </w:rPr>
              <w:t>Key government actors</w:t>
            </w:r>
            <w:bookmarkEnd w:id="5"/>
            <w:bookmarkEnd w:id="6"/>
            <w:r>
              <w:rPr>
                <w:rStyle w:val="Hyperlink"/>
              </w:rPr>
              <w:fldChar w:fldCharType="end"/>
            </w:r>
          </w:p>
        </w:tc>
        <w:tc>
          <w:tcPr>
            <w:tcW w:w="7904" w:type="dxa"/>
            <w:tcBorders>
              <w:top w:val="single" w:sz="4" w:space="0" w:color="auto"/>
              <w:left w:val="single" w:sz="4" w:space="0" w:color="auto"/>
              <w:bottom w:val="single" w:sz="4" w:space="0" w:color="auto"/>
              <w:right w:val="single" w:sz="4" w:space="0" w:color="auto"/>
            </w:tcBorders>
            <w:hideMark/>
          </w:tcPr>
          <w:p w:rsidR="001227A6" w:rsidRDefault="008B52D1">
            <w:r>
              <w:t>The Department of Land and Survey (DLS) governs housing, land, building and planning, and liaises with 34 Land Registration Directorates (LRDs) and 2 land registration offices distributed across Jordan, in managing land across the country.</w:t>
            </w:r>
          </w:p>
        </w:tc>
      </w:tr>
      <w:bookmarkStart w:id="7" w:name="_Toc512952854"/>
      <w:bookmarkStart w:id="8" w:name="_Toc512953128"/>
      <w:tr w:rsidR="006D0A9D" w:rsidTr="001227A6">
        <w:trPr>
          <w:trHeight w:val="53"/>
        </w:trPr>
        <w:tc>
          <w:tcPr>
            <w:tcW w:w="1560" w:type="dxa"/>
            <w:tcBorders>
              <w:top w:val="single" w:sz="4" w:space="0" w:color="auto"/>
              <w:left w:val="single" w:sz="4" w:space="0" w:color="auto"/>
              <w:bottom w:val="single" w:sz="4" w:space="0" w:color="auto"/>
              <w:right w:val="single" w:sz="4" w:space="0" w:color="auto"/>
            </w:tcBorders>
            <w:hideMark/>
          </w:tcPr>
          <w:p w:rsidR="001227A6" w:rsidRDefault="008B52D1">
            <w:r>
              <w:fldChar w:fldCharType="begin"/>
            </w:r>
            <w:r>
              <w:instrText xml:space="preserve"> HYPERLINK \l "ShelterCluster" </w:instrText>
            </w:r>
            <w:r>
              <w:fldChar w:fldCharType="separate"/>
            </w:r>
            <w:r>
              <w:rPr>
                <w:rStyle w:val="Hyperlink"/>
              </w:rPr>
              <w:t>Shelter cluster</w:t>
            </w:r>
            <w:bookmarkEnd w:id="7"/>
            <w:bookmarkEnd w:id="8"/>
            <w:r>
              <w:rPr>
                <w:rStyle w:val="Hyperlink"/>
              </w:rPr>
              <w:fldChar w:fldCharType="end"/>
            </w:r>
          </w:p>
        </w:tc>
        <w:tc>
          <w:tcPr>
            <w:tcW w:w="7904" w:type="dxa"/>
            <w:tcBorders>
              <w:top w:val="single" w:sz="4" w:space="0" w:color="auto"/>
              <w:left w:val="single" w:sz="4" w:space="0" w:color="auto"/>
              <w:bottom w:val="single" w:sz="4" w:space="0" w:color="auto"/>
              <w:right w:val="single" w:sz="4" w:space="0" w:color="auto"/>
            </w:tcBorders>
          </w:tcPr>
          <w:p w:rsidR="001227A6" w:rsidRDefault="008B52D1">
            <w:pPr>
              <w:rPr>
                <w:rFonts w:cs="Arial"/>
                <w:color w:val="000000"/>
              </w:rPr>
            </w:pPr>
            <w:r>
              <w:rPr>
                <w:rFonts w:cs="Arial"/>
                <w:color w:val="000000"/>
              </w:rPr>
              <w:t>None.</w:t>
            </w:r>
          </w:p>
        </w:tc>
      </w:tr>
    </w:tbl>
    <w:p w:rsidR="00104B97" w:rsidRDefault="00104B97" w:rsidP="001227A6">
      <w:pPr>
        <w:rPr>
          <w:b/>
          <w:sz w:val="22"/>
          <w:szCs w:val="22"/>
        </w:rPr>
      </w:pPr>
      <w:bookmarkStart w:id="9" w:name="_Toc512953129"/>
      <w:bookmarkStart w:id="10" w:name="_Toc512952855"/>
    </w:p>
    <w:p w:rsidR="001227A6" w:rsidRDefault="008B52D1" w:rsidP="001227A6">
      <w:pPr>
        <w:rPr>
          <w:b/>
          <w:sz w:val="22"/>
          <w:szCs w:val="22"/>
        </w:rPr>
      </w:pPr>
      <w:r>
        <w:rPr>
          <w:b/>
          <w:sz w:val="22"/>
          <w:szCs w:val="22"/>
        </w:rPr>
        <w:t>2</w:t>
      </w:r>
      <w:r>
        <w:rPr>
          <w:b/>
          <w:sz w:val="22"/>
          <w:szCs w:val="22"/>
        </w:rPr>
        <w:tab/>
      </w:r>
      <w:hyperlink r:id="rId10" w:anchor="7527901-v2-CARE_HLP_Factsheet_-_Jordan.docx" w:history="1">
        <w:r>
          <w:rPr>
            <w:rStyle w:val="Hyperlink"/>
            <w:b/>
            <w:sz w:val="22"/>
            <w:szCs w:val="22"/>
          </w:rPr>
          <w:t>Common types of tenure</w:t>
        </w:r>
        <w:bookmarkEnd w:id="9"/>
        <w:bookmarkEnd w:id="10"/>
      </w:hyperlink>
    </w:p>
    <w:tbl>
      <w:tblPr>
        <w:tblStyle w:val="TableGrid1"/>
        <w:tblW w:w="0" w:type="auto"/>
        <w:tblInd w:w="108" w:type="dxa"/>
        <w:tblLook w:val="04A0" w:firstRow="1" w:lastRow="0" w:firstColumn="1" w:lastColumn="0" w:noHBand="0" w:noVBand="1"/>
      </w:tblPr>
      <w:tblGrid>
        <w:gridCol w:w="1526"/>
        <w:gridCol w:w="1372"/>
        <w:gridCol w:w="4713"/>
        <w:gridCol w:w="1627"/>
      </w:tblGrid>
      <w:tr w:rsidR="006D0A9D" w:rsidTr="000F2DE8">
        <w:tc>
          <w:tcPr>
            <w:tcW w:w="946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227A6" w:rsidRDefault="008B52D1">
            <w:pPr>
              <w:spacing w:line="276" w:lineRule="auto"/>
            </w:pPr>
            <w:r>
              <w:t>The table below summarises the most common types of tenure in Jordan.</w:t>
            </w:r>
          </w:p>
        </w:tc>
      </w:tr>
      <w:tr w:rsidR="006D0A9D" w:rsidTr="000F2DE8">
        <w:tc>
          <w:tcPr>
            <w:tcW w:w="1555" w:type="dxa"/>
            <w:tcBorders>
              <w:top w:val="single" w:sz="4" w:space="0" w:color="auto"/>
              <w:left w:val="single" w:sz="4" w:space="0" w:color="auto"/>
              <w:bottom w:val="single" w:sz="4" w:space="0" w:color="auto"/>
              <w:right w:val="single" w:sz="4" w:space="0" w:color="auto"/>
            </w:tcBorders>
            <w:shd w:val="clear" w:color="auto" w:fill="4D5357" w:themeFill="text1"/>
            <w:hideMark/>
          </w:tcPr>
          <w:p w:rsidR="001227A6" w:rsidRDefault="008B52D1">
            <w:pPr>
              <w:spacing w:line="276" w:lineRule="auto"/>
              <w:rPr>
                <w:rFonts w:cs="Arial"/>
                <w:b/>
              </w:rPr>
            </w:pPr>
            <w:r>
              <w:rPr>
                <w:rFonts w:cs="Arial"/>
                <w:b/>
              </w:rPr>
              <w:t>Tenure</w:t>
            </w:r>
          </w:p>
          <w:p w:rsidR="001227A6" w:rsidRDefault="001227A6">
            <w:pPr>
              <w:spacing w:line="276" w:lineRule="auto"/>
              <w:rPr>
                <w:rFonts w:cs="Arial"/>
                <w:b/>
              </w:rPr>
            </w:pPr>
          </w:p>
        </w:tc>
        <w:tc>
          <w:tcPr>
            <w:tcW w:w="1372" w:type="dxa"/>
            <w:tcBorders>
              <w:top w:val="single" w:sz="4" w:space="0" w:color="auto"/>
              <w:left w:val="single" w:sz="4" w:space="0" w:color="auto"/>
              <w:bottom w:val="single" w:sz="4" w:space="0" w:color="auto"/>
              <w:right w:val="single" w:sz="4" w:space="0" w:color="auto"/>
            </w:tcBorders>
            <w:shd w:val="clear" w:color="auto" w:fill="4D5357" w:themeFill="text1"/>
            <w:hideMark/>
          </w:tcPr>
          <w:p w:rsidR="001227A6" w:rsidRDefault="008B52D1">
            <w:pPr>
              <w:spacing w:line="276" w:lineRule="auto"/>
              <w:rPr>
                <w:b/>
              </w:rPr>
            </w:pPr>
            <w:r>
              <w:rPr>
                <w:b/>
              </w:rPr>
              <w:t>Commonly Registered?</w:t>
            </w:r>
          </w:p>
        </w:tc>
        <w:tc>
          <w:tcPr>
            <w:tcW w:w="4891" w:type="dxa"/>
            <w:tcBorders>
              <w:top w:val="single" w:sz="4" w:space="0" w:color="auto"/>
              <w:left w:val="single" w:sz="4" w:space="0" w:color="auto"/>
              <w:bottom w:val="single" w:sz="4" w:space="0" w:color="auto"/>
              <w:right w:val="single" w:sz="4" w:space="0" w:color="auto"/>
            </w:tcBorders>
            <w:shd w:val="clear" w:color="auto" w:fill="4D5357" w:themeFill="text1"/>
            <w:hideMark/>
          </w:tcPr>
          <w:p w:rsidR="001227A6" w:rsidRDefault="008B52D1">
            <w:pPr>
              <w:spacing w:line="276" w:lineRule="auto"/>
              <w:rPr>
                <w:rFonts w:cs="Arial"/>
                <w:b/>
              </w:rPr>
            </w:pPr>
            <w:r>
              <w:rPr>
                <w:b/>
              </w:rPr>
              <w:t>Key Features</w:t>
            </w:r>
          </w:p>
        </w:tc>
        <w:tc>
          <w:tcPr>
            <w:tcW w:w="1646" w:type="dxa"/>
            <w:tcBorders>
              <w:top w:val="single" w:sz="4" w:space="0" w:color="auto"/>
              <w:left w:val="single" w:sz="4" w:space="0" w:color="auto"/>
              <w:bottom w:val="single" w:sz="4" w:space="0" w:color="auto"/>
              <w:right w:val="single" w:sz="4" w:space="0" w:color="auto"/>
            </w:tcBorders>
            <w:shd w:val="clear" w:color="auto" w:fill="4D5357" w:themeFill="text1"/>
            <w:hideMark/>
          </w:tcPr>
          <w:p w:rsidR="001227A6" w:rsidRDefault="008B52D1">
            <w:pPr>
              <w:spacing w:line="276" w:lineRule="auto"/>
              <w:rPr>
                <w:b/>
              </w:rPr>
            </w:pPr>
            <w:r>
              <w:rPr>
                <w:b/>
              </w:rPr>
              <w:t>Title document</w:t>
            </w:r>
          </w:p>
        </w:tc>
      </w:tr>
      <w:bookmarkStart w:id="11" w:name="_Toc512952856"/>
      <w:bookmarkStart w:id="12" w:name="_Toc512953130"/>
      <w:tr w:rsidR="006D0A9D" w:rsidTr="000F2DE8">
        <w:tc>
          <w:tcPr>
            <w:tcW w:w="1555" w:type="dxa"/>
            <w:tcBorders>
              <w:top w:val="single" w:sz="4" w:space="0" w:color="auto"/>
              <w:left w:val="single" w:sz="4" w:space="0" w:color="auto"/>
              <w:bottom w:val="single" w:sz="4" w:space="0" w:color="auto"/>
              <w:right w:val="single" w:sz="4" w:space="0" w:color="auto"/>
            </w:tcBorders>
            <w:hideMark/>
          </w:tcPr>
          <w:p w:rsidR="001227A6" w:rsidRDefault="008B52D1" w:rsidP="00D94534">
            <w:r>
              <w:fldChar w:fldCharType="begin"/>
            </w:r>
            <w:r>
              <w:instrText xml:space="preserve"> HYPERLINK \l "StateTreasuryLand" </w:instrText>
            </w:r>
            <w:r>
              <w:fldChar w:fldCharType="separate"/>
            </w:r>
            <w:r w:rsidR="000664C4" w:rsidRPr="005465C7">
              <w:rPr>
                <w:rStyle w:val="Hyperlink"/>
              </w:rPr>
              <w:t>State or T</w:t>
            </w:r>
            <w:r w:rsidR="00D94534" w:rsidRPr="005465C7">
              <w:rPr>
                <w:rStyle w:val="Hyperlink"/>
              </w:rPr>
              <w:t>reasury</w:t>
            </w:r>
            <w:r w:rsidRPr="005465C7">
              <w:rPr>
                <w:rStyle w:val="Hyperlink"/>
              </w:rPr>
              <w:t xml:space="preserve"> land</w:t>
            </w:r>
            <w:bookmarkEnd w:id="11"/>
            <w:bookmarkEnd w:id="12"/>
            <w:r>
              <w:rPr>
                <w:rStyle w:val="Hyperlink"/>
              </w:rPr>
              <w:fldChar w:fldCharType="end"/>
            </w:r>
          </w:p>
        </w:tc>
        <w:tc>
          <w:tcPr>
            <w:tcW w:w="1372" w:type="dxa"/>
            <w:tcBorders>
              <w:top w:val="single" w:sz="4" w:space="0" w:color="auto"/>
              <w:left w:val="single" w:sz="4" w:space="0" w:color="auto"/>
              <w:bottom w:val="single" w:sz="4" w:space="0" w:color="auto"/>
              <w:right w:val="single" w:sz="4" w:space="0" w:color="auto"/>
            </w:tcBorders>
          </w:tcPr>
          <w:p w:rsidR="001227A6" w:rsidRDefault="008B52D1">
            <w:pPr>
              <w:spacing w:line="276" w:lineRule="auto"/>
              <w:rPr>
                <w:rFonts w:cs="Arial"/>
              </w:rPr>
            </w:pPr>
            <w:r>
              <w:rPr>
                <w:rFonts w:cs="Arial"/>
              </w:rPr>
              <w:t>Yes</w:t>
            </w:r>
          </w:p>
        </w:tc>
        <w:tc>
          <w:tcPr>
            <w:tcW w:w="4891" w:type="dxa"/>
            <w:tcBorders>
              <w:top w:val="single" w:sz="4" w:space="0" w:color="auto"/>
              <w:left w:val="single" w:sz="4" w:space="0" w:color="auto"/>
              <w:bottom w:val="single" w:sz="4" w:space="0" w:color="auto"/>
              <w:right w:val="single" w:sz="4" w:space="0" w:color="auto"/>
            </w:tcBorders>
          </w:tcPr>
          <w:p w:rsidR="001227A6" w:rsidRDefault="008B52D1">
            <w:pPr>
              <w:spacing w:line="276" w:lineRule="auto"/>
              <w:rPr>
                <w:rFonts w:cs="Arial"/>
              </w:rPr>
            </w:pPr>
            <w:r>
              <w:rPr>
                <w:rFonts w:cs="Arial"/>
              </w:rPr>
              <w:t>Most of the land in Jordan is treasury land. Land may be leased or accredited</w:t>
            </w:r>
            <w:r w:rsidR="00B6149C">
              <w:rPr>
                <w:rFonts w:cs="Arial"/>
              </w:rPr>
              <w:t xml:space="preserve"> to lessees.</w:t>
            </w:r>
          </w:p>
        </w:tc>
        <w:tc>
          <w:tcPr>
            <w:tcW w:w="1646" w:type="dxa"/>
            <w:tcBorders>
              <w:top w:val="single" w:sz="4" w:space="0" w:color="auto"/>
              <w:left w:val="single" w:sz="4" w:space="0" w:color="auto"/>
              <w:bottom w:val="single" w:sz="4" w:space="0" w:color="auto"/>
              <w:right w:val="single" w:sz="4" w:space="0" w:color="auto"/>
            </w:tcBorders>
          </w:tcPr>
          <w:p w:rsidR="001227A6" w:rsidRDefault="008B52D1">
            <w:pPr>
              <w:spacing w:line="276" w:lineRule="auto"/>
              <w:rPr>
                <w:rFonts w:cs="Arial"/>
              </w:rPr>
            </w:pPr>
            <w:r>
              <w:rPr>
                <w:rFonts w:cs="Arial"/>
              </w:rPr>
              <w:t>Registration at the DLS</w:t>
            </w:r>
          </w:p>
        </w:tc>
      </w:tr>
      <w:tr w:rsidR="006D0A9D" w:rsidTr="000F2DE8">
        <w:tc>
          <w:tcPr>
            <w:tcW w:w="1555" w:type="dxa"/>
            <w:tcBorders>
              <w:top w:val="single" w:sz="4" w:space="0" w:color="auto"/>
              <w:left w:val="single" w:sz="4" w:space="0" w:color="auto"/>
              <w:bottom w:val="single" w:sz="4" w:space="0" w:color="auto"/>
              <w:right w:val="single" w:sz="4" w:space="0" w:color="auto"/>
            </w:tcBorders>
          </w:tcPr>
          <w:p w:rsidR="000664C4" w:rsidRDefault="008B52D1" w:rsidP="000664C4">
            <w:hyperlink w:anchor="Freehold" w:history="1">
              <w:r w:rsidR="00702ACD">
                <w:rPr>
                  <w:rStyle w:val="Hyperlink"/>
                </w:rPr>
                <w:t xml:space="preserve">Freehold </w:t>
              </w:r>
            </w:hyperlink>
          </w:p>
        </w:tc>
        <w:tc>
          <w:tcPr>
            <w:tcW w:w="1372" w:type="dxa"/>
            <w:tcBorders>
              <w:top w:val="single" w:sz="4" w:space="0" w:color="auto"/>
              <w:left w:val="single" w:sz="4" w:space="0" w:color="auto"/>
              <w:bottom w:val="single" w:sz="4" w:space="0" w:color="auto"/>
              <w:right w:val="single" w:sz="4" w:space="0" w:color="auto"/>
            </w:tcBorders>
          </w:tcPr>
          <w:p w:rsidR="000664C4" w:rsidRDefault="008B52D1">
            <w:pPr>
              <w:spacing w:line="276" w:lineRule="auto"/>
              <w:rPr>
                <w:rFonts w:cs="Arial"/>
              </w:rPr>
            </w:pPr>
            <w:proofErr w:type="gramStart"/>
            <w:r>
              <w:rPr>
                <w:rFonts w:cs="Arial"/>
              </w:rPr>
              <w:t>Yes</w:t>
            </w:r>
            <w:proofErr w:type="gramEnd"/>
            <w:r>
              <w:rPr>
                <w:rFonts w:cs="Arial"/>
              </w:rPr>
              <w:t xml:space="preserve"> in urban areas. Sometimes in rural areas.</w:t>
            </w:r>
          </w:p>
        </w:tc>
        <w:tc>
          <w:tcPr>
            <w:tcW w:w="4891" w:type="dxa"/>
            <w:tcBorders>
              <w:top w:val="single" w:sz="4" w:space="0" w:color="auto"/>
              <w:left w:val="single" w:sz="4" w:space="0" w:color="auto"/>
              <w:bottom w:val="single" w:sz="4" w:space="0" w:color="auto"/>
              <w:right w:val="single" w:sz="4" w:space="0" w:color="auto"/>
            </w:tcBorders>
          </w:tcPr>
          <w:p w:rsidR="000664C4" w:rsidRDefault="008B52D1" w:rsidP="00E6777C">
            <w:pPr>
              <w:spacing w:line="276" w:lineRule="auto"/>
              <w:rPr>
                <w:rFonts w:cs="Arial"/>
              </w:rPr>
            </w:pPr>
            <w:r>
              <w:t>Any transactions involving the sale or exchange of freehold land must be registered with the DLS to be valid. Some former tribal lands</w:t>
            </w:r>
            <w:r w:rsidR="00E6777C">
              <w:t xml:space="preserve"> in rural areas are "sold" without registered title deeds and so would be null and void if tested in court. </w:t>
            </w:r>
          </w:p>
        </w:tc>
        <w:tc>
          <w:tcPr>
            <w:tcW w:w="1646" w:type="dxa"/>
            <w:tcBorders>
              <w:top w:val="single" w:sz="4" w:space="0" w:color="auto"/>
              <w:left w:val="single" w:sz="4" w:space="0" w:color="auto"/>
              <w:bottom w:val="single" w:sz="4" w:space="0" w:color="auto"/>
              <w:right w:val="single" w:sz="4" w:space="0" w:color="auto"/>
            </w:tcBorders>
          </w:tcPr>
          <w:p w:rsidR="000664C4" w:rsidRDefault="008B52D1">
            <w:pPr>
              <w:spacing w:line="276" w:lineRule="auto"/>
              <w:rPr>
                <w:rFonts w:cs="Arial"/>
              </w:rPr>
            </w:pPr>
            <w:r>
              <w:rPr>
                <w:rFonts w:cs="Arial"/>
              </w:rPr>
              <w:t>Transfer deed</w:t>
            </w:r>
            <w:r>
              <w:rPr>
                <w:rStyle w:val="FootnoteReference"/>
                <w:rFonts w:cs="Arial"/>
              </w:rPr>
              <w:footnoteReference w:id="1"/>
            </w:r>
            <w:r w:rsidR="000F2DE8">
              <w:rPr>
                <w:rFonts w:cs="Arial"/>
              </w:rPr>
              <w:t xml:space="preserve"> registered at the DLS</w:t>
            </w:r>
          </w:p>
        </w:tc>
      </w:tr>
      <w:bookmarkStart w:id="14" w:name="_Toc512952860"/>
      <w:bookmarkStart w:id="15" w:name="_Toc512953134"/>
      <w:tr w:rsidR="006D0A9D" w:rsidTr="000F2DE8">
        <w:tc>
          <w:tcPr>
            <w:tcW w:w="1555" w:type="dxa"/>
            <w:tcBorders>
              <w:top w:val="single" w:sz="4" w:space="0" w:color="auto"/>
              <w:left w:val="single" w:sz="4" w:space="0" w:color="auto"/>
              <w:bottom w:val="single" w:sz="4" w:space="0" w:color="auto"/>
              <w:right w:val="single" w:sz="4" w:space="0" w:color="auto"/>
            </w:tcBorders>
            <w:hideMark/>
          </w:tcPr>
          <w:p w:rsidR="000F2DE8" w:rsidRDefault="008B52D1">
            <w:r>
              <w:fldChar w:fldCharType="begin"/>
            </w:r>
            <w:r>
              <w:instrText xml:space="preserve"> HYPERLINK \l "Leasehold" </w:instrText>
            </w:r>
            <w:r>
              <w:fldChar w:fldCharType="separate"/>
            </w:r>
            <w:r>
              <w:rPr>
                <w:rStyle w:val="Hyperlink"/>
              </w:rPr>
              <w:t>Lease</w:t>
            </w:r>
            <w:bookmarkEnd w:id="14"/>
            <w:bookmarkEnd w:id="15"/>
            <w:r>
              <w:rPr>
                <w:rStyle w:val="Hyperlink"/>
              </w:rPr>
              <w:fldChar w:fldCharType="end"/>
            </w:r>
          </w:p>
        </w:tc>
        <w:tc>
          <w:tcPr>
            <w:tcW w:w="1372" w:type="dxa"/>
            <w:tcBorders>
              <w:top w:val="single" w:sz="4" w:space="0" w:color="auto"/>
              <w:left w:val="single" w:sz="4" w:space="0" w:color="auto"/>
              <w:bottom w:val="single" w:sz="4" w:space="0" w:color="auto"/>
              <w:right w:val="single" w:sz="4" w:space="0" w:color="auto"/>
            </w:tcBorders>
          </w:tcPr>
          <w:p w:rsidR="000F2DE8" w:rsidRDefault="008B52D1">
            <w:pPr>
              <w:spacing w:line="276" w:lineRule="auto"/>
            </w:pPr>
            <w:r>
              <w:t>Unknown</w:t>
            </w:r>
          </w:p>
        </w:tc>
        <w:tc>
          <w:tcPr>
            <w:tcW w:w="4891" w:type="dxa"/>
            <w:tcBorders>
              <w:top w:val="single" w:sz="4" w:space="0" w:color="auto"/>
              <w:left w:val="single" w:sz="4" w:space="0" w:color="auto"/>
              <w:bottom w:val="single" w:sz="4" w:space="0" w:color="auto"/>
              <w:right w:val="single" w:sz="4" w:space="0" w:color="auto"/>
            </w:tcBorders>
          </w:tcPr>
          <w:p w:rsidR="000F2DE8" w:rsidRDefault="008B52D1">
            <w:pPr>
              <w:spacing w:line="276" w:lineRule="auto"/>
            </w:pPr>
            <w:r>
              <w:t>Given most of the land in Jordan is treasury land, this should be a common form of tenure. As with all property interests, leases must be registered with the DLS.</w:t>
            </w:r>
          </w:p>
        </w:tc>
        <w:tc>
          <w:tcPr>
            <w:tcW w:w="1646" w:type="dxa"/>
            <w:tcBorders>
              <w:top w:val="single" w:sz="4" w:space="0" w:color="auto"/>
              <w:left w:val="single" w:sz="4" w:space="0" w:color="auto"/>
              <w:bottom w:val="single" w:sz="4" w:space="0" w:color="auto"/>
              <w:right w:val="single" w:sz="4" w:space="0" w:color="auto"/>
            </w:tcBorders>
          </w:tcPr>
          <w:p w:rsidR="000F2DE8" w:rsidRDefault="008B52D1" w:rsidP="00F95964">
            <w:pPr>
              <w:spacing w:line="276" w:lineRule="auto"/>
              <w:rPr>
                <w:rFonts w:cs="Arial"/>
              </w:rPr>
            </w:pPr>
            <w:r>
              <w:rPr>
                <w:rFonts w:cs="Arial"/>
              </w:rPr>
              <w:t>Registration at the DLS</w:t>
            </w:r>
          </w:p>
        </w:tc>
      </w:tr>
      <w:bookmarkStart w:id="16" w:name="_Toc512952861"/>
      <w:bookmarkStart w:id="17" w:name="_Toc512953135"/>
      <w:tr w:rsidR="006D0A9D" w:rsidTr="000F2DE8">
        <w:tc>
          <w:tcPr>
            <w:tcW w:w="1555" w:type="dxa"/>
            <w:tcBorders>
              <w:top w:val="single" w:sz="4" w:space="0" w:color="auto"/>
              <w:left w:val="single" w:sz="4" w:space="0" w:color="auto"/>
              <w:bottom w:val="single" w:sz="4" w:space="0" w:color="auto"/>
              <w:right w:val="single" w:sz="4" w:space="0" w:color="auto"/>
            </w:tcBorders>
            <w:hideMark/>
          </w:tcPr>
          <w:p w:rsidR="000F2DE8" w:rsidRDefault="008B52D1">
            <w:r>
              <w:fldChar w:fldCharType="begin"/>
            </w:r>
            <w:r>
              <w:instrText xml:space="preserve"> HYPERLINK \l "Sublease" </w:instrText>
            </w:r>
            <w:r>
              <w:fldChar w:fldCharType="separate"/>
            </w:r>
            <w:r>
              <w:rPr>
                <w:rStyle w:val="Hyperlink"/>
              </w:rPr>
              <w:t>Sub-lease</w:t>
            </w:r>
            <w:bookmarkEnd w:id="16"/>
            <w:bookmarkEnd w:id="17"/>
            <w:r>
              <w:rPr>
                <w:rStyle w:val="Hyperlink"/>
              </w:rPr>
              <w:fldChar w:fldCharType="end"/>
            </w:r>
          </w:p>
        </w:tc>
        <w:tc>
          <w:tcPr>
            <w:tcW w:w="1372" w:type="dxa"/>
            <w:tcBorders>
              <w:top w:val="single" w:sz="4" w:space="0" w:color="auto"/>
              <w:left w:val="single" w:sz="4" w:space="0" w:color="auto"/>
              <w:bottom w:val="single" w:sz="4" w:space="0" w:color="auto"/>
              <w:right w:val="single" w:sz="4" w:space="0" w:color="auto"/>
            </w:tcBorders>
          </w:tcPr>
          <w:p w:rsidR="000F2DE8" w:rsidRDefault="008B52D1">
            <w:pPr>
              <w:spacing w:line="276" w:lineRule="auto"/>
            </w:pPr>
            <w:r>
              <w:t>Unknown</w:t>
            </w:r>
          </w:p>
        </w:tc>
        <w:tc>
          <w:tcPr>
            <w:tcW w:w="4891" w:type="dxa"/>
            <w:tcBorders>
              <w:top w:val="single" w:sz="4" w:space="0" w:color="auto"/>
              <w:left w:val="single" w:sz="4" w:space="0" w:color="auto"/>
              <w:bottom w:val="single" w:sz="4" w:space="0" w:color="auto"/>
              <w:right w:val="single" w:sz="4" w:space="0" w:color="auto"/>
            </w:tcBorders>
          </w:tcPr>
          <w:p w:rsidR="000F2DE8" w:rsidRDefault="008B52D1" w:rsidP="007C5524">
            <w:pPr>
              <w:spacing w:line="276" w:lineRule="auto"/>
            </w:pPr>
            <w:r>
              <w:t>It is unclear i</w:t>
            </w:r>
            <w:r w:rsidR="007C5524">
              <w:t>f</w:t>
            </w:r>
            <w:r>
              <w:t xml:space="preserve"> sub-leases are permitted as the Civil Code permits sub-leases with the landlord's permission, whereas the Landlord-Tenant law provides that a landlord is entitled to apply to expel the tenant if the latter sub-leases the property.</w:t>
            </w:r>
          </w:p>
        </w:tc>
        <w:tc>
          <w:tcPr>
            <w:tcW w:w="1646" w:type="dxa"/>
            <w:tcBorders>
              <w:top w:val="single" w:sz="4" w:space="0" w:color="auto"/>
              <w:left w:val="single" w:sz="4" w:space="0" w:color="auto"/>
              <w:bottom w:val="single" w:sz="4" w:space="0" w:color="auto"/>
              <w:right w:val="single" w:sz="4" w:space="0" w:color="auto"/>
            </w:tcBorders>
          </w:tcPr>
          <w:p w:rsidR="000F2DE8" w:rsidRDefault="008B52D1" w:rsidP="00F95964">
            <w:pPr>
              <w:spacing w:line="276" w:lineRule="auto"/>
              <w:rPr>
                <w:rFonts w:cs="Arial"/>
              </w:rPr>
            </w:pPr>
            <w:r>
              <w:rPr>
                <w:rFonts w:cs="Arial"/>
              </w:rPr>
              <w:t>Registration at the DLS</w:t>
            </w:r>
          </w:p>
        </w:tc>
      </w:tr>
      <w:bookmarkStart w:id="18" w:name="_Toc512953136"/>
      <w:bookmarkStart w:id="19" w:name="_Toc512952862"/>
      <w:tr w:rsidR="006D0A9D" w:rsidTr="000F2DE8">
        <w:tc>
          <w:tcPr>
            <w:tcW w:w="1555" w:type="dxa"/>
            <w:hideMark/>
          </w:tcPr>
          <w:p w:rsidR="000F2DE8" w:rsidRDefault="008B52D1" w:rsidP="000F2DE8">
            <w:pPr>
              <w:spacing w:line="276" w:lineRule="auto"/>
            </w:pPr>
            <w:r>
              <w:fldChar w:fldCharType="begin"/>
            </w:r>
            <w:r>
              <w:instrText xml:space="preserve"> HYPERLINK \l "Usufruct" </w:instrText>
            </w:r>
            <w:r>
              <w:fldChar w:fldCharType="separate"/>
            </w:r>
            <w:r>
              <w:rPr>
                <w:rStyle w:val="Hyperlink"/>
              </w:rPr>
              <w:t>Usufruct</w:t>
            </w:r>
            <w:r>
              <w:rPr>
                <w:rStyle w:val="Hyperlink"/>
              </w:rPr>
              <w:fldChar w:fldCharType="end"/>
            </w:r>
          </w:p>
        </w:tc>
        <w:tc>
          <w:tcPr>
            <w:tcW w:w="1372" w:type="dxa"/>
          </w:tcPr>
          <w:p w:rsidR="000F2DE8" w:rsidRDefault="008B52D1" w:rsidP="00F95964">
            <w:pPr>
              <w:spacing w:line="276" w:lineRule="auto"/>
            </w:pPr>
            <w:r>
              <w:t>Unknown</w:t>
            </w:r>
          </w:p>
        </w:tc>
        <w:tc>
          <w:tcPr>
            <w:tcW w:w="4891" w:type="dxa"/>
          </w:tcPr>
          <w:p w:rsidR="000F2DE8" w:rsidRDefault="008B52D1" w:rsidP="00E6777C">
            <w:pPr>
              <w:spacing w:line="276" w:lineRule="auto"/>
            </w:pPr>
            <w:r>
              <w:t>Rights to usufruct are recognised in Jordanian law under Article 70 of the Civil Code and the Lands and Water Settlement Law (Law No. 40 of 1952 and its amendments).</w:t>
            </w:r>
          </w:p>
        </w:tc>
        <w:tc>
          <w:tcPr>
            <w:tcW w:w="1646" w:type="dxa"/>
          </w:tcPr>
          <w:p w:rsidR="000F2DE8" w:rsidRDefault="008B52D1" w:rsidP="00F95964">
            <w:pPr>
              <w:spacing w:line="276" w:lineRule="auto"/>
            </w:pPr>
            <w:r>
              <w:t>Registration at the DLS</w:t>
            </w:r>
          </w:p>
        </w:tc>
      </w:tr>
    </w:tbl>
    <w:p w:rsidR="00104B97" w:rsidRDefault="00104B97" w:rsidP="001227A6">
      <w:pPr>
        <w:rPr>
          <w:b/>
          <w:sz w:val="22"/>
          <w:szCs w:val="22"/>
        </w:rPr>
      </w:pPr>
    </w:p>
    <w:p w:rsidR="001227A6" w:rsidRDefault="008B52D1" w:rsidP="001227A6">
      <w:pPr>
        <w:rPr>
          <w:b/>
          <w:sz w:val="22"/>
          <w:szCs w:val="22"/>
        </w:rPr>
      </w:pPr>
      <w:r>
        <w:rPr>
          <w:b/>
          <w:sz w:val="22"/>
          <w:szCs w:val="22"/>
        </w:rPr>
        <w:t>3</w:t>
      </w:r>
      <w:r>
        <w:rPr>
          <w:b/>
          <w:sz w:val="22"/>
          <w:szCs w:val="22"/>
        </w:rPr>
        <w:tab/>
      </w:r>
      <w:hyperlink r:id="rId11" w:anchor="7527901-v2-CARE_HLP_Factsheet_-_Jordan.docx" w:history="1">
        <w:r>
          <w:rPr>
            <w:rStyle w:val="Hyperlink"/>
            <w:b/>
            <w:sz w:val="22"/>
            <w:szCs w:val="22"/>
          </w:rPr>
          <w:t>Security of tenure of vulnerable groups</w:t>
        </w:r>
        <w:bookmarkEnd w:id="18"/>
        <w:bookmarkEnd w:id="19"/>
      </w:hyperlink>
    </w:p>
    <w:tbl>
      <w:tblPr>
        <w:tblStyle w:val="TableGrid"/>
        <w:tblW w:w="0" w:type="auto"/>
        <w:tblInd w:w="108" w:type="dxa"/>
        <w:tblLook w:val="04A0" w:firstRow="1" w:lastRow="0" w:firstColumn="1" w:lastColumn="0" w:noHBand="0" w:noVBand="1"/>
      </w:tblPr>
      <w:tblGrid>
        <w:gridCol w:w="1549"/>
        <w:gridCol w:w="7689"/>
      </w:tblGrid>
      <w:tr w:rsidR="006D0A9D" w:rsidTr="001227A6">
        <w:tc>
          <w:tcPr>
            <w:tcW w:w="1560" w:type="dxa"/>
            <w:tcBorders>
              <w:top w:val="single" w:sz="4" w:space="0" w:color="auto"/>
              <w:left w:val="single" w:sz="4" w:space="0" w:color="auto"/>
              <w:bottom w:val="single" w:sz="4" w:space="0" w:color="auto"/>
              <w:right w:val="single" w:sz="4" w:space="0" w:color="auto"/>
            </w:tcBorders>
            <w:hideMark/>
          </w:tcPr>
          <w:p w:rsidR="001227A6" w:rsidRDefault="008B52D1" w:rsidP="00982E5A">
            <w:pPr>
              <w:spacing w:line="276" w:lineRule="auto"/>
              <w:jc w:val="both"/>
              <w:rPr>
                <w:rStyle w:val="Hyperlink"/>
              </w:rPr>
            </w:pPr>
            <w:hyperlink w:anchor="Women" w:history="1">
              <w:proofErr w:type="spellStart"/>
              <w:r w:rsidR="00702ACD">
                <w:rPr>
                  <w:rStyle w:val="Hyperlink"/>
                </w:rPr>
                <w:t>Women</w:t>
              </w:r>
            </w:hyperlink>
            <w:proofErr w:type="spellEnd"/>
          </w:p>
        </w:tc>
        <w:tc>
          <w:tcPr>
            <w:tcW w:w="7904" w:type="dxa"/>
            <w:tcBorders>
              <w:top w:val="single" w:sz="4" w:space="0" w:color="auto"/>
              <w:left w:val="single" w:sz="4" w:space="0" w:color="auto"/>
              <w:bottom w:val="single" w:sz="4" w:space="0" w:color="auto"/>
              <w:right w:val="single" w:sz="4" w:space="0" w:color="auto"/>
            </w:tcBorders>
            <w:hideMark/>
          </w:tcPr>
          <w:p w:rsidR="001227A6" w:rsidRDefault="008B52D1" w:rsidP="00982E5A">
            <w:pPr>
              <w:spacing w:line="276" w:lineRule="auto"/>
              <w:jc w:val="both"/>
            </w:pPr>
            <w:r>
              <w:t>Women’s right</w:t>
            </w:r>
            <w:r w:rsidR="00104B97">
              <w:t>s to land are enshrined in the Constitution (A</w:t>
            </w:r>
            <w:r>
              <w:t xml:space="preserve">rticle 6). Jordanian Civil Law treats men and women equally. </w:t>
            </w:r>
            <w:r w:rsidR="00104B97">
              <w:t>There are n</w:t>
            </w:r>
            <w:r>
              <w:t>o requirement</w:t>
            </w:r>
            <w:r w:rsidR="00104B97">
              <w:t>s</w:t>
            </w:r>
            <w:r w:rsidR="007628EA">
              <w:t xml:space="preserve"> to have</w:t>
            </w:r>
            <w:r w:rsidR="00104B97">
              <w:t>, for example,</w:t>
            </w:r>
            <w:r>
              <w:t xml:space="preserve"> </w:t>
            </w:r>
            <w:r w:rsidR="00104B97">
              <w:t>a male guardian</w:t>
            </w:r>
            <w:r w:rsidR="007628EA">
              <w:t xml:space="preserve"> in order to own or deal in property</w:t>
            </w:r>
            <w:r>
              <w:t>.</w:t>
            </w:r>
          </w:p>
          <w:p w:rsidR="001227A6" w:rsidRDefault="008B52D1" w:rsidP="00982E5A">
            <w:pPr>
              <w:spacing w:line="276" w:lineRule="auto"/>
              <w:jc w:val="both"/>
            </w:pPr>
            <w:r>
              <w:lastRenderedPageBreak/>
              <w:t>There are also various protections enshrined in law such as Article 142 of the Provisional Jordanian Personal Status Law (No</w:t>
            </w:r>
            <w:r w:rsidR="00104B97">
              <w:t>.</w:t>
            </w:r>
            <w:r>
              <w:t xml:space="preserve"> 36</w:t>
            </w:r>
            <w:r w:rsidR="00104B97">
              <w:t xml:space="preserve"> of</w:t>
            </w:r>
            <w:r>
              <w:t xml:space="preserve"> 2010</w:t>
            </w:r>
            <w:r w:rsidR="00104B97">
              <w:t>)</w:t>
            </w:r>
            <w:r>
              <w:t xml:space="preserve">, which gives protection to women </w:t>
            </w:r>
            <w:r w:rsidR="00104B97">
              <w:t>by guaranteeing non-</w:t>
            </w:r>
            <w:r>
              <w:t xml:space="preserve">enforcement </w:t>
            </w:r>
            <w:r w:rsidR="00104B97">
              <w:t xml:space="preserve">of </w:t>
            </w:r>
            <w:r>
              <w:t>contracts obtained through coercion.</w:t>
            </w:r>
          </w:p>
          <w:p w:rsidR="001227A6" w:rsidRDefault="008B52D1" w:rsidP="00104B97">
            <w:pPr>
              <w:spacing w:line="276" w:lineRule="auto"/>
              <w:jc w:val="both"/>
            </w:pPr>
            <w:r>
              <w:t xml:space="preserve">However, </w:t>
            </w:r>
            <w:r w:rsidRPr="00104B97">
              <w:rPr>
                <w:i/>
              </w:rPr>
              <w:t>de facto</w:t>
            </w:r>
            <w:r>
              <w:t xml:space="preserve"> exclusion </w:t>
            </w:r>
            <w:r w:rsidR="00104B97">
              <w:t xml:space="preserve">of women from property </w:t>
            </w:r>
            <w:r>
              <w:t xml:space="preserve">still prevails, </w:t>
            </w:r>
            <w:r w:rsidR="00104B97">
              <w:t>as detailed</w:t>
            </w:r>
            <w:r>
              <w:t xml:space="preserve"> below.</w:t>
            </w:r>
          </w:p>
        </w:tc>
      </w:tr>
      <w:tr w:rsidR="006D0A9D" w:rsidTr="001227A6">
        <w:tc>
          <w:tcPr>
            <w:tcW w:w="1560" w:type="dxa"/>
            <w:tcBorders>
              <w:top w:val="single" w:sz="4" w:space="0" w:color="auto"/>
              <w:left w:val="single" w:sz="4" w:space="0" w:color="auto"/>
              <w:bottom w:val="single" w:sz="4" w:space="0" w:color="auto"/>
              <w:right w:val="single" w:sz="4" w:space="0" w:color="auto"/>
            </w:tcBorders>
            <w:hideMark/>
          </w:tcPr>
          <w:p w:rsidR="001227A6" w:rsidRDefault="008B52D1" w:rsidP="00982E5A">
            <w:pPr>
              <w:spacing w:line="276" w:lineRule="auto"/>
              <w:jc w:val="both"/>
              <w:rPr>
                <w:rStyle w:val="Hyperlink"/>
              </w:rPr>
            </w:pPr>
            <w:hyperlink w:anchor="MinorityGroups" w:history="1">
              <w:r w:rsidR="00702ACD">
                <w:rPr>
                  <w:rStyle w:val="Hyperlink"/>
                </w:rPr>
                <w:t>Minority groups</w:t>
              </w:r>
            </w:hyperlink>
          </w:p>
        </w:tc>
        <w:tc>
          <w:tcPr>
            <w:tcW w:w="7904" w:type="dxa"/>
            <w:tcBorders>
              <w:top w:val="single" w:sz="4" w:space="0" w:color="auto"/>
              <w:left w:val="single" w:sz="4" w:space="0" w:color="auto"/>
              <w:bottom w:val="single" w:sz="4" w:space="0" w:color="auto"/>
              <w:right w:val="single" w:sz="4" w:space="0" w:color="auto"/>
            </w:tcBorders>
          </w:tcPr>
          <w:p w:rsidR="00130707" w:rsidRPr="00AE7D29" w:rsidRDefault="008B52D1" w:rsidP="00B11AA1">
            <w:pPr>
              <w:spacing w:line="276" w:lineRule="auto"/>
              <w:jc w:val="both"/>
              <w:rPr>
                <w:lang w:val="en-GB" w:bidi="ar-JO"/>
              </w:rPr>
            </w:pPr>
            <w:r>
              <w:t xml:space="preserve">The main minority ethnic groups in Jordan are Syrians, Palestinians, Egyptians, Iraqi, Armenian and </w:t>
            </w:r>
            <w:proofErr w:type="spellStart"/>
            <w:r>
              <w:t>Circassians</w:t>
            </w:r>
            <w:proofErr w:type="spellEnd"/>
            <w:r>
              <w:t>.</w:t>
            </w:r>
            <w:r>
              <w:rPr>
                <w:rStyle w:val="FootnoteReference"/>
              </w:rPr>
              <w:footnoteReference w:id="2"/>
            </w:r>
            <w:r>
              <w:t xml:space="preserve">  Of these minority groups, refugees (many of whom are Palestinian or Syrian) have the most precarious land rights</w:t>
            </w:r>
            <w:r w:rsidR="00B11AA1">
              <w:t>.</w:t>
            </w:r>
            <w:r>
              <w:t xml:space="preserve"> </w:t>
            </w:r>
            <w:r w:rsidR="00104B97">
              <w:t>They normally live in r</w:t>
            </w:r>
            <w:r>
              <w:t xml:space="preserve">ented apartments but </w:t>
            </w:r>
            <w:r w:rsidR="00104B97">
              <w:t xml:space="preserve">with </w:t>
            </w:r>
            <w:r>
              <w:t>no formal</w:t>
            </w:r>
            <w:r w:rsidR="00104B97">
              <w:t xml:space="preserve"> lease </w:t>
            </w:r>
            <w:r w:rsidR="0092432A">
              <w:t xml:space="preserve">agreements (which has </w:t>
            </w:r>
            <w:r w:rsidR="00104B97">
              <w:t>le</w:t>
            </w:r>
            <w:r>
              <w:t xml:space="preserve">d </w:t>
            </w:r>
            <w:r w:rsidR="00104B97">
              <w:t>to evictions and</w:t>
            </w:r>
            <w:r>
              <w:t xml:space="preserve"> disputes, </w:t>
            </w:r>
            <w:r w:rsidR="00863526">
              <w:t>and provide</w:t>
            </w:r>
            <w:r w:rsidR="00EF2FF2">
              <w:t>s</w:t>
            </w:r>
            <w:r w:rsidR="00104B97">
              <w:t xml:space="preserve"> </w:t>
            </w:r>
            <w:r>
              <w:t>no security of tenure).</w:t>
            </w:r>
            <w:r>
              <w:rPr>
                <w:rStyle w:val="FootnoteReference"/>
              </w:rPr>
              <w:footnoteReference w:id="3"/>
            </w:r>
            <w:r w:rsidR="000C1635">
              <w:rPr>
                <w:rFonts w:hint="cs"/>
                <w:rtl/>
              </w:rPr>
              <w:t xml:space="preserve"> </w:t>
            </w:r>
            <w:r>
              <w:rPr>
                <w:lang w:val="en-GB"/>
              </w:rPr>
              <w:t>The Dom gypsy community in Jo</w:t>
            </w:r>
            <w:r w:rsidR="006E15A2">
              <w:rPr>
                <w:lang w:val="en-GB"/>
              </w:rPr>
              <w:t>rdan, also known as the</w:t>
            </w:r>
            <w:r>
              <w:rPr>
                <w:lang w:val="en-GB"/>
              </w:rPr>
              <w:t xml:space="preserve"> "</w:t>
            </w:r>
            <w:proofErr w:type="spellStart"/>
            <w:r>
              <w:rPr>
                <w:lang w:val="en-GB"/>
              </w:rPr>
              <w:t>ghajjar</w:t>
            </w:r>
            <w:proofErr w:type="spellEnd"/>
            <w:r>
              <w:rPr>
                <w:lang w:val="en-GB"/>
              </w:rPr>
              <w:t>", meaning "gypsy" in Arabic, are a small but particularly vulnerable population (estimated at around 80,000 people) as most of these families live in tents with little access to water or electricity. Much of the community is nomadic or semi-nomadic and move to the Jordan Valley during the winter months.</w:t>
            </w:r>
            <w:r>
              <w:rPr>
                <w:rStyle w:val="FootnoteReference"/>
                <w:lang w:val="en-GB"/>
              </w:rPr>
              <w:footnoteReference w:id="4"/>
            </w:r>
          </w:p>
        </w:tc>
      </w:tr>
      <w:tr w:rsidR="006D0A9D" w:rsidTr="001227A6">
        <w:tc>
          <w:tcPr>
            <w:tcW w:w="1560" w:type="dxa"/>
            <w:tcBorders>
              <w:top w:val="single" w:sz="4" w:space="0" w:color="auto"/>
              <w:left w:val="single" w:sz="4" w:space="0" w:color="auto"/>
              <w:bottom w:val="single" w:sz="4" w:space="0" w:color="auto"/>
              <w:right w:val="single" w:sz="4" w:space="0" w:color="auto"/>
            </w:tcBorders>
            <w:hideMark/>
          </w:tcPr>
          <w:p w:rsidR="001227A6" w:rsidRDefault="008B52D1" w:rsidP="00982E5A">
            <w:pPr>
              <w:spacing w:line="276" w:lineRule="auto"/>
              <w:jc w:val="both"/>
              <w:rPr>
                <w:rStyle w:val="Hyperlink"/>
              </w:rPr>
            </w:pPr>
            <w:hyperlink w:anchor="Informal" w:history="1">
              <w:r w:rsidR="00702ACD">
                <w:rPr>
                  <w:rStyle w:val="Hyperlink"/>
                </w:rPr>
                <w:t>Informal settlements</w:t>
              </w:r>
            </w:hyperlink>
          </w:p>
        </w:tc>
        <w:tc>
          <w:tcPr>
            <w:tcW w:w="7904" w:type="dxa"/>
            <w:tcBorders>
              <w:top w:val="single" w:sz="4" w:space="0" w:color="auto"/>
              <w:left w:val="single" w:sz="4" w:space="0" w:color="auto"/>
              <w:bottom w:val="single" w:sz="4" w:space="0" w:color="auto"/>
              <w:right w:val="single" w:sz="4" w:space="0" w:color="auto"/>
            </w:tcBorders>
            <w:hideMark/>
          </w:tcPr>
          <w:p w:rsidR="001227A6" w:rsidRDefault="008B52D1" w:rsidP="00104B97">
            <w:pPr>
              <w:spacing w:line="276" w:lineRule="auto"/>
              <w:jc w:val="both"/>
            </w:pPr>
            <w:r>
              <w:t xml:space="preserve">One out of every ten refugees in 2016 lived in an </w:t>
            </w:r>
            <w:r w:rsidR="00572FF9">
              <w:t>i</w:t>
            </w:r>
            <w:r>
              <w:t>nformal settlement in Jordan, the majority of such settlements being on private land.</w:t>
            </w:r>
            <w:r>
              <w:rPr>
                <w:rStyle w:val="FootnoteReference"/>
              </w:rPr>
              <w:footnoteReference w:id="5"/>
            </w:r>
          </w:p>
        </w:tc>
      </w:tr>
      <w:tr w:rsidR="006D0A9D" w:rsidTr="001227A6">
        <w:tc>
          <w:tcPr>
            <w:tcW w:w="1560" w:type="dxa"/>
            <w:tcBorders>
              <w:top w:val="single" w:sz="4" w:space="0" w:color="auto"/>
              <w:left w:val="single" w:sz="4" w:space="0" w:color="auto"/>
              <w:bottom w:val="single" w:sz="4" w:space="0" w:color="auto"/>
              <w:right w:val="single" w:sz="4" w:space="0" w:color="auto"/>
            </w:tcBorders>
            <w:hideMark/>
          </w:tcPr>
          <w:p w:rsidR="001227A6" w:rsidRDefault="008B52D1" w:rsidP="00982E5A">
            <w:pPr>
              <w:spacing w:line="276" w:lineRule="auto"/>
              <w:jc w:val="both"/>
              <w:rPr>
                <w:rStyle w:val="Hyperlink"/>
              </w:rPr>
            </w:pPr>
            <w:hyperlink w:anchor="Landless" w:history="1">
              <w:r w:rsidR="00702ACD">
                <w:rPr>
                  <w:rStyle w:val="Hyperlink"/>
                </w:rPr>
                <w:t>Landless people</w:t>
              </w:r>
            </w:hyperlink>
          </w:p>
        </w:tc>
        <w:tc>
          <w:tcPr>
            <w:tcW w:w="7904" w:type="dxa"/>
            <w:tcBorders>
              <w:top w:val="single" w:sz="4" w:space="0" w:color="auto"/>
              <w:left w:val="single" w:sz="4" w:space="0" w:color="auto"/>
              <w:bottom w:val="single" w:sz="4" w:space="0" w:color="auto"/>
              <w:right w:val="single" w:sz="4" w:space="0" w:color="auto"/>
            </w:tcBorders>
            <w:hideMark/>
          </w:tcPr>
          <w:p w:rsidR="001227A6" w:rsidRDefault="008B52D1" w:rsidP="00104B97">
            <w:pPr>
              <w:spacing w:line="276" w:lineRule="auto"/>
              <w:jc w:val="both"/>
            </w:pPr>
            <w:r>
              <w:t>The g</w:t>
            </w:r>
            <w:r w:rsidR="00572FF9">
              <w:t>overnment owns most land which is not privately owned</w:t>
            </w:r>
            <w:r w:rsidR="00EF2FF2">
              <w:t xml:space="preserve"> and there are no</w:t>
            </w:r>
            <w:r w:rsidR="001C49B6">
              <w:t xml:space="preserve"> mechanisms for landless people to legally own land (aside from the form</w:t>
            </w:r>
            <w:r w:rsidR="00EF2FF2">
              <w:t>al</w:t>
            </w:r>
            <w:r w:rsidR="001C49B6">
              <w:t xml:space="preserve"> legal methods through leasing or purchasing land).</w:t>
            </w:r>
          </w:p>
        </w:tc>
      </w:tr>
    </w:tbl>
    <w:p w:rsidR="001227A6" w:rsidRDefault="008B52D1" w:rsidP="00982E5A">
      <w:pPr>
        <w:jc w:val="both"/>
        <w:rPr>
          <w:b/>
          <w:sz w:val="22"/>
          <w:szCs w:val="22"/>
        </w:rPr>
      </w:pPr>
      <w:bookmarkStart w:id="20" w:name="_Toc512953137"/>
      <w:bookmarkStart w:id="21" w:name="_Toc512952863"/>
      <w:r>
        <w:rPr>
          <w:b/>
          <w:sz w:val="22"/>
          <w:szCs w:val="22"/>
        </w:rPr>
        <w:t>4</w:t>
      </w:r>
      <w:r>
        <w:rPr>
          <w:b/>
          <w:sz w:val="22"/>
          <w:szCs w:val="22"/>
        </w:rPr>
        <w:tab/>
      </w:r>
      <w:hyperlink r:id="rId12" w:anchor="7527901-v2-CARE_HLP_Factsheet_-_Jordan.docx" w:history="1">
        <w:r>
          <w:rPr>
            <w:rStyle w:val="Hyperlink"/>
            <w:b/>
            <w:sz w:val="22"/>
            <w:szCs w:val="22"/>
          </w:rPr>
          <w:t>Eviction, expropriation and relocation</w:t>
        </w:r>
        <w:bookmarkEnd w:id="20"/>
        <w:bookmarkEnd w:id="21"/>
      </w:hyperlink>
    </w:p>
    <w:tbl>
      <w:tblPr>
        <w:tblStyle w:val="TableGrid"/>
        <w:tblW w:w="0" w:type="auto"/>
        <w:tblInd w:w="108" w:type="dxa"/>
        <w:tblLook w:val="04A0" w:firstRow="1" w:lastRow="0" w:firstColumn="1" w:lastColumn="0" w:noHBand="0" w:noVBand="1"/>
      </w:tblPr>
      <w:tblGrid>
        <w:gridCol w:w="1554"/>
        <w:gridCol w:w="7684"/>
      </w:tblGrid>
      <w:tr w:rsidR="006D0A9D" w:rsidTr="001227A6">
        <w:tc>
          <w:tcPr>
            <w:tcW w:w="1560" w:type="dxa"/>
            <w:tcBorders>
              <w:top w:val="single" w:sz="4" w:space="0" w:color="auto"/>
              <w:left w:val="single" w:sz="4" w:space="0" w:color="auto"/>
              <w:bottom w:val="single" w:sz="4" w:space="0" w:color="auto"/>
              <w:right w:val="single" w:sz="4" w:space="0" w:color="auto"/>
            </w:tcBorders>
            <w:hideMark/>
          </w:tcPr>
          <w:p w:rsidR="001227A6" w:rsidRDefault="008B52D1" w:rsidP="00982E5A">
            <w:pPr>
              <w:spacing w:line="276" w:lineRule="auto"/>
              <w:jc w:val="both"/>
              <w:rPr>
                <w:rStyle w:val="Hyperlink"/>
              </w:rPr>
            </w:pPr>
            <w:hyperlink w:anchor="Eviction" w:history="1">
              <w:r w:rsidR="00702ACD">
                <w:rPr>
                  <w:rStyle w:val="Hyperlink"/>
                </w:rPr>
                <w:t>Eviction</w:t>
              </w:r>
            </w:hyperlink>
          </w:p>
        </w:tc>
        <w:tc>
          <w:tcPr>
            <w:tcW w:w="7904" w:type="dxa"/>
            <w:tcBorders>
              <w:top w:val="single" w:sz="4" w:space="0" w:color="auto"/>
              <w:left w:val="single" w:sz="4" w:space="0" w:color="auto"/>
              <w:bottom w:val="single" w:sz="4" w:space="0" w:color="auto"/>
              <w:right w:val="single" w:sz="4" w:space="0" w:color="auto"/>
            </w:tcBorders>
          </w:tcPr>
          <w:p w:rsidR="001227A6" w:rsidRPr="00AD2028" w:rsidRDefault="008B52D1" w:rsidP="00EF2FF2">
            <w:pPr>
              <w:spacing w:line="276" w:lineRule="auto"/>
              <w:jc w:val="both"/>
            </w:pPr>
            <w:r>
              <w:t>Jordanians have a constitutional right against eviction. However, e</w:t>
            </w:r>
            <w:r w:rsidR="00AD2028">
              <w:t>viction is permitted (</w:t>
            </w:r>
            <w:proofErr w:type="spellStart"/>
            <w:r w:rsidR="00AD2028">
              <w:t>i</w:t>
            </w:r>
            <w:proofErr w:type="spellEnd"/>
            <w:r w:rsidR="00AD2028">
              <w:t xml:space="preserve">) </w:t>
            </w:r>
            <w:r w:rsidR="00EF2FF2">
              <w:t xml:space="preserve">if </w:t>
            </w:r>
            <w:r w:rsidR="00AD2028">
              <w:t>the tenant fails to perform a material part of their consideration, or (ii) with "</w:t>
            </w:r>
            <w:r w:rsidR="00AD2028">
              <w:rPr>
                <w:i/>
              </w:rPr>
              <w:t>good cause</w:t>
            </w:r>
            <w:r w:rsidR="00AD2028">
              <w:t>", or (iii) based on a number of specific</w:t>
            </w:r>
            <w:r w:rsidR="00EF2FF2">
              <w:t xml:space="preserve"> grounds in the Landlord-Tenant</w:t>
            </w:r>
            <w:r w:rsidR="00AD2028">
              <w:t xml:space="preserve"> Law. Eviction for non-payment of rent under the Landlord-Tenant Law requires 15 days' notice.</w:t>
            </w:r>
          </w:p>
        </w:tc>
      </w:tr>
      <w:tr w:rsidR="006D0A9D" w:rsidTr="001227A6">
        <w:tc>
          <w:tcPr>
            <w:tcW w:w="1560" w:type="dxa"/>
            <w:tcBorders>
              <w:top w:val="single" w:sz="4" w:space="0" w:color="auto"/>
              <w:left w:val="single" w:sz="4" w:space="0" w:color="auto"/>
              <w:bottom w:val="single" w:sz="4" w:space="0" w:color="auto"/>
              <w:right w:val="single" w:sz="4" w:space="0" w:color="auto"/>
            </w:tcBorders>
            <w:hideMark/>
          </w:tcPr>
          <w:p w:rsidR="001227A6" w:rsidRDefault="008B52D1" w:rsidP="00982E5A">
            <w:pPr>
              <w:spacing w:line="276" w:lineRule="auto"/>
              <w:jc w:val="both"/>
              <w:rPr>
                <w:rStyle w:val="Hyperlink"/>
              </w:rPr>
            </w:pPr>
            <w:hyperlink w:anchor="Expropriation" w:history="1">
              <w:r w:rsidR="00702ACD">
                <w:rPr>
                  <w:rStyle w:val="Hyperlink"/>
                </w:rPr>
                <w:t>Expropriation</w:t>
              </w:r>
            </w:hyperlink>
          </w:p>
        </w:tc>
        <w:tc>
          <w:tcPr>
            <w:tcW w:w="7904" w:type="dxa"/>
            <w:tcBorders>
              <w:top w:val="single" w:sz="4" w:space="0" w:color="auto"/>
              <w:left w:val="single" w:sz="4" w:space="0" w:color="auto"/>
              <w:bottom w:val="single" w:sz="4" w:space="0" w:color="auto"/>
              <w:right w:val="single" w:sz="4" w:space="0" w:color="auto"/>
            </w:tcBorders>
          </w:tcPr>
          <w:p w:rsidR="001227A6" w:rsidRPr="00247DC5" w:rsidRDefault="008B52D1" w:rsidP="00247DC5">
            <w:pPr>
              <w:spacing w:line="276" w:lineRule="auto"/>
              <w:jc w:val="both"/>
            </w:pPr>
            <w:r>
              <w:t>Jordanians have a constitutional right against expropriation. However, expropriation is permitted in cases of "</w:t>
            </w:r>
            <w:r>
              <w:rPr>
                <w:i/>
              </w:rPr>
              <w:t>public utility</w:t>
            </w:r>
            <w:r>
              <w:t>" or "</w:t>
            </w:r>
            <w:r>
              <w:rPr>
                <w:i/>
              </w:rPr>
              <w:t>public benefit</w:t>
            </w:r>
            <w:r>
              <w:t>" in exchange for fair and just compensation. We expect this to include disaster situations.</w:t>
            </w:r>
          </w:p>
        </w:tc>
      </w:tr>
      <w:tr w:rsidR="006D0A9D" w:rsidTr="001227A6">
        <w:tc>
          <w:tcPr>
            <w:tcW w:w="1560" w:type="dxa"/>
            <w:tcBorders>
              <w:top w:val="single" w:sz="4" w:space="0" w:color="auto"/>
              <w:left w:val="single" w:sz="4" w:space="0" w:color="auto"/>
              <w:bottom w:val="single" w:sz="4" w:space="0" w:color="auto"/>
              <w:right w:val="single" w:sz="4" w:space="0" w:color="auto"/>
            </w:tcBorders>
            <w:hideMark/>
          </w:tcPr>
          <w:p w:rsidR="001227A6" w:rsidRDefault="008B52D1" w:rsidP="00982E5A">
            <w:pPr>
              <w:spacing w:line="276" w:lineRule="auto"/>
              <w:jc w:val="both"/>
              <w:rPr>
                <w:rStyle w:val="Hyperlink"/>
              </w:rPr>
            </w:pPr>
            <w:hyperlink w:anchor="Relocation" w:history="1">
              <w:r w:rsidR="00702ACD">
                <w:rPr>
                  <w:rStyle w:val="Hyperlink"/>
                </w:rPr>
                <w:t>Relocation</w:t>
              </w:r>
            </w:hyperlink>
          </w:p>
        </w:tc>
        <w:tc>
          <w:tcPr>
            <w:tcW w:w="7904" w:type="dxa"/>
            <w:tcBorders>
              <w:top w:val="single" w:sz="4" w:space="0" w:color="auto"/>
              <w:left w:val="single" w:sz="4" w:space="0" w:color="auto"/>
              <w:bottom w:val="single" w:sz="4" w:space="0" w:color="auto"/>
              <w:right w:val="single" w:sz="4" w:space="0" w:color="auto"/>
            </w:tcBorders>
          </w:tcPr>
          <w:p w:rsidR="001227A6" w:rsidRDefault="008B52D1" w:rsidP="00510054">
            <w:pPr>
              <w:spacing w:line="276" w:lineRule="auto"/>
              <w:jc w:val="both"/>
            </w:pPr>
            <w:r>
              <w:t>Jordanians (but not non-Jordanians, e.g. Syrian refugees) have a right against deportation and relocation. It is unclear whether there have been any legislative exceptions to this and, if so, whether any compensation is payable.</w:t>
            </w:r>
            <w:r w:rsidR="00510054">
              <w:t xml:space="preserve"> In addition, tribal law requires the perpetrator of a serious crime and three generations of their family to relocate either for a number of years or pending the outcome of the tribal dispute resolution and peace process. This affects people living in areas where tribal law is prevalent and people in other areas who have tribal affiliations, especially since the state justice system and the police cooperate with tribal law.</w:t>
            </w:r>
          </w:p>
        </w:tc>
      </w:tr>
    </w:tbl>
    <w:p w:rsidR="001227A6" w:rsidRDefault="008B52D1" w:rsidP="001227A6">
      <w:pPr>
        <w:rPr>
          <w:b/>
          <w:sz w:val="22"/>
          <w:szCs w:val="22"/>
        </w:rPr>
      </w:pPr>
      <w:bookmarkStart w:id="22" w:name="_Toc512953138"/>
      <w:bookmarkStart w:id="23" w:name="_Toc512952864"/>
      <w:r>
        <w:rPr>
          <w:b/>
          <w:sz w:val="22"/>
          <w:szCs w:val="22"/>
        </w:rPr>
        <w:t>5</w:t>
      </w:r>
      <w:r>
        <w:rPr>
          <w:b/>
          <w:sz w:val="22"/>
          <w:szCs w:val="22"/>
        </w:rPr>
        <w:tab/>
      </w:r>
      <w:bookmarkStart w:id="24" w:name="Section5"/>
      <w:bookmarkEnd w:id="24"/>
      <w:r>
        <w:rPr>
          <w:b/>
          <w:sz w:val="22"/>
          <w:szCs w:val="22"/>
        </w:rPr>
        <w:t>Shelter Cluster Key Contacts</w:t>
      </w:r>
      <w:bookmarkEnd w:id="22"/>
      <w:bookmarkEnd w:id="23"/>
    </w:p>
    <w:tbl>
      <w:tblPr>
        <w:tblStyle w:val="TableGrid"/>
        <w:tblW w:w="0" w:type="auto"/>
        <w:tblInd w:w="108" w:type="dxa"/>
        <w:tblLook w:val="04A0" w:firstRow="1" w:lastRow="0" w:firstColumn="1" w:lastColumn="0" w:noHBand="0" w:noVBand="1"/>
      </w:tblPr>
      <w:tblGrid>
        <w:gridCol w:w="9238"/>
      </w:tblGrid>
      <w:tr w:rsidR="006D0A9D" w:rsidTr="003C04BE">
        <w:trPr>
          <w:trHeight w:val="680"/>
        </w:trPr>
        <w:tc>
          <w:tcPr>
            <w:tcW w:w="9464" w:type="dxa"/>
            <w:tcBorders>
              <w:top w:val="single" w:sz="4" w:space="0" w:color="auto"/>
              <w:left w:val="single" w:sz="4" w:space="0" w:color="auto"/>
              <w:bottom w:val="single" w:sz="4" w:space="0" w:color="auto"/>
              <w:right w:val="single" w:sz="4" w:space="0" w:color="auto"/>
            </w:tcBorders>
            <w:hideMark/>
          </w:tcPr>
          <w:p w:rsidR="00104B97" w:rsidRDefault="008B52D1">
            <w:pPr>
              <w:shd w:val="clear" w:color="auto" w:fill="FFFFFF"/>
              <w:spacing w:line="240" w:lineRule="auto"/>
            </w:pPr>
            <w:r>
              <w:t>None.</w:t>
            </w:r>
          </w:p>
        </w:tc>
      </w:tr>
    </w:tbl>
    <w:p w:rsidR="001227A6" w:rsidRDefault="001227A6" w:rsidP="001227A6">
      <w:pPr>
        <w:spacing w:before="0"/>
        <w:rPr>
          <w:rFonts w:cs="Arial"/>
          <w:b/>
        </w:rPr>
        <w:sectPr w:rsidR="001227A6" w:rsidSect="00886000">
          <w:headerReference w:type="even" r:id="rId13"/>
          <w:headerReference w:type="default" r:id="rId14"/>
          <w:footerReference w:type="even" r:id="rId15"/>
          <w:footerReference w:type="default" r:id="rId16"/>
          <w:headerReference w:type="first" r:id="rId17"/>
          <w:footerReference w:type="first" r:id="rId18"/>
          <w:pgSz w:w="11907" w:h="16839"/>
          <w:pgMar w:top="1701" w:right="1134" w:bottom="1134" w:left="1417" w:header="708" w:footer="680" w:gutter="0"/>
          <w:cols w:space="720"/>
        </w:sectPr>
      </w:pPr>
    </w:p>
    <w:sdt>
      <w:sdtPr>
        <w:rPr>
          <w:rFonts w:cs="Arial"/>
          <w:lang w:eastAsia="en-US"/>
        </w:rPr>
        <w:id w:val="-1644417265"/>
        <w:docPartObj>
          <w:docPartGallery w:val="Cover Pages"/>
          <w:docPartUnique/>
        </w:docPartObj>
      </w:sdtPr>
      <w:sdtContent>
        <w:tbl>
          <w:tblPr>
            <w:tblW w:w="0" w:type="auto"/>
            <w:jc w:val="right"/>
            <w:tblLayout w:type="fixed"/>
            <w:tblCellMar>
              <w:left w:w="0" w:type="dxa"/>
              <w:right w:w="0" w:type="dxa"/>
            </w:tblCellMar>
            <w:tblLook w:val="04A0" w:firstRow="1" w:lastRow="0" w:firstColumn="1" w:lastColumn="0" w:noHBand="0" w:noVBand="1"/>
          </w:tblPr>
          <w:tblGrid>
            <w:gridCol w:w="9072"/>
          </w:tblGrid>
          <w:tr w:rsidR="006D0A9D" w:rsidTr="001227A6">
            <w:trPr>
              <w:trHeight w:val="3538"/>
              <w:jc w:val="right"/>
            </w:trPr>
            <w:tc>
              <w:tcPr>
                <w:tcW w:w="9072" w:type="dxa"/>
                <w:shd w:val="solid" w:color="FFFFFF" w:fill="FFFFFF"/>
                <w:vAlign w:val="bottom"/>
              </w:tcPr>
              <w:p w:rsidR="001227A6" w:rsidRDefault="001227A6">
                <w:pPr>
                  <w:spacing w:before="120" w:line="312" w:lineRule="auto"/>
                  <w:jc w:val="center"/>
                  <w:rPr>
                    <w:rFonts w:cs="Arial"/>
                    <w:lang w:eastAsia="en-US"/>
                  </w:rPr>
                </w:pPr>
              </w:p>
            </w:tc>
          </w:tr>
          <w:tr w:rsidR="006D0A9D" w:rsidTr="001227A6">
            <w:trPr>
              <w:trHeight w:val="3556"/>
              <w:jc w:val="right"/>
            </w:trPr>
            <w:tc>
              <w:tcPr>
                <w:tcW w:w="9072" w:type="dxa"/>
                <w:vAlign w:val="bottom"/>
              </w:tcPr>
              <w:p w:rsidR="001227A6" w:rsidRPr="00F06942" w:rsidRDefault="001227A6">
                <w:pPr>
                  <w:pStyle w:val="Title"/>
                  <w:jc w:val="center"/>
                  <w:rPr>
                    <w:rFonts w:eastAsia="Times New Roman" w:cs="Times New Roman"/>
                    <w:bCs/>
                    <w:sz w:val="32"/>
                    <w:szCs w:val="20"/>
                  </w:rPr>
                </w:pPr>
                <w:bookmarkStart w:id="25" w:name="AgreementTitle"/>
              </w:p>
              <w:p w:rsidR="001227A6" w:rsidRPr="00F06942" w:rsidRDefault="008B52D1">
                <w:pPr>
                  <w:pStyle w:val="Title"/>
                  <w:jc w:val="center"/>
                  <w:rPr>
                    <w:bCs/>
                  </w:rPr>
                </w:pPr>
                <w:r w:rsidRPr="00F06942">
                  <w:rPr>
                    <w:bCs/>
                  </w:rPr>
                  <w:t>Disaster Law Housing, Land and</w:t>
                </w:r>
              </w:p>
              <w:p w:rsidR="001227A6" w:rsidRPr="00F06942" w:rsidRDefault="008B52D1">
                <w:pPr>
                  <w:pStyle w:val="Title"/>
                  <w:jc w:val="center"/>
                  <w:rPr>
                    <w:bCs/>
                  </w:rPr>
                </w:pPr>
                <w:r w:rsidRPr="00F06942">
                  <w:rPr>
                    <w:bCs/>
                  </w:rPr>
                  <w:t>Property Mapping Project</w:t>
                </w:r>
              </w:p>
              <w:p w:rsidR="001227A6" w:rsidRDefault="001227A6">
                <w:pPr>
                  <w:pStyle w:val="Title"/>
                  <w:jc w:val="center"/>
                  <w:rPr>
                    <w:b w:val="0"/>
                    <w:bCs/>
                  </w:rPr>
                </w:pPr>
              </w:p>
              <w:p w:rsidR="001227A6" w:rsidRDefault="008B52D1">
                <w:pPr>
                  <w:pStyle w:val="Title"/>
                  <w:jc w:val="center"/>
                  <w:rPr>
                    <w:b w:val="0"/>
                  </w:rPr>
                </w:pPr>
                <w:r>
                  <w:t>Jordan</w:t>
                </w:r>
                <w:bookmarkEnd w:id="25"/>
              </w:p>
              <w:p w:rsidR="001227A6" w:rsidRDefault="001227A6">
                <w:pPr>
                  <w:pStyle w:val="Title"/>
                  <w:spacing w:after="0" w:line="312" w:lineRule="auto"/>
                  <w:jc w:val="center"/>
                  <w:rPr>
                    <w:rFonts w:eastAsia="Times New Roman"/>
                    <w:szCs w:val="32"/>
                  </w:rPr>
                </w:pPr>
              </w:p>
            </w:tc>
          </w:tr>
          <w:tr w:rsidR="006D0A9D" w:rsidTr="001227A6">
            <w:trPr>
              <w:trHeight w:val="1559"/>
              <w:jc w:val="right"/>
            </w:trPr>
            <w:tc>
              <w:tcPr>
                <w:tcW w:w="9072" w:type="dxa"/>
              </w:tcPr>
              <w:p w:rsidR="001227A6" w:rsidRDefault="001227A6">
                <w:pPr>
                  <w:spacing w:line="312" w:lineRule="auto"/>
                  <w:jc w:val="center"/>
                  <w:rPr>
                    <w:rFonts w:cs="Arial"/>
                    <w:lang w:eastAsia="en-US"/>
                  </w:rPr>
                </w:pPr>
              </w:p>
            </w:tc>
          </w:tr>
          <w:tr w:rsidR="006D0A9D" w:rsidTr="001227A6">
            <w:trPr>
              <w:trHeight w:val="1467"/>
              <w:jc w:val="right"/>
            </w:trPr>
            <w:tc>
              <w:tcPr>
                <w:tcW w:w="9072" w:type="dxa"/>
                <w:vAlign w:val="bottom"/>
              </w:tcPr>
              <w:p w:rsidR="00151278" w:rsidRDefault="00151278">
                <w:pPr>
                  <w:pStyle w:val="BodyText"/>
                  <w:tabs>
                    <w:tab w:val="right" w:pos="7938"/>
                  </w:tabs>
                  <w:spacing w:before="120" w:line="276" w:lineRule="auto"/>
                  <w:ind w:left="709" w:hanging="709"/>
                  <w:rPr>
                    <w:rFonts w:cs="Arial"/>
                  </w:rPr>
                </w:pPr>
              </w:p>
              <w:p w:rsidR="00151278" w:rsidRDefault="00151278">
                <w:pPr>
                  <w:pStyle w:val="BodyText"/>
                  <w:tabs>
                    <w:tab w:val="right" w:pos="7938"/>
                  </w:tabs>
                  <w:spacing w:before="120" w:line="276" w:lineRule="auto"/>
                  <w:ind w:left="709" w:hanging="709"/>
                  <w:rPr>
                    <w:rFonts w:cs="Arial"/>
                  </w:rPr>
                </w:pPr>
              </w:p>
              <w:p w:rsidR="00151278" w:rsidRDefault="00151278">
                <w:pPr>
                  <w:pStyle w:val="BodyText"/>
                  <w:tabs>
                    <w:tab w:val="right" w:pos="7938"/>
                  </w:tabs>
                  <w:spacing w:before="120" w:line="276" w:lineRule="auto"/>
                  <w:ind w:left="709" w:hanging="709"/>
                  <w:rPr>
                    <w:rFonts w:cs="Arial"/>
                  </w:rPr>
                </w:pPr>
              </w:p>
              <w:p w:rsidR="00151278" w:rsidRDefault="00151278">
                <w:pPr>
                  <w:pStyle w:val="BodyText"/>
                  <w:tabs>
                    <w:tab w:val="right" w:pos="7938"/>
                  </w:tabs>
                  <w:spacing w:before="120" w:line="276" w:lineRule="auto"/>
                  <w:ind w:left="709" w:hanging="709"/>
                  <w:rPr>
                    <w:rFonts w:cs="Arial"/>
                  </w:rPr>
                </w:pPr>
              </w:p>
              <w:p w:rsidR="00151278" w:rsidRDefault="00151278">
                <w:pPr>
                  <w:pStyle w:val="BodyText"/>
                  <w:tabs>
                    <w:tab w:val="right" w:pos="7938"/>
                  </w:tabs>
                  <w:spacing w:before="120" w:line="276" w:lineRule="auto"/>
                  <w:ind w:left="709" w:hanging="709"/>
                  <w:rPr>
                    <w:rFonts w:cs="Arial"/>
                  </w:rPr>
                </w:pPr>
              </w:p>
              <w:p w:rsidR="00151278" w:rsidRDefault="00151278">
                <w:pPr>
                  <w:pStyle w:val="BodyText"/>
                  <w:tabs>
                    <w:tab w:val="right" w:pos="7938"/>
                  </w:tabs>
                  <w:spacing w:before="120" w:line="276" w:lineRule="auto"/>
                  <w:ind w:left="709" w:hanging="709"/>
                  <w:rPr>
                    <w:rFonts w:cs="Arial"/>
                  </w:rPr>
                </w:pPr>
              </w:p>
              <w:p w:rsidR="00151278" w:rsidRDefault="00151278">
                <w:pPr>
                  <w:pStyle w:val="BodyText"/>
                  <w:tabs>
                    <w:tab w:val="right" w:pos="7938"/>
                  </w:tabs>
                  <w:spacing w:before="120" w:line="276" w:lineRule="auto"/>
                  <w:ind w:left="709" w:hanging="709"/>
                  <w:rPr>
                    <w:rFonts w:cs="Arial"/>
                  </w:rPr>
                </w:pPr>
              </w:p>
              <w:p w:rsidR="00151278" w:rsidRDefault="00151278">
                <w:pPr>
                  <w:pStyle w:val="BodyText"/>
                  <w:tabs>
                    <w:tab w:val="right" w:pos="7938"/>
                  </w:tabs>
                  <w:spacing w:before="120" w:line="276" w:lineRule="auto"/>
                  <w:ind w:left="709" w:hanging="709"/>
                  <w:rPr>
                    <w:rFonts w:cs="Arial"/>
                  </w:rPr>
                </w:pPr>
              </w:p>
              <w:p w:rsidR="001227A6" w:rsidRDefault="008B52D1">
                <w:pPr>
                  <w:pStyle w:val="BodyText"/>
                  <w:tabs>
                    <w:tab w:val="right" w:pos="7938"/>
                  </w:tabs>
                  <w:spacing w:before="120" w:line="276" w:lineRule="auto"/>
                  <w:ind w:left="709" w:hanging="709"/>
                  <w:rPr>
                    <w:rFonts w:cs="Arial"/>
                  </w:rPr>
                </w:pPr>
              </w:p>
            </w:tc>
          </w:tr>
        </w:tbl>
      </w:sdtContent>
    </w:sdt>
    <w:p w:rsidR="001227A6" w:rsidRDefault="001227A6" w:rsidP="001227A6"/>
    <w:p w:rsidR="001227A6" w:rsidRDefault="001227A6" w:rsidP="001227A6"/>
    <w:p w:rsidR="001227A6" w:rsidRDefault="001227A6" w:rsidP="001227A6"/>
    <w:p w:rsidR="001227A6" w:rsidRDefault="001227A6" w:rsidP="001227A6"/>
    <w:sdt>
      <w:sdtPr>
        <w:rPr>
          <w:b w:val="0"/>
          <w:sz w:val="20"/>
        </w:rPr>
        <w:id w:val="1908348336"/>
        <w:docPartObj>
          <w:docPartGallery w:val="Table of Contents"/>
          <w:docPartUnique/>
        </w:docPartObj>
      </w:sdtPr>
      <w:sdtEndPr>
        <w:rPr>
          <w:b/>
        </w:rPr>
      </w:sdtEndPr>
      <w:sdtContent>
        <w:p w:rsidR="001227A6" w:rsidRDefault="001227A6" w:rsidP="001227A6">
          <w:pPr>
            <w:pStyle w:val="ContentsHeading"/>
            <w:rPr>
              <w:b w:val="0"/>
              <w:sz w:val="20"/>
            </w:rPr>
          </w:pPr>
        </w:p>
        <w:p w:rsidR="001227A6" w:rsidRDefault="008B52D1" w:rsidP="001227A6">
          <w:pPr>
            <w:pStyle w:val="ContentsHeading"/>
          </w:pPr>
          <w:r>
            <w:lastRenderedPageBreak/>
            <w:t>Contents</w:t>
          </w:r>
        </w:p>
        <w:p w:rsidR="006D0A9D" w:rsidRDefault="008B52D1">
          <w:pPr>
            <w:pStyle w:val="TOC1"/>
            <w:rPr>
              <w:rFonts w:asciiTheme="minorHAnsi" w:hAnsiTheme="minorHAnsi"/>
              <w:noProof/>
              <w:sz w:val="22"/>
            </w:rPr>
          </w:pPr>
          <w:r>
            <w:rPr>
              <w:b w:val="0"/>
            </w:rPr>
            <w:fldChar w:fldCharType="begin"/>
          </w:r>
          <w:r>
            <w:rPr>
              <w:b w:val="0"/>
            </w:rPr>
            <w:instrText xml:space="preserve"> TOC \o "1-3" \h \z \t "Schedule 1,1" </w:instrText>
          </w:r>
          <w:r>
            <w:rPr>
              <w:b w:val="0"/>
            </w:rPr>
            <w:fldChar w:fldCharType="separate"/>
          </w:r>
          <w:hyperlink w:anchor="_Toc256000057" w:history="1">
            <w:r>
              <w:rPr>
                <w:rStyle w:val="Hyperlink"/>
                <w:noProof/>
              </w:rPr>
              <w:t>1</w:t>
            </w:r>
            <w:r>
              <w:rPr>
                <w:rFonts w:asciiTheme="minorHAnsi" w:hAnsiTheme="minorHAnsi"/>
                <w:noProof/>
                <w:sz w:val="22"/>
              </w:rPr>
              <w:tab/>
            </w:r>
            <w:r>
              <w:rPr>
                <w:rStyle w:val="Hyperlink"/>
                <w:noProof/>
              </w:rPr>
              <w:t>Introduction</w:t>
            </w:r>
            <w:r>
              <w:rPr>
                <w:noProof/>
              </w:rPr>
              <w:tab/>
            </w:r>
            <w:r>
              <w:rPr>
                <w:noProof/>
              </w:rPr>
              <w:fldChar w:fldCharType="begin"/>
            </w:r>
            <w:r>
              <w:rPr>
                <w:noProof/>
              </w:rPr>
              <w:instrText xml:space="preserve"> PAGEREF _Toc256000057 \h </w:instrText>
            </w:r>
            <w:r>
              <w:rPr>
                <w:noProof/>
              </w:rPr>
            </w:r>
            <w:r>
              <w:rPr>
                <w:noProof/>
              </w:rPr>
              <w:fldChar w:fldCharType="separate"/>
            </w:r>
            <w:r w:rsidR="00C14302">
              <w:rPr>
                <w:noProof/>
              </w:rPr>
              <w:t>4</w:t>
            </w:r>
            <w:r>
              <w:rPr>
                <w:noProof/>
              </w:rPr>
              <w:fldChar w:fldCharType="end"/>
            </w:r>
          </w:hyperlink>
        </w:p>
        <w:p w:rsidR="006D0A9D" w:rsidRDefault="008B52D1">
          <w:pPr>
            <w:pStyle w:val="TOC2"/>
            <w:rPr>
              <w:rFonts w:asciiTheme="minorHAnsi" w:hAnsiTheme="minorHAnsi"/>
              <w:noProof/>
              <w:sz w:val="22"/>
            </w:rPr>
          </w:pPr>
          <w:hyperlink w:anchor="_Toc256000078" w:history="1">
            <w:r>
              <w:rPr>
                <w:rStyle w:val="Hyperlink"/>
                <w:noProof/>
              </w:rPr>
              <w:t>1.1</w:t>
            </w:r>
            <w:r>
              <w:rPr>
                <w:rFonts w:asciiTheme="minorHAnsi" w:hAnsiTheme="minorHAnsi"/>
                <w:noProof/>
                <w:sz w:val="22"/>
              </w:rPr>
              <w:tab/>
            </w:r>
            <w:r>
              <w:rPr>
                <w:rStyle w:val="Hyperlink"/>
                <w:noProof/>
              </w:rPr>
              <w:t>Overview</w:t>
            </w:r>
            <w:r>
              <w:rPr>
                <w:noProof/>
              </w:rPr>
              <w:tab/>
            </w:r>
            <w:r>
              <w:rPr>
                <w:noProof/>
              </w:rPr>
              <w:fldChar w:fldCharType="begin"/>
            </w:r>
            <w:r>
              <w:rPr>
                <w:noProof/>
              </w:rPr>
              <w:instrText xml:space="preserve"> PAGEREF _Toc256000078 \h </w:instrText>
            </w:r>
            <w:r>
              <w:rPr>
                <w:noProof/>
              </w:rPr>
            </w:r>
            <w:r>
              <w:rPr>
                <w:noProof/>
              </w:rPr>
              <w:fldChar w:fldCharType="separate"/>
            </w:r>
            <w:r w:rsidR="00C14302">
              <w:rPr>
                <w:noProof/>
              </w:rPr>
              <w:t>4</w:t>
            </w:r>
            <w:r>
              <w:rPr>
                <w:noProof/>
              </w:rPr>
              <w:fldChar w:fldCharType="end"/>
            </w:r>
          </w:hyperlink>
        </w:p>
        <w:p w:rsidR="006D0A9D" w:rsidRDefault="008B52D1">
          <w:pPr>
            <w:pStyle w:val="TOC2"/>
            <w:rPr>
              <w:rFonts w:asciiTheme="minorHAnsi" w:hAnsiTheme="minorHAnsi"/>
              <w:noProof/>
              <w:sz w:val="22"/>
            </w:rPr>
          </w:pPr>
          <w:hyperlink w:anchor="_Toc256000086" w:history="1">
            <w:r>
              <w:rPr>
                <w:rStyle w:val="Hyperlink"/>
                <w:noProof/>
              </w:rPr>
              <w:t>1.2</w:t>
            </w:r>
            <w:r>
              <w:rPr>
                <w:rFonts w:asciiTheme="minorHAnsi" w:hAnsiTheme="minorHAnsi"/>
                <w:noProof/>
                <w:sz w:val="22"/>
              </w:rPr>
              <w:tab/>
            </w:r>
            <w:r>
              <w:rPr>
                <w:rStyle w:val="Hyperlink"/>
                <w:noProof/>
              </w:rPr>
              <w:t>Background information on Jordan</w:t>
            </w:r>
            <w:r>
              <w:rPr>
                <w:noProof/>
              </w:rPr>
              <w:tab/>
            </w:r>
            <w:r>
              <w:rPr>
                <w:noProof/>
              </w:rPr>
              <w:fldChar w:fldCharType="begin"/>
            </w:r>
            <w:r>
              <w:rPr>
                <w:noProof/>
              </w:rPr>
              <w:instrText xml:space="preserve"> PAGEREF _Toc256000086 \h </w:instrText>
            </w:r>
            <w:r>
              <w:rPr>
                <w:noProof/>
              </w:rPr>
            </w:r>
            <w:r>
              <w:rPr>
                <w:noProof/>
              </w:rPr>
              <w:fldChar w:fldCharType="separate"/>
            </w:r>
            <w:r w:rsidR="00C14302">
              <w:rPr>
                <w:noProof/>
              </w:rPr>
              <w:t>4</w:t>
            </w:r>
            <w:r>
              <w:rPr>
                <w:noProof/>
              </w:rPr>
              <w:fldChar w:fldCharType="end"/>
            </w:r>
          </w:hyperlink>
        </w:p>
        <w:p w:rsidR="006D0A9D" w:rsidRDefault="008B52D1">
          <w:pPr>
            <w:pStyle w:val="TOC1"/>
            <w:rPr>
              <w:rFonts w:asciiTheme="minorHAnsi" w:hAnsiTheme="minorHAnsi"/>
              <w:noProof/>
              <w:sz w:val="22"/>
            </w:rPr>
          </w:pPr>
          <w:hyperlink w:anchor="_Toc256000087" w:history="1">
            <w:r>
              <w:rPr>
                <w:rStyle w:val="Hyperlink"/>
                <w:noProof/>
              </w:rPr>
              <w:t>2</w:t>
            </w:r>
            <w:r>
              <w:rPr>
                <w:rFonts w:asciiTheme="minorHAnsi" w:hAnsiTheme="minorHAnsi"/>
                <w:noProof/>
                <w:sz w:val="22"/>
              </w:rPr>
              <w:tab/>
            </w:r>
            <w:r>
              <w:rPr>
                <w:rStyle w:val="Hyperlink"/>
                <w:noProof/>
              </w:rPr>
              <w:t>Common types of tenure</w:t>
            </w:r>
            <w:r>
              <w:rPr>
                <w:noProof/>
              </w:rPr>
              <w:tab/>
            </w:r>
            <w:r>
              <w:rPr>
                <w:noProof/>
              </w:rPr>
              <w:fldChar w:fldCharType="begin"/>
            </w:r>
            <w:r>
              <w:rPr>
                <w:noProof/>
              </w:rPr>
              <w:instrText xml:space="preserve"> PAGEREF _Toc256000087 \h </w:instrText>
            </w:r>
            <w:r>
              <w:rPr>
                <w:noProof/>
              </w:rPr>
            </w:r>
            <w:r>
              <w:rPr>
                <w:noProof/>
              </w:rPr>
              <w:fldChar w:fldCharType="separate"/>
            </w:r>
            <w:r w:rsidR="00C14302">
              <w:rPr>
                <w:noProof/>
              </w:rPr>
              <w:t>6</w:t>
            </w:r>
            <w:r>
              <w:rPr>
                <w:noProof/>
              </w:rPr>
              <w:fldChar w:fldCharType="end"/>
            </w:r>
          </w:hyperlink>
        </w:p>
        <w:p w:rsidR="006D0A9D" w:rsidRDefault="008B52D1">
          <w:pPr>
            <w:pStyle w:val="TOC2"/>
            <w:rPr>
              <w:rFonts w:asciiTheme="minorHAnsi" w:hAnsiTheme="minorHAnsi"/>
              <w:noProof/>
              <w:sz w:val="22"/>
            </w:rPr>
          </w:pPr>
          <w:hyperlink w:anchor="_Toc256000088" w:history="1">
            <w:r>
              <w:rPr>
                <w:rStyle w:val="Hyperlink"/>
                <w:noProof/>
              </w:rPr>
              <w:t>2.1</w:t>
            </w:r>
            <w:r>
              <w:rPr>
                <w:rFonts w:asciiTheme="minorHAnsi" w:hAnsiTheme="minorHAnsi"/>
                <w:noProof/>
                <w:sz w:val="22"/>
              </w:rPr>
              <w:tab/>
            </w:r>
            <w:r>
              <w:rPr>
                <w:rStyle w:val="Hyperlink"/>
                <w:noProof/>
              </w:rPr>
              <w:t>Tenure typologies</w:t>
            </w:r>
            <w:r>
              <w:rPr>
                <w:noProof/>
              </w:rPr>
              <w:tab/>
            </w:r>
            <w:r>
              <w:rPr>
                <w:noProof/>
              </w:rPr>
              <w:fldChar w:fldCharType="begin"/>
            </w:r>
            <w:r>
              <w:rPr>
                <w:noProof/>
              </w:rPr>
              <w:instrText xml:space="preserve"> PAGEREF _Toc256000088 \h </w:instrText>
            </w:r>
            <w:r>
              <w:rPr>
                <w:noProof/>
              </w:rPr>
            </w:r>
            <w:r>
              <w:rPr>
                <w:noProof/>
              </w:rPr>
              <w:fldChar w:fldCharType="separate"/>
            </w:r>
            <w:r w:rsidR="00C14302">
              <w:rPr>
                <w:noProof/>
              </w:rPr>
              <w:t>6</w:t>
            </w:r>
            <w:r>
              <w:rPr>
                <w:noProof/>
              </w:rPr>
              <w:fldChar w:fldCharType="end"/>
            </w:r>
          </w:hyperlink>
        </w:p>
        <w:p w:rsidR="006D0A9D" w:rsidRDefault="008B52D1">
          <w:pPr>
            <w:pStyle w:val="TOC2"/>
            <w:rPr>
              <w:rFonts w:asciiTheme="minorHAnsi" w:hAnsiTheme="minorHAnsi"/>
              <w:noProof/>
              <w:sz w:val="22"/>
            </w:rPr>
          </w:pPr>
          <w:hyperlink w:anchor="_Toc256000089" w:history="1">
            <w:r>
              <w:rPr>
                <w:rStyle w:val="Hyperlink"/>
                <w:noProof/>
              </w:rPr>
              <w:t>2.2</w:t>
            </w:r>
            <w:r>
              <w:rPr>
                <w:rFonts w:asciiTheme="minorHAnsi" w:hAnsiTheme="minorHAnsi"/>
                <w:noProof/>
                <w:sz w:val="22"/>
              </w:rPr>
              <w:tab/>
            </w:r>
            <w:r>
              <w:rPr>
                <w:rStyle w:val="Hyperlink"/>
                <w:noProof/>
              </w:rPr>
              <w:t>Documenting tenure</w:t>
            </w:r>
            <w:r>
              <w:rPr>
                <w:noProof/>
              </w:rPr>
              <w:tab/>
            </w:r>
            <w:r>
              <w:rPr>
                <w:noProof/>
              </w:rPr>
              <w:fldChar w:fldCharType="begin"/>
            </w:r>
            <w:r>
              <w:rPr>
                <w:noProof/>
              </w:rPr>
              <w:instrText xml:space="preserve"> PAGEREF _Toc256000089 \h </w:instrText>
            </w:r>
            <w:r>
              <w:rPr>
                <w:noProof/>
              </w:rPr>
            </w:r>
            <w:r>
              <w:rPr>
                <w:noProof/>
              </w:rPr>
              <w:fldChar w:fldCharType="separate"/>
            </w:r>
            <w:r w:rsidR="00C14302">
              <w:rPr>
                <w:noProof/>
              </w:rPr>
              <w:t>14</w:t>
            </w:r>
            <w:r>
              <w:rPr>
                <w:noProof/>
              </w:rPr>
              <w:fldChar w:fldCharType="end"/>
            </w:r>
          </w:hyperlink>
        </w:p>
        <w:p w:rsidR="006D0A9D" w:rsidRDefault="008B52D1">
          <w:pPr>
            <w:pStyle w:val="TOC2"/>
            <w:rPr>
              <w:rFonts w:asciiTheme="minorHAnsi" w:hAnsiTheme="minorHAnsi"/>
              <w:noProof/>
              <w:sz w:val="22"/>
            </w:rPr>
          </w:pPr>
          <w:hyperlink w:anchor="_Toc256000090" w:history="1">
            <w:r>
              <w:rPr>
                <w:rStyle w:val="Hyperlink"/>
                <w:noProof/>
              </w:rPr>
              <w:t>2.3</w:t>
            </w:r>
            <w:r>
              <w:rPr>
                <w:rFonts w:asciiTheme="minorHAnsi" w:hAnsiTheme="minorHAnsi"/>
                <w:noProof/>
                <w:sz w:val="22"/>
              </w:rPr>
              <w:tab/>
            </w:r>
            <w:r w:rsidRPr="00612EB9">
              <w:rPr>
                <w:rStyle w:val="Hyperlink"/>
                <w:noProof/>
              </w:rPr>
              <w:t>Customary ownership</w:t>
            </w:r>
            <w:r>
              <w:rPr>
                <w:noProof/>
              </w:rPr>
              <w:tab/>
            </w:r>
            <w:r>
              <w:rPr>
                <w:noProof/>
              </w:rPr>
              <w:fldChar w:fldCharType="begin"/>
            </w:r>
            <w:r>
              <w:rPr>
                <w:noProof/>
              </w:rPr>
              <w:instrText xml:space="preserve"> PAGEREF _Toc256000090 \h </w:instrText>
            </w:r>
            <w:r>
              <w:rPr>
                <w:noProof/>
              </w:rPr>
            </w:r>
            <w:r>
              <w:rPr>
                <w:noProof/>
              </w:rPr>
              <w:fldChar w:fldCharType="separate"/>
            </w:r>
            <w:r w:rsidR="00C14302">
              <w:rPr>
                <w:noProof/>
              </w:rPr>
              <w:t>15</w:t>
            </w:r>
            <w:r>
              <w:rPr>
                <w:noProof/>
              </w:rPr>
              <w:fldChar w:fldCharType="end"/>
            </w:r>
          </w:hyperlink>
        </w:p>
        <w:p w:rsidR="006D0A9D" w:rsidRDefault="008B52D1">
          <w:pPr>
            <w:pStyle w:val="TOC2"/>
            <w:rPr>
              <w:rFonts w:asciiTheme="minorHAnsi" w:hAnsiTheme="minorHAnsi"/>
              <w:noProof/>
              <w:sz w:val="22"/>
            </w:rPr>
          </w:pPr>
          <w:hyperlink w:anchor="_Toc256000091" w:history="1">
            <w:r>
              <w:rPr>
                <w:rStyle w:val="Hyperlink"/>
                <w:noProof/>
              </w:rPr>
              <w:t>2.4</w:t>
            </w:r>
            <w:r>
              <w:rPr>
                <w:rFonts w:asciiTheme="minorHAnsi" w:hAnsiTheme="minorHAnsi"/>
                <w:noProof/>
                <w:sz w:val="22"/>
              </w:rPr>
              <w:tab/>
            </w:r>
            <w:r>
              <w:rPr>
                <w:rStyle w:val="Hyperlink"/>
                <w:noProof/>
              </w:rPr>
              <w:t>Informal settlements</w:t>
            </w:r>
            <w:r>
              <w:rPr>
                <w:noProof/>
              </w:rPr>
              <w:tab/>
            </w:r>
            <w:r>
              <w:rPr>
                <w:noProof/>
              </w:rPr>
              <w:fldChar w:fldCharType="begin"/>
            </w:r>
            <w:r>
              <w:rPr>
                <w:noProof/>
              </w:rPr>
              <w:instrText xml:space="preserve"> PAGEREF _Toc256000091 \h </w:instrText>
            </w:r>
            <w:r>
              <w:rPr>
                <w:noProof/>
              </w:rPr>
            </w:r>
            <w:r>
              <w:rPr>
                <w:noProof/>
              </w:rPr>
              <w:fldChar w:fldCharType="separate"/>
            </w:r>
            <w:r w:rsidR="00C14302">
              <w:rPr>
                <w:noProof/>
              </w:rPr>
              <w:t>16</w:t>
            </w:r>
            <w:r>
              <w:rPr>
                <w:noProof/>
              </w:rPr>
              <w:fldChar w:fldCharType="end"/>
            </w:r>
          </w:hyperlink>
        </w:p>
        <w:p w:rsidR="006D0A9D" w:rsidRDefault="008B52D1">
          <w:pPr>
            <w:pStyle w:val="TOC1"/>
            <w:rPr>
              <w:rFonts w:asciiTheme="minorHAnsi" w:hAnsiTheme="minorHAnsi"/>
              <w:noProof/>
              <w:sz w:val="22"/>
            </w:rPr>
          </w:pPr>
          <w:hyperlink w:anchor="_Toc256000092" w:history="1">
            <w:r>
              <w:rPr>
                <w:rStyle w:val="Hyperlink"/>
                <w:noProof/>
                <w:lang w:val="en-GB" w:eastAsia="en-GB"/>
              </w:rPr>
              <w:t>3</w:t>
            </w:r>
            <w:r>
              <w:rPr>
                <w:rFonts w:asciiTheme="minorHAnsi" w:hAnsiTheme="minorHAnsi"/>
                <w:noProof/>
                <w:sz w:val="22"/>
                <w:lang w:val="en-GB" w:eastAsia="en-GB"/>
              </w:rPr>
              <w:tab/>
            </w:r>
            <w:r>
              <w:rPr>
                <w:rStyle w:val="Hyperlink"/>
                <w:noProof/>
                <w:lang w:val="en-GB" w:eastAsia="en-GB"/>
              </w:rPr>
              <w:t>Security of tenure and vulnerable groups</w:t>
            </w:r>
            <w:r>
              <w:rPr>
                <w:noProof/>
              </w:rPr>
              <w:tab/>
            </w:r>
            <w:r>
              <w:rPr>
                <w:noProof/>
              </w:rPr>
              <w:fldChar w:fldCharType="begin"/>
            </w:r>
            <w:r>
              <w:rPr>
                <w:noProof/>
              </w:rPr>
              <w:instrText xml:space="preserve"> PAGEREF _Toc256000092 \h </w:instrText>
            </w:r>
            <w:r>
              <w:rPr>
                <w:noProof/>
              </w:rPr>
            </w:r>
            <w:r>
              <w:rPr>
                <w:noProof/>
              </w:rPr>
              <w:fldChar w:fldCharType="separate"/>
            </w:r>
            <w:r w:rsidR="00C14302">
              <w:rPr>
                <w:noProof/>
              </w:rPr>
              <w:t>18</w:t>
            </w:r>
            <w:r>
              <w:rPr>
                <w:noProof/>
              </w:rPr>
              <w:fldChar w:fldCharType="end"/>
            </w:r>
          </w:hyperlink>
        </w:p>
        <w:p w:rsidR="006D0A9D" w:rsidRDefault="008B52D1">
          <w:pPr>
            <w:pStyle w:val="TOC2"/>
            <w:rPr>
              <w:rFonts w:asciiTheme="minorHAnsi" w:hAnsiTheme="minorHAnsi"/>
              <w:noProof/>
              <w:sz w:val="22"/>
            </w:rPr>
          </w:pPr>
          <w:hyperlink w:anchor="_Toc256000093" w:history="1">
            <w:r>
              <w:rPr>
                <w:rStyle w:val="Hyperlink"/>
                <w:noProof/>
                <w:lang w:val="en-GB" w:eastAsia="en-GB"/>
              </w:rPr>
              <w:t>3.1</w:t>
            </w:r>
            <w:r>
              <w:rPr>
                <w:rFonts w:asciiTheme="minorHAnsi" w:hAnsiTheme="minorHAnsi"/>
                <w:noProof/>
                <w:sz w:val="22"/>
                <w:lang w:val="en-GB" w:eastAsia="en-GB"/>
              </w:rPr>
              <w:tab/>
            </w:r>
            <w:r>
              <w:rPr>
                <w:rStyle w:val="Hyperlink"/>
                <w:noProof/>
                <w:lang w:val="en-GB" w:eastAsia="en-GB"/>
              </w:rPr>
              <w:t>Women</w:t>
            </w:r>
            <w:r>
              <w:rPr>
                <w:noProof/>
              </w:rPr>
              <w:tab/>
            </w:r>
            <w:r>
              <w:rPr>
                <w:noProof/>
              </w:rPr>
              <w:fldChar w:fldCharType="begin"/>
            </w:r>
            <w:r>
              <w:rPr>
                <w:noProof/>
              </w:rPr>
              <w:instrText xml:space="preserve"> PAGEREF _Toc256000093 \h </w:instrText>
            </w:r>
            <w:r>
              <w:rPr>
                <w:noProof/>
              </w:rPr>
            </w:r>
            <w:r>
              <w:rPr>
                <w:noProof/>
              </w:rPr>
              <w:fldChar w:fldCharType="separate"/>
            </w:r>
            <w:r w:rsidR="00C14302">
              <w:rPr>
                <w:noProof/>
              </w:rPr>
              <w:t>18</w:t>
            </w:r>
            <w:r>
              <w:rPr>
                <w:noProof/>
              </w:rPr>
              <w:fldChar w:fldCharType="end"/>
            </w:r>
          </w:hyperlink>
        </w:p>
        <w:p w:rsidR="006D0A9D" w:rsidRDefault="008B52D1">
          <w:pPr>
            <w:pStyle w:val="TOC2"/>
            <w:rPr>
              <w:rFonts w:asciiTheme="minorHAnsi" w:hAnsiTheme="minorHAnsi"/>
              <w:noProof/>
              <w:sz w:val="22"/>
            </w:rPr>
          </w:pPr>
          <w:hyperlink w:anchor="_Toc256000094" w:history="1">
            <w:r>
              <w:rPr>
                <w:rStyle w:val="Hyperlink"/>
                <w:noProof/>
                <w:lang w:val="en-GB" w:eastAsia="en-GB"/>
              </w:rPr>
              <w:t>3.2</w:t>
            </w:r>
            <w:r>
              <w:rPr>
                <w:rFonts w:asciiTheme="minorHAnsi" w:hAnsiTheme="minorHAnsi"/>
                <w:noProof/>
                <w:sz w:val="22"/>
                <w:lang w:val="en-GB" w:eastAsia="en-GB"/>
              </w:rPr>
              <w:tab/>
            </w:r>
            <w:r w:rsidRPr="004E4875">
              <w:rPr>
                <w:rStyle w:val="Hyperlink"/>
                <w:noProof/>
                <w:lang w:val="en-GB" w:eastAsia="en-GB"/>
              </w:rPr>
              <w:t>Indigenous groups</w:t>
            </w:r>
            <w:r>
              <w:rPr>
                <w:noProof/>
              </w:rPr>
              <w:tab/>
            </w:r>
            <w:r>
              <w:rPr>
                <w:noProof/>
              </w:rPr>
              <w:fldChar w:fldCharType="begin"/>
            </w:r>
            <w:r>
              <w:rPr>
                <w:noProof/>
              </w:rPr>
              <w:instrText xml:space="preserve"> PAGEREF _Toc256000094 \h </w:instrText>
            </w:r>
            <w:r>
              <w:rPr>
                <w:noProof/>
              </w:rPr>
            </w:r>
            <w:r>
              <w:rPr>
                <w:noProof/>
              </w:rPr>
              <w:fldChar w:fldCharType="separate"/>
            </w:r>
            <w:r w:rsidR="00C14302">
              <w:rPr>
                <w:noProof/>
              </w:rPr>
              <w:t>19</w:t>
            </w:r>
            <w:r>
              <w:rPr>
                <w:noProof/>
              </w:rPr>
              <w:fldChar w:fldCharType="end"/>
            </w:r>
          </w:hyperlink>
        </w:p>
        <w:p w:rsidR="006D0A9D" w:rsidRDefault="008B52D1">
          <w:pPr>
            <w:pStyle w:val="TOC2"/>
            <w:rPr>
              <w:rFonts w:asciiTheme="minorHAnsi" w:hAnsiTheme="minorHAnsi"/>
              <w:noProof/>
              <w:sz w:val="22"/>
            </w:rPr>
          </w:pPr>
          <w:hyperlink w:anchor="_Toc256000095" w:history="1">
            <w:r>
              <w:rPr>
                <w:rStyle w:val="Hyperlink"/>
                <w:noProof/>
                <w:lang w:val="en-GB" w:eastAsia="en-GB"/>
              </w:rPr>
              <w:t>3.3</w:t>
            </w:r>
            <w:r>
              <w:rPr>
                <w:rFonts w:asciiTheme="minorHAnsi" w:hAnsiTheme="minorHAnsi"/>
                <w:noProof/>
                <w:sz w:val="22"/>
                <w:lang w:val="en-GB" w:eastAsia="en-GB"/>
              </w:rPr>
              <w:tab/>
            </w:r>
            <w:r w:rsidRPr="004E4875">
              <w:rPr>
                <w:rStyle w:val="Hyperlink"/>
                <w:noProof/>
                <w:lang w:val="en-GB" w:eastAsia="en-GB"/>
              </w:rPr>
              <w:t>Minority groups</w:t>
            </w:r>
            <w:r>
              <w:rPr>
                <w:noProof/>
              </w:rPr>
              <w:tab/>
            </w:r>
            <w:r>
              <w:rPr>
                <w:noProof/>
              </w:rPr>
              <w:fldChar w:fldCharType="begin"/>
            </w:r>
            <w:r>
              <w:rPr>
                <w:noProof/>
              </w:rPr>
              <w:instrText xml:space="preserve"> PAGEREF _Toc256000095 \h </w:instrText>
            </w:r>
            <w:r>
              <w:rPr>
                <w:noProof/>
              </w:rPr>
            </w:r>
            <w:r>
              <w:rPr>
                <w:noProof/>
              </w:rPr>
              <w:fldChar w:fldCharType="separate"/>
            </w:r>
            <w:r w:rsidR="00C14302">
              <w:rPr>
                <w:noProof/>
              </w:rPr>
              <w:t>20</w:t>
            </w:r>
            <w:r>
              <w:rPr>
                <w:noProof/>
              </w:rPr>
              <w:fldChar w:fldCharType="end"/>
            </w:r>
          </w:hyperlink>
        </w:p>
        <w:p w:rsidR="006D0A9D" w:rsidRDefault="008B52D1">
          <w:pPr>
            <w:pStyle w:val="TOC2"/>
            <w:rPr>
              <w:rFonts w:asciiTheme="minorHAnsi" w:hAnsiTheme="minorHAnsi"/>
              <w:noProof/>
              <w:sz w:val="22"/>
            </w:rPr>
          </w:pPr>
          <w:hyperlink w:anchor="_Toc256000096" w:history="1">
            <w:r>
              <w:rPr>
                <w:rStyle w:val="Hyperlink"/>
                <w:noProof/>
              </w:rPr>
              <w:t>3.4</w:t>
            </w:r>
            <w:r>
              <w:rPr>
                <w:rFonts w:asciiTheme="minorHAnsi" w:hAnsiTheme="minorHAnsi"/>
                <w:noProof/>
                <w:sz w:val="22"/>
              </w:rPr>
              <w:tab/>
            </w:r>
            <w:r>
              <w:rPr>
                <w:rStyle w:val="Hyperlink"/>
                <w:noProof/>
              </w:rPr>
              <w:t>Landless people/squatters</w:t>
            </w:r>
            <w:r>
              <w:rPr>
                <w:noProof/>
              </w:rPr>
              <w:tab/>
            </w:r>
            <w:r>
              <w:rPr>
                <w:noProof/>
              </w:rPr>
              <w:fldChar w:fldCharType="begin"/>
            </w:r>
            <w:r>
              <w:rPr>
                <w:noProof/>
              </w:rPr>
              <w:instrText xml:space="preserve"> PAGEREF _Toc256000096 \h </w:instrText>
            </w:r>
            <w:r>
              <w:rPr>
                <w:noProof/>
              </w:rPr>
            </w:r>
            <w:r>
              <w:rPr>
                <w:noProof/>
              </w:rPr>
              <w:fldChar w:fldCharType="separate"/>
            </w:r>
            <w:r w:rsidR="00C14302">
              <w:rPr>
                <w:noProof/>
              </w:rPr>
              <w:t>22</w:t>
            </w:r>
            <w:r>
              <w:rPr>
                <w:noProof/>
              </w:rPr>
              <w:fldChar w:fldCharType="end"/>
            </w:r>
          </w:hyperlink>
        </w:p>
        <w:p w:rsidR="006D0A9D" w:rsidRDefault="008B52D1">
          <w:pPr>
            <w:pStyle w:val="TOC2"/>
            <w:rPr>
              <w:rFonts w:asciiTheme="minorHAnsi" w:hAnsiTheme="minorHAnsi"/>
              <w:noProof/>
              <w:sz w:val="22"/>
            </w:rPr>
          </w:pPr>
          <w:hyperlink w:anchor="_Toc256000097" w:history="1">
            <w:r>
              <w:rPr>
                <w:rStyle w:val="Hyperlink"/>
                <w:noProof/>
              </w:rPr>
              <w:t>3.5</w:t>
            </w:r>
            <w:r>
              <w:rPr>
                <w:rFonts w:asciiTheme="minorHAnsi" w:hAnsiTheme="minorHAnsi"/>
                <w:noProof/>
                <w:sz w:val="22"/>
              </w:rPr>
              <w:tab/>
            </w:r>
            <w:r>
              <w:rPr>
                <w:rStyle w:val="Hyperlink"/>
                <w:noProof/>
              </w:rPr>
              <w:t>General questions</w:t>
            </w:r>
            <w:r>
              <w:rPr>
                <w:noProof/>
              </w:rPr>
              <w:tab/>
            </w:r>
            <w:r>
              <w:rPr>
                <w:noProof/>
              </w:rPr>
              <w:fldChar w:fldCharType="begin"/>
            </w:r>
            <w:r>
              <w:rPr>
                <w:noProof/>
              </w:rPr>
              <w:instrText xml:space="preserve"> PAGEREF _Toc256000097 \h </w:instrText>
            </w:r>
            <w:r>
              <w:rPr>
                <w:noProof/>
              </w:rPr>
            </w:r>
            <w:r>
              <w:rPr>
                <w:noProof/>
              </w:rPr>
              <w:fldChar w:fldCharType="separate"/>
            </w:r>
            <w:r w:rsidR="00C14302">
              <w:rPr>
                <w:noProof/>
              </w:rPr>
              <w:t>22</w:t>
            </w:r>
            <w:r>
              <w:rPr>
                <w:noProof/>
              </w:rPr>
              <w:fldChar w:fldCharType="end"/>
            </w:r>
          </w:hyperlink>
        </w:p>
        <w:p w:rsidR="006D0A9D" w:rsidRDefault="008B52D1">
          <w:pPr>
            <w:pStyle w:val="TOC1"/>
            <w:rPr>
              <w:rFonts w:asciiTheme="minorHAnsi" w:hAnsiTheme="minorHAnsi"/>
              <w:noProof/>
              <w:sz w:val="22"/>
            </w:rPr>
          </w:pPr>
          <w:hyperlink w:anchor="_Toc256000098" w:history="1">
            <w:r>
              <w:rPr>
                <w:rStyle w:val="Hyperlink"/>
                <w:noProof/>
              </w:rPr>
              <w:t>4</w:t>
            </w:r>
            <w:r>
              <w:rPr>
                <w:rFonts w:asciiTheme="minorHAnsi" w:hAnsiTheme="minorHAnsi"/>
                <w:noProof/>
                <w:sz w:val="22"/>
              </w:rPr>
              <w:tab/>
            </w:r>
            <w:r>
              <w:rPr>
                <w:rStyle w:val="Hyperlink"/>
                <w:noProof/>
              </w:rPr>
              <w:t>Eviction, Expropriation and Relocation</w:t>
            </w:r>
            <w:r>
              <w:rPr>
                <w:noProof/>
              </w:rPr>
              <w:tab/>
            </w:r>
            <w:r>
              <w:rPr>
                <w:noProof/>
              </w:rPr>
              <w:fldChar w:fldCharType="begin"/>
            </w:r>
            <w:r>
              <w:rPr>
                <w:noProof/>
              </w:rPr>
              <w:instrText xml:space="preserve"> PAGEREF _Toc256000098 \h </w:instrText>
            </w:r>
            <w:r>
              <w:rPr>
                <w:noProof/>
              </w:rPr>
            </w:r>
            <w:r>
              <w:rPr>
                <w:noProof/>
              </w:rPr>
              <w:fldChar w:fldCharType="separate"/>
            </w:r>
            <w:r w:rsidR="00C14302">
              <w:rPr>
                <w:noProof/>
              </w:rPr>
              <w:t>23</w:t>
            </w:r>
            <w:r>
              <w:rPr>
                <w:noProof/>
              </w:rPr>
              <w:fldChar w:fldCharType="end"/>
            </w:r>
          </w:hyperlink>
        </w:p>
        <w:p w:rsidR="006D0A9D" w:rsidRDefault="008B52D1">
          <w:pPr>
            <w:pStyle w:val="TOC2"/>
            <w:rPr>
              <w:rFonts w:asciiTheme="minorHAnsi" w:hAnsiTheme="minorHAnsi"/>
              <w:noProof/>
              <w:sz w:val="22"/>
            </w:rPr>
          </w:pPr>
          <w:hyperlink w:anchor="_Toc256000099" w:history="1">
            <w:r>
              <w:rPr>
                <w:rStyle w:val="Hyperlink"/>
                <w:noProof/>
              </w:rPr>
              <w:t>4.1</w:t>
            </w:r>
            <w:r>
              <w:rPr>
                <w:rFonts w:asciiTheme="minorHAnsi" w:hAnsiTheme="minorHAnsi"/>
                <w:noProof/>
                <w:sz w:val="22"/>
              </w:rPr>
              <w:tab/>
            </w:r>
            <w:r>
              <w:rPr>
                <w:rStyle w:val="Hyperlink"/>
                <w:noProof/>
              </w:rPr>
              <w:t>Eviction</w:t>
            </w:r>
            <w:r>
              <w:rPr>
                <w:noProof/>
              </w:rPr>
              <w:tab/>
            </w:r>
            <w:r>
              <w:rPr>
                <w:noProof/>
              </w:rPr>
              <w:fldChar w:fldCharType="begin"/>
            </w:r>
            <w:r>
              <w:rPr>
                <w:noProof/>
              </w:rPr>
              <w:instrText xml:space="preserve"> PAGEREF _Toc256000099 \h </w:instrText>
            </w:r>
            <w:r>
              <w:rPr>
                <w:noProof/>
              </w:rPr>
            </w:r>
            <w:r>
              <w:rPr>
                <w:noProof/>
              </w:rPr>
              <w:fldChar w:fldCharType="separate"/>
            </w:r>
            <w:r w:rsidR="00C14302">
              <w:rPr>
                <w:noProof/>
              </w:rPr>
              <w:t>23</w:t>
            </w:r>
            <w:r>
              <w:rPr>
                <w:noProof/>
              </w:rPr>
              <w:fldChar w:fldCharType="end"/>
            </w:r>
          </w:hyperlink>
        </w:p>
        <w:p w:rsidR="006D0A9D" w:rsidRDefault="008B52D1">
          <w:pPr>
            <w:pStyle w:val="TOC2"/>
            <w:rPr>
              <w:rFonts w:asciiTheme="minorHAnsi" w:hAnsiTheme="minorHAnsi"/>
              <w:noProof/>
              <w:sz w:val="22"/>
            </w:rPr>
          </w:pPr>
          <w:hyperlink w:anchor="_Toc256000100" w:history="1">
            <w:r>
              <w:rPr>
                <w:rStyle w:val="Hyperlink"/>
                <w:noProof/>
              </w:rPr>
              <w:t>4.2</w:t>
            </w:r>
            <w:r>
              <w:rPr>
                <w:rFonts w:asciiTheme="minorHAnsi" w:hAnsiTheme="minorHAnsi"/>
                <w:noProof/>
                <w:sz w:val="22"/>
              </w:rPr>
              <w:tab/>
            </w:r>
            <w:r>
              <w:rPr>
                <w:rStyle w:val="Hyperlink"/>
                <w:noProof/>
              </w:rPr>
              <w:t>Expropriation</w:t>
            </w:r>
            <w:r>
              <w:rPr>
                <w:noProof/>
              </w:rPr>
              <w:tab/>
            </w:r>
            <w:r>
              <w:rPr>
                <w:noProof/>
              </w:rPr>
              <w:fldChar w:fldCharType="begin"/>
            </w:r>
            <w:r>
              <w:rPr>
                <w:noProof/>
              </w:rPr>
              <w:instrText xml:space="preserve"> PAGEREF _Toc256000100 \h </w:instrText>
            </w:r>
            <w:r>
              <w:rPr>
                <w:noProof/>
              </w:rPr>
            </w:r>
            <w:r>
              <w:rPr>
                <w:noProof/>
              </w:rPr>
              <w:fldChar w:fldCharType="separate"/>
            </w:r>
            <w:r w:rsidR="00C14302">
              <w:rPr>
                <w:noProof/>
              </w:rPr>
              <w:t>24</w:t>
            </w:r>
            <w:r>
              <w:rPr>
                <w:noProof/>
              </w:rPr>
              <w:fldChar w:fldCharType="end"/>
            </w:r>
          </w:hyperlink>
        </w:p>
        <w:p w:rsidR="006D0A9D" w:rsidRDefault="008B52D1">
          <w:pPr>
            <w:pStyle w:val="TOC2"/>
            <w:rPr>
              <w:rFonts w:asciiTheme="minorHAnsi" w:hAnsiTheme="minorHAnsi"/>
              <w:noProof/>
              <w:sz w:val="22"/>
            </w:rPr>
          </w:pPr>
          <w:hyperlink w:anchor="_Toc256000101" w:history="1">
            <w:r>
              <w:rPr>
                <w:rStyle w:val="Hyperlink"/>
                <w:noProof/>
              </w:rPr>
              <w:t>4.3</w:t>
            </w:r>
            <w:r>
              <w:rPr>
                <w:rFonts w:asciiTheme="minorHAnsi" w:hAnsiTheme="minorHAnsi"/>
                <w:noProof/>
                <w:sz w:val="22"/>
              </w:rPr>
              <w:tab/>
            </w:r>
            <w:r>
              <w:rPr>
                <w:rStyle w:val="Hyperlink"/>
                <w:noProof/>
              </w:rPr>
              <w:t>Relocation</w:t>
            </w:r>
            <w:r>
              <w:rPr>
                <w:noProof/>
              </w:rPr>
              <w:tab/>
            </w:r>
            <w:r>
              <w:rPr>
                <w:noProof/>
              </w:rPr>
              <w:fldChar w:fldCharType="begin"/>
            </w:r>
            <w:r>
              <w:rPr>
                <w:noProof/>
              </w:rPr>
              <w:instrText xml:space="preserve"> PAGEREF _Toc256000101 \h </w:instrText>
            </w:r>
            <w:r>
              <w:rPr>
                <w:noProof/>
              </w:rPr>
            </w:r>
            <w:r>
              <w:rPr>
                <w:noProof/>
              </w:rPr>
              <w:fldChar w:fldCharType="separate"/>
            </w:r>
            <w:r w:rsidR="00C14302">
              <w:rPr>
                <w:noProof/>
              </w:rPr>
              <w:t>24</w:t>
            </w:r>
            <w:r>
              <w:rPr>
                <w:noProof/>
              </w:rPr>
              <w:fldChar w:fldCharType="end"/>
            </w:r>
          </w:hyperlink>
        </w:p>
        <w:p w:rsidR="006D0A9D" w:rsidRDefault="008B52D1">
          <w:pPr>
            <w:pStyle w:val="TOC2"/>
            <w:rPr>
              <w:rFonts w:asciiTheme="minorHAnsi" w:hAnsiTheme="minorHAnsi"/>
              <w:noProof/>
              <w:sz w:val="22"/>
            </w:rPr>
          </w:pPr>
          <w:hyperlink w:anchor="_Toc256000102" w:history="1">
            <w:r>
              <w:rPr>
                <w:rStyle w:val="Hyperlink"/>
                <w:noProof/>
              </w:rPr>
              <w:t>4.4</w:t>
            </w:r>
            <w:r>
              <w:rPr>
                <w:rFonts w:asciiTheme="minorHAnsi" w:hAnsiTheme="minorHAnsi"/>
                <w:noProof/>
                <w:sz w:val="22"/>
              </w:rPr>
              <w:tab/>
            </w:r>
            <w:r>
              <w:rPr>
                <w:rStyle w:val="Hyperlink"/>
                <w:noProof/>
              </w:rPr>
              <w:t>Compensation</w:t>
            </w:r>
            <w:r>
              <w:rPr>
                <w:noProof/>
              </w:rPr>
              <w:tab/>
            </w:r>
            <w:r>
              <w:rPr>
                <w:noProof/>
              </w:rPr>
              <w:fldChar w:fldCharType="begin"/>
            </w:r>
            <w:r>
              <w:rPr>
                <w:noProof/>
              </w:rPr>
              <w:instrText xml:space="preserve"> PAGEREF _Toc256000102 \h </w:instrText>
            </w:r>
            <w:r>
              <w:rPr>
                <w:noProof/>
              </w:rPr>
            </w:r>
            <w:r>
              <w:rPr>
                <w:noProof/>
              </w:rPr>
              <w:fldChar w:fldCharType="separate"/>
            </w:r>
            <w:r w:rsidR="00C14302">
              <w:rPr>
                <w:noProof/>
              </w:rPr>
              <w:t>26</w:t>
            </w:r>
            <w:r>
              <w:rPr>
                <w:noProof/>
              </w:rPr>
              <w:fldChar w:fldCharType="end"/>
            </w:r>
          </w:hyperlink>
        </w:p>
        <w:p w:rsidR="006D0A9D" w:rsidRDefault="008B52D1">
          <w:pPr>
            <w:pStyle w:val="TOC2"/>
            <w:rPr>
              <w:rFonts w:asciiTheme="minorHAnsi" w:hAnsiTheme="minorHAnsi"/>
              <w:noProof/>
              <w:sz w:val="22"/>
            </w:rPr>
          </w:pPr>
          <w:hyperlink w:anchor="_Toc256000103" w:history="1">
            <w:r>
              <w:rPr>
                <w:rStyle w:val="Hyperlink"/>
                <w:noProof/>
              </w:rPr>
              <w:t>4.5</w:t>
            </w:r>
            <w:r>
              <w:rPr>
                <w:rFonts w:asciiTheme="minorHAnsi" w:hAnsiTheme="minorHAnsi"/>
                <w:noProof/>
                <w:sz w:val="22"/>
              </w:rPr>
              <w:tab/>
            </w:r>
            <w:r>
              <w:rPr>
                <w:rStyle w:val="Hyperlink"/>
                <w:noProof/>
              </w:rPr>
              <w:t>Shelter cluster</w:t>
            </w:r>
            <w:r>
              <w:rPr>
                <w:noProof/>
              </w:rPr>
              <w:tab/>
            </w:r>
            <w:r>
              <w:rPr>
                <w:noProof/>
              </w:rPr>
              <w:fldChar w:fldCharType="begin"/>
            </w:r>
            <w:r>
              <w:rPr>
                <w:noProof/>
              </w:rPr>
              <w:instrText xml:space="preserve"> PAGEREF _Toc256000103 \h </w:instrText>
            </w:r>
            <w:r>
              <w:rPr>
                <w:noProof/>
              </w:rPr>
            </w:r>
            <w:r>
              <w:rPr>
                <w:noProof/>
              </w:rPr>
              <w:fldChar w:fldCharType="separate"/>
            </w:r>
            <w:r w:rsidR="00C14302">
              <w:rPr>
                <w:noProof/>
              </w:rPr>
              <w:t>26</w:t>
            </w:r>
            <w:r>
              <w:rPr>
                <w:noProof/>
              </w:rPr>
              <w:fldChar w:fldCharType="end"/>
            </w:r>
          </w:hyperlink>
        </w:p>
        <w:p w:rsidR="006D0A9D" w:rsidRDefault="008B52D1">
          <w:pPr>
            <w:pStyle w:val="TOC1"/>
            <w:rPr>
              <w:rFonts w:asciiTheme="minorHAnsi" w:hAnsiTheme="minorHAnsi"/>
              <w:noProof/>
              <w:sz w:val="22"/>
            </w:rPr>
          </w:pPr>
          <w:hyperlink w:anchor="_Toc256000104" w:history="1">
            <w:r>
              <w:rPr>
                <w:rStyle w:val="Hyperlink"/>
                <w:noProof/>
              </w:rPr>
              <w:t>5</w:t>
            </w:r>
            <w:r>
              <w:rPr>
                <w:rFonts w:asciiTheme="minorHAnsi" w:hAnsiTheme="minorHAnsi"/>
                <w:noProof/>
                <w:sz w:val="22"/>
              </w:rPr>
              <w:tab/>
            </w:r>
            <w:r>
              <w:rPr>
                <w:rStyle w:val="Hyperlink"/>
                <w:noProof/>
              </w:rPr>
              <w:t>National Framework and Actors</w:t>
            </w:r>
            <w:r>
              <w:rPr>
                <w:noProof/>
              </w:rPr>
              <w:tab/>
            </w:r>
            <w:r>
              <w:rPr>
                <w:noProof/>
              </w:rPr>
              <w:fldChar w:fldCharType="begin"/>
            </w:r>
            <w:r>
              <w:rPr>
                <w:noProof/>
              </w:rPr>
              <w:instrText xml:space="preserve"> PAGEREF _Toc256000104 \h </w:instrText>
            </w:r>
            <w:r>
              <w:rPr>
                <w:noProof/>
              </w:rPr>
            </w:r>
            <w:r>
              <w:rPr>
                <w:noProof/>
              </w:rPr>
              <w:fldChar w:fldCharType="separate"/>
            </w:r>
            <w:r w:rsidR="00C14302">
              <w:rPr>
                <w:noProof/>
              </w:rPr>
              <w:t>26</w:t>
            </w:r>
            <w:r>
              <w:rPr>
                <w:noProof/>
              </w:rPr>
              <w:fldChar w:fldCharType="end"/>
            </w:r>
          </w:hyperlink>
        </w:p>
        <w:p w:rsidR="006D0A9D" w:rsidRDefault="008B52D1">
          <w:pPr>
            <w:pStyle w:val="TOC2"/>
            <w:rPr>
              <w:rFonts w:asciiTheme="minorHAnsi" w:hAnsiTheme="minorHAnsi"/>
              <w:noProof/>
              <w:sz w:val="22"/>
            </w:rPr>
          </w:pPr>
          <w:hyperlink w:anchor="_Toc256000105" w:history="1">
            <w:r>
              <w:rPr>
                <w:rStyle w:val="Hyperlink"/>
                <w:noProof/>
              </w:rPr>
              <w:t>5.1</w:t>
            </w:r>
            <w:r>
              <w:rPr>
                <w:rFonts w:asciiTheme="minorHAnsi" w:hAnsiTheme="minorHAnsi"/>
                <w:noProof/>
                <w:sz w:val="22"/>
              </w:rPr>
              <w:tab/>
            </w:r>
            <w:r>
              <w:rPr>
                <w:rStyle w:val="Hyperlink"/>
                <w:noProof/>
              </w:rPr>
              <w:t>Are there laws/regulations/policy guiding shelter provision in disaster response and recovery?</w:t>
            </w:r>
            <w:r>
              <w:rPr>
                <w:noProof/>
              </w:rPr>
              <w:tab/>
            </w:r>
            <w:r>
              <w:rPr>
                <w:noProof/>
              </w:rPr>
              <w:fldChar w:fldCharType="begin"/>
            </w:r>
            <w:r>
              <w:rPr>
                <w:noProof/>
              </w:rPr>
              <w:instrText xml:space="preserve"> PAGEREF _Toc256000105 \h </w:instrText>
            </w:r>
            <w:r>
              <w:rPr>
                <w:noProof/>
              </w:rPr>
            </w:r>
            <w:r>
              <w:rPr>
                <w:noProof/>
              </w:rPr>
              <w:fldChar w:fldCharType="separate"/>
            </w:r>
            <w:r w:rsidR="00C14302">
              <w:rPr>
                <w:noProof/>
              </w:rPr>
              <w:t>26</w:t>
            </w:r>
            <w:r>
              <w:rPr>
                <w:noProof/>
              </w:rPr>
              <w:fldChar w:fldCharType="end"/>
            </w:r>
          </w:hyperlink>
        </w:p>
        <w:p w:rsidR="006D0A9D" w:rsidRDefault="008B52D1">
          <w:pPr>
            <w:pStyle w:val="TOC2"/>
            <w:rPr>
              <w:rFonts w:asciiTheme="minorHAnsi" w:hAnsiTheme="minorHAnsi"/>
              <w:noProof/>
              <w:sz w:val="22"/>
            </w:rPr>
          </w:pPr>
          <w:hyperlink w:anchor="_Toc256000106" w:history="1">
            <w:r>
              <w:rPr>
                <w:rStyle w:val="Hyperlink"/>
                <w:noProof/>
              </w:rPr>
              <w:t>5.2</w:t>
            </w:r>
            <w:r>
              <w:rPr>
                <w:rFonts w:asciiTheme="minorHAnsi" w:hAnsiTheme="minorHAnsi"/>
                <w:noProof/>
                <w:sz w:val="22"/>
              </w:rPr>
              <w:tab/>
            </w:r>
            <w:r>
              <w:rPr>
                <w:rStyle w:val="Hyperlink"/>
                <w:noProof/>
              </w:rPr>
              <w:t>Which g</w:t>
            </w:r>
            <w:r w:rsidR="006A76A1">
              <w:rPr>
                <w:rStyle w:val="Hyperlink"/>
                <w:noProof/>
              </w:rPr>
              <w:t>overnment agency takes the lead</w:t>
            </w:r>
            <w:r>
              <w:rPr>
                <w:rStyle w:val="Hyperlink"/>
                <w:noProof/>
              </w:rPr>
              <w:t xml:space="preserve"> in housing/land/shelter issues in peace time and in disasters?</w:t>
            </w:r>
            <w:r>
              <w:rPr>
                <w:noProof/>
              </w:rPr>
              <w:tab/>
            </w:r>
            <w:r>
              <w:rPr>
                <w:noProof/>
              </w:rPr>
              <w:fldChar w:fldCharType="begin"/>
            </w:r>
            <w:r>
              <w:rPr>
                <w:noProof/>
              </w:rPr>
              <w:instrText xml:space="preserve"> PAGEREF _Toc256000106 \h </w:instrText>
            </w:r>
            <w:r>
              <w:rPr>
                <w:noProof/>
              </w:rPr>
            </w:r>
            <w:r>
              <w:rPr>
                <w:noProof/>
              </w:rPr>
              <w:fldChar w:fldCharType="separate"/>
            </w:r>
            <w:r w:rsidR="00C14302">
              <w:rPr>
                <w:noProof/>
              </w:rPr>
              <w:t>28</w:t>
            </w:r>
            <w:r>
              <w:rPr>
                <w:noProof/>
              </w:rPr>
              <w:fldChar w:fldCharType="end"/>
            </w:r>
          </w:hyperlink>
        </w:p>
        <w:p w:rsidR="006D0A9D" w:rsidRDefault="008B52D1">
          <w:pPr>
            <w:pStyle w:val="TOC2"/>
            <w:rPr>
              <w:rFonts w:asciiTheme="minorHAnsi" w:hAnsiTheme="minorHAnsi"/>
              <w:noProof/>
              <w:sz w:val="22"/>
            </w:rPr>
          </w:pPr>
          <w:hyperlink w:anchor="_Toc256000107" w:history="1">
            <w:r>
              <w:rPr>
                <w:rStyle w:val="Hyperlink"/>
                <w:noProof/>
              </w:rPr>
              <w:t>5.3</w:t>
            </w:r>
            <w:r>
              <w:rPr>
                <w:rFonts w:asciiTheme="minorHAnsi" w:hAnsiTheme="minorHAnsi"/>
                <w:noProof/>
                <w:sz w:val="22"/>
              </w:rPr>
              <w:tab/>
            </w:r>
            <w:r>
              <w:rPr>
                <w:rStyle w:val="Hyperlink"/>
                <w:noProof/>
              </w:rPr>
              <w:t>What other government agencies are involve</w:t>
            </w:r>
            <w:r w:rsidR="00271127">
              <w:rPr>
                <w:rStyle w:val="Hyperlink"/>
                <w:noProof/>
              </w:rPr>
              <w:t xml:space="preserve">d in shelter issues in disaster </w:t>
            </w:r>
            <w:r>
              <w:rPr>
                <w:rStyle w:val="Hyperlink"/>
                <w:noProof/>
              </w:rPr>
              <w:t>response?</w:t>
            </w:r>
            <w:r>
              <w:rPr>
                <w:noProof/>
              </w:rPr>
              <w:tab/>
            </w:r>
            <w:r>
              <w:rPr>
                <w:noProof/>
              </w:rPr>
              <w:fldChar w:fldCharType="begin"/>
            </w:r>
            <w:r>
              <w:rPr>
                <w:noProof/>
              </w:rPr>
              <w:instrText xml:space="preserve"> PAGEREF _Toc256000107 \h </w:instrText>
            </w:r>
            <w:r>
              <w:rPr>
                <w:noProof/>
              </w:rPr>
            </w:r>
            <w:r>
              <w:rPr>
                <w:noProof/>
              </w:rPr>
              <w:fldChar w:fldCharType="separate"/>
            </w:r>
            <w:r w:rsidR="00C14302">
              <w:rPr>
                <w:noProof/>
              </w:rPr>
              <w:t>28</w:t>
            </w:r>
            <w:r>
              <w:rPr>
                <w:noProof/>
              </w:rPr>
              <w:fldChar w:fldCharType="end"/>
            </w:r>
          </w:hyperlink>
        </w:p>
        <w:p w:rsidR="006D0A9D" w:rsidRDefault="008B52D1">
          <w:pPr>
            <w:pStyle w:val="TOC2"/>
            <w:rPr>
              <w:rFonts w:asciiTheme="minorHAnsi" w:hAnsiTheme="minorHAnsi"/>
              <w:noProof/>
              <w:sz w:val="22"/>
            </w:rPr>
          </w:pPr>
          <w:hyperlink w:anchor="_Toc256000108" w:history="1">
            <w:r>
              <w:rPr>
                <w:rStyle w:val="Hyperlink"/>
                <w:noProof/>
              </w:rPr>
              <w:t>5.4</w:t>
            </w:r>
            <w:r>
              <w:rPr>
                <w:rFonts w:asciiTheme="minorHAnsi" w:hAnsiTheme="minorHAnsi"/>
                <w:noProof/>
                <w:sz w:val="22"/>
              </w:rPr>
              <w:tab/>
            </w:r>
            <w:r>
              <w:rPr>
                <w:rStyle w:val="Hyperlink"/>
                <w:noProof/>
              </w:rPr>
              <w:t>Is there a shelter cluster in Jordan? If so, how does this function?</w:t>
            </w:r>
            <w:r>
              <w:rPr>
                <w:noProof/>
              </w:rPr>
              <w:tab/>
            </w:r>
            <w:r>
              <w:rPr>
                <w:noProof/>
              </w:rPr>
              <w:fldChar w:fldCharType="begin"/>
            </w:r>
            <w:r>
              <w:rPr>
                <w:noProof/>
              </w:rPr>
              <w:instrText xml:space="preserve"> PAGEREF _Toc256000108 \h </w:instrText>
            </w:r>
            <w:r>
              <w:rPr>
                <w:noProof/>
              </w:rPr>
            </w:r>
            <w:r>
              <w:rPr>
                <w:noProof/>
              </w:rPr>
              <w:fldChar w:fldCharType="separate"/>
            </w:r>
            <w:r w:rsidR="00C14302">
              <w:rPr>
                <w:noProof/>
              </w:rPr>
              <w:t>29</w:t>
            </w:r>
            <w:r>
              <w:rPr>
                <w:noProof/>
              </w:rPr>
              <w:fldChar w:fldCharType="end"/>
            </w:r>
          </w:hyperlink>
        </w:p>
        <w:p w:rsidR="006D0A9D" w:rsidRDefault="008B52D1">
          <w:pPr>
            <w:pStyle w:val="TOC2"/>
            <w:rPr>
              <w:rFonts w:asciiTheme="minorHAnsi" w:hAnsiTheme="minorHAnsi"/>
              <w:noProof/>
              <w:sz w:val="22"/>
            </w:rPr>
          </w:pPr>
          <w:hyperlink w:anchor="_Toc256000109" w:history="1">
            <w:r>
              <w:rPr>
                <w:rStyle w:val="Hyperlink"/>
                <w:noProof/>
              </w:rPr>
              <w:t>5.5</w:t>
            </w:r>
            <w:r>
              <w:rPr>
                <w:rFonts w:asciiTheme="minorHAnsi" w:hAnsiTheme="minorHAnsi"/>
                <w:noProof/>
                <w:sz w:val="22"/>
              </w:rPr>
              <w:tab/>
            </w:r>
            <w:r>
              <w:rPr>
                <w:rStyle w:val="Hyperlink"/>
                <w:noProof/>
              </w:rPr>
              <w:t>Does IFRC or the Host NS have recognised role in shelter in Jordan?</w:t>
            </w:r>
            <w:r>
              <w:rPr>
                <w:noProof/>
              </w:rPr>
              <w:tab/>
            </w:r>
            <w:r>
              <w:rPr>
                <w:noProof/>
              </w:rPr>
              <w:fldChar w:fldCharType="begin"/>
            </w:r>
            <w:r>
              <w:rPr>
                <w:noProof/>
              </w:rPr>
              <w:instrText xml:space="preserve"> PAGEREF _Toc256000109 \h </w:instrText>
            </w:r>
            <w:r>
              <w:rPr>
                <w:noProof/>
              </w:rPr>
            </w:r>
            <w:r>
              <w:rPr>
                <w:noProof/>
              </w:rPr>
              <w:fldChar w:fldCharType="separate"/>
            </w:r>
            <w:r w:rsidR="00C14302">
              <w:rPr>
                <w:noProof/>
              </w:rPr>
              <w:t>29</w:t>
            </w:r>
            <w:r>
              <w:rPr>
                <w:noProof/>
              </w:rPr>
              <w:fldChar w:fldCharType="end"/>
            </w:r>
          </w:hyperlink>
        </w:p>
        <w:p w:rsidR="006D0A9D" w:rsidRDefault="008B52D1">
          <w:pPr>
            <w:pStyle w:val="TOC2"/>
            <w:rPr>
              <w:rFonts w:asciiTheme="minorHAnsi" w:hAnsiTheme="minorHAnsi"/>
              <w:noProof/>
              <w:sz w:val="22"/>
            </w:rPr>
          </w:pPr>
          <w:hyperlink w:anchor="_Toc256000110" w:history="1">
            <w:r>
              <w:rPr>
                <w:rStyle w:val="Hyperlink"/>
                <w:noProof/>
              </w:rPr>
              <w:t>5.6</w:t>
            </w:r>
            <w:r>
              <w:rPr>
                <w:rFonts w:asciiTheme="minorHAnsi" w:hAnsiTheme="minorHAnsi"/>
                <w:noProof/>
                <w:sz w:val="22"/>
              </w:rPr>
              <w:tab/>
            </w:r>
            <w:r>
              <w:rPr>
                <w:rStyle w:val="Hyperlink"/>
                <w:noProof/>
              </w:rPr>
              <w:t>In previous disasters, were beneficiaries of shelter assistance required to provide proof of security of tenure? If so, which actors required proof and what type of evidence was necessary?</w:t>
            </w:r>
            <w:r>
              <w:rPr>
                <w:noProof/>
              </w:rPr>
              <w:tab/>
            </w:r>
            <w:r>
              <w:rPr>
                <w:noProof/>
              </w:rPr>
              <w:fldChar w:fldCharType="begin"/>
            </w:r>
            <w:r>
              <w:rPr>
                <w:noProof/>
              </w:rPr>
              <w:instrText xml:space="preserve"> PAGEREF _Toc256000110 \h </w:instrText>
            </w:r>
            <w:r>
              <w:rPr>
                <w:noProof/>
              </w:rPr>
            </w:r>
            <w:r>
              <w:rPr>
                <w:noProof/>
              </w:rPr>
              <w:fldChar w:fldCharType="separate"/>
            </w:r>
            <w:r w:rsidR="00C14302">
              <w:rPr>
                <w:noProof/>
              </w:rPr>
              <w:t>29</w:t>
            </w:r>
            <w:r>
              <w:rPr>
                <w:noProof/>
              </w:rPr>
              <w:fldChar w:fldCharType="end"/>
            </w:r>
          </w:hyperlink>
        </w:p>
        <w:p w:rsidR="006D0A9D" w:rsidRDefault="008B52D1">
          <w:pPr>
            <w:pStyle w:val="TOC2"/>
            <w:rPr>
              <w:rFonts w:asciiTheme="minorHAnsi" w:hAnsiTheme="minorHAnsi"/>
              <w:noProof/>
              <w:sz w:val="22"/>
            </w:rPr>
          </w:pPr>
          <w:hyperlink w:anchor="_Toc256000111" w:history="1">
            <w:r>
              <w:rPr>
                <w:rStyle w:val="Hyperlink"/>
                <w:noProof/>
              </w:rPr>
              <w:t>5.7</w:t>
            </w:r>
            <w:r>
              <w:rPr>
                <w:rFonts w:asciiTheme="minorHAnsi" w:hAnsiTheme="minorHAnsi"/>
                <w:noProof/>
                <w:sz w:val="22"/>
              </w:rPr>
              <w:tab/>
            </w:r>
            <w:r>
              <w:rPr>
                <w:rStyle w:val="Hyperlink"/>
                <w:noProof/>
              </w:rPr>
              <w:t>What is the breakdown of the different forms of tenure identified in Stage One? If possible, please provide statistics and identify differences between urban and rural areas.</w:t>
            </w:r>
            <w:r>
              <w:rPr>
                <w:noProof/>
              </w:rPr>
              <w:tab/>
            </w:r>
            <w:r>
              <w:rPr>
                <w:noProof/>
              </w:rPr>
              <w:fldChar w:fldCharType="begin"/>
            </w:r>
            <w:r>
              <w:rPr>
                <w:noProof/>
              </w:rPr>
              <w:instrText xml:space="preserve"> PAGEREF _Toc256000111 \h </w:instrText>
            </w:r>
            <w:r>
              <w:rPr>
                <w:noProof/>
              </w:rPr>
            </w:r>
            <w:r>
              <w:rPr>
                <w:noProof/>
              </w:rPr>
              <w:fldChar w:fldCharType="separate"/>
            </w:r>
            <w:r w:rsidR="00C14302">
              <w:rPr>
                <w:noProof/>
              </w:rPr>
              <w:t>30</w:t>
            </w:r>
            <w:r>
              <w:rPr>
                <w:noProof/>
              </w:rPr>
              <w:fldChar w:fldCharType="end"/>
            </w:r>
          </w:hyperlink>
        </w:p>
        <w:p w:rsidR="006D0A9D" w:rsidRDefault="008B52D1">
          <w:pPr>
            <w:pStyle w:val="TOC2"/>
            <w:rPr>
              <w:rFonts w:asciiTheme="minorHAnsi" w:hAnsiTheme="minorHAnsi"/>
              <w:noProof/>
              <w:sz w:val="22"/>
            </w:rPr>
          </w:pPr>
          <w:hyperlink w:anchor="_Toc256000112" w:history="1">
            <w:r>
              <w:rPr>
                <w:rStyle w:val="Hyperlink"/>
                <w:noProof/>
              </w:rPr>
              <w:t>5.8</w:t>
            </w:r>
            <w:r>
              <w:rPr>
                <w:rFonts w:asciiTheme="minorHAnsi" w:hAnsiTheme="minorHAnsi"/>
                <w:noProof/>
                <w:sz w:val="22"/>
              </w:rPr>
              <w:tab/>
            </w:r>
            <w:r>
              <w:rPr>
                <w:rStyle w:val="Hyperlink"/>
                <w:noProof/>
              </w:rPr>
              <w:t>Are there in-country agencies active in worki</w:t>
            </w:r>
            <w:r w:rsidR="00127653">
              <w:rPr>
                <w:rStyle w:val="Hyperlink"/>
                <w:noProof/>
              </w:rPr>
              <w:t>ng in HLP rights, or who could assist with understanding further information on HLP rights?</w:t>
            </w:r>
            <w:r>
              <w:rPr>
                <w:noProof/>
              </w:rPr>
              <w:tab/>
            </w:r>
            <w:r>
              <w:rPr>
                <w:noProof/>
              </w:rPr>
              <w:fldChar w:fldCharType="begin"/>
            </w:r>
            <w:r>
              <w:rPr>
                <w:noProof/>
              </w:rPr>
              <w:instrText xml:space="preserve"> PAGEREF _Toc256000112 \h </w:instrText>
            </w:r>
            <w:r>
              <w:rPr>
                <w:noProof/>
              </w:rPr>
            </w:r>
            <w:r>
              <w:rPr>
                <w:noProof/>
              </w:rPr>
              <w:fldChar w:fldCharType="separate"/>
            </w:r>
            <w:r w:rsidR="00C14302">
              <w:rPr>
                <w:noProof/>
              </w:rPr>
              <w:t>30</w:t>
            </w:r>
            <w:r>
              <w:rPr>
                <w:noProof/>
              </w:rPr>
              <w:fldChar w:fldCharType="end"/>
            </w:r>
          </w:hyperlink>
        </w:p>
        <w:p w:rsidR="006D0A9D" w:rsidRDefault="008B52D1">
          <w:pPr>
            <w:pStyle w:val="TOC1"/>
            <w:rPr>
              <w:rFonts w:asciiTheme="minorHAnsi" w:hAnsiTheme="minorHAnsi"/>
              <w:noProof/>
              <w:sz w:val="22"/>
            </w:rPr>
          </w:pPr>
          <w:hyperlink w:anchor="_Toc256000113" w:history="1">
            <w:r>
              <w:rPr>
                <w:rStyle w:val="Hyperlink"/>
                <w:rFonts w:eastAsiaTheme="minorHAnsi"/>
                <w:noProof/>
                <w:lang w:eastAsia="en-US"/>
              </w:rPr>
              <w:t>6</w:t>
            </w:r>
            <w:r>
              <w:rPr>
                <w:rFonts w:asciiTheme="minorHAnsi" w:eastAsiaTheme="minorHAnsi" w:hAnsiTheme="minorHAnsi"/>
                <w:noProof/>
                <w:sz w:val="22"/>
                <w:lang w:eastAsia="en-US"/>
              </w:rPr>
              <w:tab/>
            </w:r>
            <w:r>
              <w:rPr>
                <w:rStyle w:val="Hyperlink"/>
                <w:rFonts w:eastAsiaTheme="minorHAnsi"/>
                <w:noProof/>
                <w:lang w:eastAsia="en-US"/>
              </w:rPr>
              <w:t>Bibliography</w:t>
            </w:r>
            <w:r>
              <w:rPr>
                <w:noProof/>
              </w:rPr>
              <w:tab/>
            </w:r>
            <w:r>
              <w:rPr>
                <w:noProof/>
              </w:rPr>
              <w:fldChar w:fldCharType="begin"/>
            </w:r>
            <w:r>
              <w:rPr>
                <w:noProof/>
              </w:rPr>
              <w:instrText xml:space="preserve"> PAGEREF _Toc256000113 \h </w:instrText>
            </w:r>
            <w:r>
              <w:rPr>
                <w:noProof/>
              </w:rPr>
            </w:r>
            <w:r>
              <w:rPr>
                <w:noProof/>
              </w:rPr>
              <w:fldChar w:fldCharType="separate"/>
            </w:r>
            <w:r w:rsidR="00C14302">
              <w:rPr>
                <w:noProof/>
              </w:rPr>
              <w:t>31</w:t>
            </w:r>
            <w:r>
              <w:rPr>
                <w:noProof/>
              </w:rPr>
              <w:fldChar w:fldCharType="end"/>
            </w:r>
          </w:hyperlink>
        </w:p>
        <w:p w:rsidR="006D0A9D" w:rsidRDefault="008B52D1">
          <w:pPr>
            <w:pStyle w:val="TOC2"/>
            <w:rPr>
              <w:rFonts w:asciiTheme="minorHAnsi" w:hAnsiTheme="minorHAnsi"/>
              <w:noProof/>
              <w:sz w:val="22"/>
            </w:rPr>
          </w:pPr>
          <w:hyperlink w:anchor="_Toc256000114" w:history="1">
            <w:r>
              <w:rPr>
                <w:rStyle w:val="Hyperlink"/>
                <w:rFonts w:eastAsiaTheme="minorHAnsi"/>
                <w:noProof/>
                <w:lang w:eastAsia="en-US"/>
              </w:rPr>
              <w:t>6.1</w:t>
            </w:r>
            <w:r>
              <w:rPr>
                <w:rFonts w:asciiTheme="minorHAnsi" w:eastAsiaTheme="minorHAnsi" w:hAnsiTheme="minorHAnsi"/>
                <w:noProof/>
                <w:sz w:val="22"/>
                <w:lang w:eastAsia="en-US"/>
              </w:rPr>
              <w:tab/>
            </w:r>
            <w:r>
              <w:rPr>
                <w:rStyle w:val="Hyperlink"/>
                <w:rFonts w:eastAsiaTheme="minorHAnsi"/>
                <w:noProof/>
                <w:lang w:eastAsia="en-US"/>
              </w:rPr>
              <w:t>Legislation</w:t>
            </w:r>
            <w:r>
              <w:rPr>
                <w:noProof/>
              </w:rPr>
              <w:tab/>
            </w:r>
            <w:r>
              <w:rPr>
                <w:noProof/>
              </w:rPr>
              <w:fldChar w:fldCharType="begin"/>
            </w:r>
            <w:r>
              <w:rPr>
                <w:noProof/>
              </w:rPr>
              <w:instrText xml:space="preserve"> PAGEREF _Toc256000114 \h </w:instrText>
            </w:r>
            <w:r>
              <w:rPr>
                <w:noProof/>
              </w:rPr>
            </w:r>
            <w:r>
              <w:rPr>
                <w:noProof/>
              </w:rPr>
              <w:fldChar w:fldCharType="separate"/>
            </w:r>
            <w:r w:rsidR="00C14302">
              <w:rPr>
                <w:noProof/>
              </w:rPr>
              <w:t>31</w:t>
            </w:r>
            <w:r>
              <w:rPr>
                <w:noProof/>
              </w:rPr>
              <w:fldChar w:fldCharType="end"/>
            </w:r>
          </w:hyperlink>
        </w:p>
        <w:p w:rsidR="006D0A9D" w:rsidRDefault="008B52D1">
          <w:pPr>
            <w:pStyle w:val="TOC2"/>
            <w:rPr>
              <w:rFonts w:asciiTheme="minorHAnsi" w:hAnsiTheme="minorHAnsi"/>
              <w:noProof/>
              <w:sz w:val="22"/>
            </w:rPr>
          </w:pPr>
          <w:hyperlink w:anchor="_Toc256000121" w:history="1">
            <w:r>
              <w:rPr>
                <w:rStyle w:val="Hyperlink"/>
                <w:rFonts w:eastAsiaTheme="minorHAnsi"/>
                <w:noProof/>
                <w:lang w:eastAsia="en-US"/>
              </w:rPr>
              <w:t>6.2</w:t>
            </w:r>
            <w:r>
              <w:rPr>
                <w:rFonts w:asciiTheme="minorHAnsi" w:eastAsiaTheme="minorHAnsi" w:hAnsiTheme="minorHAnsi"/>
                <w:noProof/>
                <w:sz w:val="22"/>
                <w:lang w:eastAsia="en-US"/>
              </w:rPr>
              <w:tab/>
            </w:r>
            <w:r>
              <w:rPr>
                <w:rStyle w:val="Hyperlink"/>
                <w:rFonts w:eastAsiaTheme="minorHAnsi"/>
                <w:noProof/>
                <w:lang w:eastAsia="en-US"/>
              </w:rPr>
              <w:t>Case law</w:t>
            </w:r>
            <w:r>
              <w:rPr>
                <w:noProof/>
              </w:rPr>
              <w:tab/>
            </w:r>
            <w:r>
              <w:rPr>
                <w:noProof/>
              </w:rPr>
              <w:fldChar w:fldCharType="begin"/>
            </w:r>
            <w:r>
              <w:rPr>
                <w:noProof/>
              </w:rPr>
              <w:instrText xml:space="preserve"> PAGEREF _Toc256000121 \h </w:instrText>
            </w:r>
            <w:r>
              <w:rPr>
                <w:noProof/>
              </w:rPr>
            </w:r>
            <w:r>
              <w:rPr>
                <w:noProof/>
              </w:rPr>
              <w:fldChar w:fldCharType="separate"/>
            </w:r>
            <w:r w:rsidR="00C14302">
              <w:rPr>
                <w:noProof/>
              </w:rPr>
              <w:t>31</w:t>
            </w:r>
            <w:r>
              <w:rPr>
                <w:noProof/>
              </w:rPr>
              <w:fldChar w:fldCharType="end"/>
            </w:r>
          </w:hyperlink>
        </w:p>
        <w:p w:rsidR="006D0A9D" w:rsidRPr="008B52D1" w:rsidRDefault="008B52D1" w:rsidP="008B52D1">
          <w:pPr>
            <w:pStyle w:val="TOC2"/>
            <w:rPr>
              <w:rFonts w:asciiTheme="minorHAnsi" w:hAnsiTheme="minorHAnsi"/>
              <w:noProof/>
              <w:sz w:val="22"/>
            </w:rPr>
          </w:pPr>
          <w:hyperlink w:anchor="_Toc256000124" w:history="1">
            <w:r>
              <w:rPr>
                <w:rStyle w:val="Hyperlink"/>
                <w:rFonts w:eastAsiaTheme="minorHAnsi"/>
                <w:noProof/>
                <w:lang w:eastAsia="en-US"/>
              </w:rPr>
              <w:t>6.3</w:t>
            </w:r>
            <w:r>
              <w:rPr>
                <w:rFonts w:asciiTheme="minorHAnsi" w:eastAsiaTheme="minorHAnsi" w:hAnsiTheme="minorHAnsi"/>
                <w:noProof/>
                <w:sz w:val="22"/>
                <w:lang w:eastAsia="en-US"/>
              </w:rPr>
              <w:tab/>
            </w:r>
            <w:r>
              <w:rPr>
                <w:rStyle w:val="Hyperlink"/>
                <w:rFonts w:eastAsiaTheme="minorHAnsi"/>
                <w:noProof/>
                <w:lang w:eastAsia="en-US"/>
              </w:rPr>
              <w:t>Secondary Sources</w:t>
            </w:r>
            <w:r>
              <w:rPr>
                <w:noProof/>
              </w:rPr>
              <w:tab/>
            </w:r>
            <w:r>
              <w:rPr>
                <w:noProof/>
              </w:rPr>
              <w:fldChar w:fldCharType="begin"/>
            </w:r>
            <w:r>
              <w:rPr>
                <w:noProof/>
              </w:rPr>
              <w:instrText xml:space="preserve"> PAGEREF _Toc256000124 \h </w:instrText>
            </w:r>
            <w:r>
              <w:rPr>
                <w:noProof/>
              </w:rPr>
            </w:r>
            <w:r>
              <w:rPr>
                <w:noProof/>
              </w:rPr>
              <w:fldChar w:fldCharType="separate"/>
            </w:r>
            <w:r w:rsidR="00C14302">
              <w:rPr>
                <w:noProof/>
              </w:rPr>
              <w:t>31</w:t>
            </w:r>
            <w:r>
              <w:rPr>
                <w:noProof/>
              </w:rPr>
              <w:fldChar w:fldCharType="end"/>
            </w:r>
          </w:hyperlink>
          <w:r>
            <w:rPr>
              <w:b w:val="0"/>
              <w:noProof/>
            </w:rPr>
            <w:fldChar w:fldCharType="end"/>
          </w:r>
        </w:p>
      </w:sdtContent>
    </w:sdt>
    <w:p w:rsidR="001227A6" w:rsidRDefault="008B52D1" w:rsidP="001227A6">
      <w:pPr>
        <w:rPr>
          <w:b/>
        </w:rPr>
      </w:pPr>
      <w:r>
        <w:rPr>
          <w:b/>
        </w:rPr>
        <w:t>Disclaimer</w:t>
      </w:r>
    </w:p>
    <w:p w:rsidR="001227A6" w:rsidRDefault="008B52D1" w:rsidP="001227A6">
      <w:r>
        <w:t>This report is the result of a desktop review of publically available information. This report is not legal advice.</w:t>
      </w:r>
    </w:p>
    <w:p w:rsidR="001227A6" w:rsidRDefault="008B52D1" w:rsidP="00E85A45">
      <w:pPr>
        <w:pStyle w:val="AllensHeading1"/>
      </w:pPr>
      <w:bookmarkStart w:id="26" w:name="_GoBack"/>
      <w:bookmarkEnd w:id="26"/>
      <w:r>
        <w:rPr>
          <w:b w:val="0"/>
        </w:rPr>
        <w:br w:type="page"/>
      </w:r>
      <w:bookmarkStart w:id="27" w:name="_Toc256000057"/>
      <w:bookmarkStart w:id="28" w:name="_Toc256000000"/>
      <w:bookmarkStart w:id="29" w:name="_Toc16243111"/>
      <w:r>
        <w:lastRenderedPageBreak/>
        <w:t>Introduction</w:t>
      </w:r>
      <w:bookmarkEnd w:id="27"/>
      <w:bookmarkEnd w:id="28"/>
      <w:bookmarkEnd w:id="29"/>
    </w:p>
    <w:p w:rsidR="001227A6" w:rsidRDefault="008B52D1" w:rsidP="001227A6">
      <w:pPr>
        <w:pStyle w:val="AllensHeading2"/>
      </w:pPr>
      <w:bookmarkStart w:id="30" w:name="_Toc256000078"/>
      <w:bookmarkStart w:id="31" w:name="_Toc256000001"/>
      <w:bookmarkStart w:id="32" w:name="_Toc16243112"/>
      <w:r>
        <w:t>Overview</w:t>
      </w:r>
      <w:bookmarkEnd w:id="30"/>
      <w:bookmarkEnd w:id="31"/>
      <w:bookmarkEnd w:id="32"/>
    </w:p>
    <w:p w:rsidR="00A1306F" w:rsidRPr="007146D8" w:rsidRDefault="008B52D1" w:rsidP="00D53222">
      <w:pPr>
        <w:pStyle w:val="Body2"/>
        <w:jc w:val="both"/>
      </w:pPr>
      <w:r w:rsidRPr="007146D8">
        <w:t>CARE International aims to respond to disasters as rapidly and effectively as possible, by mobilising its resources (people, money and other assets) and using its network in a coordinated manner so that the initial effects are countered and the needs of the affected communities are met.</w:t>
      </w:r>
    </w:p>
    <w:p w:rsidR="00A1306F" w:rsidRPr="007146D8" w:rsidRDefault="008B52D1" w:rsidP="00D53222">
      <w:pPr>
        <w:pStyle w:val="Body2"/>
        <w:jc w:val="both"/>
      </w:pPr>
      <w:r w:rsidRPr="007146D8">
        <w:t>The Australian Red Cross, with technical support from the International Federation of Red Cross and Red Crescent Societies, has provided the research template to</w:t>
      </w:r>
      <w:r>
        <w:t xml:space="preserve"> which this memorandum responds.</w:t>
      </w:r>
      <w:r w:rsidRPr="007146D8">
        <w:t xml:space="preserve"> This memorandum comprises three main sections:</w:t>
      </w:r>
    </w:p>
    <w:p w:rsidR="001227A6" w:rsidRDefault="008B52D1" w:rsidP="00982E5A">
      <w:pPr>
        <w:pStyle w:val="Bullet1"/>
        <w:tabs>
          <w:tab w:val="clear" w:pos="709"/>
          <w:tab w:val="num" w:pos="3545"/>
        </w:tabs>
        <w:ind w:left="1418"/>
        <w:jc w:val="both"/>
      </w:pPr>
      <w:r>
        <w:t xml:space="preserve">The first section, entitled </w:t>
      </w:r>
      <w:r w:rsidR="00A1306F">
        <w:t>'C</w:t>
      </w:r>
      <w:r w:rsidRPr="00580388">
        <w:t>ommon types of tenure'</w:t>
      </w:r>
      <w:r>
        <w:t>, provides an overview of the different types of land tenure in Jordan. It outlines the methods used to create and transfer tenure, and analyses the degree of security of tenure afforded by each form of tenure.</w:t>
      </w:r>
    </w:p>
    <w:p w:rsidR="001227A6" w:rsidRDefault="008B52D1" w:rsidP="00982E5A">
      <w:pPr>
        <w:pStyle w:val="Bullet1"/>
        <w:tabs>
          <w:tab w:val="clear" w:pos="709"/>
          <w:tab w:val="num" w:pos="2836"/>
        </w:tabs>
        <w:ind w:left="1418"/>
        <w:jc w:val="both"/>
      </w:pPr>
      <w:r>
        <w:t xml:space="preserve">The second section, entitled </w:t>
      </w:r>
      <w:r w:rsidR="00686987">
        <w:t>‘s</w:t>
      </w:r>
      <w:r w:rsidRPr="00580388">
        <w:t xml:space="preserve">ecurity of tenure </w:t>
      </w:r>
      <w:r w:rsidR="00A1306F">
        <w:t>and</w:t>
      </w:r>
      <w:r w:rsidRPr="00580388">
        <w:t xml:space="preserve"> vulnerable groups'</w:t>
      </w:r>
      <w:r>
        <w:t>, considers whether, and to what extent, certain groups face legal barriers to owning or accessing land and housing. This section foc</w:t>
      </w:r>
      <w:r w:rsidR="00683E15">
        <w:t>uses primarily on women, foreign nationals and refugees</w:t>
      </w:r>
      <w:r>
        <w:t xml:space="preserve">, </w:t>
      </w:r>
      <w:r w:rsidR="00683E15">
        <w:t>all of whom</w:t>
      </w:r>
      <w:r>
        <w:t xml:space="preserve"> face legal </w:t>
      </w:r>
      <w:r w:rsidR="00683E15">
        <w:t xml:space="preserve">and practical </w:t>
      </w:r>
      <w:r>
        <w:t>barriers to owning land.</w:t>
      </w:r>
    </w:p>
    <w:p w:rsidR="001227A6" w:rsidRDefault="008B52D1" w:rsidP="00982E5A">
      <w:pPr>
        <w:pStyle w:val="Bullet1"/>
        <w:tabs>
          <w:tab w:val="clear" w:pos="709"/>
          <w:tab w:val="num" w:pos="2127"/>
        </w:tabs>
        <w:ind w:left="1418"/>
        <w:jc w:val="both"/>
      </w:pPr>
      <w:r>
        <w:t xml:space="preserve">The third section, entitled </w:t>
      </w:r>
      <w:r w:rsidR="00A1306F">
        <w:t>'</w:t>
      </w:r>
      <w:r w:rsidR="00686987">
        <w:t>e</w:t>
      </w:r>
      <w:r w:rsidRPr="00580388">
        <w:t>viction, expropriation and relocation'</w:t>
      </w:r>
      <w:r>
        <w:t>, considers Jordanian statutory and case law which governs, or is applicable to, forced evictions, compulsory acquisition of land and relocations. This section also considers whether compensation is available in these situations.</w:t>
      </w:r>
    </w:p>
    <w:p w:rsidR="001227A6" w:rsidRDefault="008B52D1" w:rsidP="001227A6">
      <w:pPr>
        <w:pStyle w:val="AllensHeading2"/>
      </w:pPr>
      <w:bookmarkStart w:id="33" w:name="_Ref474342161"/>
      <w:bookmarkStart w:id="34" w:name="_Toc256000086"/>
      <w:bookmarkStart w:id="35" w:name="_Toc256000002"/>
      <w:bookmarkStart w:id="36" w:name="_Toc16243113"/>
      <w:r>
        <w:t xml:space="preserve">Background information on </w:t>
      </w:r>
      <w:bookmarkEnd w:id="33"/>
      <w:r>
        <w:t>Jordan</w:t>
      </w:r>
      <w:bookmarkEnd w:id="34"/>
      <w:bookmarkEnd w:id="35"/>
      <w:bookmarkEnd w:id="36"/>
    </w:p>
    <w:p w:rsidR="00B53A2B" w:rsidRPr="009B0ABC" w:rsidRDefault="008B52D1" w:rsidP="00514F6B">
      <w:pPr>
        <w:pStyle w:val="NormalIndent"/>
        <w:jc w:val="both"/>
      </w:pPr>
      <w:r w:rsidRPr="009B0ABC">
        <w:t>Jordan is a small country bordered by Israel, Syria, Iraq and Saudi Arabia. It covers an area of</w:t>
      </w:r>
      <w:r w:rsidR="00DB35DE" w:rsidRPr="009B0ABC">
        <w:t xml:space="preserve"> 89,320 square </w:t>
      </w:r>
      <w:r w:rsidR="00F05385" w:rsidRPr="009B0ABC">
        <w:t>kilometres</w:t>
      </w:r>
      <w:r w:rsidR="00514F6B" w:rsidRPr="009B0ABC">
        <w:t xml:space="preserve"> and has a population of over </w:t>
      </w:r>
      <w:r w:rsidR="00F05385" w:rsidRPr="009B0ABC">
        <w:t>9</w:t>
      </w:r>
      <w:r w:rsidR="00514F6B" w:rsidRPr="009B0ABC">
        <w:t xml:space="preserve"> million </w:t>
      </w:r>
      <w:r w:rsidR="00F730BA" w:rsidRPr="009B0ABC">
        <w:t xml:space="preserve">of </w:t>
      </w:r>
      <w:r w:rsidR="00F05385" w:rsidRPr="009B0ABC">
        <w:t>whom</w:t>
      </w:r>
      <w:r w:rsidR="00F730BA" w:rsidRPr="009B0ABC">
        <w:t xml:space="preserve"> </w:t>
      </w:r>
      <w:r w:rsidR="00AE7D29" w:rsidRPr="009B0ABC">
        <w:t>4</w:t>
      </w:r>
      <w:r w:rsidR="00F730BA" w:rsidRPr="009B0ABC">
        <w:t>.2 million</w:t>
      </w:r>
      <w:r w:rsidRPr="009B0ABC">
        <w:t xml:space="preserve"> live in Amman</w:t>
      </w:r>
      <w:r w:rsidR="00ED03AF" w:rsidRPr="009B0ABC">
        <w:t>,</w:t>
      </w:r>
      <w:r>
        <w:rPr>
          <w:rStyle w:val="FootnoteReference"/>
        </w:rPr>
        <w:footnoteReference w:id="6"/>
      </w:r>
      <w:r w:rsidRPr="009B0ABC">
        <w:t xml:space="preserve"> the country’s capital city. Approximately 16% of the total population live in rural areas</w:t>
      </w:r>
      <w:r w:rsidR="00ED03AF" w:rsidRPr="009B0ABC">
        <w:t>.</w:t>
      </w:r>
      <w:r>
        <w:rPr>
          <w:rStyle w:val="FootnoteReference"/>
        </w:rPr>
        <w:footnoteReference w:id="7"/>
      </w:r>
    </w:p>
    <w:p w:rsidR="00B53A2B" w:rsidRPr="009B0ABC" w:rsidRDefault="008B52D1" w:rsidP="00514F6B">
      <w:pPr>
        <w:pStyle w:val="NormalIndent"/>
        <w:jc w:val="both"/>
      </w:pPr>
      <w:r w:rsidRPr="009B0ABC">
        <w:t>The region that is now Jordan became part of the Ottoman Empire in 1516 and remained under Ottoman rule for several centuries until Arab and British forces seized power during World War I in 1918. The Conference of San Remo in Italy in 1920 created the British mandate over Palestine (including the area now known as Jordan), later confirmed by the League of Nations in 1922. In April 1921, the British decided that Emir Abdullah I bin Al-Hussein would administer</w:t>
      </w:r>
      <w:r w:rsidR="00B26E75" w:rsidRPr="009B0ABC">
        <w:t xml:space="preserve"> the mandate in this region, then</w:t>
      </w:r>
      <w:r w:rsidRPr="009B0ABC">
        <w:t xml:space="preserve"> called "Transjordan". While Transjordan was purported to be an independent state, the British retained control in certain matters of finance, military and foreign affairs, which were administered by a British resident acting on behalf of the (British) High Commissioner for Transjordan.</w:t>
      </w:r>
      <w:r>
        <w:rPr>
          <w:rStyle w:val="FootnoteReference"/>
        </w:rPr>
        <w:footnoteReference w:id="8"/>
      </w:r>
      <w:r w:rsidRPr="009B0ABC">
        <w:t xml:space="preserve"> </w:t>
      </w:r>
    </w:p>
    <w:p w:rsidR="00B26E75" w:rsidRPr="009B0ABC" w:rsidRDefault="008B52D1" w:rsidP="00B26E75">
      <w:pPr>
        <w:pStyle w:val="NormalIndent"/>
        <w:jc w:val="both"/>
      </w:pPr>
      <w:r w:rsidRPr="009B0ABC">
        <w:lastRenderedPageBreak/>
        <w:t>In 1946, Transjordan gained independence, becoming a sovereign state and a constitutional monarchy under the official name of the "</w:t>
      </w:r>
      <w:r w:rsidR="00514F6B" w:rsidRPr="009B0ABC">
        <w:t>Hashemite</w:t>
      </w:r>
      <w:r w:rsidR="00F05385" w:rsidRPr="009B0ABC">
        <w:t xml:space="preserve"> Kingdom of Jordan”. I</w:t>
      </w:r>
      <w:r w:rsidRPr="009B0ABC">
        <w:t>t is divided into 12 governorates (</w:t>
      </w:r>
      <w:proofErr w:type="spellStart"/>
      <w:r w:rsidRPr="009B0ABC">
        <w:rPr>
          <w:i/>
        </w:rPr>
        <w:t>muhafazat</w:t>
      </w:r>
      <w:proofErr w:type="spellEnd"/>
      <w:r w:rsidRPr="009B0ABC">
        <w:t>).</w:t>
      </w:r>
    </w:p>
    <w:p w:rsidR="00B26E75" w:rsidRDefault="008B52D1" w:rsidP="008B52D1">
      <w:pPr>
        <w:pStyle w:val="NormalIndent"/>
        <w:jc w:val="both"/>
      </w:pPr>
      <w:r w:rsidRPr="009B0ABC">
        <w:t xml:space="preserve">There has been an influx of refugees since 2012 as a result of the civil war in Syria; 82% of </w:t>
      </w:r>
      <w:r w:rsidR="00B26E75" w:rsidRPr="009B0ABC">
        <w:t xml:space="preserve">all </w:t>
      </w:r>
      <w:r w:rsidRPr="009B0ABC">
        <w:t>refugees are settled in communities but 18% are hosted in refugee camps.</w:t>
      </w:r>
      <w:r>
        <w:rPr>
          <w:rStyle w:val="FootnoteReference"/>
        </w:rPr>
        <w:footnoteReference w:id="9"/>
      </w:r>
      <w:r w:rsidR="00E20BD9" w:rsidRPr="009B0ABC">
        <w:t xml:space="preserve"> This is in addition to the already settled </w:t>
      </w:r>
      <w:r w:rsidR="0020156B" w:rsidRPr="009B0ABC">
        <w:t xml:space="preserve">or minority </w:t>
      </w:r>
      <w:r w:rsidR="00E20BD9" w:rsidRPr="009B0ABC">
        <w:t xml:space="preserve">refugees in Jordan </w:t>
      </w:r>
      <w:r w:rsidR="0020156B" w:rsidRPr="009B0ABC">
        <w:t>including</w:t>
      </w:r>
      <w:r w:rsidR="00E20BD9" w:rsidRPr="009B0ABC">
        <w:t xml:space="preserve"> </w:t>
      </w:r>
      <w:r w:rsidR="0020156B" w:rsidRPr="009B0ABC">
        <w:t xml:space="preserve">those from </w:t>
      </w:r>
      <w:r w:rsidR="00E20BD9" w:rsidRPr="009B0ABC">
        <w:t>Palestine,</w:t>
      </w:r>
      <w:r w:rsidR="0020156B" w:rsidRPr="009B0ABC">
        <w:t xml:space="preserve"> Iraq, Sudan and Yemen.</w:t>
      </w:r>
      <w:r>
        <w:rPr>
          <w:rStyle w:val="FootnoteReference"/>
        </w:rPr>
        <w:footnoteReference w:id="10"/>
      </w:r>
      <w:r w:rsidR="00E20BD9" w:rsidRPr="009B0ABC">
        <w:t xml:space="preserve"> </w:t>
      </w:r>
      <w:r w:rsidR="00511773" w:rsidRPr="009B0ABC">
        <w:t xml:space="preserve"> </w:t>
      </w:r>
    </w:p>
    <w:p w:rsidR="001227A6" w:rsidRDefault="008B52D1" w:rsidP="001227A6">
      <w:pPr>
        <w:pStyle w:val="NormalIndent"/>
      </w:pPr>
      <w:r>
        <w:rPr>
          <w:noProof/>
        </w:rPr>
        <w:drawing>
          <wp:inline distT="0" distB="0" distL="0" distR="0">
            <wp:extent cx="3810000" cy="47316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94385" name="Picture 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819599" cy="4743530"/>
                    </a:xfrm>
                    <a:prstGeom prst="rect">
                      <a:avLst/>
                    </a:prstGeom>
                    <a:noFill/>
                    <a:ln>
                      <a:noFill/>
                    </a:ln>
                  </pic:spPr>
                </pic:pic>
              </a:graphicData>
            </a:graphic>
          </wp:inline>
        </w:drawing>
      </w:r>
    </w:p>
    <w:p w:rsidR="00B53A2B" w:rsidRDefault="008B52D1" w:rsidP="008B52D1">
      <w:pPr>
        <w:pStyle w:val="NormalIndent"/>
        <w:ind w:left="0"/>
      </w:pPr>
      <w:r>
        <w:t>(Source</w:t>
      </w:r>
      <w:r w:rsidR="001227A6">
        <w:t xml:space="preserve">: UK </w:t>
      </w:r>
      <w:r w:rsidR="00212A6A">
        <w:t>G</w:t>
      </w:r>
      <w:r w:rsidR="001227A6">
        <w:t>overnment)</w:t>
      </w:r>
      <w:r>
        <w:rPr>
          <w:rStyle w:val="FootnoteReference"/>
        </w:rPr>
        <w:footnoteReference w:id="11"/>
      </w:r>
    </w:p>
    <w:p w:rsidR="001227A6" w:rsidRDefault="008B52D1" w:rsidP="001227A6">
      <w:pPr>
        <w:pStyle w:val="AllensHeading1"/>
      </w:pPr>
      <w:bookmarkStart w:id="37" w:name="_Toc256000087"/>
      <w:bookmarkStart w:id="38" w:name="_Toc256000003"/>
      <w:bookmarkStart w:id="39" w:name="_Toc16243114"/>
      <w:r>
        <w:lastRenderedPageBreak/>
        <w:t>Common types of tenure</w:t>
      </w:r>
      <w:bookmarkEnd w:id="37"/>
      <w:bookmarkEnd w:id="38"/>
      <w:bookmarkEnd w:id="39"/>
    </w:p>
    <w:p w:rsidR="001227A6" w:rsidRDefault="008B52D1" w:rsidP="001227A6">
      <w:pPr>
        <w:pStyle w:val="AllensHeading2"/>
      </w:pPr>
      <w:bookmarkStart w:id="40" w:name="_Toc256000088"/>
      <w:bookmarkStart w:id="41" w:name="_Toc256000004"/>
      <w:bookmarkStart w:id="42" w:name="_Toc16243115"/>
      <w:bookmarkStart w:id="43" w:name="Tenure_typologies"/>
      <w:r>
        <w:t>Tenure typologies</w:t>
      </w:r>
      <w:bookmarkEnd w:id="40"/>
      <w:bookmarkEnd w:id="41"/>
      <w:bookmarkEnd w:id="42"/>
    </w:p>
    <w:p w:rsidR="001227A6" w:rsidRPr="000B0A89" w:rsidRDefault="008B52D1" w:rsidP="000B0A89">
      <w:pPr>
        <w:pStyle w:val="AllensHeading3"/>
        <w:rPr>
          <w:b/>
        </w:rPr>
      </w:pPr>
      <w:bookmarkStart w:id="44" w:name="sec_2_1_a"/>
      <w:bookmarkEnd w:id="43"/>
      <w:bookmarkEnd w:id="44"/>
      <w:r w:rsidRPr="000B0A89">
        <w:rPr>
          <w:b/>
        </w:rPr>
        <w:t>What are the key pieces of legislation governing housing, land, building and planning? Please provide links to copies of the legislation.</w:t>
      </w:r>
    </w:p>
    <w:p w:rsidR="00B53A2B" w:rsidRDefault="008B52D1" w:rsidP="00982E5A">
      <w:pPr>
        <w:pStyle w:val="AllensHeading3"/>
        <w:numPr>
          <w:ilvl w:val="0"/>
          <w:numId w:val="0"/>
        </w:numPr>
        <w:ind w:left="1418"/>
        <w:jc w:val="both"/>
      </w:pPr>
      <w:r w:rsidRPr="00236208">
        <w:t>The key pieces of legislation governing housing, land, building and planning are:</w:t>
      </w:r>
    </w:p>
    <w:p w:rsidR="00B53A2B" w:rsidRDefault="008B52D1" w:rsidP="00AD7408">
      <w:pPr>
        <w:pStyle w:val="AllensHeading3"/>
        <w:numPr>
          <w:ilvl w:val="0"/>
          <w:numId w:val="12"/>
        </w:numPr>
        <w:ind w:left="2138"/>
        <w:jc w:val="both"/>
      </w:pPr>
      <w:r>
        <w:t>The Constitution of the Hashemite Kingdom of Jordan, promulgated in 1952 (the "</w:t>
      </w:r>
      <w:r>
        <w:rPr>
          <w:b/>
        </w:rPr>
        <w:t>Constitution</w:t>
      </w:r>
      <w:r>
        <w:t>");</w:t>
      </w:r>
      <w:r>
        <w:rPr>
          <w:rStyle w:val="FootnoteReference"/>
        </w:rPr>
        <w:footnoteReference w:id="12"/>
      </w:r>
    </w:p>
    <w:p w:rsidR="00B53A2B" w:rsidRDefault="008B52D1" w:rsidP="00AD7408">
      <w:pPr>
        <w:pStyle w:val="AllensHeading3"/>
        <w:numPr>
          <w:ilvl w:val="0"/>
          <w:numId w:val="12"/>
        </w:numPr>
        <w:ind w:left="2138"/>
        <w:jc w:val="both"/>
      </w:pPr>
      <w:r>
        <w:t>Law No. 43 of 1976 (the Civil Code)</w:t>
      </w:r>
      <w:r>
        <w:rPr>
          <w:rStyle w:val="FootnoteReference"/>
        </w:rPr>
        <w:footnoteReference w:id="13"/>
      </w:r>
      <w:r>
        <w:t xml:space="preserve"> (the "</w:t>
      </w:r>
      <w:r>
        <w:rPr>
          <w:b/>
        </w:rPr>
        <w:t>Civil Code</w:t>
      </w:r>
      <w:r>
        <w:t>")</w:t>
      </w:r>
      <w:r w:rsidR="00982E5A">
        <w:t>;</w:t>
      </w:r>
    </w:p>
    <w:p w:rsidR="00B53A2B" w:rsidRDefault="008B52D1" w:rsidP="00AD7408">
      <w:pPr>
        <w:pStyle w:val="AllensHeading3"/>
        <w:numPr>
          <w:ilvl w:val="0"/>
          <w:numId w:val="12"/>
        </w:numPr>
        <w:ind w:left="2138"/>
        <w:jc w:val="both"/>
      </w:pPr>
      <w:r>
        <w:t>Law No. 47 of 2006 (Law of Sale and Leasing of Immovable Assets to Non-Jordanian and Judicial Persons)</w:t>
      </w:r>
      <w:r w:rsidR="00982E5A">
        <w:t>;</w:t>
      </w:r>
      <w:r>
        <w:rPr>
          <w:rStyle w:val="FootnoteReference"/>
        </w:rPr>
        <w:footnoteReference w:id="14"/>
      </w:r>
      <w:r>
        <w:t xml:space="preserve"> </w:t>
      </w:r>
    </w:p>
    <w:p w:rsidR="00B53A2B" w:rsidRPr="00161174" w:rsidRDefault="008B52D1" w:rsidP="00AD7408">
      <w:pPr>
        <w:pStyle w:val="AllensHeading3"/>
        <w:numPr>
          <w:ilvl w:val="0"/>
          <w:numId w:val="12"/>
        </w:numPr>
        <w:ind w:left="2138"/>
        <w:jc w:val="both"/>
      </w:pPr>
      <w:r>
        <w:t>Law No. 4</w:t>
      </w:r>
      <w:r w:rsidRPr="00161174">
        <w:t>0 of 1952 (Lands and Water Settlement Law</w:t>
      </w:r>
      <w:r w:rsidR="00F007DA">
        <w:t>)</w:t>
      </w:r>
      <w:r w:rsidRPr="00161174">
        <w:t xml:space="preserve"> and its amendm</w:t>
      </w:r>
      <w:r w:rsidR="00F007DA">
        <w:t>ents</w:t>
      </w:r>
      <w:r w:rsidR="00982E5A">
        <w:t>;</w:t>
      </w:r>
      <w:r>
        <w:rPr>
          <w:rStyle w:val="FootnoteReference"/>
        </w:rPr>
        <w:footnoteReference w:id="15"/>
      </w:r>
    </w:p>
    <w:p w:rsidR="00B53A2B" w:rsidRPr="00161174" w:rsidRDefault="008B52D1" w:rsidP="00AD7408">
      <w:pPr>
        <w:pStyle w:val="AllensHeading3"/>
        <w:numPr>
          <w:ilvl w:val="0"/>
          <w:numId w:val="12"/>
        </w:numPr>
        <w:ind w:left="2138"/>
        <w:jc w:val="both"/>
      </w:pPr>
      <w:r w:rsidRPr="00161174">
        <w:t>Law No. 49 of 1953 (Disposition of Immovable Property Law)</w:t>
      </w:r>
      <w:r w:rsidR="00982E5A">
        <w:t>;</w:t>
      </w:r>
      <w:r>
        <w:rPr>
          <w:rStyle w:val="FootnoteReference"/>
        </w:rPr>
        <w:footnoteReference w:id="16"/>
      </w:r>
    </w:p>
    <w:p w:rsidR="00B53A2B" w:rsidRPr="00161174" w:rsidRDefault="008B52D1" w:rsidP="00AD7408">
      <w:pPr>
        <w:pStyle w:val="AllensHeading3"/>
        <w:numPr>
          <w:ilvl w:val="0"/>
          <w:numId w:val="12"/>
        </w:numPr>
        <w:ind w:left="2138"/>
        <w:jc w:val="both"/>
      </w:pPr>
      <w:r w:rsidRPr="00161174">
        <w:t xml:space="preserve">Law No. 17 of 1974 (Management of State </w:t>
      </w:r>
      <w:r w:rsidR="00982E5A">
        <w:t>Property Law</w:t>
      </w:r>
      <w:r w:rsidR="00F007DA">
        <w:t>)</w:t>
      </w:r>
      <w:r w:rsidR="00982E5A">
        <w:t xml:space="preserve"> and its amendments;</w:t>
      </w:r>
      <w:r>
        <w:rPr>
          <w:rStyle w:val="FootnoteReference"/>
        </w:rPr>
        <w:footnoteReference w:id="17"/>
      </w:r>
    </w:p>
    <w:p w:rsidR="00B53A2B" w:rsidRPr="00161174" w:rsidRDefault="008B52D1" w:rsidP="00AD7408">
      <w:pPr>
        <w:pStyle w:val="AllensHeading3"/>
        <w:numPr>
          <w:ilvl w:val="0"/>
          <w:numId w:val="12"/>
        </w:numPr>
        <w:ind w:left="2138"/>
        <w:jc w:val="both"/>
      </w:pPr>
      <w:r w:rsidRPr="00161174">
        <w:t>Law No. 28 of 1991 (Housing and Urban Development Corporation Law</w:t>
      </w:r>
      <w:r w:rsidR="00F007DA">
        <w:t>)</w:t>
      </w:r>
      <w:r w:rsidRPr="00161174">
        <w:t xml:space="preserve"> and its amendments</w:t>
      </w:r>
      <w:r w:rsidR="00982E5A">
        <w:t>;</w:t>
      </w:r>
      <w:r>
        <w:rPr>
          <w:rStyle w:val="FootnoteReference"/>
        </w:rPr>
        <w:footnoteReference w:id="18"/>
      </w:r>
      <w:r w:rsidR="00161174" w:rsidRPr="00161174">
        <w:t xml:space="preserve"> </w:t>
      </w:r>
      <w:r w:rsidR="00982E5A">
        <w:t>and</w:t>
      </w:r>
    </w:p>
    <w:p w:rsidR="00B53A2B" w:rsidRDefault="008B52D1" w:rsidP="00AD7408">
      <w:pPr>
        <w:pStyle w:val="AllensHeading3"/>
        <w:numPr>
          <w:ilvl w:val="0"/>
          <w:numId w:val="12"/>
        </w:numPr>
        <w:ind w:left="2138"/>
        <w:jc w:val="both"/>
      </w:pPr>
      <w:r w:rsidRPr="00161174">
        <w:t xml:space="preserve">Landlord-Tenant Law (Law No. 11 of </w:t>
      </w:r>
      <w:r>
        <w:t>1994</w:t>
      </w:r>
      <w:r w:rsidR="00F007DA">
        <w:t>)</w:t>
      </w:r>
      <w:r>
        <w:rPr>
          <w:rStyle w:val="FootnoteReference"/>
        </w:rPr>
        <w:footnoteReference w:id="19"/>
      </w:r>
      <w:r w:rsidR="00191023">
        <w:t xml:space="preserve"> as amended </w:t>
      </w:r>
      <w:r w:rsidR="0009623B">
        <w:t>by subsequent laws</w:t>
      </w:r>
      <w:r w:rsidR="00191023">
        <w:t xml:space="preserve">, </w:t>
      </w:r>
      <w:r w:rsidR="0009623B">
        <w:t>including</w:t>
      </w:r>
      <w:r>
        <w:t xml:space="preserve"> Law No. 30 of 2000</w:t>
      </w:r>
      <w:r>
        <w:rPr>
          <w:rStyle w:val="FootnoteReference"/>
        </w:rPr>
        <w:footnoteReference w:id="20"/>
      </w:r>
      <w:r>
        <w:t xml:space="preserve"> and Law No.</w:t>
      </w:r>
      <w:r w:rsidR="0092432A">
        <w:t xml:space="preserve"> </w:t>
      </w:r>
      <w:r>
        <w:t>22 of 2011</w:t>
      </w:r>
      <w:r w:rsidR="00F007DA">
        <w:t>.</w:t>
      </w:r>
      <w:r>
        <w:rPr>
          <w:rStyle w:val="FootnoteReference"/>
        </w:rPr>
        <w:footnoteReference w:id="21"/>
      </w:r>
    </w:p>
    <w:p w:rsidR="00B53A2B" w:rsidRPr="00A1306F" w:rsidRDefault="008B52D1" w:rsidP="00982E5A">
      <w:pPr>
        <w:pStyle w:val="AllensHeading3"/>
        <w:numPr>
          <w:ilvl w:val="0"/>
          <w:numId w:val="0"/>
        </w:numPr>
        <w:ind w:left="1418"/>
        <w:jc w:val="both"/>
        <w:rPr>
          <w:b/>
        </w:rPr>
      </w:pPr>
      <w:r w:rsidRPr="00A1306F">
        <w:rPr>
          <w:b/>
        </w:rPr>
        <w:t>[</w:t>
      </w:r>
      <w:r w:rsidR="00D94534" w:rsidRPr="00A1306F">
        <w:rPr>
          <w:b/>
        </w:rPr>
        <w:t xml:space="preserve">Note: </w:t>
      </w:r>
      <w:r w:rsidR="00A662A8" w:rsidRPr="00A1306F">
        <w:rPr>
          <w:b/>
        </w:rPr>
        <w:t xml:space="preserve">apart from the Constitution, </w:t>
      </w:r>
      <w:r w:rsidRPr="00A1306F">
        <w:rPr>
          <w:b/>
        </w:rPr>
        <w:t>we have not found any links to full texts for the</w:t>
      </w:r>
      <w:r w:rsidR="00A662A8" w:rsidRPr="00A1306F">
        <w:rPr>
          <w:b/>
        </w:rPr>
        <w:t xml:space="preserve">se pieces of legislation </w:t>
      </w:r>
      <w:r w:rsidRPr="00A1306F">
        <w:rPr>
          <w:b/>
        </w:rPr>
        <w:t>nor an</w:t>
      </w:r>
      <w:r w:rsidR="00982E5A" w:rsidRPr="00A1306F">
        <w:rPr>
          <w:b/>
        </w:rPr>
        <w:t>y English versions of the same.</w:t>
      </w:r>
      <w:r w:rsidRPr="00A1306F">
        <w:rPr>
          <w:b/>
        </w:rPr>
        <w:t>]</w:t>
      </w:r>
    </w:p>
    <w:p w:rsidR="00B53A2B" w:rsidRDefault="008B52D1" w:rsidP="00982E5A">
      <w:pPr>
        <w:pStyle w:val="NormalIndent"/>
        <w:ind w:left="1429"/>
        <w:jc w:val="both"/>
      </w:pPr>
      <w:r>
        <w:t xml:space="preserve">The Department of Land and Survey (DLS) governs housing, land, building and planning, and liaises with 34 Land Registration Directorates (LRDs) and </w:t>
      </w:r>
      <w:r w:rsidR="00191023">
        <w:t>two</w:t>
      </w:r>
      <w:r>
        <w:t xml:space="preserve"> land registration offices distributed across Jordan, in managing land across the country. The role of the DLS is</w:t>
      </w:r>
      <w:r w:rsidR="00F007DA">
        <w:t xml:space="preserve"> discussed in greater detail in Section </w:t>
      </w:r>
      <w:r w:rsidR="00F007DA">
        <w:fldChar w:fldCharType="begin"/>
      </w:r>
      <w:r w:rsidR="00F007DA">
        <w:instrText xml:space="preserve"> REF _Ref13683993 \w \h </w:instrText>
      </w:r>
      <w:r w:rsidR="00F007DA">
        <w:fldChar w:fldCharType="separate"/>
      </w:r>
      <w:r w:rsidR="00F007DA">
        <w:t>2.1(b)</w:t>
      </w:r>
      <w:r w:rsidR="00F007DA">
        <w:fldChar w:fldCharType="end"/>
      </w:r>
      <w:r>
        <w:t xml:space="preserve"> below.</w:t>
      </w:r>
    </w:p>
    <w:p w:rsidR="00B53A2B" w:rsidRDefault="008B52D1" w:rsidP="005827D8">
      <w:pPr>
        <w:pStyle w:val="AllensHeading3"/>
        <w:jc w:val="both"/>
        <w:rPr>
          <w:b/>
        </w:rPr>
      </w:pPr>
      <w:bookmarkStart w:id="45" w:name="Common_types_of_tenure"/>
      <w:bookmarkStart w:id="46" w:name="KeyGovtActors"/>
      <w:bookmarkStart w:id="47" w:name="_Ref13683993"/>
      <w:bookmarkEnd w:id="45"/>
      <w:bookmarkEnd w:id="46"/>
      <w:r w:rsidRPr="00D52502">
        <w:rPr>
          <w:b/>
        </w:rPr>
        <w:t>What types of tenure exist?</w:t>
      </w:r>
      <w:bookmarkEnd w:id="47"/>
    </w:p>
    <w:p w:rsidR="00B53A2B" w:rsidRDefault="008B52D1" w:rsidP="00A662A8">
      <w:pPr>
        <w:pStyle w:val="NormalIndent"/>
        <w:ind w:left="1418"/>
        <w:jc w:val="both"/>
      </w:pPr>
      <w:r>
        <w:t xml:space="preserve">The right to own immovable property is </w:t>
      </w:r>
      <w:r w:rsidR="00A662A8">
        <w:t>enshrined in the Constitution: A</w:t>
      </w:r>
      <w:r>
        <w:t xml:space="preserve">rticles 11 and 12 provide that every person has the right to own immovable property but with the caveats that such property may be confiscated in accordance with the law or expropriated if </w:t>
      </w:r>
      <w:r>
        <w:lastRenderedPageBreak/>
        <w:t>required for public utility, though the latter would be exchanged for just compensation as prescribed by law.</w:t>
      </w:r>
      <w:r>
        <w:rPr>
          <w:rStyle w:val="FootnoteReference"/>
        </w:rPr>
        <w:footnoteReference w:id="22"/>
      </w:r>
    </w:p>
    <w:p w:rsidR="00B53A2B" w:rsidRDefault="008B52D1" w:rsidP="00A662A8">
      <w:pPr>
        <w:pStyle w:val="NormalIndent"/>
        <w:ind w:left="1418"/>
        <w:jc w:val="both"/>
      </w:pPr>
      <w:r>
        <w:t>Article 10 of the Constitution also provides that "</w:t>
      </w:r>
      <w:r w:rsidRPr="00A662A8">
        <w:rPr>
          <w:i/>
        </w:rPr>
        <w:t>dwelling houses</w:t>
      </w:r>
      <w:r>
        <w:t>" are "</w:t>
      </w:r>
      <w:r w:rsidRPr="00A662A8">
        <w:rPr>
          <w:i/>
        </w:rPr>
        <w:t>inviolable</w:t>
      </w:r>
      <w:r>
        <w:t xml:space="preserve">" and may not be entered into unless lawfully prescribed and in the manner so prescribed. </w:t>
      </w:r>
    </w:p>
    <w:p w:rsidR="00B53A2B" w:rsidRPr="00551164" w:rsidRDefault="008B52D1" w:rsidP="00A662A8">
      <w:pPr>
        <w:pStyle w:val="NormalIndent"/>
        <w:ind w:left="1418"/>
        <w:jc w:val="both"/>
      </w:pPr>
      <w:r>
        <w:t>Article 70 of the Civil Code governs property rights including those concerning fee simple ownership, usufruct, rights to residence, utilisation of trust land (</w:t>
      </w:r>
      <w:r w:rsidRPr="00A662A8">
        <w:rPr>
          <w:i/>
        </w:rPr>
        <w:t>al-</w:t>
      </w:r>
      <w:proofErr w:type="spellStart"/>
      <w:r w:rsidRPr="00A662A8">
        <w:rPr>
          <w:i/>
        </w:rPr>
        <w:t>Hikr</w:t>
      </w:r>
      <w:proofErr w:type="spellEnd"/>
      <w:r>
        <w:t>), dual lease of trust land (</w:t>
      </w:r>
      <w:r w:rsidRPr="00A662A8">
        <w:rPr>
          <w:i/>
        </w:rPr>
        <w:t>al-</w:t>
      </w:r>
      <w:proofErr w:type="spellStart"/>
      <w:r w:rsidRPr="00A662A8">
        <w:rPr>
          <w:i/>
        </w:rPr>
        <w:t>Ijaratayn</w:t>
      </w:r>
      <w:proofErr w:type="spellEnd"/>
      <w:r>
        <w:t>) and vacancy of usufruct (</w:t>
      </w:r>
      <w:proofErr w:type="spellStart"/>
      <w:r w:rsidRPr="00A662A8">
        <w:rPr>
          <w:i/>
        </w:rPr>
        <w:t>khuluw</w:t>
      </w:r>
      <w:proofErr w:type="spellEnd"/>
      <w:r w:rsidRPr="00A662A8">
        <w:rPr>
          <w:i/>
        </w:rPr>
        <w:t xml:space="preserve"> al-</w:t>
      </w:r>
      <w:proofErr w:type="spellStart"/>
      <w:r w:rsidRPr="00A662A8">
        <w:rPr>
          <w:i/>
        </w:rPr>
        <w:t>Intifa</w:t>
      </w:r>
      <w:proofErr w:type="spellEnd"/>
      <w:r w:rsidRPr="00A662A8">
        <w:rPr>
          <w:i/>
        </w:rPr>
        <w:t>'</w:t>
      </w:r>
      <w:r>
        <w:t>).</w:t>
      </w:r>
      <w:r>
        <w:rPr>
          <w:rStyle w:val="FootnoteReference"/>
        </w:rPr>
        <w:footnoteReference w:id="23"/>
      </w:r>
    </w:p>
    <w:p w:rsidR="00B53A2B" w:rsidRDefault="008B52D1" w:rsidP="00A662A8">
      <w:pPr>
        <w:pStyle w:val="NormalIndent"/>
        <w:ind w:left="698" w:firstLine="720"/>
        <w:jc w:val="both"/>
        <w:rPr>
          <w:u w:val="single"/>
        </w:rPr>
      </w:pPr>
      <w:r>
        <w:rPr>
          <w:u w:val="single"/>
        </w:rPr>
        <w:t>Background</w:t>
      </w:r>
    </w:p>
    <w:p w:rsidR="00B53A2B" w:rsidRDefault="008B52D1" w:rsidP="00A662A8">
      <w:pPr>
        <w:pStyle w:val="NormalIndent"/>
        <w:ind w:left="1418"/>
        <w:jc w:val="both"/>
      </w:pPr>
      <w:r>
        <w:t>The current system of land registration and tenure in Jordan has its roots in the original Ottoman Land Code of 1858, under which land was divided into five classes: (</w:t>
      </w:r>
      <w:proofErr w:type="spellStart"/>
      <w:r>
        <w:t>i</w:t>
      </w:r>
      <w:proofErr w:type="spellEnd"/>
      <w:r>
        <w:t xml:space="preserve">) </w:t>
      </w:r>
      <w:proofErr w:type="spellStart"/>
      <w:r w:rsidRPr="00A662A8">
        <w:rPr>
          <w:i/>
        </w:rPr>
        <w:t>mamluka</w:t>
      </w:r>
      <w:proofErr w:type="spellEnd"/>
      <w:r>
        <w:t xml:space="preserve"> (lands privately owned by an individual or a group in fee simple, also known as "</w:t>
      </w:r>
      <w:proofErr w:type="spellStart"/>
      <w:r w:rsidRPr="00A662A8">
        <w:rPr>
          <w:i/>
        </w:rPr>
        <w:t>m</w:t>
      </w:r>
      <w:r w:rsidRPr="00A662A8">
        <w:rPr>
          <w:rFonts w:cs="Arial"/>
          <w:i/>
        </w:rPr>
        <w:t>ü</w:t>
      </w:r>
      <w:r w:rsidRPr="00A662A8">
        <w:rPr>
          <w:i/>
        </w:rPr>
        <w:t>lk</w:t>
      </w:r>
      <w:proofErr w:type="spellEnd"/>
      <w:r>
        <w:t xml:space="preserve">" land); (ii) </w:t>
      </w:r>
      <w:proofErr w:type="spellStart"/>
      <w:r w:rsidRPr="00A662A8">
        <w:rPr>
          <w:i/>
        </w:rPr>
        <w:t>miri</w:t>
      </w:r>
      <w:proofErr w:type="spellEnd"/>
      <w:r>
        <w:t xml:space="preserve"> (lands owned by the state treasury); (iii) </w:t>
      </w:r>
      <w:proofErr w:type="spellStart"/>
      <w:r w:rsidRPr="00A662A8">
        <w:rPr>
          <w:i/>
        </w:rPr>
        <w:t>mawfuqa</w:t>
      </w:r>
      <w:proofErr w:type="spellEnd"/>
      <w:r>
        <w:t xml:space="preserve"> (land endowed to religious establishments); (iv) </w:t>
      </w:r>
      <w:proofErr w:type="spellStart"/>
      <w:r w:rsidRPr="00A662A8">
        <w:rPr>
          <w:i/>
        </w:rPr>
        <w:t>matruka</w:t>
      </w:r>
      <w:proofErr w:type="spellEnd"/>
      <w:r>
        <w:t xml:space="preserve"> (common land used for public activities); and (v) </w:t>
      </w:r>
      <w:proofErr w:type="spellStart"/>
      <w:r w:rsidRPr="00A662A8">
        <w:rPr>
          <w:i/>
        </w:rPr>
        <w:t>mawat</w:t>
      </w:r>
      <w:proofErr w:type="spellEnd"/>
      <w:r>
        <w:t xml:space="preserve"> (dead, unclaimed or uncultivated land). If the owners of certain types of </w:t>
      </w:r>
      <w:proofErr w:type="spellStart"/>
      <w:r w:rsidRPr="00A662A8">
        <w:rPr>
          <w:i/>
        </w:rPr>
        <w:t>mamluka</w:t>
      </w:r>
      <w:proofErr w:type="spellEnd"/>
      <w:r>
        <w:t xml:space="preserve"> lands passed away without heirs, these lands would also become </w:t>
      </w:r>
      <w:proofErr w:type="spellStart"/>
      <w:r w:rsidRPr="00A662A8">
        <w:rPr>
          <w:i/>
        </w:rPr>
        <w:t>miri</w:t>
      </w:r>
      <w:proofErr w:type="spellEnd"/>
      <w:r>
        <w:t xml:space="preserve"> lands. Although there were land registry offices ("</w:t>
      </w:r>
      <w:r w:rsidRPr="00A662A8">
        <w:rPr>
          <w:i/>
        </w:rPr>
        <w:t>tapu</w:t>
      </w:r>
      <w:r>
        <w:t>") which detailed land inventory for taxation purposes, the Ottoman Land Code required title deeds (</w:t>
      </w:r>
      <w:r w:rsidR="00A662A8">
        <w:t>"</w:t>
      </w:r>
      <w:proofErr w:type="spellStart"/>
      <w:r w:rsidRPr="00A662A8">
        <w:rPr>
          <w:i/>
        </w:rPr>
        <w:t>qushan</w:t>
      </w:r>
      <w:proofErr w:type="spellEnd"/>
      <w:r w:rsidR="00A662A8">
        <w:t>"</w:t>
      </w:r>
      <w:r>
        <w:t>) to be issued from the capital of the Ottoman Empire, Istanbul.</w:t>
      </w:r>
      <w:r>
        <w:rPr>
          <w:rStyle w:val="FootnoteReference"/>
        </w:rPr>
        <w:footnoteReference w:id="24"/>
      </w:r>
    </w:p>
    <w:p w:rsidR="00B53A2B" w:rsidRDefault="008B52D1" w:rsidP="00A662A8">
      <w:pPr>
        <w:pStyle w:val="NormalIndent"/>
        <w:ind w:left="1418"/>
        <w:jc w:val="both"/>
      </w:pPr>
      <w:r>
        <w:t>After the Ottoman Empire fell, the state of Transjordan was entitled under Article 139 of the Treaty of Lausanne to acquire the land registers and documents under the previous Ottoman land registration system.</w:t>
      </w:r>
      <w:r>
        <w:rPr>
          <w:rStyle w:val="FootnoteReference"/>
        </w:rPr>
        <w:footnoteReference w:id="25"/>
      </w:r>
      <w:r>
        <w:t xml:space="preserve"> In 1927, the Law of Land Boundary Establishment and Valuation was passed, defining boundaries of public and private properties, village boundaries and state forests, and the DLS, the principal government department dealing with land registration and management, was established. </w:t>
      </w:r>
    </w:p>
    <w:p w:rsidR="00B53A2B" w:rsidRDefault="008B52D1" w:rsidP="00A662A8">
      <w:pPr>
        <w:pStyle w:val="AllensHeading3"/>
        <w:numPr>
          <w:ilvl w:val="0"/>
          <w:numId w:val="0"/>
        </w:numPr>
        <w:ind w:left="1407" w:firstLine="11"/>
        <w:jc w:val="both"/>
      </w:pPr>
      <w:r>
        <w:t>Today, the DLS is responsible for cadastral surveying (i.e. the establishment and identification of property boundaries), registration of land property and management of treasury lands.</w:t>
      </w:r>
      <w:r>
        <w:rPr>
          <w:rStyle w:val="FootnoteReference"/>
        </w:rPr>
        <w:footnoteReference w:id="26"/>
      </w:r>
      <w:r>
        <w:t xml:space="preserve"> Essentially all transactions relating to the rights of settled or registered land (ownership, usufruct, disposition, etc.) are governed by DLS and/or </w:t>
      </w:r>
      <w:r w:rsidR="004A0F69">
        <w:t xml:space="preserve">Land Registration Directorate </w:t>
      </w:r>
      <w:r>
        <w:t xml:space="preserve">procedures. </w:t>
      </w:r>
    </w:p>
    <w:p w:rsidR="00B53A2B" w:rsidRDefault="008B52D1" w:rsidP="00A662A8">
      <w:pPr>
        <w:pStyle w:val="AllensHeading3"/>
        <w:numPr>
          <w:ilvl w:val="0"/>
          <w:numId w:val="0"/>
        </w:numPr>
        <w:ind w:left="1407" w:firstLine="11"/>
        <w:jc w:val="both"/>
      </w:pPr>
      <w:r>
        <w:t>The DLS regulates the leasing, accreditation and dedication (for public bodies) of treasury lands, as well as the expropriation and control of subdivision and boundary fixing transactions. The DLS also licenses the licensed surveyors carrying out these transactions in addition to land assessors and land brokers and collects sales taxes and registration fees for the government.</w:t>
      </w:r>
      <w:r>
        <w:rPr>
          <w:rStyle w:val="FootnoteReference"/>
        </w:rPr>
        <w:footnoteReference w:id="27"/>
      </w:r>
    </w:p>
    <w:p w:rsidR="00B53A2B" w:rsidRDefault="008B52D1" w:rsidP="00A662A8">
      <w:pPr>
        <w:pStyle w:val="NormalIndent"/>
        <w:ind w:left="1418"/>
        <w:jc w:val="both"/>
      </w:pPr>
      <w:r>
        <w:t>The different types of tenure are shown in the table below:</w:t>
      </w:r>
    </w:p>
    <w:p w:rsidR="00B53A2B" w:rsidRDefault="00B53A2B" w:rsidP="0024376E">
      <w:pPr>
        <w:pStyle w:val="NormalIndent"/>
        <w:ind w:left="0"/>
      </w:pPr>
    </w:p>
    <w:tbl>
      <w:tblPr>
        <w:tblStyle w:val="TableGrid1"/>
        <w:tblW w:w="7904" w:type="dxa"/>
        <w:tblInd w:w="1668" w:type="dxa"/>
        <w:tblLayout w:type="fixed"/>
        <w:tblLook w:val="04A0" w:firstRow="1" w:lastRow="0" w:firstColumn="1" w:lastColumn="0" w:noHBand="0" w:noVBand="1"/>
      </w:tblPr>
      <w:tblGrid>
        <w:gridCol w:w="1842"/>
        <w:gridCol w:w="1985"/>
        <w:gridCol w:w="2410"/>
        <w:gridCol w:w="1667"/>
      </w:tblGrid>
      <w:tr w:rsidR="006D0A9D" w:rsidTr="0024376E">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A2B" w:rsidRDefault="008B52D1" w:rsidP="00E80A1D">
            <w:pPr>
              <w:spacing w:line="276" w:lineRule="auto"/>
              <w:rPr>
                <w:rFonts w:cs="Arial"/>
                <w:b/>
              </w:rPr>
            </w:pPr>
            <w:r w:rsidRPr="007A1DA0">
              <w:rPr>
                <w:rFonts w:cs="Arial"/>
                <w:b/>
              </w:rPr>
              <w:t>Tenure</w:t>
            </w:r>
          </w:p>
          <w:p w:rsidR="00B53A2B" w:rsidRPr="007A1DA0" w:rsidRDefault="00B53A2B" w:rsidP="00E80A1D">
            <w:pPr>
              <w:spacing w:line="276" w:lineRule="auto"/>
              <w:rPr>
                <w:rFonts w:cs="Arial"/>
                <w:b/>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A2B" w:rsidRPr="007A1DA0" w:rsidRDefault="008B52D1" w:rsidP="00E80A1D">
            <w:pPr>
              <w:spacing w:line="276" w:lineRule="auto"/>
              <w:rPr>
                <w:b/>
              </w:rPr>
            </w:pPr>
            <w:r>
              <w:rPr>
                <w:b/>
              </w:rPr>
              <w:lastRenderedPageBreak/>
              <w:t>Registrable?</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A2B" w:rsidRPr="007A1DA0" w:rsidRDefault="008B52D1" w:rsidP="00E80A1D">
            <w:pPr>
              <w:spacing w:line="276" w:lineRule="auto"/>
              <w:rPr>
                <w:rFonts w:cs="Arial"/>
                <w:b/>
              </w:rPr>
            </w:pPr>
            <w:r>
              <w:rPr>
                <w:b/>
              </w:rPr>
              <w:t>Commonly registered?</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A2B" w:rsidRPr="007A1DA0" w:rsidRDefault="008B52D1" w:rsidP="00E80A1D">
            <w:pPr>
              <w:spacing w:line="276" w:lineRule="auto"/>
              <w:rPr>
                <w:b/>
              </w:rPr>
            </w:pPr>
            <w:r>
              <w:rPr>
                <w:b/>
              </w:rPr>
              <w:t xml:space="preserve">Section below </w:t>
            </w:r>
          </w:p>
        </w:tc>
      </w:tr>
      <w:tr w:rsidR="006D0A9D" w:rsidTr="0024376E">
        <w:tc>
          <w:tcPr>
            <w:tcW w:w="1842" w:type="dxa"/>
            <w:shd w:val="clear" w:color="auto" w:fill="auto"/>
          </w:tcPr>
          <w:p w:rsidR="00B53A2B" w:rsidRPr="0012311A" w:rsidRDefault="008B52D1" w:rsidP="00C208A0">
            <w:r>
              <w:t>State or Treasury land</w:t>
            </w:r>
          </w:p>
        </w:tc>
        <w:tc>
          <w:tcPr>
            <w:tcW w:w="1985" w:type="dxa"/>
            <w:shd w:val="clear" w:color="auto" w:fill="auto"/>
          </w:tcPr>
          <w:p w:rsidR="00B53A2B" w:rsidRDefault="008B52D1" w:rsidP="00E80A1D">
            <w:pPr>
              <w:spacing w:line="276" w:lineRule="auto"/>
              <w:rPr>
                <w:rFonts w:cs="Arial"/>
              </w:rPr>
            </w:pPr>
            <w:r>
              <w:rPr>
                <w:rFonts w:cs="Arial"/>
              </w:rPr>
              <w:t xml:space="preserve">Yes </w:t>
            </w:r>
          </w:p>
        </w:tc>
        <w:tc>
          <w:tcPr>
            <w:tcW w:w="2410" w:type="dxa"/>
            <w:shd w:val="clear" w:color="auto" w:fill="auto"/>
          </w:tcPr>
          <w:p w:rsidR="00B53A2B" w:rsidRDefault="008B52D1" w:rsidP="00E80A1D">
            <w:pPr>
              <w:spacing w:line="276" w:lineRule="auto"/>
              <w:rPr>
                <w:rFonts w:cs="Arial"/>
              </w:rPr>
            </w:pPr>
            <w:r>
              <w:rPr>
                <w:rFonts w:cs="Arial"/>
              </w:rPr>
              <w:t>Yes</w:t>
            </w:r>
          </w:p>
        </w:tc>
        <w:tc>
          <w:tcPr>
            <w:tcW w:w="1667" w:type="dxa"/>
            <w:shd w:val="clear" w:color="auto" w:fill="auto"/>
          </w:tcPr>
          <w:p w:rsidR="00B53A2B" w:rsidRPr="007A1DA0" w:rsidRDefault="008B52D1" w:rsidP="00E80A1D">
            <w:pPr>
              <w:spacing w:line="276" w:lineRule="auto"/>
              <w:rPr>
                <w:rFonts w:cs="Arial"/>
              </w:rPr>
            </w:pPr>
            <w:r>
              <w:rPr>
                <w:rFonts w:cs="Arial"/>
              </w:rPr>
              <w:t>(</w:t>
            </w:r>
            <w:proofErr w:type="spellStart"/>
            <w:r>
              <w:rPr>
                <w:rFonts w:cs="Arial"/>
              </w:rPr>
              <w:t>i</w:t>
            </w:r>
            <w:proofErr w:type="spellEnd"/>
            <w:r>
              <w:rPr>
                <w:rFonts w:cs="Arial"/>
              </w:rPr>
              <w:t>)</w:t>
            </w:r>
          </w:p>
        </w:tc>
      </w:tr>
      <w:tr w:rsidR="006D0A9D" w:rsidTr="0024376E">
        <w:tc>
          <w:tcPr>
            <w:tcW w:w="1842" w:type="dxa"/>
            <w:shd w:val="clear" w:color="auto" w:fill="auto"/>
          </w:tcPr>
          <w:p w:rsidR="00C208A0" w:rsidRDefault="008B52D1" w:rsidP="00E80A1D">
            <w:r>
              <w:t>Freehold</w:t>
            </w:r>
          </w:p>
        </w:tc>
        <w:tc>
          <w:tcPr>
            <w:tcW w:w="1985" w:type="dxa"/>
            <w:shd w:val="clear" w:color="auto" w:fill="auto"/>
          </w:tcPr>
          <w:p w:rsidR="00C208A0" w:rsidRDefault="008B52D1" w:rsidP="00E80A1D">
            <w:pPr>
              <w:spacing w:line="276" w:lineRule="auto"/>
              <w:rPr>
                <w:rFonts w:cs="Arial"/>
              </w:rPr>
            </w:pPr>
            <w:r>
              <w:rPr>
                <w:rFonts w:cs="Arial"/>
              </w:rPr>
              <w:t>Yes</w:t>
            </w:r>
          </w:p>
        </w:tc>
        <w:tc>
          <w:tcPr>
            <w:tcW w:w="2410" w:type="dxa"/>
            <w:shd w:val="clear" w:color="auto" w:fill="auto"/>
          </w:tcPr>
          <w:p w:rsidR="00C208A0" w:rsidRDefault="008B52D1" w:rsidP="00C208A0">
            <w:pPr>
              <w:spacing w:line="276" w:lineRule="auto"/>
              <w:rPr>
                <w:rFonts w:cs="Arial"/>
              </w:rPr>
            </w:pPr>
            <w:r>
              <w:rPr>
                <w:rFonts w:cs="Arial"/>
              </w:rPr>
              <w:t>In urban areas – yes. In rural areas – not always.</w:t>
            </w:r>
          </w:p>
        </w:tc>
        <w:tc>
          <w:tcPr>
            <w:tcW w:w="1667" w:type="dxa"/>
            <w:shd w:val="clear" w:color="auto" w:fill="auto"/>
          </w:tcPr>
          <w:p w:rsidR="00C208A0" w:rsidRDefault="008B52D1" w:rsidP="00E80A1D">
            <w:pPr>
              <w:spacing w:line="276" w:lineRule="auto"/>
              <w:rPr>
                <w:rFonts w:cs="Arial"/>
              </w:rPr>
            </w:pPr>
            <w:r>
              <w:rPr>
                <w:rFonts w:cs="Arial"/>
              </w:rPr>
              <w:t>(</w:t>
            </w:r>
            <w:proofErr w:type="spellStart"/>
            <w:r>
              <w:rPr>
                <w:rFonts w:cs="Arial"/>
              </w:rPr>
              <w:t>i</w:t>
            </w:r>
            <w:proofErr w:type="spellEnd"/>
            <w:r>
              <w:rPr>
                <w:rFonts w:cs="Arial"/>
              </w:rPr>
              <w:t>)</w:t>
            </w:r>
          </w:p>
        </w:tc>
      </w:tr>
      <w:tr w:rsidR="006D0A9D" w:rsidTr="0024376E">
        <w:tc>
          <w:tcPr>
            <w:tcW w:w="1842" w:type="dxa"/>
            <w:shd w:val="clear" w:color="auto" w:fill="auto"/>
          </w:tcPr>
          <w:p w:rsidR="00B53A2B" w:rsidRPr="008E2A4C" w:rsidRDefault="008B52D1" w:rsidP="00E80A1D">
            <w:r>
              <w:t xml:space="preserve">Waste land </w:t>
            </w:r>
          </w:p>
        </w:tc>
        <w:tc>
          <w:tcPr>
            <w:tcW w:w="1985" w:type="dxa"/>
            <w:shd w:val="clear" w:color="auto" w:fill="auto"/>
          </w:tcPr>
          <w:p w:rsidR="00B53A2B" w:rsidRPr="007A1DA0" w:rsidRDefault="008B52D1" w:rsidP="000664C4">
            <w:pPr>
              <w:spacing w:line="276" w:lineRule="auto"/>
            </w:pPr>
            <w:r>
              <w:t>By definition unregistered. But once the land is vivified this becomes Treasury land.</w:t>
            </w:r>
          </w:p>
        </w:tc>
        <w:tc>
          <w:tcPr>
            <w:tcW w:w="2410" w:type="dxa"/>
            <w:shd w:val="clear" w:color="auto" w:fill="auto"/>
          </w:tcPr>
          <w:p w:rsidR="00B53A2B" w:rsidRPr="007A1DA0" w:rsidRDefault="008B52D1" w:rsidP="00E80A1D">
            <w:pPr>
              <w:spacing w:line="276" w:lineRule="auto"/>
            </w:pPr>
            <w:r>
              <w:t xml:space="preserve">No </w:t>
            </w:r>
          </w:p>
        </w:tc>
        <w:tc>
          <w:tcPr>
            <w:tcW w:w="1667" w:type="dxa"/>
            <w:shd w:val="clear" w:color="auto" w:fill="auto"/>
          </w:tcPr>
          <w:p w:rsidR="00B53A2B" w:rsidRPr="007A1DA0" w:rsidRDefault="008B52D1" w:rsidP="00E80A1D">
            <w:pPr>
              <w:spacing w:line="276" w:lineRule="auto"/>
              <w:rPr>
                <w:rFonts w:cs="Arial"/>
              </w:rPr>
            </w:pPr>
            <w:r>
              <w:rPr>
                <w:rFonts w:cs="Arial"/>
              </w:rPr>
              <w:t>(ii)</w:t>
            </w:r>
          </w:p>
        </w:tc>
      </w:tr>
      <w:tr w:rsidR="006D0A9D" w:rsidTr="0024376E">
        <w:tc>
          <w:tcPr>
            <w:tcW w:w="1842" w:type="dxa"/>
            <w:shd w:val="clear" w:color="auto" w:fill="auto"/>
          </w:tcPr>
          <w:p w:rsidR="00B53A2B" w:rsidRPr="008E2A4C" w:rsidRDefault="008B52D1" w:rsidP="00E80A1D">
            <w:r>
              <w:t>Lease</w:t>
            </w:r>
          </w:p>
        </w:tc>
        <w:tc>
          <w:tcPr>
            <w:tcW w:w="1985" w:type="dxa"/>
            <w:shd w:val="clear" w:color="auto" w:fill="auto"/>
          </w:tcPr>
          <w:p w:rsidR="00B53A2B" w:rsidRPr="008E2A4C" w:rsidRDefault="008B52D1" w:rsidP="00E80A1D">
            <w:pPr>
              <w:spacing w:line="276" w:lineRule="auto"/>
            </w:pPr>
            <w:r w:rsidRPr="008E2A4C">
              <w:t xml:space="preserve">Yes </w:t>
            </w:r>
          </w:p>
        </w:tc>
        <w:tc>
          <w:tcPr>
            <w:tcW w:w="2410" w:type="dxa"/>
            <w:shd w:val="clear" w:color="auto" w:fill="auto"/>
          </w:tcPr>
          <w:p w:rsidR="00B53A2B" w:rsidRPr="008E2A4C" w:rsidRDefault="008B52D1" w:rsidP="00E80A1D">
            <w:pPr>
              <w:spacing w:line="276" w:lineRule="auto"/>
            </w:pPr>
            <w:r>
              <w:t>Unknown</w:t>
            </w:r>
          </w:p>
        </w:tc>
        <w:tc>
          <w:tcPr>
            <w:tcW w:w="1667" w:type="dxa"/>
            <w:shd w:val="clear" w:color="auto" w:fill="auto"/>
          </w:tcPr>
          <w:p w:rsidR="00B53A2B" w:rsidRPr="007A1DA0" w:rsidRDefault="008B52D1" w:rsidP="00E80A1D">
            <w:pPr>
              <w:spacing w:line="276" w:lineRule="auto"/>
            </w:pPr>
            <w:r>
              <w:t>(iii)</w:t>
            </w:r>
          </w:p>
        </w:tc>
      </w:tr>
      <w:tr w:rsidR="006D0A9D" w:rsidTr="0024376E">
        <w:tc>
          <w:tcPr>
            <w:tcW w:w="1842" w:type="dxa"/>
            <w:shd w:val="clear" w:color="auto" w:fill="auto"/>
          </w:tcPr>
          <w:p w:rsidR="00B53A2B" w:rsidRPr="006C442E" w:rsidRDefault="008B52D1" w:rsidP="00E80A1D">
            <w:r w:rsidRPr="006C442E">
              <w:t>Assignments and sub-leases</w:t>
            </w:r>
          </w:p>
        </w:tc>
        <w:tc>
          <w:tcPr>
            <w:tcW w:w="1985" w:type="dxa"/>
            <w:shd w:val="clear" w:color="auto" w:fill="auto"/>
          </w:tcPr>
          <w:p w:rsidR="00B53A2B" w:rsidRPr="006C442E" w:rsidRDefault="008B52D1" w:rsidP="00E80A1D">
            <w:pPr>
              <w:spacing w:line="276" w:lineRule="auto"/>
            </w:pPr>
            <w:r w:rsidRPr="006C442E">
              <w:t>No (sub-leases possibly)</w:t>
            </w:r>
          </w:p>
        </w:tc>
        <w:tc>
          <w:tcPr>
            <w:tcW w:w="2410" w:type="dxa"/>
            <w:shd w:val="clear" w:color="auto" w:fill="auto"/>
          </w:tcPr>
          <w:p w:rsidR="00B53A2B" w:rsidRPr="006C442E" w:rsidRDefault="008B52D1" w:rsidP="00E80A1D">
            <w:pPr>
              <w:spacing w:line="276" w:lineRule="auto"/>
            </w:pPr>
            <w:r w:rsidRPr="006C442E">
              <w:t>No (sub-leases possibly)</w:t>
            </w:r>
          </w:p>
        </w:tc>
        <w:tc>
          <w:tcPr>
            <w:tcW w:w="1667" w:type="dxa"/>
            <w:shd w:val="clear" w:color="auto" w:fill="auto"/>
          </w:tcPr>
          <w:p w:rsidR="00B53A2B" w:rsidRPr="006C442E" w:rsidRDefault="008B52D1" w:rsidP="00E80A1D">
            <w:pPr>
              <w:spacing w:line="276" w:lineRule="auto"/>
            </w:pPr>
            <w:r w:rsidRPr="006C442E">
              <w:t>(iv)</w:t>
            </w:r>
          </w:p>
        </w:tc>
      </w:tr>
      <w:tr w:rsidR="006D0A9D" w:rsidTr="0024376E">
        <w:tc>
          <w:tcPr>
            <w:tcW w:w="1842" w:type="dxa"/>
            <w:shd w:val="clear" w:color="auto" w:fill="auto"/>
          </w:tcPr>
          <w:p w:rsidR="00B53A2B" w:rsidRPr="0012311A" w:rsidRDefault="008B52D1" w:rsidP="00E80A1D">
            <w:r>
              <w:t xml:space="preserve">Usufruct Rights </w:t>
            </w:r>
          </w:p>
        </w:tc>
        <w:tc>
          <w:tcPr>
            <w:tcW w:w="1985" w:type="dxa"/>
            <w:shd w:val="clear" w:color="auto" w:fill="auto"/>
          </w:tcPr>
          <w:p w:rsidR="00B53A2B" w:rsidRPr="007A1DA0" w:rsidRDefault="008B52D1" w:rsidP="00E80A1D">
            <w:pPr>
              <w:spacing w:line="276" w:lineRule="auto"/>
            </w:pPr>
            <w:r>
              <w:t>Yes (once land is settled)</w:t>
            </w:r>
          </w:p>
        </w:tc>
        <w:tc>
          <w:tcPr>
            <w:tcW w:w="2410" w:type="dxa"/>
            <w:shd w:val="clear" w:color="auto" w:fill="auto"/>
          </w:tcPr>
          <w:p w:rsidR="00B53A2B" w:rsidRPr="007A1DA0" w:rsidRDefault="008B52D1" w:rsidP="00E80A1D">
            <w:pPr>
              <w:spacing w:line="276" w:lineRule="auto"/>
            </w:pPr>
            <w:r>
              <w:t>Unknown</w:t>
            </w:r>
          </w:p>
        </w:tc>
        <w:tc>
          <w:tcPr>
            <w:tcW w:w="1667" w:type="dxa"/>
            <w:shd w:val="clear" w:color="auto" w:fill="auto"/>
          </w:tcPr>
          <w:p w:rsidR="00B53A2B" w:rsidRDefault="008B52D1" w:rsidP="00E80A1D">
            <w:pPr>
              <w:spacing w:line="276" w:lineRule="auto"/>
            </w:pPr>
            <w:r>
              <w:t>(v)</w:t>
            </w:r>
          </w:p>
        </w:tc>
      </w:tr>
    </w:tbl>
    <w:p w:rsidR="00B53A2B" w:rsidRDefault="00B53A2B" w:rsidP="00B53A2B">
      <w:pPr>
        <w:pStyle w:val="NormalIndent"/>
        <w:rPr>
          <w:u w:val="single"/>
        </w:rPr>
      </w:pPr>
    </w:p>
    <w:p w:rsidR="00B53A2B" w:rsidRPr="00C554EA" w:rsidRDefault="008B52D1" w:rsidP="000B0A89">
      <w:pPr>
        <w:pStyle w:val="AllensHeading4"/>
        <w:rPr>
          <w:u w:val="single"/>
        </w:rPr>
      </w:pPr>
      <w:bookmarkStart w:id="48" w:name="_Ref13684859"/>
      <w:r w:rsidRPr="00C554EA">
        <w:rPr>
          <w:u w:val="single"/>
        </w:rPr>
        <w:t>Land owned by the state treasury or privately owned</w:t>
      </w:r>
      <w:bookmarkEnd w:id="48"/>
    </w:p>
    <w:p w:rsidR="00B53A2B" w:rsidRDefault="008B52D1" w:rsidP="0024376E">
      <w:pPr>
        <w:pStyle w:val="NormalIndent"/>
        <w:ind w:left="1440"/>
        <w:rPr>
          <w:b/>
        </w:rPr>
      </w:pPr>
      <w:bookmarkStart w:id="49" w:name="StateTreasuryLand"/>
      <w:bookmarkEnd w:id="49"/>
      <w:r>
        <w:rPr>
          <w:b/>
        </w:rPr>
        <w:t>State or treasury land</w:t>
      </w:r>
    </w:p>
    <w:p w:rsidR="00B53A2B" w:rsidRDefault="008B52D1" w:rsidP="0024376E">
      <w:pPr>
        <w:pStyle w:val="AllensHeading3"/>
        <w:numPr>
          <w:ilvl w:val="0"/>
          <w:numId w:val="0"/>
        </w:numPr>
        <w:ind w:left="1429" w:firstLine="11"/>
        <w:jc w:val="both"/>
      </w:pPr>
      <w:r>
        <w:t xml:space="preserve">The majority of land in Jordan is owned by the State, particularly the lands east of the Hijaz railway. At the time Transjordan was established and land rights were registered, the population was much smaller and only a small part of the land was registered under private ownership. Since then, the increased population of Jordan has resulted in a greater demand for land, in particular, the lease or accreditation of treasury land. </w:t>
      </w:r>
      <w:proofErr w:type="gramStart"/>
      <w:r>
        <w:t>However</w:t>
      </w:r>
      <w:proofErr w:type="gramEnd"/>
      <w:r>
        <w:t xml:space="preserve"> the process of obtaining a lease or accreditation is complicated and onerous. For example, treasury land can be leased to someone who proves they have exploited the land but</w:t>
      </w:r>
      <w:r w:rsidR="0024376E">
        <w:t>,</w:t>
      </w:r>
      <w:r>
        <w:t xml:space="preserve"> paradoxically</w:t>
      </w:r>
      <w:r w:rsidR="0024376E">
        <w:t>,</w:t>
      </w:r>
      <w:r>
        <w:t xml:space="preserve"> it is illegal to exploit treasury land without a right to lease or accreditation.</w:t>
      </w:r>
    </w:p>
    <w:p w:rsidR="00EE6BF1" w:rsidRDefault="008B52D1" w:rsidP="0024376E">
      <w:pPr>
        <w:pStyle w:val="AllensHeading3"/>
        <w:numPr>
          <w:ilvl w:val="0"/>
          <w:numId w:val="0"/>
        </w:numPr>
        <w:ind w:left="1429" w:firstLine="11"/>
        <w:jc w:val="both"/>
      </w:pPr>
      <w:r>
        <w:t>Once the treasury land has been leased for five years, the lessee can undergo the necessary (and onerous) administrative procedures to apply for accreditation with the DLS in return for a reasonable price. Once accredited, the land cannot be sold or disposed within 10 years of that date.</w:t>
      </w:r>
      <w:r>
        <w:rPr>
          <w:rStyle w:val="FootnoteReference"/>
        </w:rPr>
        <w:footnoteReference w:id="28"/>
      </w:r>
      <w:r>
        <w:t xml:space="preserve"> While it appears that the process of accreditation may result in</w:t>
      </w:r>
      <w:r w:rsidR="00ED01DC">
        <w:t xml:space="preserve"> the applicant acquiring</w:t>
      </w:r>
      <w:r>
        <w:t xml:space="preserve"> a right to the land superior to a lease, it is unclear if it will result in full </w:t>
      </w:r>
      <w:r w:rsidR="00ED01DC">
        <w:t xml:space="preserve">freehold </w:t>
      </w:r>
      <w:r>
        <w:t>ownership of the land.</w:t>
      </w:r>
    </w:p>
    <w:p w:rsidR="00B53A2B" w:rsidRDefault="008B52D1" w:rsidP="0024376E">
      <w:pPr>
        <w:pStyle w:val="NormalIndent"/>
        <w:ind w:left="1440"/>
        <w:rPr>
          <w:b/>
        </w:rPr>
      </w:pPr>
      <w:bookmarkStart w:id="50" w:name="Freehold"/>
      <w:bookmarkEnd w:id="50"/>
      <w:r>
        <w:rPr>
          <w:b/>
        </w:rPr>
        <w:t>Freehold land</w:t>
      </w:r>
      <w:r w:rsidRPr="00FE59B0">
        <w:rPr>
          <w:b/>
        </w:rPr>
        <w:t xml:space="preserve"> </w:t>
      </w:r>
    </w:p>
    <w:p w:rsidR="00B53A2B" w:rsidRDefault="008B52D1" w:rsidP="000F462A">
      <w:pPr>
        <w:pStyle w:val="AllensHeading3"/>
        <w:numPr>
          <w:ilvl w:val="0"/>
          <w:numId w:val="0"/>
        </w:numPr>
        <w:ind w:left="1429"/>
        <w:jc w:val="both"/>
      </w:pPr>
      <w:r>
        <w:t xml:space="preserve">Any transactions involving the sale or exchange of freehold land must be registered with the DLS to be valid. Currently registration cannot be done by post, and registrants must go to the DLS headquarters or relevant </w:t>
      </w:r>
      <w:r w:rsidR="004A0F69">
        <w:t xml:space="preserve">Land Registration Directorate </w:t>
      </w:r>
      <w:r>
        <w:t>in person. To complete a land sale transaction, two witnesses are also required to be present and to provide their signatures.</w:t>
      </w:r>
      <w:r>
        <w:rPr>
          <w:rStyle w:val="FootnoteReference"/>
        </w:rPr>
        <w:footnoteReference w:id="29"/>
      </w:r>
      <w:r>
        <w:t xml:space="preserve"> </w:t>
      </w:r>
    </w:p>
    <w:p w:rsidR="00F91851" w:rsidRDefault="008B52D1" w:rsidP="00F91851">
      <w:pPr>
        <w:pStyle w:val="NormalIndent"/>
        <w:ind w:left="1418" w:firstLine="22"/>
        <w:jc w:val="both"/>
      </w:pPr>
      <w:r>
        <w:lastRenderedPageBreak/>
        <w:t>To complete a property sale transaction, the parties must obtain an official sale form from the DLS together with the cadastral map and certificate of ownership, and obtain a tax clearance form from the Ministry of Finance. The parties will also have to pay a property transfer tax of 10% of the sale price (4% paid by the seller and 6% paid by the purchaser) and a stamp duty of 0.6%, payable by the buyer within one mont</w:t>
      </w:r>
      <w:r w:rsidR="00F601D3">
        <w:t>h of the conclusion of the sale</w:t>
      </w:r>
      <w:r>
        <w:t xml:space="preserve"> contract.</w:t>
      </w:r>
      <w:r>
        <w:rPr>
          <w:rStyle w:val="FootnoteReference"/>
        </w:rPr>
        <w:footnoteReference w:id="30"/>
      </w:r>
    </w:p>
    <w:p w:rsidR="00B53A2B" w:rsidRPr="00DE2EF2" w:rsidRDefault="008B52D1" w:rsidP="0024376E">
      <w:pPr>
        <w:pStyle w:val="AllensHeading3"/>
        <w:numPr>
          <w:ilvl w:val="0"/>
          <w:numId w:val="0"/>
        </w:numPr>
        <w:ind w:left="720" w:firstLine="709"/>
        <w:rPr>
          <w:b/>
        </w:rPr>
      </w:pPr>
      <w:r>
        <w:rPr>
          <w:b/>
        </w:rPr>
        <w:t>Special status regions</w:t>
      </w:r>
    </w:p>
    <w:p w:rsidR="00B53A2B" w:rsidRDefault="008B52D1" w:rsidP="009E6C6A">
      <w:pPr>
        <w:pStyle w:val="AllensHeading3"/>
        <w:numPr>
          <w:ilvl w:val="0"/>
          <w:numId w:val="0"/>
        </w:numPr>
        <w:ind w:left="1429" w:firstLine="11"/>
        <w:jc w:val="both"/>
      </w:pPr>
      <w:r>
        <w:t>Although generally no land-related transaction is considered valid or legal without DLS approval, lands falling within certain special status regions may be exempted</w:t>
      </w:r>
      <w:r w:rsidR="00EB77ED">
        <w:t xml:space="preserve"> from the obligation to obtain approval</w:t>
      </w:r>
      <w:r>
        <w:t>. For example, the Jordan Valley (</w:t>
      </w:r>
      <w:r w:rsidRPr="009E6C6A">
        <w:t xml:space="preserve">Al </w:t>
      </w:r>
      <w:proofErr w:type="spellStart"/>
      <w:r w:rsidRPr="009E6C6A">
        <w:t>Ghawr</w:t>
      </w:r>
      <w:proofErr w:type="spellEnd"/>
      <w:r>
        <w:t xml:space="preserve">) region falls within the remit of the Jordan Valley Authority (JVA). Title deeds were only issued for the farmer tenants in the valley recently after a DLS property survey in the region carried out for the benefit of the JVA. </w:t>
      </w:r>
    </w:p>
    <w:p w:rsidR="00B53A2B" w:rsidRDefault="008B52D1" w:rsidP="009E6C6A">
      <w:pPr>
        <w:pStyle w:val="AllensHeading3"/>
        <w:numPr>
          <w:ilvl w:val="0"/>
          <w:numId w:val="0"/>
        </w:numPr>
        <w:ind w:left="1429" w:firstLine="11"/>
        <w:jc w:val="both"/>
      </w:pPr>
      <w:r>
        <w:t>Other special status regions include the Aqaba region (in which most governmental matters are administered by the Aqaba Special Economic Zone Authority (ASEZA)) and the Petra regi</w:t>
      </w:r>
      <w:r w:rsidR="009E6C6A">
        <w:t>on. H</w:t>
      </w:r>
      <w:r>
        <w:t>owever</w:t>
      </w:r>
      <w:r w:rsidR="009E6C6A">
        <w:t>,</w:t>
      </w:r>
      <w:r>
        <w:t xml:space="preserve"> in these two regions</w:t>
      </w:r>
      <w:r w:rsidR="009E6C6A">
        <w:t>,</w:t>
      </w:r>
      <w:r>
        <w:t xml:space="preserve"> land transactions must still be registered with the DLS.</w:t>
      </w:r>
      <w:r>
        <w:rPr>
          <w:rStyle w:val="FootnoteReference"/>
        </w:rPr>
        <w:footnoteReference w:id="31"/>
      </w:r>
      <w:r w:rsidRPr="00632A4F">
        <w:t xml:space="preserve"> </w:t>
      </w:r>
      <w:r>
        <w:t xml:space="preserve"> </w:t>
      </w:r>
    </w:p>
    <w:p w:rsidR="00B53A2B" w:rsidRDefault="008B52D1" w:rsidP="0024376E">
      <w:pPr>
        <w:pStyle w:val="NormalIndent"/>
        <w:rPr>
          <w:b/>
        </w:rPr>
      </w:pPr>
      <w:r>
        <w:rPr>
          <w:b/>
        </w:rPr>
        <w:tab/>
        <w:t>Tribal land (</w:t>
      </w:r>
      <w:proofErr w:type="spellStart"/>
      <w:r w:rsidRPr="009E6C6A">
        <w:rPr>
          <w:b/>
          <w:i/>
        </w:rPr>
        <w:t>Wajehat</w:t>
      </w:r>
      <w:proofErr w:type="spellEnd"/>
      <w:r w:rsidRPr="009E6C6A">
        <w:rPr>
          <w:b/>
          <w:i/>
        </w:rPr>
        <w:t xml:space="preserve"> El-</w:t>
      </w:r>
      <w:proofErr w:type="spellStart"/>
      <w:r w:rsidRPr="009E6C6A">
        <w:rPr>
          <w:b/>
          <w:i/>
        </w:rPr>
        <w:t>Ashayeria</w:t>
      </w:r>
      <w:proofErr w:type="spellEnd"/>
      <w:r>
        <w:rPr>
          <w:b/>
        </w:rPr>
        <w:t>)</w:t>
      </w:r>
    </w:p>
    <w:p w:rsidR="00B53A2B" w:rsidRDefault="008B52D1" w:rsidP="0024376E">
      <w:pPr>
        <w:pStyle w:val="NormalIndent"/>
        <w:ind w:left="1440"/>
        <w:jc w:val="both"/>
      </w:pPr>
      <w:r>
        <w:t>The state began to settle and register rights in land and water after the implementation of Law No. 40 of 1952 (Lands and Water Settlement Law) and its later amendments, starting with the already inhabited and agriculturally developed regions in the west of the country, before expanding to the east to the range lands claimed by Bedouin tribes (although all land settlement works in the region stopped after a decree from the Prime Minister in 2006). Technically, Law No.</w:t>
      </w:r>
      <w:r w:rsidR="009E6C6A">
        <w:t xml:space="preserve"> </w:t>
      </w:r>
      <w:r>
        <w:t>20 of 1973 provides that all suc</w:t>
      </w:r>
      <w:r w:rsidR="009E6C6A">
        <w:t>h range lands are owned by the S</w:t>
      </w:r>
      <w:r>
        <w:t>tate, however in practice much of the land is used and sold by Bedouin tribes (who claim it is theirs) without reference to the DLS registration system</w:t>
      </w:r>
      <w:r w:rsidR="004225D8">
        <w:t>,</w:t>
      </w:r>
      <w:r>
        <w:rPr>
          <w:rStyle w:val="FootnoteReference"/>
        </w:rPr>
        <w:footnoteReference w:id="32"/>
      </w:r>
      <w:r w:rsidR="004225D8">
        <w:t xml:space="preserve"> as detailed in Section</w:t>
      </w:r>
      <w:r w:rsidR="00BA710D">
        <w:t xml:space="preserve"> </w:t>
      </w:r>
      <w:r w:rsidR="004225D8">
        <w:fldChar w:fldCharType="begin"/>
      </w:r>
      <w:r w:rsidR="004225D8">
        <w:instrText xml:space="preserve"> REF _Ref13686671 \w \h </w:instrText>
      </w:r>
      <w:r w:rsidR="004225D8">
        <w:fldChar w:fldCharType="separate"/>
      </w:r>
      <w:r w:rsidR="004225D8">
        <w:t>2.1(c)</w:t>
      </w:r>
      <w:r w:rsidR="004225D8">
        <w:fldChar w:fldCharType="end"/>
      </w:r>
      <w:r w:rsidR="004225D8">
        <w:t>.</w:t>
      </w:r>
    </w:p>
    <w:p w:rsidR="00B53A2B" w:rsidRDefault="008B52D1" w:rsidP="0024376E">
      <w:pPr>
        <w:pStyle w:val="NormalIndent"/>
        <w:ind w:left="1440"/>
        <w:jc w:val="both"/>
      </w:pPr>
      <w:r>
        <w:t xml:space="preserve">As the vendor does not have registered ownership of the land in the DLS, the transaction cannot be formally registered with the DLS. </w:t>
      </w:r>
      <w:proofErr w:type="gramStart"/>
      <w:r>
        <w:t>Nevertheless</w:t>
      </w:r>
      <w:proofErr w:type="gramEnd"/>
      <w:r>
        <w:t xml:space="preserve"> buyers purchase these sale deeds (</w:t>
      </w:r>
      <w:proofErr w:type="spellStart"/>
      <w:r w:rsidRPr="009E6C6A">
        <w:rPr>
          <w:i/>
        </w:rPr>
        <w:t>hijja</w:t>
      </w:r>
      <w:proofErr w:type="spellEnd"/>
      <w:r>
        <w:t>) as they are cheap and seek to build housing on the land. However</w:t>
      </w:r>
      <w:r w:rsidR="009E6C6A">
        <w:t>,</w:t>
      </w:r>
      <w:r>
        <w:t xml:space="preserve"> such buyers later encounter issues in trying to link up to municipal water or electricity services due to the lack of valid DLS-registered title deed. The DLS sought to solve this issue by mapping the land and registering the lands in the occupiers' names (after payment of a nominal fee to the state). In 2008, King Abdullah the Second then offered the Bedouins an area of land mainly around the </w:t>
      </w:r>
      <w:proofErr w:type="spellStart"/>
      <w:r>
        <w:t>Az</w:t>
      </w:r>
      <w:proofErr w:type="spellEnd"/>
      <w:r>
        <w:t xml:space="preserve"> </w:t>
      </w:r>
      <w:proofErr w:type="spellStart"/>
      <w:r>
        <w:t>Zarqa'a</w:t>
      </w:r>
      <w:proofErr w:type="spellEnd"/>
      <w:r>
        <w:t xml:space="preserve"> region</w:t>
      </w:r>
      <w:r w:rsidR="004225D8">
        <w:t>,</w:t>
      </w:r>
      <w:r>
        <w:rPr>
          <w:rStyle w:val="FootnoteReference"/>
        </w:rPr>
        <w:footnoteReference w:id="33"/>
      </w:r>
      <w:r w:rsidR="004225D8">
        <w:t xml:space="preserve"> as detailed in Section </w:t>
      </w:r>
      <w:r w:rsidR="004225D8">
        <w:fldChar w:fldCharType="begin"/>
      </w:r>
      <w:r w:rsidR="004225D8">
        <w:instrText xml:space="preserve"> REF _Ref13686671 \w \h </w:instrText>
      </w:r>
      <w:r w:rsidR="004225D8">
        <w:fldChar w:fldCharType="separate"/>
      </w:r>
      <w:r w:rsidR="004225D8">
        <w:t>2.1(c)</w:t>
      </w:r>
      <w:r w:rsidR="004225D8">
        <w:fldChar w:fldCharType="end"/>
      </w:r>
      <w:r w:rsidR="004225D8">
        <w:t>.</w:t>
      </w:r>
    </w:p>
    <w:p w:rsidR="00B53A2B" w:rsidRPr="00C554EA" w:rsidRDefault="008B52D1" w:rsidP="000B0A89">
      <w:pPr>
        <w:pStyle w:val="AllensHeading4"/>
        <w:rPr>
          <w:u w:val="single"/>
        </w:rPr>
      </w:pPr>
      <w:r w:rsidRPr="00C554EA">
        <w:rPr>
          <w:u w:val="single"/>
        </w:rPr>
        <w:t>Waste land</w:t>
      </w:r>
    </w:p>
    <w:p w:rsidR="00B53A2B" w:rsidRDefault="008B52D1" w:rsidP="009E6C6A">
      <w:pPr>
        <w:pStyle w:val="NormalIndent"/>
        <w:ind w:left="1440"/>
        <w:jc w:val="both"/>
      </w:pPr>
      <w:r>
        <w:t>Waste land (or "</w:t>
      </w:r>
      <w:proofErr w:type="spellStart"/>
      <w:r w:rsidRPr="009E6C6A">
        <w:rPr>
          <w:i/>
        </w:rPr>
        <w:t>mawat</w:t>
      </w:r>
      <w:proofErr w:type="spellEnd"/>
      <w:r>
        <w:t xml:space="preserve">") is not surveyed or fixed on the DLS maps and is considered to be owned by no </w:t>
      </w:r>
      <w:r w:rsidR="009E6C6A">
        <w:t>one but to be possessed by the S</w:t>
      </w:r>
      <w:r>
        <w:t xml:space="preserve">tate. However, pursuant to Law </w:t>
      </w:r>
      <w:r>
        <w:lastRenderedPageBreak/>
        <w:t xml:space="preserve">No. 40 of 1952 (Lands and Water Settlement Law) and its amendments, once the waste land has been vivified or exploited, the </w:t>
      </w:r>
      <w:r w:rsidR="009E6C6A">
        <w:t>S</w:t>
      </w:r>
      <w:r>
        <w:t>tate obtains ownership rights.</w:t>
      </w:r>
      <w:r>
        <w:rPr>
          <w:rStyle w:val="FootnoteReference"/>
        </w:rPr>
        <w:footnoteReference w:id="34"/>
      </w:r>
      <w:r>
        <w:t xml:space="preserve"> Such land can be distributed</w:t>
      </w:r>
      <w:r w:rsidR="0009623B">
        <w:t xml:space="preserve"> by the State</w:t>
      </w:r>
      <w:r>
        <w:t xml:space="preserve"> for the purpose of making </w:t>
      </w:r>
      <w:r w:rsidR="0009623B">
        <w:t>it</w:t>
      </w:r>
      <w:r>
        <w:t xml:space="preserve"> suitable for agriculture – any person who develops the land in this way (</w:t>
      </w:r>
      <w:r w:rsidR="0009623B">
        <w:t>that is</w:t>
      </w:r>
      <w:r>
        <w:t xml:space="preserve"> authorised to do so) receives a right of priority (</w:t>
      </w:r>
      <w:proofErr w:type="spellStart"/>
      <w:r w:rsidRPr="009E6C6A">
        <w:rPr>
          <w:i/>
        </w:rPr>
        <w:t>awlawiyya</w:t>
      </w:r>
      <w:proofErr w:type="spellEnd"/>
      <w:r>
        <w:t>) to lease the land once it is surveyed and fixed on the maps.</w:t>
      </w:r>
      <w:r>
        <w:rPr>
          <w:rStyle w:val="FootnoteReference"/>
        </w:rPr>
        <w:footnoteReference w:id="35"/>
      </w:r>
    </w:p>
    <w:p w:rsidR="00B53A2B" w:rsidRPr="00C554EA" w:rsidRDefault="008B52D1" w:rsidP="000B0A89">
      <w:pPr>
        <w:pStyle w:val="AllensHeading4"/>
        <w:rPr>
          <w:u w:val="single"/>
        </w:rPr>
      </w:pPr>
      <w:bookmarkStart w:id="51" w:name="Leasehold"/>
      <w:bookmarkStart w:id="52" w:name="_Ref13684684"/>
      <w:bookmarkEnd w:id="51"/>
      <w:r w:rsidRPr="00C554EA">
        <w:rPr>
          <w:u w:val="single"/>
        </w:rPr>
        <w:t>Leasehold</w:t>
      </w:r>
      <w:bookmarkEnd w:id="52"/>
    </w:p>
    <w:p w:rsidR="00B53A2B" w:rsidRDefault="008B52D1" w:rsidP="009E6C6A">
      <w:pPr>
        <w:pStyle w:val="NormalIndent"/>
        <w:ind w:left="1440"/>
        <w:jc w:val="both"/>
      </w:pPr>
      <w:r>
        <w:t>Tenancy is governed by two laws: the Civil Code a</w:t>
      </w:r>
      <w:r w:rsidR="0009623B">
        <w:t>nd the Landlord-Tenant Law</w:t>
      </w:r>
      <w:r>
        <w:t xml:space="preserve"> </w:t>
      </w:r>
      <w:r w:rsidR="0009623B" w:rsidRPr="00161174">
        <w:t xml:space="preserve">(Law No. 11 of </w:t>
      </w:r>
      <w:r w:rsidR="0009623B">
        <w:t>1994</w:t>
      </w:r>
      <w:r w:rsidR="00A8687F">
        <w:t>)</w:t>
      </w:r>
      <w:r>
        <w:rPr>
          <w:rStyle w:val="FootnoteReference"/>
        </w:rPr>
        <w:footnoteReference w:id="36"/>
      </w:r>
      <w:r w:rsidR="0009623B">
        <w:t xml:space="preserve"> as amended by subsequent laws, including Law No. 30 of 2000</w:t>
      </w:r>
      <w:r>
        <w:rPr>
          <w:rStyle w:val="FootnoteReference"/>
        </w:rPr>
        <w:footnoteReference w:id="37"/>
      </w:r>
      <w:r w:rsidR="0009623B">
        <w:t xml:space="preserve"> and Law No. 22 of 2011</w:t>
      </w:r>
      <w:r>
        <w:rPr>
          <w:rStyle w:val="FootnoteReference"/>
        </w:rPr>
        <w:footnoteReference w:id="38"/>
      </w:r>
      <w:r>
        <w:t>, with the latter taking precedence over the Civil Code.</w:t>
      </w:r>
      <w:r>
        <w:rPr>
          <w:rStyle w:val="FootnoteReference"/>
        </w:rPr>
        <w:footnoteReference w:id="39"/>
      </w:r>
      <w:r>
        <w:t xml:space="preserve"> There is some ambiguity as to whether the Landlord-Tenant Law applies to rented furnished accommodation.</w:t>
      </w:r>
      <w:r>
        <w:rPr>
          <w:rStyle w:val="FootnoteReference"/>
        </w:rPr>
        <w:footnoteReference w:id="40"/>
      </w:r>
    </w:p>
    <w:p w:rsidR="00B53A2B" w:rsidRPr="004A0F69" w:rsidRDefault="008B52D1" w:rsidP="00F95418">
      <w:pPr>
        <w:pStyle w:val="NormalIndent"/>
        <w:ind w:left="1440"/>
        <w:jc w:val="both"/>
        <w:rPr>
          <w:b/>
        </w:rPr>
      </w:pPr>
      <w:r>
        <w:t>The Civil Code identifies tenancy as a bilateral contract under which the failure of one party to perform a material part of the consideration excuses the other party from performing their obligation (e.g. a landlord's failure to make repairs could excuse their tenant from their obligation to pay rent). The contract is legally binding as soon as the landlord and tenant, assuming each has the legal capacity to contract, agree on the property to be leased and the rent to be paid. While there is no required form and agreement can be expressed in any way, it is advisable to evidence a tenancy agreement in writing, particularly for long-term tenancies.</w:t>
      </w:r>
      <w:r>
        <w:rPr>
          <w:rStyle w:val="FootnoteReference"/>
        </w:rPr>
        <w:footnoteReference w:id="41"/>
      </w:r>
      <w:r>
        <w:t xml:space="preserve"> </w:t>
      </w:r>
      <w:r w:rsidR="00863DFF">
        <w:t>In any case, as a lease is a registrable interest, it is likely that a document recording or evidencing the verbal lease agreement should be registered with the DLS.</w:t>
      </w:r>
    </w:p>
    <w:p w:rsidR="00623F28" w:rsidRDefault="008B52D1" w:rsidP="00F95418">
      <w:pPr>
        <w:pStyle w:val="NormalIndent"/>
        <w:ind w:left="1440"/>
        <w:jc w:val="both"/>
      </w:pPr>
      <w:r>
        <w:t xml:space="preserve">There can also be two types of tenancy agreement: </w:t>
      </w:r>
    </w:p>
    <w:p w:rsidR="00623F28" w:rsidRDefault="008B52D1" w:rsidP="00F95418">
      <w:pPr>
        <w:pStyle w:val="Level4"/>
        <w:tabs>
          <w:tab w:val="clear" w:pos="2126"/>
          <w:tab w:val="num" w:pos="2846"/>
        </w:tabs>
        <w:ind w:left="2846"/>
        <w:jc w:val="both"/>
      </w:pPr>
      <w:r>
        <w:t xml:space="preserve">a fixed duration contract whereby the parties </w:t>
      </w:r>
      <w:r w:rsidR="00F95418">
        <w:t>agree</w:t>
      </w:r>
      <w:r>
        <w:t xml:space="preserve"> on the tenancy lasting a specific duration of time; or </w:t>
      </w:r>
    </w:p>
    <w:p w:rsidR="00623F28" w:rsidRDefault="008B52D1" w:rsidP="00F95418">
      <w:pPr>
        <w:pStyle w:val="Level4"/>
        <w:ind w:left="2846"/>
        <w:jc w:val="both"/>
      </w:pPr>
      <w:r>
        <w:t xml:space="preserve">an agreement for the tenant to pay rent in regular successive intervals until a termination notice is given (e.g. monthly) but where no duration of time is specified. </w:t>
      </w:r>
    </w:p>
    <w:p w:rsidR="00B53A2B" w:rsidRPr="0009623B" w:rsidRDefault="008B52D1" w:rsidP="00F95418">
      <w:pPr>
        <w:pStyle w:val="Body2"/>
        <w:ind w:left="1429"/>
        <w:rPr>
          <w:b/>
        </w:rPr>
      </w:pPr>
      <w:r>
        <w:lastRenderedPageBreak/>
        <w:t xml:space="preserve">The Landlord-Tenant Law, however, does not recognise a tenancy at will, under which either party can terminate the contract at any time </w:t>
      </w:r>
      <w:r w:rsidR="00FA7ADF">
        <w:t xml:space="preserve">(presumably only once notice has been served) </w:t>
      </w:r>
      <w:r>
        <w:t>and where the le</w:t>
      </w:r>
      <w:r w:rsidR="00FA7ADF">
        <w:t xml:space="preserve">ngth of the tenancy's </w:t>
      </w:r>
      <w:r>
        <w:t>duration is not specified</w:t>
      </w:r>
      <w:r w:rsidR="00863DFF">
        <w:t xml:space="preserve"> </w:t>
      </w:r>
      <w:r>
        <w:t>.</w:t>
      </w:r>
      <w:r>
        <w:rPr>
          <w:rStyle w:val="FootnoteReference"/>
        </w:rPr>
        <w:footnoteReference w:id="42"/>
      </w:r>
      <w:r>
        <w:t xml:space="preserve"> </w:t>
      </w:r>
    </w:p>
    <w:p w:rsidR="00B53A2B" w:rsidRDefault="008B52D1" w:rsidP="00F95418">
      <w:pPr>
        <w:pStyle w:val="NormalIndent"/>
        <w:ind w:left="1440"/>
      </w:pPr>
      <w:r>
        <w:t>Each party in a tenancy contract is entitled to certain statutory rights:</w:t>
      </w:r>
    </w:p>
    <w:p w:rsidR="00F95418" w:rsidRDefault="00F95418" w:rsidP="00F95418">
      <w:pPr>
        <w:pStyle w:val="NormalIndent"/>
        <w:ind w:left="1440"/>
      </w:pPr>
    </w:p>
    <w:tbl>
      <w:tblPr>
        <w:tblStyle w:val="TableGrid"/>
        <w:tblW w:w="0" w:type="auto"/>
        <w:tblInd w:w="817" w:type="dxa"/>
        <w:tblLook w:val="04A0" w:firstRow="1" w:lastRow="0" w:firstColumn="1" w:lastColumn="0" w:noHBand="0" w:noVBand="1"/>
      </w:tblPr>
      <w:tblGrid>
        <w:gridCol w:w="1126"/>
        <w:gridCol w:w="3436"/>
        <w:gridCol w:w="3682"/>
      </w:tblGrid>
      <w:tr w:rsidR="006D0A9D" w:rsidTr="0079381E">
        <w:tc>
          <w:tcPr>
            <w:tcW w:w="1134" w:type="dxa"/>
          </w:tcPr>
          <w:p w:rsidR="00B53A2B" w:rsidRDefault="00B53A2B" w:rsidP="00E80A1D">
            <w:pPr>
              <w:pStyle w:val="NormalIndent"/>
              <w:ind w:left="0"/>
            </w:pPr>
          </w:p>
        </w:tc>
        <w:tc>
          <w:tcPr>
            <w:tcW w:w="3544" w:type="dxa"/>
          </w:tcPr>
          <w:p w:rsidR="00B53A2B" w:rsidRDefault="008B52D1" w:rsidP="00E80A1D">
            <w:pPr>
              <w:pStyle w:val="NormalIndent"/>
              <w:ind w:left="0"/>
            </w:pPr>
            <w:r>
              <w:t>Rights</w:t>
            </w:r>
          </w:p>
        </w:tc>
        <w:tc>
          <w:tcPr>
            <w:tcW w:w="3792" w:type="dxa"/>
          </w:tcPr>
          <w:p w:rsidR="00B53A2B" w:rsidRDefault="008B52D1" w:rsidP="00E80A1D">
            <w:pPr>
              <w:pStyle w:val="NormalIndent"/>
              <w:ind w:left="0"/>
            </w:pPr>
            <w:r>
              <w:t>Obligations</w:t>
            </w:r>
          </w:p>
        </w:tc>
      </w:tr>
      <w:tr w:rsidR="006D0A9D" w:rsidTr="0079381E">
        <w:tc>
          <w:tcPr>
            <w:tcW w:w="1134" w:type="dxa"/>
          </w:tcPr>
          <w:p w:rsidR="00B53A2B" w:rsidRDefault="008B52D1" w:rsidP="00E80A1D">
            <w:pPr>
              <w:pStyle w:val="NormalIndent"/>
              <w:ind w:left="0"/>
            </w:pPr>
            <w:r>
              <w:t xml:space="preserve">Landlord </w:t>
            </w:r>
          </w:p>
        </w:tc>
        <w:tc>
          <w:tcPr>
            <w:tcW w:w="3544" w:type="dxa"/>
          </w:tcPr>
          <w:p w:rsidR="00B53A2B" w:rsidRDefault="008B52D1" w:rsidP="00AD7408">
            <w:pPr>
              <w:pStyle w:val="NormalIndent"/>
              <w:numPr>
                <w:ilvl w:val="0"/>
                <w:numId w:val="13"/>
              </w:numPr>
              <w:jc w:val="both"/>
            </w:pPr>
            <w:r>
              <w:t>Right to receive the agreed rent during the duration of the tenancy</w:t>
            </w:r>
            <w:r w:rsidR="00F95418">
              <w:t>;</w:t>
            </w:r>
            <w:r>
              <w:rPr>
                <w:rStyle w:val="FootnoteReference"/>
              </w:rPr>
              <w:footnoteReference w:id="43"/>
            </w:r>
            <w:r w:rsidR="00F95418">
              <w:t xml:space="preserve"> and</w:t>
            </w:r>
          </w:p>
          <w:p w:rsidR="00B53A2B" w:rsidRDefault="008B52D1" w:rsidP="00AD7408">
            <w:pPr>
              <w:pStyle w:val="NormalIndent"/>
              <w:numPr>
                <w:ilvl w:val="0"/>
                <w:numId w:val="13"/>
              </w:numPr>
              <w:jc w:val="both"/>
            </w:pPr>
            <w:r>
              <w:t xml:space="preserve">Right to receive the property in as good a condition as it was leased </w:t>
            </w:r>
            <w:r w:rsidR="00BE6FAA">
              <w:t xml:space="preserve">out in </w:t>
            </w:r>
            <w:r>
              <w:t>(upon termination of tenancy)</w:t>
            </w:r>
            <w:r w:rsidR="00F95418">
              <w:t>.</w:t>
            </w:r>
            <w:r>
              <w:rPr>
                <w:rStyle w:val="FootnoteReference"/>
              </w:rPr>
              <w:footnoteReference w:id="44"/>
            </w:r>
          </w:p>
        </w:tc>
        <w:tc>
          <w:tcPr>
            <w:tcW w:w="3792" w:type="dxa"/>
          </w:tcPr>
          <w:p w:rsidR="00B53A2B" w:rsidRDefault="008B52D1" w:rsidP="00AD7408">
            <w:pPr>
              <w:pStyle w:val="NormalIndent"/>
              <w:numPr>
                <w:ilvl w:val="0"/>
                <w:numId w:val="14"/>
              </w:numPr>
              <w:jc w:val="both"/>
            </w:pPr>
            <w:r>
              <w:t>Duty to place the tenant in possession of the leased property by delivering the keys and making sure they have means of taking possession</w:t>
            </w:r>
            <w:r w:rsidR="00F95418">
              <w:t>;</w:t>
            </w:r>
            <w:r>
              <w:rPr>
                <w:rStyle w:val="FootnoteReference"/>
              </w:rPr>
              <w:footnoteReference w:id="45"/>
            </w:r>
          </w:p>
          <w:p w:rsidR="00B53A2B" w:rsidRDefault="008B52D1" w:rsidP="00AD7408">
            <w:pPr>
              <w:pStyle w:val="NormalIndent"/>
              <w:numPr>
                <w:ilvl w:val="0"/>
                <w:numId w:val="14"/>
              </w:numPr>
              <w:jc w:val="both"/>
            </w:pPr>
            <w:r>
              <w:t>Duty to guarantee the tenant's right to undisturbed possession (i.e. eliminating obstacles that could prevent their right to benefit from the property, including other tenants making excessive noise)</w:t>
            </w:r>
            <w:r w:rsidR="00F95418">
              <w:t>;</w:t>
            </w:r>
            <w:r>
              <w:rPr>
                <w:rStyle w:val="FootnoteReference"/>
              </w:rPr>
              <w:footnoteReference w:id="46"/>
            </w:r>
            <w:r w:rsidR="00F95418">
              <w:t xml:space="preserve"> and</w:t>
            </w:r>
          </w:p>
          <w:p w:rsidR="00B53A2B" w:rsidRDefault="008B52D1" w:rsidP="00AD7408">
            <w:pPr>
              <w:pStyle w:val="NormalIndent"/>
              <w:numPr>
                <w:ilvl w:val="0"/>
                <w:numId w:val="14"/>
              </w:numPr>
              <w:jc w:val="both"/>
            </w:pPr>
            <w:r>
              <w:t xml:space="preserve">Duty to maintain the property in a suitable condition </w:t>
            </w:r>
            <w:r w:rsidR="00CE59BD">
              <w:t>for</w:t>
            </w:r>
            <w:r>
              <w:t xml:space="preserve"> the duration of the tenancy (including repairing defects</w:t>
            </w:r>
            <w:r w:rsidR="003B4B77">
              <w:t xml:space="preserve"> but</w:t>
            </w:r>
            <w:r w:rsidR="00CE59BD">
              <w:t xml:space="preserve"> excluding defects or damage incurred by the tenant</w:t>
            </w:r>
            <w:r w:rsidR="003B4B77">
              <w:t>)</w:t>
            </w:r>
            <w:r w:rsidR="00F95418">
              <w:t>.</w:t>
            </w:r>
          </w:p>
        </w:tc>
      </w:tr>
      <w:tr w:rsidR="006D0A9D" w:rsidTr="0079381E">
        <w:tc>
          <w:tcPr>
            <w:tcW w:w="1134" w:type="dxa"/>
          </w:tcPr>
          <w:p w:rsidR="00B53A2B" w:rsidRDefault="008B52D1" w:rsidP="00E80A1D">
            <w:pPr>
              <w:pStyle w:val="NormalIndent"/>
              <w:ind w:left="0"/>
            </w:pPr>
            <w:r>
              <w:t>Tenant</w:t>
            </w:r>
          </w:p>
        </w:tc>
        <w:tc>
          <w:tcPr>
            <w:tcW w:w="3544" w:type="dxa"/>
          </w:tcPr>
          <w:p w:rsidR="00B53A2B" w:rsidRDefault="008B52D1" w:rsidP="00AD7408">
            <w:pPr>
              <w:pStyle w:val="NormalIndent"/>
              <w:numPr>
                <w:ilvl w:val="0"/>
                <w:numId w:val="15"/>
              </w:numPr>
              <w:jc w:val="both"/>
            </w:pPr>
            <w:r>
              <w:t>Exclusive righ</w:t>
            </w:r>
            <w:r w:rsidR="00F95418">
              <w:t>t to possess the property (</w:t>
            </w:r>
            <w:r>
              <w:t>so the landlord cannot ordinarily enter the property without the tenant's consent)</w:t>
            </w:r>
            <w:r w:rsidR="00F95418">
              <w:t>;</w:t>
            </w:r>
            <w:r>
              <w:rPr>
                <w:rStyle w:val="FootnoteReference"/>
              </w:rPr>
              <w:footnoteReference w:id="47"/>
            </w:r>
            <w:r w:rsidR="00F95418">
              <w:t xml:space="preserve"> and</w:t>
            </w:r>
          </w:p>
          <w:p w:rsidR="00B53A2B" w:rsidRDefault="008B52D1" w:rsidP="00AD7408">
            <w:pPr>
              <w:pStyle w:val="NormalIndent"/>
              <w:numPr>
                <w:ilvl w:val="0"/>
                <w:numId w:val="15"/>
              </w:numPr>
              <w:jc w:val="both"/>
            </w:pPr>
            <w:r>
              <w:t>Right to have the property maintained in a suitable condition for the duration of the tenancy</w:t>
            </w:r>
            <w:r w:rsidR="00F95418">
              <w:t>.</w:t>
            </w:r>
          </w:p>
        </w:tc>
        <w:tc>
          <w:tcPr>
            <w:tcW w:w="3792" w:type="dxa"/>
          </w:tcPr>
          <w:p w:rsidR="00B53A2B" w:rsidRDefault="008B52D1" w:rsidP="00AD7408">
            <w:pPr>
              <w:pStyle w:val="NormalIndent"/>
              <w:numPr>
                <w:ilvl w:val="0"/>
                <w:numId w:val="16"/>
              </w:numPr>
              <w:jc w:val="both"/>
            </w:pPr>
            <w:r>
              <w:t>Duty to pay rent and to do so upon delivery of the property unless the landlord and tenant have agreed otherwise</w:t>
            </w:r>
            <w:r w:rsidR="00F95418">
              <w:t>;</w:t>
            </w:r>
            <w:r>
              <w:rPr>
                <w:rStyle w:val="FootnoteReference"/>
              </w:rPr>
              <w:footnoteReference w:id="48"/>
            </w:r>
            <w:r w:rsidR="00F95418">
              <w:t xml:space="preserve"> and</w:t>
            </w:r>
          </w:p>
          <w:p w:rsidR="00B53A2B" w:rsidRDefault="008B52D1" w:rsidP="00AD7408">
            <w:pPr>
              <w:pStyle w:val="NormalIndent"/>
              <w:numPr>
                <w:ilvl w:val="0"/>
                <w:numId w:val="16"/>
              </w:numPr>
              <w:jc w:val="both"/>
            </w:pPr>
            <w:r>
              <w:t>Liability for any d</w:t>
            </w:r>
            <w:r w:rsidR="00FA340D">
              <w:t>efects or d</w:t>
            </w:r>
            <w:r>
              <w:t>am</w:t>
            </w:r>
            <w:r w:rsidR="00FA340D">
              <w:t>age</w:t>
            </w:r>
            <w:r>
              <w:t xml:space="preserve"> in the property </w:t>
            </w:r>
            <w:r w:rsidR="003B4B77">
              <w:t xml:space="preserve">caused by the tenant (including ordinary wear and tear) </w:t>
            </w:r>
            <w:r>
              <w:t>unless it is attributable to an act of God</w:t>
            </w:r>
            <w:r w:rsidR="00880442">
              <w:t>.</w:t>
            </w:r>
            <w:r>
              <w:rPr>
                <w:rStyle w:val="FootnoteReference"/>
              </w:rPr>
              <w:footnoteReference w:id="49"/>
            </w:r>
          </w:p>
        </w:tc>
      </w:tr>
    </w:tbl>
    <w:p w:rsidR="00B53A2B" w:rsidRDefault="00B53A2B" w:rsidP="00F95418">
      <w:pPr>
        <w:pStyle w:val="AllensHeading3"/>
        <w:numPr>
          <w:ilvl w:val="0"/>
          <w:numId w:val="0"/>
        </w:numPr>
        <w:rPr>
          <w:b/>
        </w:rPr>
      </w:pPr>
    </w:p>
    <w:p w:rsidR="0079381E" w:rsidRDefault="0079381E" w:rsidP="00F95418">
      <w:pPr>
        <w:pStyle w:val="AllensHeading3"/>
        <w:numPr>
          <w:ilvl w:val="0"/>
          <w:numId w:val="0"/>
        </w:numPr>
        <w:rPr>
          <w:b/>
        </w:rPr>
      </w:pPr>
    </w:p>
    <w:p w:rsidR="0079381E" w:rsidRDefault="0079381E" w:rsidP="00F95418">
      <w:pPr>
        <w:pStyle w:val="AllensHeading3"/>
        <w:numPr>
          <w:ilvl w:val="0"/>
          <w:numId w:val="0"/>
        </w:numPr>
        <w:rPr>
          <w:b/>
        </w:rPr>
      </w:pPr>
    </w:p>
    <w:p w:rsidR="00B53A2B" w:rsidRPr="00C554EA" w:rsidRDefault="008B52D1" w:rsidP="000B0A89">
      <w:pPr>
        <w:pStyle w:val="AllensHeading4"/>
        <w:rPr>
          <w:u w:val="single"/>
        </w:rPr>
      </w:pPr>
      <w:bookmarkStart w:id="53" w:name="Sublease"/>
      <w:bookmarkEnd w:id="53"/>
      <w:r w:rsidRPr="00C554EA">
        <w:rPr>
          <w:u w:val="single"/>
        </w:rPr>
        <w:lastRenderedPageBreak/>
        <w:t>Assignment and sub-leasing</w:t>
      </w:r>
    </w:p>
    <w:p w:rsidR="00B53A2B" w:rsidRDefault="008B52D1" w:rsidP="00F95418">
      <w:pPr>
        <w:pStyle w:val="NormalIndent"/>
        <w:tabs>
          <w:tab w:val="left" w:pos="3660"/>
        </w:tabs>
        <w:ind w:left="1440"/>
        <w:jc w:val="both"/>
      </w:pPr>
      <w:r>
        <w:t>Since tenants hold exclusive possession of the property, they can assign some or all of their rights and duties under the tenancy to another party</w:t>
      </w:r>
      <w:r w:rsidR="00B0703D">
        <w:t>, though this will be subject to the existing conditions of the lease</w:t>
      </w:r>
      <w:r>
        <w:t>.</w:t>
      </w:r>
      <w:r>
        <w:rPr>
          <w:rStyle w:val="FootnoteReference"/>
        </w:rPr>
        <w:footnoteReference w:id="50"/>
      </w:r>
      <w:r>
        <w:t xml:space="preserve"> </w:t>
      </w:r>
    </w:p>
    <w:p w:rsidR="00B53A2B" w:rsidRDefault="008B52D1" w:rsidP="00F95418">
      <w:pPr>
        <w:pStyle w:val="NormalIndent"/>
        <w:tabs>
          <w:tab w:val="left" w:pos="3660"/>
        </w:tabs>
        <w:ind w:left="1440"/>
        <w:jc w:val="both"/>
      </w:pPr>
      <w:r>
        <w:t>Sub-leases</w:t>
      </w:r>
      <w:r w:rsidR="00F95418">
        <w:t>,</w:t>
      </w:r>
      <w:r>
        <w:t xml:space="preserve"> on the other hand</w:t>
      </w:r>
      <w:r w:rsidR="00F95418">
        <w:t>,</w:t>
      </w:r>
      <w:r>
        <w:t xml:space="preserve"> are a </w:t>
      </w:r>
      <w:r w:rsidR="00F95418">
        <w:t>grey area: under the Civil Code</w:t>
      </w:r>
      <w:r>
        <w:t xml:space="preserve"> sub-leases are permitted with the landlord's permission, but the Landlord-Tenant Law provides that a landlord is entitled to apply to expel the tenant if the latter sub-leases the property</w:t>
      </w:r>
      <w:r w:rsidR="00852A8D">
        <w:t xml:space="preserve"> (note that </w:t>
      </w:r>
      <w:r w:rsidR="00ED01DC">
        <w:t>we assume</w:t>
      </w:r>
      <w:r w:rsidR="00852A8D">
        <w:t xml:space="preserve"> that the landlord cannot expel the tenant after it has given consent to a sub-lease)</w:t>
      </w:r>
      <w:r>
        <w:t xml:space="preserve">. </w:t>
      </w:r>
      <w:r w:rsidR="00F8748B">
        <w:rPr>
          <w:b/>
        </w:rPr>
        <w:t xml:space="preserve"> </w:t>
      </w:r>
      <w:r>
        <w:t xml:space="preserve">It is also unclear whether a landlord must give </w:t>
      </w:r>
      <w:r w:rsidR="00880442">
        <w:t>reasons if he/she</w:t>
      </w:r>
      <w:r>
        <w:t xml:space="preserve"> decides not to permit a sub-lease. </w:t>
      </w:r>
    </w:p>
    <w:p w:rsidR="00B53A2B" w:rsidRDefault="008B52D1" w:rsidP="00F95418">
      <w:pPr>
        <w:pStyle w:val="NormalIndent"/>
        <w:tabs>
          <w:tab w:val="left" w:pos="3660"/>
        </w:tabs>
        <w:ind w:left="1440"/>
        <w:jc w:val="both"/>
      </w:pPr>
      <w:r>
        <w:t xml:space="preserve">Even after a tenant has assigned its </w:t>
      </w:r>
      <w:r w:rsidR="003B4B77">
        <w:t>lease</w:t>
      </w:r>
      <w:r>
        <w:t xml:space="preserve"> to another, he remains liable to the landlord for </w:t>
      </w:r>
      <w:r w:rsidR="003B4B77">
        <w:t>his</w:t>
      </w:r>
      <w:r>
        <w:t xml:space="preserve"> duties under the tenancy contract</w:t>
      </w:r>
      <w:r w:rsidR="003B4B77">
        <w:t xml:space="preserve"> (including during the term of the lease following the date of the assignment)</w:t>
      </w:r>
      <w:r>
        <w:t xml:space="preserve">. However under a sub-lease, the sub-lessee </w:t>
      </w:r>
      <w:r w:rsidR="00F8748B">
        <w:t>becomes</w:t>
      </w:r>
      <w:r>
        <w:t xml:space="preserve"> personally liable to the landlord for its duties.</w:t>
      </w:r>
      <w:r>
        <w:rPr>
          <w:rStyle w:val="FootnoteReference"/>
        </w:rPr>
        <w:footnoteReference w:id="51"/>
      </w:r>
      <w:r>
        <w:t xml:space="preserve"> </w:t>
      </w:r>
    </w:p>
    <w:p w:rsidR="00B53A2B" w:rsidRPr="00C554EA" w:rsidRDefault="008B52D1" w:rsidP="000B0A89">
      <w:pPr>
        <w:pStyle w:val="AllensHeading4"/>
        <w:rPr>
          <w:u w:val="single"/>
        </w:rPr>
      </w:pPr>
      <w:bookmarkStart w:id="54" w:name="Usufruct"/>
      <w:bookmarkEnd w:id="54"/>
      <w:r w:rsidRPr="00C554EA">
        <w:rPr>
          <w:u w:val="single"/>
        </w:rPr>
        <w:t>Usufruct</w:t>
      </w:r>
    </w:p>
    <w:p w:rsidR="00B53A2B" w:rsidRDefault="008B52D1" w:rsidP="00FA7ADF">
      <w:pPr>
        <w:pStyle w:val="NormalIndent"/>
        <w:ind w:left="1440"/>
        <w:jc w:val="both"/>
      </w:pPr>
      <w:r>
        <w:t>At</w:t>
      </w:r>
      <w:r w:rsidR="00852A8D">
        <w:t xml:space="preserve"> common law, a</w:t>
      </w:r>
      <w:r w:rsidR="00702ACD">
        <w:t xml:space="preserve"> </w:t>
      </w:r>
      <w:proofErr w:type="spellStart"/>
      <w:r w:rsidR="00702ACD">
        <w:t>usufructuary</w:t>
      </w:r>
      <w:proofErr w:type="spellEnd"/>
      <w:r w:rsidR="00702ACD">
        <w:t xml:space="preserve"> right is a person's temporary right to use and enjoy property belonging to another without impairing or altering the property, for example the right to use water from a river belonging to another. </w:t>
      </w:r>
      <w:r w:rsidR="00FA7ADF">
        <w:t xml:space="preserve">It appears this concept also exists in Jordanian law as </w:t>
      </w:r>
      <w:proofErr w:type="spellStart"/>
      <w:r w:rsidR="00FA7ADF">
        <w:t>usufructuary</w:t>
      </w:r>
      <w:proofErr w:type="spellEnd"/>
      <w:r w:rsidR="00FA7ADF">
        <w:t xml:space="preserve"> rights are recognised</w:t>
      </w:r>
      <w:r w:rsidR="00702ACD">
        <w:t xml:space="preserve"> under Article 70 of the Civil Code and Law No. 40 of 1952 (Lands and Water Settlement Law</w:t>
      </w:r>
      <w:r>
        <w:t>)</w:t>
      </w:r>
      <w:r w:rsidR="00702ACD">
        <w:t xml:space="preserve"> and its amendment</w:t>
      </w:r>
      <w:r>
        <w:t>s</w:t>
      </w:r>
      <w:r w:rsidR="00702ACD">
        <w:t>.</w:t>
      </w:r>
      <w:r>
        <w:rPr>
          <w:rStyle w:val="FootnoteReference"/>
        </w:rPr>
        <w:footnoteReference w:id="52"/>
      </w:r>
      <w:r w:rsidR="00702ACD">
        <w:t xml:space="preserve"> </w:t>
      </w:r>
      <w:r w:rsidR="000907A1">
        <w:t xml:space="preserve"> </w:t>
      </w:r>
    </w:p>
    <w:p w:rsidR="00F95418" w:rsidRDefault="00F95418" w:rsidP="00F95418">
      <w:pPr>
        <w:pStyle w:val="NormalIndent"/>
        <w:ind w:left="1440"/>
        <w:jc w:val="both"/>
      </w:pPr>
    </w:p>
    <w:p w:rsidR="00B53A2B" w:rsidRPr="000B0A89" w:rsidRDefault="008B52D1" w:rsidP="000B0A89">
      <w:pPr>
        <w:pStyle w:val="AllensHeading3"/>
        <w:rPr>
          <w:b/>
        </w:rPr>
      </w:pPr>
      <w:bookmarkStart w:id="55" w:name="_Ref13686671"/>
      <w:r w:rsidRPr="000B0A89">
        <w:rPr>
          <w:b/>
        </w:rPr>
        <w:t>Security of Tenure</w:t>
      </w:r>
      <w:bookmarkEnd w:id="55"/>
    </w:p>
    <w:p w:rsidR="00B53A2B" w:rsidRDefault="008B52D1" w:rsidP="00F95418">
      <w:pPr>
        <w:pStyle w:val="NormalIndent"/>
        <w:ind w:left="1440"/>
        <w:jc w:val="both"/>
      </w:pPr>
      <w:r>
        <w:t>In theory, the Jordanian land registration system should provide a high degree of security of tenure for all reg</w:t>
      </w:r>
      <w:r w:rsidRPr="00234C54">
        <w:t>istrable interests of land (e.g. freehold ownership and leasehold). Most land in Jordan (around 95%) is now mapped and registered with the DLS as land parcels, each with a un</w:t>
      </w:r>
      <w:r>
        <w:t xml:space="preserve">ique code consisting of the name and number of the village, the </w:t>
      </w:r>
      <w:proofErr w:type="spellStart"/>
      <w:r w:rsidRPr="00F51DC7">
        <w:rPr>
          <w:i/>
        </w:rPr>
        <w:t>hawd</w:t>
      </w:r>
      <w:proofErr w:type="spellEnd"/>
      <w:r>
        <w:t xml:space="preserve"> (block of parcels), the quarter (inside cities and villages), and the parcel number.</w:t>
      </w:r>
      <w:r>
        <w:rPr>
          <w:rStyle w:val="FootnoteReference"/>
        </w:rPr>
        <w:footnoteReference w:id="53"/>
      </w:r>
      <w:r>
        <w:t xml:space="preserve"> The DLS has sole authority to issue official bonds validating transactions for rights relating to immovable property (ownership, usufruct, disposition, etc.) save for certain exempted special status regions, and the DLS keeps digitised records of all</w:t>
      </w:r>
      <w:r w:rsidRPr="00632A4F">
        <w:t xml:space="preserve"> cadastral plans an</w:t>
      </w:r>
      <w:r>
        <w:t xml:space="preserve">d registers. The comprehensive database (in Arabic) is available online (at </w:t>
      </w:r>
      <w:hyperlink r:id="rId20" w:history="1">
        <w:r w:rsidRPr="00A87FD7">
          <w:rPr>
            <w:rStyle w:val="Hyperlink"/>
          </w:rPr>
          <w:t>www.dls.gov.jo</w:t>
        </w:r>
      </w:hyperlink>
      <w:r>
        <w:t>) and registered plans can be obtained without charge.</w:t>
      </w:r>
    </w:p>
    <w:p w:rsidR="00B53A2B" w:rsidRDefault="008B52D1" w:rsidP="00F95418">
      <w:pPr>
        <w:pStyle w:val="NormalIndent"/>
        <w:ind w:left="1440"/>
        <w:jc w:val="both"/>
      </w:pPr>
      <w:r>
        <w:t>However there are drawbacks to the DLS cadastral system which affect security of tenure in practice: (</w:t>
      </w:r>
      <w:proofErr w:type="spellStart"/>
      <w:r>
        <w:t>i</w:t>
      </w:r>
      <w:proofErr w:type="spellEnd"/>
      <w:r>
        <w:t>) first, the cadastral plans only show boundaries of land parcels and not names, contour lines or buildings; (ii) secondly</w:t>
      </w:r>
      <w:r w:rsidR="00F51DC7">
        <w:t>,</w:t>
      </w:r>
      <w:r>
        <w:t xml:space="preserve"> land property information is considered confidential so a person can only have access to information about </w:t>
      </w:r>
      <w:r w:rsidR="00F8748B">
        <w:t>its</w:t>
      </w:r>
      <w:r w:rsidR="00F51DC7">
        <w:t xml:space="preserve"> </w:t>
      </w:r>
      <w:r>
        <w:t xml:space="preserve">own property unless </w:t>
      </w:r>
      <w:r w:rsidR="00F8748B">
        <w:t>it</w:t>
      </w:r>
      <w:r w:rsidR="00F51DC7">
        <w:t xml:space="preserve"> present</w:t>
      </w:r>
      <w:r w:rsidR="00F8748B">
        <w:t>s</w:t>
      </w:r>
      <w:r>
        <w:t xml:space="preserve"> a court order; and (iii) thirdly, the registered plans are considered definitive to the extent that in practice actual land boundaries are "re-established" to match those on the filed plans.</w:t>
      </w:r>
      <w:r>
        <w:rPr>
          <w:rStyle w:val="FootnoteReference"/>
        </w:rPr>
        <w:footnoteReference w:id="54"/>
      </w:r>
      <w:r w:rsidRPr="00632A4F">
        <w:t xml:space="preserve"> </w:t>
      </w:r>
    </w:p>
    <w:p w:rsidR="00B53A2B" w:rsidRDefault="008B52D1" w:rsidP="00F95418">
      <w:pPr>
        <w:pStyle w:val="NormalIndent"/>
        <w:ind w:left="1440"/>
        <w:jc w:val="both"/>
      </w:pPr>
      <w:r>
        <w:lastRenderedPageBreak/>
        <w:t xml:space="preserve">The confidentiality attached to and lack of detail available on the registered plans, combined with the strict application of the registration system results in room for confusion and corruption. Even if a party wishes to purchase a specific segment of land, </w:t>
      </w:r>
      <w:r w:rsidR="00F51DC7">
        <w:t xml:space="preserve">they </w:t>
      </w:r>
      <w:r>
        <w:t xml:space="preserve">will not be able to easily find out the name of the owner of the land in order to contact </w:t>
      </w:r>
      <w:r w:rsidR="00F51DC7">
        <w:t xml:space="preserve">them </w:t>
      </w:r>
      <w:r>
        <w:t xml:space="preserve">or confirm if the person purporting to sell </w:t>
      </w:r>
      <w:r w:rsidR="00F51DC7">
        <w:t>them the land is the true owner.</w:t>
      </w:r>
    </w:p>
    <w:p w:rsidR="00B53A2B" w:rsidRDefault="008B52D1" w:rsidP="00F95418">
      <w:pPr>
        <w:pStyle w:val="NormalIndent"/>
        <w:ind w:left="1440"/>
        <w:jc w:val="both"/>
      </w:pPr>
      <w:r>
        <w:t xml:space="preserve">An example of such confusion was reported by the Jordan Times in February 2016 when 25,000 property owners in the </w:t>
      </w:r>
      <w:proofErr w:type="spellStart"/>
      <w:r>
        <w:t>Jubeiha</w:t>
      </w:r>
      <w:proofErr w:type="spellEnd"/>
      <w:r>
        <w:t xml:space="preserve"> area of Amman were affected by a court ruling that found that the ownership of over 226 </w:t>
      </w:r>
      <w:proofErr w:type="spellStart"/>
      <w:r w:rsidRPr="00F51DC7">
        <w:rPr>
          <w:i/>
        </w:rPr>
        <w:t>dunums</w:t>
      </w:r>
      <w:proofErr w:type="spellEnd"/>
      <w:r>
        <w:t xml:space="preserve"> of land (on which the 25,000 properties had been built) would revert to the original owners on the basis that the lands had been sold using forged documents. It is unclear if the </w:t>
      </w:r>
      <w:r w:rsidR="00F8748B">
        <w:t xml:space="preserve">affected </w:t>
      </w:r>
      <w:r>
        <w:t>property owners had successfully registered their interest with the DLS.</w:t>
      </w:r>
      <w:r>
        <w:rPr>
          <w:rStyle w:val="FootnoteReference"/>
        </w:rPr>
        <w:footnoteReference w:id="55"/>
      </w:r>
    </w:p>
    <w:p w:rsidR="00B53A2B" w:rsidRDefault="008B52D1" w:rsidP="00F51DC7">
      <w:pPr>
        <w:pStyle w:val="NormalIndent"/>
        <w:ind w:left="1440"/>
        <w:jc w:val="both"/>
      </w:pPr>
      <w:r>
        <w:t>In the World Bank's "Doing Business" 2010 Report, Jordan was ranked 106</w:t>
      </w:r>
      <w:r w:rsidRPr="00930976">
        <w:rPr>
          <w:vertAlign w:val="superscript"/>
        </w:rPr>
        <w:t>th</w:t>
      </w:r>
      <w:r>
        <w:t xml:space="preserve"> out of 183 countries in registering property, based on the criteria of the number of procedures involved in land title transactions (7 for </w:t>
      </w:r>
      <w:r w:rsidR="00F51DC7">
        <w:t>registering property in Jordan),</w:t>
      </w:r>
      <w:r>
        <w:t xml:space="preserve"> the time required for registration (22 days) and the cost.</w:t>
      </w:r>
      <w:r w:rsidR="00D75D5C">
        <w:t xml:space="preserve"> </w:t>
      </w:r>
    </w:p>
    <w:p w:rsidR="00B53A2B" w:rsidRDefault="008B52D1" w:rsidP="00F51DC7">
      <w:pPr>
        <w:pStyle w:val="NormalIndent"/>
        <w:ind w:left="1440" w:firstLine="11"/>
        <w:jc w:val="both"/>
        <w:rPr>
          <w:b/>
          <w:u w:val="single"/>
        </w:rPr>
      </w:pPr>
      <w:r>
        <w:rPr>
          <w:b/>
          <w:u w:val="single"/>
        </w:rPr>
        <w:t>Security of tenure in relation to leases</w:t>
      </w:r>
    </w:p>
    <w:p w:rsidR="00B53A2B" w:rsidRDefault="008B52D1" w:rsidP="00F51DC7">
      <w:pPr>
        <w:pStyle w:val="NormalIndent"/>
        <w:ind w:left="1440"/>
        <w:jc w:val="both"/>
      </w:pPr>
      <w:r>
        <w:t xml:space="preserve">Leases have a degree of security as they can be terminated upon the expiry of the tenancy term or for "good cause" by either party, but </w:t>
      </w:r>
      <w:r w:rsidR="00F51DC7">
        <w:t xml:space="preserve">they are </w:t>
      </w:r>
      <w:r>
        <w:t xml:space="preserve">not terminated by the death of either party. </w:t>
      </w:r>
      <w:r w:rsidR="002727AD">
        <w:t>However the heirs of a tenant are entitled to terminate the tenancy if they are unable to pay the rent or if they determine the property to be more than what they need.</w:t>
      </w:r>
      <w:r>
        <w:rPr>
          <w:rStyle w:val="FootnoteReference"/>
        </w:rPr>
        <w:footnoteReference w:id="56"/>
      </w:r>
      <w:r w:rsidR="002727AD">
        <w:t xml:space="preserve"> </w:t>
      </w:r>
      <w:r>
        <w:t>If the landlord terminates the tenancy, they are obliged to compensate the tenant</w:t>
      </w:r>
      <w:r w:rsidR="00852A8D">
        <w:t>.</w:t>
      </w:r>
      <w:r>
        <w:rPr>
          <w:rStyle w:val="FootnoteReference"/>
        </w:rPr>
        <w:footnoteReference w:id="57"/>
      </w:r>
    </w:p>
    <w:p w:rsidR="00B53A2B" w:rsidRDefault="008B52D1" w:rsidP="00F51DC7">
      <w:pPr>
        <w:pStyle w:val="NormalIndent"/>
        <w:ind w:left="1440"/>
        <w:jc w:val="both"/>
      </w:pPr>
      <w:r>
        <w:t>Under the Landlord-Tenant Law, termination of the rental contract can occur when there is:</w:t>
      </w:r>
      <w:r>
        <w:rPr>
          <w:rStyle w:val="FootnoteReference"/>
        </w:rPr>
        <w:footnoteReference w:id="58"/>
      </w:r>
    </w:p>
    <w:p w:rsidR="00B53A2B" w:rsidRPr="006D4BDE" w:rsidRDefault="008B52D1" w:rsidP="00AD7408">
      <w:pPr>
        <w:pStyle w:val="NormalIndent"/>
        <w:numPr>
          <w:ilvl w:val="0"/>
          <w:numId w:val="17"/>
        </w:numPr>
        <w:ind w:left="1800"/>
        <w:jc w:val="both"/>
        <w:rPr>
          <w:rFonts w:eastAsia="Arial Unicode MS"/>
          <w:sz w:val="21"/>
          <w:szCs w:val="21"/>
          <w:lang w:val="en-GB" w:eastAsia="en-GB"/>
        </w:rPr>
      </w:pPr>
      <w:r w:rsidRPr="006D4BDE">
        <w:t xml:space="preserve">Non-payment of rent </w:t>
      </w:r>
      <w:r>
        <w:t>(</w:t>
      </w:r>
      <w:r w:rsidRPr="006D4BDE">
        <w:t>though the landlord seeking termination must serve a 15-day notice to quit for non-payment</w:t>
      </w:r>
      <w:r w:rsidR="00F51DC7">
        <w:t xml:space="preserve">, as detailed in Section </w:t>
      </w:r>
      <w:r w:rsidR="00F51DC7">
        <w:fldChar w:fldCharType="begin"/>
      </w:r>
      <w:r w:rsidR="00F51DC7">
        <w:instrText xml:space="preserve"> REF _Ref13077583 \r \h </w:instrText>
      </w:r>
      <w:r w:rsidR="00C56871">
        <w:instrText xml:space="preserve"> \* MERGEFORMAT </w:instrText>
      </w:r>
      <w:r w:rsidR="00F51DC7">
        <w:fldChar w:fldCharType="separate"/>
      </w:r>
      <w:r w:rsidR="004A5D9C">
        <w:t>4.1(a)</w:t>
      </w:r>
      <w:r w:rsidR="00F51DC7">
        <w:fldChar w:fldCharType="end"/>
      </w:r>
      <w:r w:rsidR="00F51DC7">
        <w:t xml:space="preserve"> below</w:t>
      </w:r>
      <w:r>
        <w:t>);</w:t>
      </w:r>
    </w:p>
    <w:p w:rsidR="00B53A2B" w:rsidRPr="006D4BDE" w:rsidRDefault="008B52D1" w:rsidP="00AD7408">
      <w:pPr>
        <w:pStyle w:val="NormalIndent"/>
        <w:numPr>
          <w:ilvl w:val="0"/>
          <w:numId w:val="17"/>
        </w:numPr>
        <w:ind w:left="1800"/>
        <w:jc w:val="both"/>
        <w:rPr>
          <w:rFonts w:eastAsia="Arial Unicode MS"/>
          <w:sz w:val="21"/>
          <w:szCs w:val="21"/>
          <w:lang w:val="en-GB" w:eastAsia="en-GB"/>
        </w:rPr>
      </w:pPr>
      <w:r w:rsidRPr="006D4BDE">
        <w:t>Unauthorised sub-leasing of the property;</w:t>
      </w:r>
    </w:p>
    <w:p w:rsidR="00B53A2B" w:rsidRPr="006D4BDE" w:rsidRDefault="008B52D1" w:rsidP="00AD7408">
      <w:pPr>
        <w:pStyle w:val="NormalIndent"/>
        <w:numPr>
          <w:ilvl w:val="0"/>
          <w:numId w:val="17"/>
        </w:numPr>
        <w:ind w:left="1800"/>
        <w:jc w:val="both"/>
        <w:rPr>
          <w:rFonts w:eastAsia="Arial Unicode MS"/>
          <w:sz w:val="21"/>
          <w:szCs w:val="21"/>
          <w:lang w:val="en-GB" w:eastAsia="en-GB"/>
        </w:rPr>
      </w:pPr>
      <w:r w:rsidRPr="006D4BDE">
        <w:t xml:space="preserve">Abuse of the property (e.g. </w:t>
      </w:r>
      <w:r w:rsidR="00F51DC7">
        <w:t xml:space="preserve">by using it for </w:t>
      </w:r>
      <w:r w:rsidRPr="006D4BDE">
        <w:t>prostitution);</w:t>
      </w:r>
    </w:p>
    <w:p w:rsidR="00B53A2B" w:rsidRPr="006D4BDE" w:rsidRDefault="008B52D1" w:rsidP="00AD7408">
      <w:pPr>
        <w:pStyle w:val="NormalIndent"/>
        <w:numPr>
          <w:ilvl w:val="0"/>
          <w:numId w:val="17"/>
        </w:numPr>
        <w:ind w:left="1800"/>
        <w:jc w:val="both"/>
        <w:rPr>
          <w:rFonts w:eastAsia="Arial Unicode MS"/>
          <w:sz w:val="21"/>
          <w:szCs w:val="21"/>
          <w:lang w:val="en-GB" w:eastAsia="en-GB"/>
        </w:rPr>
      </w:pPr>
      <w:r w:rsidRPr="006D4BDE">
        <w:t>Use of the property for a purpose different than stipulated in the contract;</w:t>
      </w:r>
    </w:p>
    <w:p w:rsidR="00B53A2B" w:rsidRPr="00367DF0" w:rsidRDefault="008B52D1" w:rsidP="00AD7408">
      <w:pPr>
        <w:pStyle w:val="NormalIndent"/>
        <w:numPr>
          <w:ilvl w:val="0"/>
          <w:numId w:val="17"/>
        </w:numPr>
        <w:ind w:left="1800"/>
        <w:jc w:val="both"/>
        <w:rPr>
          <w:rFonts w:eastAsia="Arial Unicode MS"/>
          <w:lang w:val="en-GB" w:eastAsia="en-GB"/>
        </w:rPr>
      </w:pPr>
      <w:r w:rsidRPr="006D4BDE">
        <w:t xml:space="preserve">Damage </w:t>
      </w:r>
      <w:r w:rsidRPr="00367DF0">
        <w:t>caused beyond ordinary use;</w:t>
      </w:r>
    </w:p>
    <w:p w:rsidR="00B53A2B" w:rsidRPr="00367DF0" w:rsidRDefault="008B52D1" w:rsidP="00AD7408">
      <w:pPr>
        <w:pStyle w:val="NormalIndent"/>
        <w:numPr>
          <w:ilvl w:val="0"/>
          <w:numId w:val="17"/>
        </w:numPr>
        <w:ind w:left="1800"/>
        <w:jc w:val="both"/>
        <w:rPr>
          <w:rFonts w:eastAsia="Arial Unicode MS"/>
          <w:lang w:val="en-GB" w:eastAsia="en-GB"/>
        </w:rPr>
      </w:pPr>
      <w:r w:rsidRPr="00367DF0">
        <w:t>Abandonment of the property by the tenant; and/or</w:t>
      </w:r>
    </w:p>
    <w:p w:rsidR="00B53A2B" w:rsidRPr="006C442E" w:rsidRDefault="008B52D1" w:rsidP="00AD7408">
      <w:pPr>
        <w:pStyle w:val="NormalIndent"/>
        <w:numPr>
          <w:ilvl w:val="0"/>
          <w:numId w:val="17"/>
        </w:numPr>
        <w:ind w:left="1800"/>
        <w:jc w:val="both"/>
        <w:rPr>
          <w:rFonts w:eastAsia="Arial Unicode MS"/>
          <w:lang w:val="en-GB" w:eastAsia="en-GB"/>
        </w:rPr>
      </w:pPr>
      <w:r>
        <w:t xml:space="preserve">A need by the landlord of </w:t>
      </w:r>
      <w:r w:rsidRPr="00367DF0">
        <w:t>the dwelling for personal us</w:t>
      </w:r>
      <w:r>
        <w:t>e for themselves or a member of their direct family, and they lack any other possibility for housing.</w:t>
      </w:r>
    </w:p>
    <w:p w:rsidR="00B53A2B" w:rsidRDefault="008B52D1" w:rsidP="00C56871">
      <w:pPr>
        <w:pStyle w:val="NormalIndent"/>
        <w:ind w:left="1440"/>
        <w:jc w:val="both"/>
      </w:pPr>
      <w:r>
        <w:lastRenderedPageBreak/>
        <w:t xml:space="preserve">Different iterations of the </w:t>
      </w:r>
      <w:r w:rsidR="00C56871">
        <w:t>Landlord-Tenant</w:t>
      </w:r>
      <w:r>
        <w:t xml:space="preserve"> laws (as amended up to 2011) have resulted in </w:t>
      </w:r>
      <w:r w:rsidR="00857781">
        <w:t xml:space="preserve">amended </w:t>
      </w:r>
      <w:r>
        <w:t xml:space="preserve">expiry dates for leases </w:t>
      </w:r>
      <w:r w:rsidR="00857781">
        <w:t>depending on when those leases were entered into</w:t>
      </w:r>
      <w:r>
        <w:t>:</w:t>
      </w:r>
      <w:r>
        <w:rPr>
          <w:rStyle w:val="FootnoteReference"/>
        </w:rPr>
        <w:footnoteReference w:id="59"/>
      </w:r>
      <w:r w:rsidRPr="006C442E">
        <w:t xml:space="preserve"> </w:t>
      </w:r>
    </w:p>
    <w:p w:rsidR="00B53A2B" w:rsidRPr="00B220A5" w:rsidRDefault="008B52D1" w:rsidP="00AD7408">
      <w:pPr>
        <w:pStyle w:val="NormalIndent"/>
        <w:numPr>
          <w:ilvl w:val="0"/>
          <w:numId w:val="18"/>
        </w:numPr>
        <w:ind w:left="1797" w:hanging="357"/>
        <w:jc w:val="both"/>
        <w:rPr>
          <w:rFonts w:eastAsia="Arial Unicode MS"/>
          <w:lang w:val="en-GB" w:eastAsia="en-GB"/>
        </w:rPr>
      </w:pPr>
      <w:r>
        <w:t>Leases beginning before 1 January 1984 wer</w:t>
      </w:r>
      <w:r w:rsidR="000E5AE0">
        <w:t>e held void on 31 December 2013.</w:t>
      </w:r>
      <w:r w:rsidR="00857781">
        <w:t xml:space="preserve"> All leases beginning from before this date have therefore been deemed to have terminated.</w:t>
      </w:r>
    </w:p>
    <w:p w:rsidR="00B53A2B" w:rsidRPr="000C52C7" w:rsidRDefault="008B52D1" w:rsidP="00AD7408">
      <w:pPr>
        <w:pStyle w:val="NormalIndent"/>
        <w:numPr>
          <w:ilvl w:val="0"/>
          <w:numId w:val="18"/>
        </w:numPr>
        <w:ind w:left="1797" w:hanging="357"/>
        <w:jc w:val="both"/>
        <w:rPr>
          <w:rFonts w:eastAsia="Arial Unicode MS"/>
          <w:lang w:val="en-GB" w:eastAsia="en-GB"/>
        </w:rPr>
      </w:pPr>
      <w:r>
        <w:t xml:space="preserve">Leases </w:t>
      </w:r>
      <w:r w:rsidRPr="006C442E">
        <w:t xml:space="preserve">signed between 1 January 1984 and 31 August 2000 </w:t>
      </w:r>
      <w:r>
        <w:t>may be extended up to another</w:t>
      </w:r>
      <w:r w:rsidRPr="006C442E">
        <w:t xml:space="preserve"> 30 years, provided</w:t>
      </w:r>
      <w:r w:rsidR="00C56871">
        <w:t xml:space="preserve"> that</w:t>
      </w:r>
      <w:r w:rsidR="00857781">
        <w:t xml:space="preserve"> the new lease expiry date </w:t>
      </w:r>
      <w:r>
        <w:t>does</w:t>
      </w:r>
      <w:r w:rsidRPr="006C442E">
        <w:t xml:space="preserve"> not </w:t>
      </w:r>
      <w:r w:rsidR="00C56871">
        <w:t xml:space="preserve">go beyond </w:t>
      </w:r>
      <w:r w:rsidRPr="006C442E">
        <w:t>the year 2020.</w:t>
      </w:r>
      <w:r>
        <w:rPr>
          <w:rStyle w:val="FootnoteReference"/>
        </w:rPr>
        <w:footnoteReference w:id="60"/>
      </w:r>
      <w:r w:rsidRPr="006C442E">
        <w:t xml:space="preserve"> </w:t>
      </w:r>
    </w:p>
    <w:p w:rsidR="00B53A2B" w:rsidRPr="00F46678" w:rsidRDefault="008B52D1" w:rsidP="00AD7408">
      <w:pPr>
        <w:pStyle w:val="NormalIndent"/>
        <w:numPr>
          <w:ilvl w:val="0"/>
          <w:numId w:val="18"/>
        </w:numPr>
        <w:ind w:left="1797" w:hanging="357"/>
        <w:jc w:val="both"/>
        <w:rPr>
          <w:rFonts w:eastAsia="Arial Unicode MS"/>
          <w:lang w:val="en-GB" w:eastAsia="en-GB"/>
        </w:rPr>
      </w:pPr>
      <w:r>
        <w:t xml:space="preserve">Leases </w:t>
      </w:r>
      <w:r w:rsidRPr="006C442E">
        <w:t xml:space="preserve">concluded after </w:t>
      </w:r>
      <w:r>
        <w:t>31 August 2000</w:t>
      </w:r>
      <w:r w:rsidRPr="006C442E">
        <w:t xml:space="preserve"> are governed by the terms of the contract in question, and are left in</w:t>
      </w:r>
      <w:r w:rsidR="00857781">
        <w:t xml:space="preserve"> the</w:t>
      </w:r>
      <w:r w:rsidRPr="006C442E">
        <w:t xml:space="preserve"> control of the parties (unless the issue </w:t>
      </w:r>
      <w:r w:rsidR="00857781">
        <w:t>is brought to</w:t>
      </w:r>
      <w:r w:rsidRPr="006C442E">
        <w:t xml:space="preserve"> the courts).</w:t>
      </w:r>
      <w:r>
        <w:rPr>
          <w:rStyle w:val="FootnoteReference"/>
        </w:rPr>
        <w:footnoteReference w:id="61"/>
      </w:r>
      <w:r w:rsidRPr="006C442E">
        <w:t xml:space="preserve"> </w:t>
      </w:r>
      <w:r w:rsidR="00F46678">
        <w:br/>
      </w:r>
    </w:p>
    <w:p w:rsidR="00B53A2B" w:rsidRPr="000B0A89" w:rsidRDefault="008B52D1" w:rsidP="000B0A89">
      <w:pPr>
        <w:pStyle w:val="AllensHeading3"/>
        <w:jc w:val="both"/>
        <w:rPr>
          <w:b/>
        </w:rPr>
      </w:pPr>
      <w:bookmarkStart w:id="56" w:name="_Ref16086158"/>
      <w:r w:rsidRPr="000B0A89">
        <w:rPr>
          <w:b/>
        </w:rPr>
        <w:t>How does tenure differ between urban and rural areas? If possible, please provide statistics about the prevalence of each type of tenure in urban and rural areas.</w:t>
      </w:r>
      <w:bookmarkEnd w:id="56"/>
    </w:p>
    <w:p w:rsidR="00B53A2B" w:rsidRDefault="008B52D1" w:rsidP="00C56871">
      <w:pPr>
        <w:pStyle w:val="NormalIndent"/>
        <w:ind w:left="1440" w:firstLine="11"/>
        <w:jc w:val="both"/>
      </w:pPr>
      <w:r>
        <w:t xml:space="preserve">Statistical data for 2018 and 2019 is not available but a significant difference between urban and rural areas will be that most freehold land is likely to be in the urban areas of Jordan, whereas rural areas will mostly be made up of treasury lands (some of which will be leased out to private persons) or waste land, for the reasons discussed </w:t>
      </w:r>
      <w:r w:rsidR="00C56871">
        <w:t xml:space="preserve">in Section </w:t>
      </w:r>
      <w:r w:rsidR="006308F9">
        <w:fldChar w:fldCharType="begin"/>
      </w:r>
      <w:r w:rsidR="006308F9">
        <w:instrText xml:space="preserve"> REF _Ref13683993 \w \h </w:instrText>
      </w:r>
      <w:r w:rsidR="006308F9">
        <w:fldChar w:fldCharType="separate"/>
      </w:r>
      <w:r w:rsidR="006308F9">
        <w:t>2.1(b)</w:t>
      </w:r>
      <w:r w:rsidR="006308F9">
        <w:fldChar w:fldCharType="end"/>
      </w:r>
      <w:r w:rsidR="000B0A89">
        <w:t xml:space="preserve"> above</w:t>
      </w:r>
      <w:r>
        <w:t xml:space="preserve">. </w:t>
      </w:r>
    </w:p>
    <w:p w:rsidR="00B53A2B" w:rsidRDefault="008B52D1" w:rsidP="00C56871">
      <w:pPr>
        <w:pStyle w:val="NormalIndent"/>
        <w:ind w:left="1440"/>
        <w:jc w:val="both"/>
      </w:pPr>
      <w:r>
        <w:t xml:space="preserve">While there should be a similar degree of security </w:t>
      </w:r>
      <w:r w:rsidR="00857781">
        <w:t>of</w:t>
      </w:r>
      <w:r>
        <w:t xml:space="preserve"> tenure for all areas as the Jordanian land registration system applies to all land</w:t>
      </w:r>
      <w:r w:rsidR="00857781">
        <w:t xml:space="preserve"> and the majority of land tenures</w:t>
      </w:r>
      <w:r>
        <w:t xml:space="preserve">, it may be more difficult to trace the true owners of land in rural areas and to confirm that the seller in a property transaction is the true registered owner of the land. As described </w:t>
      </w:r>
      <w:r w:rsidR="000B0A89">
        <w:t xml:space="preserve">in respect of tribal lands in Section </w:t>
      </w:r>
      <w:r w:rsidR="000B0A89">
        <w:fldChar w:fldCharType="begin"/>
      </w:r>
      <w:r w:rsidR="000B0A89">
        <w:instrText xml:space="preserve"> REF _Ref13683993 \w \h </w:instrText>
      </w:r>
      <w:r w:rsidR="000B0A89">
        <w:fldChar w:fldCharType="separate"/>
      </w:r>
      <w:r w:rsidR="000B0A89">
        <w:t>2.1(b)</w:t>
      </w:r>
      <w:r w:rsidR="000B0A89">
        <w:fldChar w:fldCharType="end"/>
      </w:r>
      <w:r>
        <w:t>, it is not uncommon to find people "selling" land in rural parts of Jordan (particularly the east) when they are not registered owners of the land. These sales deeds (</w:t>
      </w:r>
      <w:proofErr w:type="spellStart"/>
      <w:r w:rsidRPr="00A444E3">
        <w:rPr>
          <w:i/>
        </w:rPr>
        <w:t>hijja</w:t>
      </w:r>
      <w:proofErr w:type="spellEnd"/>
      <w:r>
        <w:t xml:space="preserve">) are not seen as valid in the eyes of the law. </w:t>
      </w:r>
    </w:p>
    <w:p w:rsidR="00B53A2B" w:rsidRDefault="00B53A2B" w:rsidP="00811025">
      <w:pPr>
        <w:pStyle w:val="NormalIndent"/>
        <w:tabs>
          <w:tab w:val="left" w:pos="4245"/>
        </w:tabs>
        <w:ind w:firstLine="11"/>
        <w:jc w:val="both"/>
        <w:rPr>
          <w:b/>
        </w:rPr>
      </w:pPr>
    </w:p>
    <w:p w:rsidR="00B53A2B" w:rsidRDefault="008B52D1" w:rsidP="000B0A89">
      <w:pPr>
        <w:pStyle w:val="AllensHeading2"/>
      </w:pPr>
      <w:bookmarkStart w:id="57" w:name="_Toc256000089"/>
      <w:bookmarkStart w:id="58" w:name="_Toc256000005"/>
      <w:bookmarkStart w:id="59" w:name="_Toc16243116"/>
      <w:r>
        <w:t>Documenting tenure</w:t>
      </w:r>
      <w:bookmarkEnd w:id="57"/>
      <w:bookmarkEnd w:id="58"/>
      <w:bookmarkEnd w:id="59"/>
    </w:p>
    <w:p w:rsidR="00B53A2B" w:rsidRPr="000B0A89" w:rsidRDefault="008B52D1" w:rsidP="000B0A89">
      <w:pPr>
        <w:pStyle w:val="AllensHeading3"/>
        <w:rPr>
          <w:b/>
        </w:rPr>
      </w:pPr>
      <w:r w:rsidRPr="000B0A89">
        <w:rPr>
          <w:b/>
        </w:rPr>
        <w:t>Proof of ownership and settlement of land rights</w:t>
      </w:r>
    </w:p>
    <w:p w:rsidR="00B53A2B" w:rsidRDefault="008B52D1" w:rsidP="0079381E">
      <w:pPr>
        <w:pStyle w:val="NormalIndent"/>
        <w:ind w:left="1418" w:firstLine="11"/>
      </w:pPr>
      <w:r>
        <w:t>To prove ownership of immovable property, the owner need only produce a registration bond issued by the DLS without any need to provide supporting evidence to the contents of such bonds. Such bonds can only be invalidated or corrected under Law No. 40 of 1952 (Lands and Water Settlement Law</w:t>
      </w:r>
      <w:r w:rsidR="009E27BC">
        <w:t>)</w:t>
      </w:r>
      <w:r>
        <w:t xml:space="preserve"> and its amendments. This law </w:t>
      </w:r>
      <w:r>
        <w:lastRenderedPageBreak/>
        <w:t>regulates the registration, recognition and dispute of rights of disposition, ownership or usufruct in land and water, and provides the DLS with the power to settle property rights in an area of land or water.</w:t>
      </w:r>
    </w:p>
    <w:p w:rsidR="00B53A2B" w:rsidRDefault="008B52D1" w:rsidP="000B0A89">
      <w:pPr>
        <w:pStyle w:val="NormalIndent"/>
        <w:ind w:left="1418"/>
        <w:jc w:val="both"/>
      </w:pPr>
      <w:r>
        <w:t xml:space="preserve">If the DLS decides to commence a settlement of rights over a specific "settlement area", it will publish the relevant details in its official gazette (e.g. the area of lands or water and commencement date for the process) and issue a public settlement announcement to those living in the relevant area. Once the process has begun, all persons who claim to have a right of usufruct, ownership or disposition or any other related rights in the land and water can submit their claims and supporting documents to an authorised officer, who will investigate these claims. During this process, the DLS or an authorised officer can try to attempt reconciliation between </w:t>
      </w:r>
      <w:r w:rsidR="00857781">
        <w:t>any</w:t>
      </w:r>
      <w:r>
        <w:t xml:space="preserve"> conflicting parties and have the parties sign a reconciliation bond in front of witnesses to resolve the conflict. Finally, after all claims have been checked, a Schedule of Rights will be prepared detailing the rights of all the parties affected by the settled area. Objections in writing may be made within 30 days of the publication</w:t>
      </w:r>
      <w:r w:rsidR="00857781">
        <w:t xml:space="preserve"> of the Schedule of R</w:t>
      </w:r>
      <w:r>
        <w:t>ights and are transferred to the Settlement Court, with a chance to further appeal available if the value of the case is above 200 Jordanian dinar</w:t>
      </w:r>
      <w:r w:rsidR="00811025">
        <w:t>s</w:t>
      </w:r>
      <w:r>
        <w:t>.</w:t>
      </w:r>
    </w:p>
    <w:p w:rsidR="00B53A2B" w:rsidRDefault="008B52D1" w:rsidP="000B0A89">
      <w:pPr>
        <w:pStyle w:val="NormalIndent"/>
        <w:ind w:left="1418" w:firstLine="11"/>
        <w:jc w:val="both"/>
      </w:pPr>
      <w:r>
        <w:t xml:space="preserve">Once the settlement process is completed, any actions (e.g. sale, exchange or partitioning) relating to the rights of land or water in that area are subject to the procedures of the DLS including registration with the DLS, and </w:t>
      </w:r>
      <w:r w:rsidR="00857781">
        <w:t>in the event of non-compliance</w:t>
      </w:r>
      <w:r>
        <w:t xml:space="preserve"> </w:t>
      </w:r>
      <w:r w:rsidR="00857781">
        <w:t xml:space="preserve">are </w:t>
      </w:r>
      <w:r>
        <w:t>null and void.</w:t>
      </w:r>
      <w:r>
        <w:rPr>
          <w:rStyle w:val="FootnoteReference"/>
        </w:rPr>
        <w:footnoteReference w:id="62"/>
      </w:r>
      <w:r>
        <w:t xml:space="preserve"> </w:t>
      </w:r>
    </w:p>
    <w:p w:rsidR="00B53A2B" w:rsidRDefault="00B53A2B" w:rsidP="00811025">
      <w:pPr>
        <w:pStyle w:val="NormalIndent"/>
        <w:ind w:firstLine="11"/>
        <w:jc w:val="both"/>
      </w:pPr>
    </w:p>
    <w:p w:rsidR="00B53A2B" w:rsidRPr="00F66DFF" w:rsidRDefault="008B52D1" w:rsidP="00F66DFF">
      <w:pPr>
        <w:pStyle w:val="AllensHeading3"/>
        <w:rPr>
          <w:b/>
        </w:rPr>
      </w:pPr>
      <w:r w:rsidRPr="00F66DFF">
        <w:rPr>
          <w:b/>
        </w:rPr>
        <w:t>What non-legal documents or actions (e.g. verbal agreements or h</w:t>
      </w:r>
      <w:r w:rsidR="00ED01DC">
        <w:rPr>
          <w:b/>
        </w:rPr>
        <w:t>andshakes) are used to create or</w:t>
      </w:r>
      <w:r w:rsidRPr="00F66DFF">
        <w:rPr>
          <w:b/>
        </w:rPr>
        <w:t xml:space="preserve"> transfer tenure?</w:t>
      </w:r>
    </w:p>
    <w:p w:rsidR="00B53A2B" w:rsidRPr="00F66DFF" w:rsidRDefault="008B52D1" w:rsidP="00F66DFF">
      <w:pPr>
        <w:pStyle w:val="NormalIndent"/>
        <w:ind w:left="1418" w:firstLine="22"/>
        <w:jc w:val="both"/>
        <w:rPr>
          <w:b/>
          <w:i/>
        </w:rPr>
      </w:pPr>
      <w:r>
        <w:t>Leases, assignments and sub-leases do not need to made in a particular form</w:t>
      </w:r>
      <w:r w:rsidR="00F66DFF">
        <w:t xml:space="preserve">: see Section </w:t>
      </w:r>
      <w:r w:rsidR="00F66DFF">
        <w:fldChar w:fldCharType="begin"/>
      </w:r>
      <w:r w:rsidR="00F66DFF">
        <w:instrText xml:space="preserve"> REF _Ref13684684 \w \h </w:instrText>
      </w:r>
      <w:r w:rsidR="00F66DFF">
        <w:fldChar w:fldCharType="separate"/>
      </w:r>
      <w:r w:rsidR="00F66DFF">
        <w:t>2.1(b)(iii)</w:t>
      </w:r>
      <w:r w:rsidR="00F66DFF">
        <w:fldChar w:fldCharType="end"/>
      </w:r>
      <w:r w:rsidR="00F66DFF">
        <w:t xml:space="preserve"> on leases, assignments and sub-leases</w:t>
      </w:r>
      <w:r>
        <w:t>.</w:t>
      </w:r>
      <w:r w:rsidR="00742FA2">
        <w:t xml:space="preserve"> However as referenced above it is likely that parties will need to provide a written document to record or evidence the non-written transaction in order to register it with the DLS (note that it is unclear if</w:t>
      </w:r>
      <w:r w:rsidR="00F66DFF">
        <w:t xml:space="preserve"> </w:t>
      </w:r>
      <w:r w:rsidR="00742FA2">
        <w:t xml:space="preserve">assignments need to be registered with the DLS). </w:t>
      </w:r>
    </w:p>
    <w:p w:rsidR="00B53A2B" w:rsidRDefault="00B53A2B" w:rsidP="002E0233">
      <w:pPr>
        <w:pStyle w:val="NormalIndent"/>
        <w:ind w:left="0"/>
      </w:pPr>
    </w:p>
    <w:p w:rsidR="00B53A2B" w:rsidRPr="00612EB9" w:rsidRDefault="008B52D1" w:rsidP="00F66DFF">
      <w:pPr>
        <w:pStyle w:val="AllensHeading2"/>
      </w:pPr>
      <w:bookmarkStart w:id="60" w:name="_Toc256000090"/>
      <w:bookmarkStart w:id="61" w:name="_Toc256000006"/>
      <w:bookmarkStart w:id="62" w:name="_Ref13685577"/>
      <w:bookmarkStart w:id="63" w:name="_Toc16243117"/>
      <w:bookmarkStart w:id="64" w:name="_Ref19551559"/>
      <w:r w:rsidRPr="00612EB9">
        <w:t>Customary ownership</w:t>
      </w:r>
      <w:bookmarkEnd w:id="60"/>
      <w:bookmarkEnd w:id="61"/>
      <w:bookmarkEnd w:id="62"/>
      <w:bookmarkEnd w:id="63"/>
      <w:bookmarkEnd w:id="64"/>
    </w:p>
    <w:p w:rsidR="00B53A2B" w:rsidRDefault="008B52D1" w:rsidP="00811025">
      <w:pPr>
        <w:pStyle w:val="AllensHeading3"/>
        <w:numPr>
          <w:ilvl w:val="0"/>
          <w:numId w:val="0"/>
        </w:numPr>
        <w:ind w:left="709" w:firstLine="11"/>
        <w:jc w:val="both"/>
      </w:pPr>
      <w:r>
        <w:t xml:space="preserve">Communities have occupied land on a customary basis in Jordan for many years, </w:t>
      </w:r>
      <w:r w:rsidR="00F66DFF">
        <w:t xml:space="preserve">in particular around the </w:t>
      </w:r>
      <w:proofErr w:type="spellStart"/>
      <w:r w:rsidR="00F66DFF">
        <w:t>Badia</w:t>
      </w:r>
      <w:proofErr w:type="spellEnd"/>
      <w:r>
        <w:t xml:space="preserve"> region of arid and semi-arid land in the east of the country. Bedouin tribes had a system of land tenure and grazing rights, with the term "</w:t>
      </w:r>
      <w:proofErr w:type="spellStart"/>
      <w:r w:rsidRPr="00F66DFF">
        <w:rPr>
          <w:i/>
        </w:rPr>
        <w:t>Dirah</w:t>
      </w:r>
      <w:proofErr w:type="spellEnd"/>
      <w:r>
        <w:t xml:space="preserve">" describing the area through which a group migrated, which included areas for grazing, pasture and cultivated land. Within the </w:t>
      </w:r>
      <w:proofErr w:type="spellStart"/>
      <w:r w:rsidRPr="00F66DFF">
        <w:rPr>
          <w:i/>
        </w:rPr>
        <w:t>Dirah</w:t>
      </w:r>
      <w:proofErr w:type="spellEnd"/>
      <w:r>
        <w:t xml:space="preserve">, certain families or clans would be recognised as having a right to certain preferred grazing areas. </w:t>
      </w:r>
    </w:p>
    <w:p w:rsidR="003B535F" w:rsidRDefault="008B52D1" w:rsidP="002E0233">
      <w:pPr>
        <w:pStyle w:val="AllensHeading3"/>
        <w:numPr>
          <w:ilvl w:val="0"/>
          <w:numId w:val="0"/>
        </w:numPr>
        <w:ind w:left="709" w:firstLine="11"/>
        <w:jc w:val="both"/>
      </w:pPr>
      <w:r>
        <w:t xml:space="preserve">Today, much of these lands are technically owned by the state, although in practice sales and leases of lands in the </w:t>
      </w:r>
      <w:proofErr w:type="spellStart"/>
      <w:r>
        <w:t>Badia</w:t>
      </w:r>
      <w:proofErr w:type="spellEnd"/>
      <w:r>
        <w:t xml:space="preserve"> region are commonly made without reference to the DLS registration system. Buyers of such land will not be formally recognised as owners of the land in the eyes of </w:t>
      </w:r>
      <w:r>
        <w:lastRenderedPageBreak/>
        <w:t>the law and so may encounter a number of issues, including having a low degree of security of tenure</w:t>
      </w:r>
      <w:r w:rsidR="00F66DFF">
        <w:t>;</w:t>
      </w:r>
      <w:r>
        <w:rPr>
          <w:rStyle w:val="FootnoteReference"/>
        </w:rPr>
        <w:footnoteReference w:id="63"/>
      </w:r>
      <w:r>
        <w:t xml:space="preserve"> </w:t>
      </w:r>
      <w:r w:rsidR="00F66DFF">
        <w:t>s</w:t>
      </w:r>
      <w:r>
        <w:t xml:space="preserve">ee </w:t>
      </w:r>
      <w:r w:rsidR="00DF3386">
        <w:t xml:space="preserve">paragraphs on "Tribal land" in </w:t>
      </w:r>
      <w:r w:rsidR="00F66DFF">
        <w:t>S</w:t>
      </w:r>
      <w:r>
        <w:t xml:space="preserve">ection </w:t>
      </w:r>
      <w:r w:rsidR="00A444E3">
        <w:fldChar w:fldCharType="begin"/>
      </w:r>
      <w:r w:rsidR="00A444E3">
        <w:instrText xml:space="preserve"> REF _Ref13683993 \w \h </w:instrText>
      </w:r>
      <w:r w:rsidR="00A444E3">
        <w:fldChar w:fldCharType="separate"/>
      </w:r>
      <w:r w:rsidR="00A444E3">
        <w:t>2.1(b)</w:t>
      </w:r>
      <w:r w:rsidR="00A444E3">
        <w:fldChar w:fldCharType="end"/>
      </w:r>
      <w:r>
        <w:t>.</w:t>
      </w:r>
    </w:p>
    <w:p w:rsidR="00796626" w:rsidRPr="00612EB9" w:rsidRDefault="008B52D1" w:rsidP="00796626">
      <w:pPr>
        <w:pStyle w:val="AllensHeading2"/>
      </w:pPr>
      <w:bookmarkStart w:id="65" w:name="_Toc256000091"/>
      <w:bookmarkStart w:id="66" w:name="_Toc256000007"/>
      <w:bookmarkStart w:id="67" w:name="_Ref19030378"/>
      <w:bookmarkStart w:id="68" w:name="_Ref19030466"/>
      <w:bookmarkStart w:id="69" w:name="_Ref19030489"/>
      <w:bookmarkStart w:id="70" w:name="_Ref19551566"/>
      <w:r>
        <w:t>Informal settlements</w:t>
      </w:r>
      <w:bookmarkEnd w:id="65"/>
      <w:bookmarkEnd w:id="66"/>
      <w:bookmarkEnd w:id="67"/>
      <w:bookmarkEnd w:id="68"/>
      <w:bookmarkEnd w:id="69"/>
      <w:bookmarkEnd w:id="70"/>
    </w:p>
    <w:p w:rsidR="005942FC" w:rsidRPr="005942FC" w:rsidRDefault="008B52D1" w:rsidP="00D105EF">
      <w:pPr>
        <w:pStyle w:val="NormalIndent"/>
        <w:jc w:val="both"/>
      </w:pPr>
      <w:r w:rsidRPr="005942FC">
        <w:t>Over the years, Jordan has experienced several influxes of refugees from nearby countries. As at 2014, it was estimated that there were around 2 million Palestinian refugees, over 1.4 million Syrian refugees and 1.4 million Iraqi refugees in Jordan.</w:t>
      </w:r>
      <w:r>
        <w:rPr>
          <w:rStyle w:val="FootnoteReference"/>
        </w:rPr>
        <w:footnoteReference w:id="64"/>
      </w:r>
      <w:r w:rsidR="00975FA8">
        <w:t xml:space="preserve"> These numbers have since decreased considerably - in July 2019, the UNCHR reported, amongst others, </w:t>
      </w:r>
      <w:r w:rsidR="004F0E00">
        <w:t xml:space="preserve">over </w:t>
      </w:r>
      <w:r w:rsidR="00975FA8">
        <w:t>660,260 Syrian refugees, 67,453 Iraqi refugees, 14,689 Yemeni refugees and 6,149 Sudanese refugees (note: while there continue to be Palestinian refugees in Jordan, their numbers were not reported).</w:t>
      </w:r>
      <w:r>
        <w:rPr>
          <w:rStyle w:val="FootnoteReference"/>
        </w:rPr>
        <w:footnoteReference w:id="65"/>
      </w:r>
      <w:r w:rsidR="004F0E00">
        <w:t xml:space="preserve"> However </w:t>
      </w:r>
      <w:r w:rsidR="00D23D8E">
        <w:t>it should be noted that</w:t>
      </w:r>
      <w:r w:rsidR="004F0E00">
        <w:t xml:space="preserve"> </w:t>
      </w:r>
      <w:r w:rsidR="00D23D8E">
        <w:t>these numbers</w:t>
      </w:r>
      <w:r w:rsidR="004F0E00">
        <w:t xml:space="preserve"> only </w:t>
      </w:r>
      <w:r w:rsidR="00D23D8E">
        <w:t>reflect the number of</w:t>
      </w:r>
      <w:r w:rsidR="004F0E00">
        <w:t xml:space="preserve"> registered refugees</w:t>
      </w:r>
      <w:r w:rsidR="00D23D8E">
        <w:t xml:space="preserve"> in Jordan and so the total number of refugees </w:t>
      </w:r>
      <w:r w:rsidR="00ED01DC">
        <w:t>may</w:t>
      </w:r>
      <w:r w:rsidR="00D23D8E">
        <w:t xml:space="preserve"> be higher.</w:t>
      </w:r>
    </w:p>
    <w:p w:rsidR="005942FC" w:rsidRPr="005942FC" w:rsidRDefault="008B52D1" w:rsidP="0029600D">
      <w:pPr>
        <w:pStyle w:val="NormalIndent"/>
        <w:jc w:val="both"/>
      </w:pPr>
      <w:r w:rsidRPr="005942FC">
        <w:t xml:space="preserve">In recent years, there has been a particularly large influx of Syrian refugees. </w:t>
      </w:r>
      <w:r w:rsidR="007F251D">
        <w:t>T</w:t>
      </w:r>
      <w:r w:rsidRPr="005942FC">
        <w:t>he majority (84%</w:t>
      </w:r>
      <w:r w:rsidR="00A444E3">
        <w:t>)</w:t>
      </w:r>
      <w:r>
        <w:rPr>
          <w:rStyle w:val="FootnoteReference"/>
        </w:rPr>
        <w:footnoteReference w:id="66"/>
      </w:r>
      <w:r w:rsidRPr="005942FC">
        <w:t xml:space="preserve"> of these refugees live in cities and towns</w:t>
      </w:r>
      <w:r w:rsidR="007F251D">
        <w:t>, with</w:t>
      </w:r>
      <w:r w:rsidR="00DA79D9">
        <w:t xml:space="preserve"> </w:t>
      </w:r>
      <w:r w:rsidR="007F251D">
        <w:t xml:space="preserve">assistance </w:t>
      </w:r>
      <w:r w:rsidR="004C6BE8">
        <w:t>from NGOs</w:t>
      </w:r>
      <w:r w:rsidRPr="005942FC">
        <w:t xml:space="preserve"> </w:t>
      </w:r>
      <w:r w:rsidR="004C6BE8">
        <w:t>including</w:t>
      </w:r>
      <w:r w:rsidR="00A44A6D">
        <w:t>:</w:t>
      </w:r>
      <w:r w:rsidR="004C6BE8">
        <w:t xml:space="preserve"> </w:t>
      </w:r>
      <w:r w:rsidRPr="005942FC">
        <w:t>cash-for-rent aid</w:t>
      </w:r>
      <w:r w:rsidR="00A44A6D">
        <w:t>;</w:t>
      </w:r>
      <w:r w:rsidR="004C6BE8">
        <w:t xml:space="preserve"> building or upgrading of substandard housing units and the installation of accessibility kits catered for specific disabilities</w:t>
      </w:r>
      <w:r w:rsidR="007F251D">
        <w:t>.</w:t>
      </w:r>
      <w:r>
        <w:rPr>
          <w:rStyle w:val="FootnoteReference"/>
        </w:rPr>
        <w:footnoteReference w:id="67"/>
      </w:r>
      <w:r w:rsidR="004F0E00">
        <w:t xml:space="preserve"> </w:t>
      </w:r>
      <w:r w:rsidR="007F251D">
        <w:t>However</w:t>
      </w:r>
      <w:r w:rsidRPr="005942FC">
        <w:t xml:space="preserve">, a significant number </w:t>
      </w:r>
      <w:r w:rsidR="004C6BE8">
        <w:t xml:space="preserve">of Syrian refugees still </w:t>
      </w:r>
      <w:r w:rsidRPr="005942FC">
        <w:t xml:space="preserve">live in one of three refugee camps – </w:t>
      </w:r>
      <w:proofErr w:type="spellStart"/>
      <w:r w:rsidRPr="005942FC">
        <w:t>Za</w:t>
      </w:r>
      <w:r w:rsidR="00DA79D9">
        <w:t>'</w:t>
      </w:r>
      <w:r w:rsidRPr="005942FC">
        <w:t>atari</w:t>
      </w:r>
      <w:proofErr w:type="spellEnd"/>
      <w:r w:rsidRPr="005942FC">
        <w:t xml:space="preserve">, </w:t>
      </w:r>
      <w:proofErr w:type="spellStart"/>
      <w:r w:rsidRPr="005942FC">
        <w:t>Azraq</w:t>
      </w:r>
      <w:proofErr w:type="spellEnd"/>
      <w:r w:rsidRPr="005942FC">
        <w:t xml:space="preserve"> and Emirati-Jordanian (also known as </w:t>
      </w:r>
      <w:proofErr w:type="spellStart"/>
      <w:r w:rsidRPr="005942FC">
        <w:t>Mrajeeb</w:t>
      </w:r>
      <w:proofErr w:type="spellEnd"/>
      <w:r w:rsidRPr="005942FC">
        <w:t xml:space="preserve"> Al </w:t>
      </w:r>
      <w:proofErr w:type="spellStart"/>
      <w:r w:rsidRPr="005942FC">
        <w:t>Fhood</w:t>
      </w:r>
      <w:proofErr w:type="spellEnd"/>
      <w:r w:rsidRPr="005942FC">
        <w:t>).</w:t>
      </w:r>
      <w:r>
        <w:rPr>
          <w:rStyle w:val="FootnoteReference"/>
        </w:rPr>
        <w:footnoteReference w:id="68"/>
      </w:r>
      <w:r w:rsidRPr="005942FC">
        <w:t xml:space="preserve"> The </w:t>
      </w:r>
      <w:proofErr w:type="spellStart"/>
      <w:r w:rsidRPr="005942FC">
        <w:t>Za</w:t>
      </w:r>
      <w:r w:rsidR="00DA79D9">
        <w:t>'</w:t>
      </w:r>
      <w:r w:rsidRPr="005942FC">
        <w:t>atari</w:t>
      </w:r>
      <w:proofErr w:type="spellEnd"/>
      <w:r w:rsidRPr="005942FC">
        <w:t xml:space="preserve"> camp, which is jointly run by the Syrian Refugee Affairs Directorate (a Jordanian government agency) and UNHCR, currently houses around 78,000 Syrian refugees and has arguably evolved into a semi-permanent settlement. At its peak it housed double the amount of people and was considered to be Jordan's "fourth largest city" and the second largest refugee camp in the world.</w:t>
      </w:r>
      <w:r>
        <w:rPr>
          <w:rStyle w:val="FootnoteReference"/>
        </w:rPr>
        <w:footnoteReference w:id="69"/>
      </w:r>
      <w:r w:rsidRPr="005942FC">
        <w:t xml:space="preserve"> All three of these camps are located in the north, near the Jordan-Syria border, with the </w:t>
      </w:r>
      <w:proofErr w:type="spellStart"/>
      <w:r w:rsidRPr="005942FC">
        <w:t>Za</w:t>
      </w:r>
      <w:r w:rsidR="00DA79D9">
        <w:t>'</w:t>
      </w:r>
      <w:r w:rsidRPr="005942FC">
        <w:t>atari</w:t>
      </w:r>
      <w:proofErr w:type="spellEnd"/>
      <w:r w:rsidRPr="005942FC">
        <w:t xml:space="preserve"> camp in the </w:t>
      </w:r>
      <w:proofErr w:type="spellStart"/>
      <w:r w:rsidRPr="005942FC">
        <w:t>Mafraq</w:t>
      </w:r>
      <w:proofErr w:type="spellEnd"/>
      <w:r w:rsidRPr="005942FC">
        <w:t xml:space="preserve"> </w:t>
      </w:r>
      <w:proofErr w:type="spellStart"/>
      <w:r w:rsidRPr="005942FC">
        <w:t>Governate</w:t>
      </w:r>
      <w:proofErr w:type="spellEnd"/>
      <w:r w:rsidRPr="005942FC">
        <w:t xml:space="preserve"> and the </w:t>
      </w:r>
      <w:proofErr w:type="spellStart"/>
      <w:r w:rsidRPr="005942FC">
        <w:t>Azraq</w:t>
      </w:r>
      <w:proofErr w:type="spellEnd"/>
      <w:r w:rsidRPr="005942FC">
        <w:t xml:space="preserve"> and </w:t>
      </w:r>
      <w:proofErr w:type="spellStart"/>
      <w:r w:rsidRPr="005942FC">
        <w:t>Mrajeeb</w:t>
      </w:r>
      <w:proofErr w:type="spellEnd"/>
      <w:r w:rsidRPr="005942FC">
        <w:t xml:space="preserve"> Al </w:t>
      </w:r>
      <w:proofErr w:type="spellStart"/>
      <w:r w:rsidRPr="005942FC">
        <w:t>Fhood</w:t>
      </w:r>
      <w:proofErr w:type="spellEnd"/>
      <w:r w:rsidRPr="005942FC">
        <w:t xml:space="preserve"> camps in the </w:t>
      </w:r>
      <w:proofErr w:type="spellStart"/>
      <w:r w:rsidRPr="005942FC">
        <w:t>Zarqa</w:t>
      </w:r>
      <w:proofErr w:type="spellEnd"/>
      <w:r w:rsidRPr="005942FC">
        <w:t xml:space="preserve"> </w:t>
      </w:r>
      <w:proofErr w:type="spellStart"/>
      <w:r w:rsidRPr="005942FC">
        <w:t>Governate</w:t>
      </w:r>
      <w:proofErr w:type="spellEnd"/>
      <w:r w:rsidRPr="005942FC">
        <w:t>.</w:t>
      </w:r>
      <w:r w:rsidR="004C6BE8">
        <w:t xml:space="preserve"> </w:t>
      </w:r>
    </w:p>
    <w:p w:rsidR="005942FC" w:rsidRPr="005942FC" w:rsidRDefault="008B52D1" w:rsidP="005942FC">
      <w:pPr>
        <w:pStyle w:val="NormalIndent"/>
      </w:pPr>
      <w:r w:rsidRPr="005942FC">
        <w:t xml:space="preserve">There are 10 further </w:t>
      </w:r>
      <w:r w:rsidR="00742FA2">
        <w:t xml:space="preserve">Palestinian </w:t>
      </w:r>
      <w:r w:rsidRPr="005942FC">
        <w:t xml:space="preserve">refugee camps officially registered with the United Nations Relief and Works Agency for Palestine Refugees in the Near East (UNRWA): </w:t>
      </w:r>
      <w:r>
        <w:rPr>
          <w:rStyle w:val="FootnoteReference"/>
        </w:rPr>
        <w:footnoteReference w:id="70"/>
      </w:r>
    </w:p>
    <w:tbl>
      <w:tblPr>
        <w:tblStyle w:val="TableGrid"/>
        <w:tblW w:w="0" w:type="auto"/>
        <w:tblInd w:w="720" w:type="dxa"/>
        <w:tblLook w:val="04A0" w:firstRow="1" w:lastRow="0" w:firstColumn="1" w:lastColumn="0" w:noHBand="0" w:noVBand="1"/>
      </w:tblPr>
      <w:tblGrid>
        <w:gridCol w:w="2752"/>
        <w:gridCol w:w="2780"/>
        <w:gridCol w:w="2809"/>
      </w:tblGrid>
      <w:tr w:rsidR="006D0A9D" w:rsidTr="00090F40">
        <w:tc>
          <w:tcPr>
            <w:tcW w:w="3095" w:type="dxa"/>
          </w:tcPr>
          <w:p w:rsidR="005942FC" w:rsidRPr="005942FC" w:rsidRDefault="008B52D1" w:rsidP="00090F40">
            <w:pPr>
              <w:pStyle w:val="NormalIndent"/>
              <w:ind w:left="0"/>
              <w:rPr>
                <w:b/>
              </w:rPr>
            </w:pPr>
            <w:r w:rsidRPr="005942FC">
              <w:rPr>
                <w:b/>
              </w:rPr>
              <w:t>Name of camp</w:t>
            </w:r>
          </w:p>
        </w:tc>
        <w:tc>
          <w:tcPr>
            <w:tcW w:w="3096" w:type="dxa"/>
          </w:tcPr>
          <w:p w:rsidR="005942FC" w:rsidRPr="005942FC" w:rsidRDefault="008B52D1" w:rsidP="00090F40">
            <w:pPr>
              <w:pStyle w:val="NormalIndent"/>
              <w:ind w:left="0"/>
              <w:rPr>
                <w:b/>
              </w:rPr>
            </w:pPr>
            <w:r w:rsidRPr="005942FC">
              <w:rPr>
                <w:b/>
              </w:rPr>
              <w:t>Location</w:t>
            </w:r>
          </w:p>
        </w:tc>
        <w:tc>
          <w:tcPr>
            <w:tcW w:w="3096" w:type="dxa"/>
          </w:tcPr>
          <w:p w:rsidR="005942FC" w:rsidRPr="005942FC" w:rsidRDefault="008B52D1" w:rsidP="00090F40">
            <w:pPr>
              <w:pStyle w:val="NormalIndent"/>
              <w:ind w:left="0"/>
              <w:rPr>
                <w:b/>
              </w:rPr>
            </w:pPr>
            <w:r w:rsidRPr="005942FC">
              <w:rPr>
                <w:b/>
              </w:rPr>
              <w:t>Comments</w:t>
            </w:r>
          </w:p>
        </w:tc>
      </w:tr>
      <w:tr w:rsidR="006D0A9D" w:rsidTr="00090F40">
        <w:tc>
          <w:tcPr>
            <w:tcW w:w="3095" w:type="dxa"/>
          </w:tcPr>
          <w:p w:rsidR="005942FC" w:rsidRPr="005942FC" w:rsidRDefault="008B52D1" w:rsidP="00090F40">
            <w:pPr>
              <w:pStyle w:val="NormalIndent"/>
              <w:ind w:left="0"/>
            </w:pPr>
            <w:proofErr w:type="spellStart"/>
            <w:r w:rsidRPr="005942FC">
              <w:t>Baqa'a</w:t>
            </w:r>
            <w:proofErr w:type="spellEnd"/>
            <w:r w:rsidRPr="005942FC">
              <w:t xml:space="preserve"> </w:t>
            </w:r>
          </w:p>
        </w:tc>
        <w:tc>
          <w:tcPr>
            <w:tcW w:w="3096" w:type="dxa"/>
          </w:tcPr>
          <w:p w:rsidR="005942FC" w:rsidRPr="005942FC" w:rsidRDefault="008B52D1" w:rsidP="00090F40">
            <w:pPr>
              <w:pStyle w:val="NormalIndent"/>
              <w:ind w:left="0"/>
            </w:pPr>
            <w:r>
              <w:t>A</w:t>
            </w:r>
            <w:r w:rsidR="00702ACD" w:rsidRPr="005942FC">
              <w:t>bout 20</w:t>
            </w:r>
            <w:r>
              <w:t xml:space="preserve"> </w:t>
            </w:r>
            <w:r w:rsidR="00702ACD" w:rsidRPr="005942FC">
              <w:t>km north of Amman</w:t>
            </w:r>
          </w:p>
        </w:tc>
        <w:tc>
          <w:tcPr>
            <w:tcW w:w="3096" w:type="dxa"/>
          </w:tcPr>
          <w:p w:rsidR="005942FC" w:rsidRPr="005942FC" w:rsidRDefault="008B52D1" w:rsidP="00090F40">
            <w:pPr>
              <w:pStyle w:val="NormalIndent"/>
              <w:ind w:left="0"/>
            </w:pPr>
            <w:r w:rsidRPr="005942FC">
              <w:t>Currently the largest refugee camp in Jordan.</w:t>
            </w:r>
          </w:p>
        </w:tc>
      </w:tr>
      <w:tr w:rsidR="006D0A9D" w:rsidTr="00090F40">
        <w:tc>
          <w:tcPr>
            <w:tcW w:w="3095" w:type="dxa"/>
          </w:tcPr>
          <w:p w:rsidR="005942FC" w:rsidRPr="005942FC" w:rsidRDefault="008B52D1" w:rsidP="00090F40">
            <w:pPr>
              <w:pStyle w:val="NormalIndent"/>
              <w:ind w:left="0"/>
            </w:pPr>
            <w:r w:rsidRPr="005942FC">
              <w:t xml:space="preserve">Amman New Camp </w:t>
            </w:r>
          </w:p>
        </w:tc>
        <w:tc>
          <w:tcPr>
            <w:tcW w:w="3096" w:type="dxa"/>
          </w:tcPr>
          <w:p w:rsidR="005942FC" w:rsidRPr="005942FC" w:rsidRDefault="008B52D1" w:rsidP="00A444E3">
            <w:pPr>
              <w:pStyle w:val="NormalIndent"/>
              <w:ind w:left="0"/>
            </w:pPr>
            <w:r>
              <w:t>S</w:t>
            </w:r>
            <w:r w:rsidR="00702ACD" w:rsidRPr="005942FC">
              <w:t>outheast of Amman</w:t>
            </w:r>
          </w:p>
        </w:tc>
        <w:tc>
          <w:tcPr>
            <w:tcW w:w="3096" w:type="dxa"/>
          </w:tcPr>
          <w:p w:rsidR="005942FC" w:rsidRPr="005942FC" w:rsidRDefault="005942FC" w:rsidP="00090F40">
            <w:pPr>
              <w:pStyle w:val="NormalIndent"/>
              <w:ind w:left="0"/>
            </w:pPr>
          </w:p>
        </w:tc>
      </w:tr>
      <w:tr w:rsidR="006D0A9D" w:rsidTr="00090F40">
        <w:tc>
          <w:tcPr>
            <w:tcW w:w="3095" w:type="dxa"/>
          </w:tcPr>
          <w:p w:rsidR="005942FC" w:rsidRPr="005942FC" w:rsidRDefault="008B52D1" w:rsidP="00090F40">
            <w:pPr>
              <w:pStyle w:val="NormalIndent"/>
              <w:ind w:left="0"/>
            </w:pPr>
            <w:proofErr w:type="spellStart"/>
            <w:r w:rsidRPr="005942FC">
              <w:t>Jerash</w:t>
            </w:r>
            <w:proofErr w:type="spellEnd"/>
            <w:r w:rsidRPr="005942FC">
              <w:t xml:space="preserve"> (also known as "Gaza") </w:t>
            </w:r>
          </w:p>
        </w:tc>
        <w:tc>
          <w:tcPr>
            <w:tcW w:w="3096" w:type="dxa"/>
          </w:tcPr>
          <w:p w:rsidR="005942FC" w:rsidRPr="005942FC" w:rsidRDefault="008B52D1" w:rsidP="00090F40">
            <w:pPr>
              <w:pStyle w:val="NormalIndent"/>
              <w:ind w:left="0"/>
            </w:pPr>
            <w:r w:rsidRPr="005942FC">
              <w:t>5</w:t>
            </w:r>
            <w:r w:rsidR="00A444E3">
              <w:t xml:space="preserve"> </w:t>
            </w:r>
            <w:r w:rsidRPr="005942FC">
              <w:t xml:space="preserve">km from the Roman ruins of </w:t>
            </w:r>
            <w:proofErr w:type="spellStart"/>
            <w:r w:rsidRPr="005942FC">
              <w:t>Jerash</w:t>
            </w:r>
            <w:proofErr w:type="spellEnd"/>
          </w:p>
        </w:tc>
        <w:tc>
          <w:tcPr>
            <w:tcW w:w="3096" w:type="dxa"/>
          </w:tcPr>
          <w:p w:rsidR="005942FC" w:rsidRPr="005942FC" w:rsidRDefault="005942FC" w:rsidP="00090F40">
            <w:pPr>
              <w:pStyle w:val="NormalIndent"/>
              <w:ind w:left="0"/>
            </w:pPr>
          </w:p>
        </w:tc>
      </w:tr>
      <w:tr w:rsidR="006D0A9D" w:rsidTr="00090F40">
        <w:tc>
          <w:tcPr>
            <w:tcW w:w="3095" w:type="dxa"/>
          </w:tcPr>
          <w:p w:rsidR="005942FC" w:rsidRPr="005942FC" w:rsidRDefault="008B52D1" w:rsidP="00090F40">
            <w:pPr>
              <w:pStyle w:val="NormalIndent"/>
              <w:ind w:left="0"/>
            </w:pPr>
            <w:proofErr w:type="spellStart"/>
            <w:r w:rsidRPr="005942FC">
              <w:lastRenderedPageBreak/>
              <w:t>Marka</w:t>
            </w:r>
            <w:proofErr w:type="spellEnd"/>
            <w:r w:rsidRPr="005942FC">
              <w:t xml:space="preserve"> (also known as "</w:t>
            </w:r>
            <w:proofErr w:type="spellStart"/>
            <w:r w:rsidRPr="005942FC">
              <w:t>Hitten</w:t>
            </w:r>
            <w:proofErr w:type="spellEnd"/>
            <w:r w:rsidRPr="005942FC">
              <w:t>")</w:t>
            </w:r>
          </w:p>
        </w:tc>
        <w:tc>
          <w:tcPr>
            <w:tcW w:w="3096" w:type="dxa"/>
          </w:tcPr>
          <w:p w:rsidR="005942FC" w:rsidRPr="005942FC" w:rsidRDefault="008B52D1" w:rsidP="00090F40">
            <w:pPr>
              <w:pStyle w:val="NormalIndent"/>
              <w:ind w:left="0"/>
            </w:pPr>
            <w:r w:rsidRPr="005942FC">
              <w:t>10</w:t>
            </w:r>
            <w:r w:rsidR="00A444E3">
              <w:t xml:space="preserve"> </w:t>
            </w:r>
            <w:r w:rsidRPr="005942FC">
              <w:t>km northeast of Amman</w:t>
            </w:r>
          </w:p>
        </w:tc>
        <w:tc>
          <w:tcPr>
            <w:tcW w:w="3096" w:type="dxa"/>
          </w:tcPr>
          <w:p w:rsidR="005942FC" w:rsidRPr="005942FC" w:rsidRDefault="005942FC" w:rsidP="00090F40">
            <w:pPr>
              <w:pStyle w:val="NormalIndent"/>
              <w:ind w:left="0"/>
            </w:pPr>
          </w:p>
        </w:tc>
      </w:tr>
      <w:tr w:rsidR="006D0A9D" w:rsidTr="00090F40">
        <w:tc>
          <w:tcPr>
            <w:tcW w:w="3095" w:type="dxa"/>
          </w:tcPr>
          <w:p w:rsidR="005942FC" w:rsidRPr="005942FC" w:rsidRDefault="008B52D1" w:rsidP="00090F40">
            <w:pPr>
              <w:pStyle w:val="NormalIndent"/>
              <w:ind w:left="0"/>
            </w:pPr>
            <w:proofErr w:type="spellStart"/>
            <w:r w:rsidRPr="005942FC">
              <w:t>Husn</w:t>
            </w:r>
            <w:proofErr w:type="spellEnd"/>
            <w:r w:rsidR="00437252">
              <w:t xml:space="preserve"> (also known as "</w:t>
            </w:r>
            <w:r w:rsidR="00437252" w:rsidRPr="00437252">
              <w:t xml:space="preserve">Martyr </w:t>
            </w:r>
            <w:proofErr w:type="spellStart"/>
            <w:r w:rsidR="00437252" w:rsidRPr="00437252">
              <w:t>Azmi</w:t>
            </w:r>
            <w:proofErr w:type="spellEnd"/>
            <w:r w:rsidR="00437252" w:rsidRPr="00437252">
              <w:t xml:space="preserve"> el-Mufti</w:t>
            </w:r>
            <w:r w:rsidR="00437252">
              <w:t>")</w:t>
            </w:r>
          </w:p>
        </w:tc>
        <w:tc>
          <w:tcPr>
            <w:tcW w:w="3096" w:type="dxa"/>
          </w:tcPr>
          <w:p w:rsidR="005942FC" w:rsidRPr="005942FC" w:rsidRDefault="008B52D1" w:rsidP="00090F40">
            <w:pPr>
              <w:pStyle w:val="NormalIndent"/>
              <w:ind w:left="0"/>
            </w:pPr>
            <w:r w:rsidRPr="005942FC">
              <w:t>80</w:t>
            </w:r>
            <w:r w:rsidR="00A444E3">
              <w:t xml:space="preserve"> </w:t>
            </w:r>
            <w:r w:rsidRPr="005942FC">
              <w:t>km north of Amman</w:t>
            </w:r>
          </w:p>
        </w:tc>
        <w:tc>
          <w:tcPr>
            <w:tcW w:w="3096" w:type="dxa"/>
          </w:tcPr>
          <w:p w:rsidR="005942FC" w:rsidRPr="005942FC" w:rsidRDefault="005942FC" w:rsidP="00090F40">
            <w:pPr>
              <w:pStyle w:val="NormalIndent"/>
              <w:ind w:left="0"/>
            </w:pPr>
          </w:p>
        </w:tc>
      </w:tr>
      <w:tr w:rsidR="006D0A9D" w:rsidTr="00090F40">
        <w:tc>
          <w:tcPr>
            <w:tcW w:w="3095" w:type="dxa"/>
          </w:tcPr>
          <w:p w:rsidR="005942FC" w:rsidRPr="005942FC" w:rsidRDefault="008B52D1" w:rsidP="00090F40">
            <w:pPr>
              <w:pStyle w:val="NormalIndent"/>
              <w:ind w:left="0"/>
            </w:pPr>
            <w:proofErr w:type="spellStart"/>
            <w:r w:rsidRPr="005942FC">
              <w:t>Souf</w:t>
            </w:r>
            <w:proofErr w:type="spellEnd"/>
          </w:p>
        </w:tc>
        <w:tc>
          <w:tcPr>
            <w:tcW w:w="3096" w:type="dxa"/>
          </w:tcPr>
          <w:p w:rsidR="005942FC" w:rsidRPr="005942FC" w:rsidRDefault="008B52D1" w:rsidP="00090F40">
            <w:pPr>
              <w:pStyle w:val="NormalIndent"/>
              <w:ind w:left="0"/>
            </w:pPr>
            <w:r w:rsidRPr="005942FC">
              <w:t>50</w:t>
            </w:r>
            <w:r w:rsidR="00A444E3">
              <w:t xml:space="preserve"> </w:t>
            </w:r>
            <w:r w:rsidRPr="005942FC">
              <w:t>km north of Amman</w:t>
            </w:r>
          </w:p>
        </w:tc>
        <w:tc>
          <w:tcPr>
            <w:tcW w:w="3096" w:type="dxa"/>
          </w:tcPr>
          <w:p w:rsidR="005942FC" w:rsidRPr="005942FC" w:rsidRDefault="005942FC" w:rsidP="00090F40">
            <w:pPr>
              <w:pStyle w:val="NormalIndent"/>
              <w:ind w:left="0"/>
            </w:pPr>
          </w:p>
        </w:tc>
      </w:tr>
      <w:tr w:rsidR="006D0A9D" w:rsidTr="00090F40">
        <w:tc>
          <w:tcPr>
            <w:tcW w:w="3095" w:type="dxa"/>
          </w:tcPr>
          <w:p w:rsidR="005942FC" w:rsidRPr="005942FC" w:rsidRDefault="008B52D1" w:rsidP="00090F40">
            <w:pPr>
              <w:pStyle w:val="NormalIndent"/>
              <w:ind w:left="0"/>
            </w:pPr>
            <w:r w:rsidRPr="005942FC">
              <w:t>Irbid</w:t>
            </w:r>
          </w:p>
        </w:tc>
        <w:tc>
          <w:tcPr>
            <w:tcW w:w="3096" w:type="dxa"/>
          </w:tcPr>
          <w:p w:rsidR="005942FC" w:rsidRPr="005942FC" w:rsidRDefault="008B52D1" w:rsidP="00090F40">
            <w:pPr>
              <w:pStyle w:val="NormalIndent"/>
              <w:ind w:left="0"/>
            </w:pPr>
            <w:r>
              <w:t>N</w:t>
            </w:r>
            <w:r w:rsidR="00702ACD" w:rsidRPr="005942FC">
              <w:t>ear the town of Irbid, in northern Jordan</w:t>
            </w:r>
          </w:p>
        </w:tc>
        <w:tc>
          <w:tcPr>
            <w:tcW w:w="3096" w:type="dxa"/>
          </w:tcPr>
          <w:p w:rsidR="005942FC" w:rsidRPr="005942FC" w:rsidRDefault="005942FC" w:rsidP="00090F40">
            <w:pPr>
              <w:pStyle w:val="NormalIndent"/>
              <w:ind w:left="0"/>
            </w:pPr>
          </w:p>
        </w:tc>
      </w:tr>
      <w:tr w:rsidR="006D0A9D" w:rsidTr="00090F40">
        <w:tc>
          <w:tcPr>
            <w:tcW w:w="3095" w:type="dxa"/>
          </w:tcPr>
          <w:p w:rsidR="005942FC" w:rsidRPr="005942FC" w:rsidRDefault="008B52D1" w:rsidP="00090F40">
            <w:pPr>
              <w:pStyle w:val="NormalIndent"/>
              <w:ind w:left="0"/>
            </w:pPr>
            <w:proofErr w:type="spellStart"/>
            <w:r w:rsidRPr="005942FC">
              <w:t>Talbieh</w:t>
            </w:r>
            <w:proofErr w:type="spellEnd"/>
          </w:p>
        </w:tc>
        <w:tc>
          <w:tcPr>
            <w:tcW w:w="3096" w:type="dxa"/>
          </w:tcPr>
          <w:p w:rsidR="005942FC" w:rsidRPr="005942FC" w:rsidRDefault="008B52D1" w:rsidP="00090F40">
            <w:pPr>
              <w:pStyle w:val="NormalIndent"/>
              <w:ind w:left="0"/>
            </w:pPr>
            <w:r w:rsidRPr="005942FC">
              <w:t>35</w:t>
            </w:r>
            <w:r w:rsidR="00A444E3">
              <w:t xml:space="preserve"> </w:t>
            </w:r>
            <w:r w:rsidRPr="005942FC">
              <w:t>km south of Amman</w:t>
            </w:r>
          </w:p>
        </w:tc>
        <w:tc>
          <w:tcPr>
            <w:tcW w:w="3096" w:type="dxa"/>
          </w:tcPr>
          <w:p w:rsidR="005942FC" w:rsidRPr="005942FC" w:rsidRDefault="008B52D1" w:rsidP="00090F40">
            <w:pPr>
              <w:pStyle w:val="NormalIndent"/>
              <w:ind w:left="0"/>
            </w:pPr>
            <w:r w:rsidRPr="005942FC">
              <w:t>Most of the inhabitants are displaced people rather than refugees (and mostly Bedouin).</w:t>
            </w:r>
            <w:r>
              <w:rPr>
                <w:rStyle w:val="FootnoteReference"/>
              </w:rPr>
              <w:footnoteReference w:id="71"/>
            </w:r>
          </w:p>
        </w:tc>
      </w:tr>
      <w:tr w:rsidR="006D0A9D" w:rsidTr="00090F40">
        <w:tc>
          <w:tcPr>
            <w:tcW w:w="3095" w:type="dxa"/>
          </w:tcPr>
          <w:p w:rsidR="005942FC" w:rsidRPr="005942FC" w:rsidRDefault="008B52D1" w:rsidP="00090F40">
            <w:pPr>
              <w:pStyle w:val="NormalIndent"/>
              <w:ind w:left="0"/>
            </w:pPr>
            <w:proofErr w:type="spellStart"/>
            <w:r w:rsidRPr="005942FC">
              <w:t>Jabal</w:t>
            </w:r>
            <w:proofErr w:type="spellEnd"/>
            <w:r w:rsidRPr="005942FC">
              <w:t xml:space="preserve"> El-Hussein</w:t>
            </w:r>
          </w:p>
        </w:tc>
        <w:tc>
          <w:tcPr>
            <w:tcW w:w="3096" w:type="dxa"/>
          </w:tcPr>
          <w:p w:rsidR="005942FC" w:rsidRPr="005942FC" w:rsidRDefault="008B52D1" w:rsidP="00090F40">
            <w:pPr>
              <w:pStyle w:val="NormalIndent"/>
              <w:ind w:left="0"/>
            </w:pPr>
            <w:r w:rsidRPr="005942FC">
              <w:t>Northwest of Amman</w:t>
            </w:r>
          </w:p>
        </w:tc>
        <w:tc>
          <w:tcPr>
            <w:tcW w:w="3096" w:type="dxa"/>
          </w:tcPr>
          <w:p w:rsidR="005942FC" w:rsidRPr="005942FC" w:rsidRDefault="008B52D1" w:rsidP="00090F40">
            <w:pPr>
              <w:pStyle w:val="NormalIndent"/>
              <w:ind w:left="0"/>
            </w:pPr>
            <w:r w:rsidRPr="005942FC">
              <w:t>Considered by some to be part of Amman.</w:t>
            </w:r>
          </w:p>
        </w:tc>
      </w:tr>
      <w:tr w:rsidR="006D0A9D" w:rsidTr="00090F40">
        <w:tc>
          <w:tcPr>
            <w:tcW w:w="3095" w:type="dxa"/>
          </w:tcPr>
          <w:p w:rsidR="005942FC" w:rsidRPr="005942FC" w:rsidRDefault="008B52D1" w:rsidP="00090F40">
            <w:pPr>
              <w:pStyle w:val="NormalIndent"/>
              <w:ind w:left="0"/>
            </w:pPr>
            <w:proofErr w:type="spellStart"/>
            <w:r w:rsidRPr="005942FC">
              <w:t>Zarqa</w:t>
            </w:r>
            <w:proofErr w:type="spellEnd"/>
            <w:r w:rsidRPr="005942FC">
              <w:t xml:space="preserve"> </w:t>
            </w:r>
          </w:p>
        </w:tc>
        <w:tc>
          <w:tcPr>
            <w:tcW w:w="3096" w:type="dxa"/>
          </w:tcPr>
          <w:p w:rsidR="005942FC" w:rsidRPr="005942FC" w:rsidRDefault="008B52D1" w:rsidP="00090F40">
            <w:pPr>
              <w:pStyle w:val="NormalIndent"/>
              <w:ind w:left="0"/>
            </w:pPr>
            <w:r w:rsidRPr="005942FC">
              <w:t xml:space="preserve">Set up near </w:t>
            </w:r>
            <w:proofErr w:type="spellStart"/>
            <w:r w:rsidRPr="005942FC">
              <w:t>Zarqa</w:t>
            </w:r>
            <w:proofErr w:type="spellEnd"/>
          </w:p>
        </w:tc>
        <w:tc>
          <w:tcPr>
            <w:tcW w:w="3096" w:type="dxa"/>
          </w:tcPr>
          <w:p w:rsidR="005942FC" w:rsidRPr="005942FC" w:rsidRDefault="008B52D1" w:rsidP="00090F40">
            <w:pPr>
              <w:pStyle w:val="NormalIndent"/>
              <w:ind w:left="0"/>
            </w:pPr>
            <w:r w:rsidRPr="005942FC">
              <w:t xml:space="preserve">Appearance of camp is now similar to other urban parts of </w:t>
            </w:r>
            <w:proofErr w:type="spellStart"/>
            <w:r w:rsidRPr="005942FC">
              <w:t>Zarqa</w:t>
            </w:r>
            <w:proofErr w:type="spellEnd"/>
            <w:r w:rsidRPr="005942FC">
              <w:t>.</w:t>
            </w:r>
          </w:p>
        </w:tc>
      </w:tr>
    </w:tbl>
    <w:p w:rsidR="005942FC" w:rsidRPr="005942FC" w:rsidRDefault="005942FC" w:rsidP="005942FC">
      <w:pPr>
        <w:pStyle w:val="NormalIndent"/>
      </w:pPr>
    </w:p>
    <w:p w:rsidR="005942FC" w:rsidRPr="005942FC" w:rsidRDefault="008B52D1" w:rsidP="004A6BBB">
      <w:pPr>
        <w:pStyle w:val="NormalIndent"/>
        <w:jc w:val="both"/>
      </w:pPr>
      <w:r w:rsidRPr="005942FC">
        <w:t>Most of these camps have housed Palestinian refugees and displaced persons since</w:t>
      </w:r>
      <w:r w:rsidR="00742FA2">
        <w:t xml:space="preserve"> the 1950s and 1960s</w:t>
      </w:r>
      <w:r w:rsidRPr="005942FC">
        <w:t>, and have become semi-permanent settlements, if not part of Amman itself. Over the years, the camp's inhabitants have replaced prefabricated shelters with more durable concrete shelters.</w:t>
      </w:r>
      <w:r>
        <w:rPr>
          <w:rStyle w:val="FootnoteReference"/>
        </w:rPr>
        <w:footnoteReference w:id="72"/>
      </w:r>
    </w:p>
    <w:p w:rsidR="005942FC" w:rsidRPr="00DB71D9" w:rsidRDefault="008B52D1" w:rsidP="004A6BBB">
      <w:pPr>
        <w:pStyle w:val="NormalIndent"/>
        <w:jc w:val="both"/>
        <w:rPr>
          <w:b/>
        </w:rPr>
      </w:pPr>
      <w:r w:rsidRPr="005942FC">
        <w:t xml:space="preserve">In addition to </w:t>
      </w:r>
      <w:r w:rsidR="004C6BE8">
        <w:t>the abovementioned established</w:t>
      </w:r>
      <w:r w:rsidRPr="005942FC">
        <w:t xml:space="preserve"> camps</w:t>
      </w:r>
      <w:r w:rsidR="004C6BE8">
        <w:t xml:space="preserve"> for Syrian and Palestinian refugees</w:t>
      </w:r>
      <w:r w:rsidRPr="005942FC">
        <w:t>, there are a number of even more temporary settlements for refugees and displaced persons</w:t>
      </w:r>
      <w:r w:rsidR="00D63BE4">
        <w:t xml:space="preserve"> in Jordan.</w:t>
      </w:r>
      <w:r w:rsidRPr="005942FC">
        <w:t xml:space="preserve"> </w:t>
      </w:r>
      <w:r w:rsidR="00D63BE4">
        <w:t xml:space="preserve">For example, Syrian refugees </w:t>
      </w:r>
      <w:r w:rsidR="00D63BE4" w:rsidRPr="005942FC">
        <w:t>who either cannot afford housing in Jordan or who are unable or unwilling to live in the camps</w:t>
      </w:r>
      <w:r w:rsidR="00D63BE4">
        <w:t xml:space="preserve"> have established</w:t>
      </w:r>
      <w:r w:rsidRPr="005942FC">
        <w:t xml:space="preserve"> informal tented settlements (ITS</w:t>
      </w:r>
      <w:proofErr w:type="gramStart"/>
      <w:r w:rsidRPr="005942FC">
        <w:t>) .</w:t>
      </w:r>
      <w:proofErr w:type="gramEnd"/>
      <w:r w:rsidRPr="005942FC">
        <w:t xml:space="preserve"> In an assessment conducted in 2014, the non-governmental organisation REACH identified 125 informal settlements for Syrian refugees alone.</w:t>
      </w:r>
      <w:r>
        <w:rPr>
          <w:rStyle w:val="FootnoteReference"/>
        </w:rPr>
        <w:footnoteReference w:id="73"/>
      </w:r>
      <w:r w:rsidR="005232A1">
        <w:t xml:space="preserve"> </w:t>
      </w:r>
      <w:r w:rsidR="00931106">
        <w:t xml:space="preserve"> </w:t>
      </w:r>
      <w:r w:rsidR="00DB71D9">
        <w:t>Many of the ITS households</w:t>
      </w:r>
      <w:r w:rsidR="00931106">
        <w:t xml:space="preserve"> are forced to live </w:t>
      </w:r>
      <w:r w:rsidR="00DB71D9">
        <w:t xml:space="preserve">there </w:t>
      </w:r>
      <w:r w:rsidR="00931106">
        <w:t xml:space="preserve">for social and cultural reasons. A UNICEF survey in 2013 found that inter-community tensions within the </w:t>
      </w:r>
      <w:proofErr w:type="spellStart"/>
      <w:r w:rsidR="00931106">
        <w:t>Za'atari</w:t>
      </w:r>
      <w:proofErr w:type="spellEnd"/>
      <w:r w:rsidR="00931106">
        <w:t xml:space="preserve"> refugee camp had been an important factor in causing Syrian families to live in ITS instead, with the majority of ITS residents coming from the Aleppo, Hama and Rural Damascus governorates while the majority of the </w:t>
      </w:r>
      <w:proofErr w:type="spellStart"/>
      <w:r w:rsidR="00931106">
        <w:t>Za'atari</w:t>
      </w:r>
      <w:proofErr w:type="spellEnd"/>
      <w:r w:rsidR="00931106">
        <w:t xml:space="preserve"> camp population originated from the Syrian governorate of </w:t>
      </w:r>
      <w:proofErr w:type="spellStart"/>
      <w:r w:rsidR="00931106">
        <w:t>Dara'a</w:t>
      </w:r>
      <w:proofErr w:type="spellEnd"/>
      <w:r w:rsidR="00931106">
        <w:t>.</w:t>
      </w:r>
      <w:r>
        <w:rPr>
          <w:rStyle w:val="FootnoteReference"/>
        </w:rPr>
        <w:footnoteReference w:id="74"/>
      </w:r>
      <w:r w:rsidR="00931106">
        <w:t xml:space="preserve"> </w:t>
      </w:r>
      <w:r w:rsidR="00D63BE4">
        <w:t>Other vulnerable groups</w:t>
      </w:r>
      <w:r w:rsidR="00880D61">
        <w:t xml:space="preserve"> who live in informal settlements include</w:t>
      </w:r>
      <w:r w:rsidR="00D63BE4">
        <w:t xml:space="preserve"> the Dom gypsies, </w:t>
      </w:r>
      <w:r w:rsidR="00880D61">
        <w:t>who continue to lead nomadic and semi-nomadic lifestyles (i.e. moving to the Jordan valley in the winter).</w:t>
      </w:r>
    </w:p>
    <w:p w:rsidR="00DB71D9" w:rsidRPr="005942FC" w:rsidRDefault="008B52D1" w:rsidP="004A6BBB">
      <w:pPr>
        <w:pStyle w:val="NormalIndent"/>
        <w:jc w:val="both"/>
      </w:pPr>
      <w:r>
        <w:lastRenderedPageBreak/>
        <w:t xml:space="preserve">The rules and contractual arrangements as to accommodation in the Palestinian and Syrian refugee camps are not publically available. However realistically it is not likely that the inhabitants will have any legal right to title (in Jordanian law) to the houses or shelters that they live in in the refugee camp (or in any form of ITS or informal settlement). </w:t>
      </w:r>
    </w:p>
    <w:p w:rsidR="004E4875" w:rsidRDefault="008B52D1" w:rsidP="004E4875">
      <w:pPr>
        <w:pStyle w:val="AllensHeading1"/>
        <w:rPr>
          <w:noProof/>
          <w:lang w:val="en-GB" w:eastAsia="en-GB"/>
        </w:rPr>
      </w:pPr>
      <w:r>
        <w:rPr>
          <w:noProof/>
          <w:lang w:val="en-GB" w:eastAsia="en-GB"/>
        </w:rPr>
        <w:tab/>
      </w:r>
      <w:bookmarkStart w:id="71" w:name="_Toc256000092"/>
      <w:bookmarkStart w:id="72" w:name="_Toc256000008"/>
      <w:bookmarkStart w:id="73" w:name="_Toc16243119"/>
      <w:r>
        <w:rPr>
          <w:noProof/>
          <w:lang w:val="en-GB" w:eastAsia="en-GB"/>
        </w:rPr>
        <w:t>Security of tenure and vulnerable groups</w:t>
      </w:r>
      <w:bookmarkEnd w:id="71"/>
      <w:bookmarkEnd w:id="72"/>
      <w:bookmarkEnd w:id="73"/>
    </w:p>
    <w:p w:rsidR="004E4875" w:rsidRDefault="008B52D1" w:rsidP="004E4875">
      <w:pPr>
        <w:pStyle w:val="AllensHeading2"/>
        <w:rPr>
          <w:lang w:val="en-GB" w:eastAsia="en-GB"/>
        </w:rPr>
      </w:pPr>
      <w:bookmarkStart w:id="74" w:name="Women"/>
      <w:bookmarkStart w:id="75" w:name="_Toc256000093"/>
      <w:bookmarkStart w:id="76" w:name="_Toc256000009"/>
      <w:bookmarkStart w:id="77" w:name="_Toc16243120"/>
      <w:bookmarkEnd w:id="74"/>
      <w:r>
        <w:rPr>
          <w:lang w:val="en-GB" w:eastAsia="en-GB"/>
        </w:rPr>
        <w:t>Women</w:t>
      </w:r>
      <w:bookmarkEnd w:id="75"/>
      <w:bookmarkEnd w:id="76"/>
      <w:bookmarkEnd w:id="77"/>
    </w:p>
    <w:p w:rsidR="004E4875" w:rsidRPr="00AA4B1C" w:rsidRDefault="008B52D1" w:rsidP="00AA4B1C">
      <w:pPr>
        <w:pStyle w:val="AllensHeading3"/>
        <w:rPr>
          <w:b/>
          <w:lang w:val="en-GB" w:eastAsia="en-GB"/>
        </w:rPr>
      </w:pPr>
      <w:r w:rsidRPr="00AA4B1C">
        <w:rPr>
          <w:b/>
          <w:lang w:val="en-GB" w:eastAsia="en-GB"/>
        </w:rPr>
        <w:t>Can women legally, own, rent and inherit land and housing?</w:t>
      </w:r>
    </w:p>
    <w:p w:rsidR="001227A6" w:rsidRDefault="008B52D1" w:rsidP="005109D8">
      <w:pPr>
        <w:pStyle w:val="Body3"/>
        <w:jc w:val="both"/>
        <w:rPr>
          <w:noProof/>
          <w:lang w:val="en-GB" w:eastAsia="en-GB"/>
        </w:rPr>
      </w:pPr>
      <w:r>
        <w:rPr>
          <w:noProof/>
          <w:lang w:val="en-GB" w:eastAsia="en-GB"/>
        </w:rPr>
        <w:t xml:space="preserve">According </w:t>
      </w:r>
      <w:r w:rsidR="00231EA3">
        <w:rPr>
          <w:noProof/>
          <w:lang w:val="en-GB" w:eastAsia="en-GB"/>
        </w:rPr>
        <w:t>to Article 6 of the Cons</w:t>
      </w:r>
      <w:r w:rsidR="00DA79D9">
        <w:rPr>
          <w:noProof/>
          <w:lang w:val="en-GB" w:eastAsia="en-GB"/>
        </w:rPr>
        <w:t>t</w:t>
      </w:r>
      <w:r w:rsidR="00231EA3">
        <w:rPr>
          <w:noProof/>
          <w:lang w:val="en-GB" w:eastAsia="en-GB"/>
        </w:rPr>
        <w:t>itution</w:t>
      </w:r>
      <w:r w:rsidR="00AA4B1C">
        <w:rPr>
          <w:noProof/>
          <w:lang w:val="en-GB" w:eastAsia="en-GB"/>
        </w:rPr>
        <w:t>,</w:t>
      </w:r>
      <w:r w:rsidR="00DD3DD5">
        <w:rPr>
          <w:noProof/>
          <w:lang w:val="en-GB" w:eastAsia="en-GB"/>
        </w:rPr>
        <w:t xml:space="preserve"> “</w:t>
      </w:r>
      <w:r w:rsidR="00DD3DD5" w:rsidRPr="00AA4B1C">
        <w:rPr>
          <w:i/>
          <w:noProof/>
          <w:lang w:val="en-GB" w:eastAsia="en-GB"/>
        </w:rPr>
        <w:t>all Jordanians shall be equal before the Law</w:t>
      </w:r>
      <w:r w:rsidR="00DD3DD5">
        <w:rPr>
          <w:noProof/>
          <w:lang w:val="en-GB" w:eastAsia="en-GB"/>
        </w:rPr>
        <w:t>”</w:t>
      </w:r>
      <w:r w:rsidR="004E4875">
        <w:rPr>
          <w:noProof/>
          <w:lang w:val="en-GB" w:eastAsia="en-GB"/>
        </w:rPr>
        <w:t>.</w:t>
      </w:r>
      <w:r w:rsidR="00DD3DD5">
        <w:rPr>
          <w:noProof/>
          <w:lang w:val="en-GB" w:eastAsia="en-GB"/>
        </w:rPr>
        <w:t xml:space="preserve"> </w:t>
      </w:r>
      <w:r w:rsidR="00AA4B1C">
        <w:rPr>
          <w:noProof/>
          <w:lang w:val="en-GB" w:eastAsia="en-GB"/>
        </w:rPr>
        <w:t>This right is also enshrin</w:t>
      </w:r>
      <w:r>
        <w:rPr>
          <w:noProof/>
          <w:lang w:val="en-GB" w:eastAsia="en-GB"/>
        </w:rPr>
        <w:t xml:space="preserve">ed in Shari’a Law, customary law and Jordanian </w:t>
      </w:r>
      <w:r w:rsidR="00DD3DD5">
        <w:rPr>
          <w:noProof/>
          <w:lang w:val="en-GB" w:eastAsia="en-GB"/>
        </w:rPr>
        <w:t>Civil Law</w:t>
      </w:r>
      <w:r>
        <w:rPr>
          <w:noProof/>
          <w:lang w:val="en-GB" w:eastAsia="en-GB"/>
        </w:rPr>
        <w:t xml:space="preserve">. Women have an equal right to own, rent, mortgage and enter into contracts governing land </w:t>
      </w:r>
      <w:r w:rsidR="00821A85">
        <w:rPr>
          <w:noProof/>
          <w:lang w:val="en-GB" w:eastAsia="en-GB"/>
        </w:rPr>
        <w:t xml:space="preserve">or property </w:t>
      </w:r>
      <w:r w:rsidR="00AA4B1C">
        <w:rPr>
          <w:noProof/>
          <w:lang w:val="en-GB" w:eastAsia="en-GB"/>
        </w:rPr>
        <w:t xml:space="preserve">regardless of </w:t>
      </w:r>
      <w:r>
        <w:rPr>
          <w:noProof/>
          <w:lang w:val="en-GB" w:eastAsia="en-GB"/>
        </w:rPr>
        <w:t xml:space="preserve">whether they are married or </w:t>
      </w:r>
      <w:r w:rsidR="00CA5CD1">
        <w:rPr>
          <w:noProof/>
          <w:lang w:val="en-GB" w:eastAsia="en-GB"/>
        </w:rPr>
        <w:t>have a male sponsor</w:t>
      </w:r>
      <w:r>
        <w:rPr>
          <w:noProof/>
          <w:lang w:val="en-GB" w:eastAsia="en-GB"/>
        </w:rPr>
        <w:t>. In</w:t>
      </w:r>
      <w:r w:rsidR="00AD4910">
        <w:rPr>
          <w:noProof/>
          <w:lang w:val="en-GB" w:eastAsia="en-GB"/>
        </w:rPr>
        <w:t xml:space="preserve"> fact, </w:t>
      </w:r>
      <w:r w:rsidR="00AA4B1C">
        <w:rPr>
          <w:noProof/>
          <w:lang w:val="en-GB" w:eastAsia="en-GB"/>
        </w:rPr>
        <w:t>t</w:t>
      </w:r>
      <w:r>
        <w:rPr>
          <w:noProof/>
          <w:lang w:val="en-GB" w:eastAsia="en-GB"/>
        </w:rPr>
        <w:t>he Provisional Jordian</w:t>
      </w:r>
      <w:r w:rsidR="00C242D6">
        <w:rPr>
          <w:noProof/>
          <w:lang w:val="en-GB" w:eastAsia="en-GB"/>
        </w:rPr>
        <w:t xml:space="preserve">ian Personal Status Law </w:t>
      </w:r>
      <w:r w:rsidR="00CE5F9C">
        <w:rPr>
          <w:noProof/>
          <w:lang w:val="en-GB" w:eastAsia="en-GB"/>
        </w:rPr>
        <w:t>(</w:t>
      </w:r>
      <w:r w:rsidR="00AA4B1C">
        <w:rPr>
          <w:noProof/>
          <w:lang w:val="en-GB" w:eastAsia="en-GB"/>
        </w:rPr>
        <w:t>No. 36</w:t>
      </w:r>
      <w:r>
        <w:rPr>
          <w:noProof/>
          <w:lang w:val="en-GB" w:eastAsia="en-GB"/>
        </w:rPr>
        <w:t xml:space="preserve"> of 2010</w:t>
      </w:r>
      <w:r w:rsidR="00CE5F9C">
        <w:rPr>
          <w:noProof/>
          <w:lang w:val="en-GB" w:eastAsia="en-GB"/>
        </w:rPr>
        <w:t>)</w:t>
      </w:r>
      <w:r>
        <w:rPr>
          <w:noProof/>
          <w:lang w:val="en-GB" w:eastAsia="en-GB"/>
        </w:rPr>
        <w:t xml:space="preserve"> states that each spouse shall have separate financial liability, and has a number of provisions governing</w:t>
      </w:r>
      <w:r w:rsidR="00231EA3">
        <w:rPr>
          <w:noProof/>
          <w:lang w:val="en-GB" w:eastAsia="en-GB"/>
        </w:rPr>
        <w:t xml:space="preserve"> and protecting</w:t>
      </w:r>
      <w:r>
        <w:rPr>
          <w:noProof/>
          <w:lang w:val="en-GB" w:eastAsia="en-GB"/>
        </w:rPr>
        <w:t xml:space="preserve"> inheritance rights of women.</w:t>
      </w:r>
    </w:p>
    <w:p w:rsidR="00037DFC" w:rsidRDefault="008B52D1" w:rsidP="00822F2F">
      <w:pPr>
        <w:pStyle w:val="Body3"/>
        <w:jc w:val="both"/>
        <w:rPr>
          <w:noProof/>
          <w:lang w:val="en-GB" w:eastAsia="en-GB"/>
        </w:rPr>
      </w:pPr>
      <w:r>
        <w:rPr>
          <w:noProof/>
          <w:lang w:val="en-GB" w:eastAsia="en-GB"/>
        </w:rPr>
        <w:t>Inherita</w:t>
      </w:r>
      <w:r w:rsidR="006F5076">
        <w:rPr>
          <w:noProof/>
          <w:lang w:val="en-GB" w:eastAsia="en-GB"/>
        </w:rPr>
        <w:t>nce rights depend on</w:t>
      </w:r>
      <w:r w:rsidR="00821A85">
        <w:rPr>
          <w:noProof/>
          <w:lang w:val="en-GB" w:eastAsia="en-GB"/>
        </w:rPr>
        <w:t xml:space="preserve"> a person</w:t>
      </w:r>
      <w:r>
        <w:rPr>
          <w:noProof/>
          <w:lang w:val="en-GB" w:eastAsia="en-GB"/>
        </w:rPr>
        <w:t>'</w:t>
      </w:r>
      <w:r w:rsidR="00821A85">
        <w:rPr>
          <w:noProof/>
          <w:lang w:val="en-GB" w:eastAsia="en-GB"/>
        </w:rPr>
        <w:t>s</w:t>
      </w:r>
      <w:r w:rsidR="006F5076">
        <w:rPr>
          <w:noProof/>
          <w:lang w:val="en-GB" w:eastAsia="en-GB"/>
        </w:rPr>
        <w:t xml:space="preserve"> “</w:t>
      </w:r>
      <w:r>
        <w:rPr>
          <w:noProof/>
          <w:lang w:val="en-GB" w:eastAsia="en-GB"/>
        </w:rPr>
        <w:t>status” in rela</w:t>
      </w:r>
      <w:r w:rsidR="00953757">
        <w:rPr>
          <w:noProof/>
          <w:lang w:val="en-GB" w:eastAsia="en-GB"/>
        </w:rPr>
        <w:t>tion to the de</w:t>
      </w:r>
      <w:r w:rsidR="00821A85">
        <w:rPr>
          <w:noProof/>
          <w:lang w:val="en-GB" w:eastAsia="en-GB"/>
        </w:rPr>
        <w:t>ceased</w:t>
      </w:r>
      <w:r w:rsidR="00953757">
        <w:rPr>
          <w:noProof/>
          <w:lang w:val="en-GB" w:eastAsia="en-GB"/>
        </w:rPr>
        <w:t xml:space="preserve">, </w:t>
      </w:r>
      <w:r w:rsidR="00127092">
        <w:rPr>
          <w:noProof/>
          <w:lang w:val="en-GB" w:eastAsia="en-GB"/>
        </w:rPr>
        <w:t xml:space="preserve">such that </w:t>
      </w:r>
      <w:r w:rsidR="00821A85">
        <w:rPr>
          <w:noProof/>
          <w:lang w:val="en-GB" w:eastAsia="en-GB"/>
        </w:rPr>
        <w:t>women may legally be entitled to inherit</w:t>
      </w:r>
      <w:r w:rsidR="00953757">
        <w:rPr>
          <w:noProof/>
          <w:lang w:val="en-GB" w:eastAsia="en-GB"/>
        </w:rPr>
        <w:t xml:space="preserve"> more than men</w:t>
      </w:r>
      <w:r w:rsidR="00821A85">
        <w:rPr>
          <w:noProof/>
          <w:lang w:val="en-GB" w:eastAsia="en-GB"/>
        </w:rPr>
        <w:t xml:space="preserve"> if they have superior status to the male heirs</w:t>
      </w:r>
      <w:r w:rsidR="00953757">
        <w:rPr>
          <w:noProof/>
          <w:lang w:val="en-GB" w:eastAsia="en-GB"/>
        </w:rPr>
        <w:t>.</w:t>
      </w:r>
      <w:r w:rsidR="00AD4910">
        <w:rPr>
          <w:noProof/>
          <w:lang w:val="en-GB" w:eastAsia="en-GB"/>
        </w:rPr>
        <w:t xml:space="preserve"> S</w:t>
      </w:r>
      <w:r w:rsidR="00231EA3">
        <w:rPr>
          <w:noProof/>
          <w:lang w:val="en-GB" w:eastAsia="en-GB"/>
        </w:rPr>
        <w:t>hari’a law states that one may not d</w:t>
      </w:r>
      <w:r w:rsidR="00AD4910">
        <w:rPr>
          <w:noProof/>
          <w:lang w:val="en-GB" w:eastAsia="en-GB"/>
        </w:rPr>
        <w:t>eprive another of their right to inheritance (regardless of gender).</w:t>
      </w:r>
      <w:r w:rsidR="00A0008D">
        <w:rPr>
          <w:noProof/>
          <w:lang w:val="en-GB" w:eastAsia="en-GB"/>
        </w:rPr>
        <w:t xml:space="preserve"> Article 319 of the </w:t>
      </w:r>
      <w:r w:rsidR="00127092">
        <w:rPr>
          <w:noProof/>
          <w:lang w:val="en-GB" w:eastAsia="en-GB"/>
        </w:rPr>
        <w:t xml:space="preserve">Provisional </w:t>
      </w:r>
      <w:r w:rsidR="00A0008D">
        <w:rPr>
          <w:noProof/>
          <w:lang w:val="en-GB" w:eastAsia="en-GB"/>
        </w:rPr>
        <w:t xml:space="preserve">Jordanian Personal </w:t>
      </w:r>
      <w:r w:rsidR="00C242D6">
        <w:rPr>
          <w:noProof/>
          <w:lang w:val="en-GB" w:eastAsia="en-GB"/>
        </w:rPr>
        <w:t>Status L</w:t>
      </w:r>
      <w:r w:rsidR="00127092">
        <w:rPr>
          <w:noProof/>
          <w:lang w:val="en-GB" w:eastAsia="en-GB"/>
        </w:rPr>
        <w:t>aw</w:t>
      </w:r>
      <w:r>
        <w:rPr>
          <w:rStyle w:val="FootnoteReference"/>
          <w:noProof/>
          <w:lang w:val="en-GB" w:eastAsia="en-GB"/>
        </w:rPr>
        <w:footnoteReference w:id="75"/>
      </w:r>
      <w:r w:rsidR="00127092">
        <w:rPr>
          <w:noProof/>
          <w:lang w:val="en-GB" w:eastAsia="en-GB"/>
        </w:rPr>
        <w:t xml:space="preserve"> states that an attorn</w:t>
      </w:r>
      <w:r w:rsidR="00A0008D">
        <w:rPr>
          <w:noProof/>
          <w:lang w:val="en-GB" w:eastAsia="en-GB"/>
        </w:rPr>
        <w:t>ey must inform all heirs of their inheritance</w:t>
      </w:r>
      <w:r w:rsidR="00CA5CD1">
        <w:rPr>
          <w:noProof/>
          <w:lang w:val="en-GB" w:eastAsia="en-GB"/>
        </w:rPr>
        <w:t>, which combat</w:t>
      </w:r>
      <w:r w:rsidR="00127092">
        <w:rPr>
          <w:noProof/>
          <w:lang w:val="en-GB" w:eastAsia="en-GB"/>
        </w:rPr>
        <w:t>s</w:t>
      </w:r>
      <w:r w:rsidR="00CA5CD1">
        <w:rPr>
          <w:noProof/>
          <w:lang w:val="en-GB" w:eastAsia="en-GB"/>
        </w:rPr>
        <w:t xml:space="preserve"> the issue of </w:t>
      </w:r>
      <w:r w:rsidR="00127092">
        <w:rPr>
          <w:noProof/>
          <w:lang w:val="en-GB" w:eastAsia="en-GB"/>
        </w:rPr>
        <w:t>un</w:t>
      </w:r>
      <w:r w:rsidR="00CA5CD1">
        <w:rPr>
          <w:noProof/>
          <w:lang w:val="en-GB" w:eastAsia="en-GB"/>
        </w:rPr>
        <w:t>awareness of entitlement</w:t>
      </w:r>
      <w:r w:rsidR="00A0008D">
        <w:rPr>
          <w:noProof/>
          <w:lang w:val="en-GB" w:eastAsia="en-GB"/>
        </w:rPr>
        <w:t>.</w:t>
      </w:r>
      <w:r w:rsidR="00822F2F">
        <w:rPr>
          <w:noProof/>
          <w:lang w:val="en-GB" w:eastAsia="en-GB"/>
        </w:rPr>
        <w:t xml:space="preserve"> </w:t>
      </w:r>
      <w:r w:rsidR="00AD4910">
        <w:rPr>
          <w:noProof/>
          <w:lang w:val="en-GB" w:eastAsia="en-GB"/>
        </w:rPr>
        <w:t>There is also specific protection where a husband attempts to deprive or forc</w:t>
      </w:r>
      <w:r w:rsidR="00127092">
        <w:rPr>
          <w:noProof/>
          <w:lang w:val="en-GB" w:eastAsia="en-GB"/>
        </w:rPr>
        <w:t>e a wife into giving up her inheritance or property</w:t>
      </w:r>
      <w:r w:rsidR="00A0008D">
        <w:rPr>
          <w:noProof/>
          <w:lang w:val="en-GB" w:eastAsia="en-GB"/>
        </w:rPr>
        <w:t>.</w:t>
      </w:r>
      <w:r>
        <w:rPr>
          <w:rStyle w:val="FootnoteReference"/>
          <w:noProof/>
          <w:lang w:val="en-GB" w:eastAsia="en-GB"/>
        </w:rPr>
        <w:footnoteReference w:id="76"/>
      </w:r>
      <w:r w:rsidR="00822F2F">
        <w:rPr>
          <w:noProof/>
          <w:lang w:val="en-GB" w:eastAsia="en-GB"/>
        </w:rPr>
        <w:t xml:space="preserve"> </w:t>
      </w:r>
      <w:r w:rsidR="000B679B">
        <w:rPr>
          <w:noProof/>
          <w:lang w:val="en-GB" w:eastAsia="en-GB"/>
        </w:rPr>
        <w:t>This is restricted to the woman only</w:t>
      </w:r>
      <w:r w:rsidR="00CE5F9C">
        <w:rPr>
          <w:noProof/>
          <w:lang w:val="en-GB" w:eastAsia="en-GB"/>
        </w:rPr>
        <w:t>. F</w:t>
      </w:r>
      <w:r w:rsidR="000B679B">
        <w:rPr>
          <w:noProof/>
          <w:lang w:val="en-GB" w:eastAsia="en-GB"/>
        </w:rPr>
        <w:t>or members of her family such as non-citizen children of</w:t>
      </w:r>
      <w:r w:rsidR="00CE5F9C">
        <w:rPr>
          <w:noProof/>
          <w:lang w:val="en-GB" w:eastAsia="en-GB"/>
        </w:rPr>
        <w:t xml:space="preserve"> a Jordanian woman, please see S</w:t>
      </w:r>
      <w:r w:rsidR="000B679B">
        <w:rPr>
          <w:noProof/>
          <w:lang w:val="en-GB" w:eastAsia="en-GB"/>
        </w:rPr>
        <w:t xml:space="preserve">ection </w:t>
      </w:r>
      <w:r w:rsidR="00CE5F9C">
        <w:rPr>
          <w:noProof/>
          <w:lang w:val="en-GB" w:eastAsia="en-GB"/>
        </w:rPr>
        <w:fldChar w:fldCharType="begin"/>
      </w:r>
      <w:r w:rsidR="00CE5F9C">
        <w:rPr>
          <w:noProof/>
          <w:lang w:val="en-GB" w:eastAsia="en-GB"/>
        </w:rPr>
        <w:instrText xml:space="preserve"> REF _Ref19551214 \w \h </w:instrText>
      </w:r>
      <w:r w:rsidR="00CE5F9C">
        <w:rPr>
          <w:noProof/>
          <w:lang w:val="en-GB" w:eastAsia="en-GB"/>
        </w:rPr>
      </w:r>
      <w:r w:rsidR="00CE5F9C">
        <w:rPr>
          <w:noProof/>
          <w:lang w:val="en-GB" w:eastAsia="en-GB"/>
        </w:rPr>
        <w:fldChar w:fldCharType="separate"/>
      </w:r>
      <w:r w:rsidR="00CE5F9C">
        <w:rPr>
          <w:noProof/>
          <w:lang w:val="en-GB" w:eastAsia="en-GB"/>
        </w:rPr>
        <w:t>3.3(b)(i)</w:t>
      </w:r>
      <w:r w:rsidR="00CE5F9C">
        <w:rPr>
          <w:noProof/>
          <w:lang w:val="en-GB" w:eastAsia="en-GB"/>
        </w:rPr>
        <w:fldChar w:fldCharType="end"/>
      </w:r>
      <w:r w:rsidR="000B679B">
        <w:rPr>
          <w:noProof/>
          <w:lang w:val="en-GB" w:eastAsia="en-GB"/>
        </w:rPr>
        <w:t xml:space="preserve"> below. </w:t>
      </w:r>
    </w:p>
    <w:p w:rsidR="004E4875" w:rsidRPr="00127092" w:rsidRDefault="008B52D1" w:rsidP="00127092">
      <w:pPr>
        <w:pStyle w:val="AllensHeading3"/>
        <w:rPr>
          <w:b/>
          <w:noProof/>
          <w:lang w:val="en-GB" w:eastAsia="en-GB"/>
        </w:rPr>
      </w:pPr>
      <w:r w:rsidRPr="00127092">
        <w:rPr>
          <w:b/>
          <w:noProof/>
          <w:lang w:val="en-GB" w:eastAsia="en-GB"/>
        </w:rPr>
        <w:t>In practice, do they? If not, why not?</w:t>
      </w:r>
    </w:p>
    <w:p w:rsidR="004E4875" w:rsidRDefault="008B52D1" w:rsidP="005109D8">
      <w:pPr>
        <w:pStyle w:val="Body3"/>
        <w:jc w:val="both"/>
        <w:rPr>
          <w:noProof/>
          <w:lang w:val="en-GB" w:eastAsia="en-GB"/>
        </w:rPr>
      </w:pPr>
      <w:r>
        <w:rPr>
          <w:noProof/>
          <w:lang w:val="en-GB" w:eastAsia="en-GB"/>
        </w:rPr>
        <w:t>On it</w:t>
      </w:r>
      <w:r w:rsidR="00E41A52">
        <w:rPr>
          <w:noProof/>
          <w:lang w:val="en-GB" w:eastAsia="en-GB"/>
        </w:rPr>
        <w:t>s face</w:t>
      </w:r>
      <w:r w:rsidR="00A0008D">
        <w:rPr>
          <w:noProof/>
          <w:lang w:val="en-GB" w:eastAsia="en-GB"/>
        </w:rPr>
        <w:t>,</w:t>
      </w:r>
      <w:r w:rsidR="00E41A52">
        <w:rPr>
          <w:noProof/>
          <w:lang w:val="en-GB" w:eastAsia="en-GB"/>
        </w:rPr>
        <w:t xml:space="preserve"> there is equality in the law to protect women</w:t>
      </w:r>
      <w:r>
        <w:rPr>
          <w:noProof/>
          <w:lang w:val="en-GB" w:eastAsia="en-GB"/>
        </w:rPr>
        <w:t>,</w:t>
      </w:r>
      <w:r w:rsidR="00E41A52">
        <w:rPr>
          <w:noProof/>
          <w:lang w:val="en-GB" w:eastAsia="en-GB"/>
        </w:rPr>
        <w:t xml:space="preserve"> and </w:t>
      </w:r>
      <w:r w:rsidR="00A0008D">
        <w:rPr>
          <w:noProof/>
          <w:lang w:val="en-GB" w:eastAsia="en-GB"/>
        </w:rPr>
        <w:t xml:space="preserve">many women own or rent property, but </w:t>
      </w:r>
      <w:r w:rsidR="00C242D6">
        <w:rPr>
          <w:noProof/>
          <w:lang w:val="en-GB" w:eastAsia="en-GB"/>
        </w:rPr>
        <w:t>the practical rea</w:t>
      </w:r>
      <w:r>
        <w:rPr>
          <w:noProof/>
          <w:lang w:val="en-GB" w:eastAsia="en-GB"/>
        </w:rPr>
        <w:t>lisation of these legal rights is still lacking as women do not own or rent property to the same extent as men</w:t>
      </w:r>
      <w:r w:rsidR="00A0008D">
        <w:rPr>
          <w:noProof/>
          <w:lang w:val="en-GB" w:eastAsia="en-GB"/>
        </w:rPr>
        <w:t>. This is due to a number of reasons:</w:t>
      </w:r>
    </w:p>
    <w:p w:rsidR="00A0008D" w:rsidRDefault="008B52D1" w:rsidP="00127092">
      <w:pPr>
        <w:pStyle w:val="AllensHeading4"/>
        <w:rPr>
          <w:noProof/>
          <w:lang w:val="en-GB" w:eastAsia="en-GB"/>
        </w:rPr>
      </w:pPr>
      <w:r>
        <w:rPr>
          <w:noProof/>
          <w:lang w:val="en-GB" w:eastAsia="en-GB"/>
        </w:rPr>
        <w:t>Societal norms</w:t>
      </w:r>
    </w:p>
    <w:p w:rsidR="009E579F" w:rsidRDefault="008B52D1" w:rsidP="006F1A67">
      <w:pPr>
        <w:pStyle w:val="Body4"/>
        <w:jc w:val="both"/>
        <w:rPr>
          <w:noProof/>
          <w:lang w:val="en-GB" w:eastAsia="en-GB"/>
        </w:rPr>
      </w:pPr>
      <w:r>
        <w:rPr>
          <w:noProof/>
          <w:lang w:val="en-GB" w:eastAsia="en-GB"/>
        </w:rPr>
        <w:t>M</w:t>
      </w:r>
      <w:r w:rsidRPr="003B535F">
        <w:rPr>
          <w:noProof/>
          <w:lang w:val="en-GB" w:eastAsia="en-GB"/>
        </w:rPr>
        <w:t>ore efforts are needed to remediate restrictive social norms and implement measures, such as awareness campaigns, to promote</w:t>
      </w:r>
      <w:r>
        <w:rPr>
          <w:noProof/>
          <w:lang w:val="en-GB" w:eastAsia="en-GB"/>
        </w:rPr>
        <w:t xml:space="preserve"> </w:t>
      </w:r>
      <w:r w:rsidR="00C34A6E">
        <w:rPr>
          <w:noProof/>
          <w:lang w:val="en-GB" w:eastAsia="en-GB"/>
        </w:rPr>
        <w:t xml:space="preserve">the </w:t>
      </w:r>
      <w:r>
        <w:rPr>
          <w:noProof/>
          <w:lang w:val="en-GB" w:eastAsia="en-GB"/>
        </w:rPr>
        <w:t>use of</w:t>
      </w:r>
      <w:r w:rsidRPr="003B535F">
        <w:rPr>
          <w:noProof/>
          <w:lang w:val="en-GB" w:eastAsia="en-GB"/>
        </w:rPr>
        <w:t xml:space="preserve"> joint-ownership of land for married couples and</w:t>
      </w:r>
      <w:r w:rsidR="00C34A6E">
        <w:rPr>
          <w:noProof/>
          <w:lang w:val="en-GB" w:eastAsia="en-GB"/>
        </w:rPr>
        <w:t xml:space="preserve"> to</w:t>
      </w:r>
      <w:r w:rsidRPr="003B535F">
        <w:rPr>
          <w:noProof/>
          <w:lang w:val="en-GB" w:eastAsia="en-GB"/>
        </w:rPr>
        <w:t xml:space="preserve"> ensure wome</w:t>
      </w:r>
      <w:r w:rsidR="00127092">
        <w:rPr>
          <w:noProof/>
          <w:lang w:val="en-GB" w:eastAsia="en-GB"/>
        </w:rPr>
        <w:t>n’s legal rights are realis</w:t>
      </w:r>
      <w:r>
        <w:rPr>
          <w:noProof/>
          <w:lang w:val="en-GB" w:eastAsia="en-GB"/>
        </w:rPr>
        <w:t>ed. As Jordan is still a patriarchal society, i</w:t>
      </w:r>
      <w:r w:rsidR="0032445E">
        <w:rPr>
          <w:noProof/>
          <w:lang w:val="en-GB" w:eastAsia="en-GB"/>
        </w:rPr>
        <w:t xml:space="preserve">t is often the woman that keeps </w:t>
      </w:r>
      <w:r>
        <w:rPr>
          <w:noProof/>
          <w:lang w:val="en-GB" w:eastAsia="en-GB"/>
        </w:rPr>
        <w:t>home, and women have weak economic empowerment relative to men.</w:t>
      </w:r>
      <w:r w:rsidR="000B679B">
        <w:rPr>
          <w:noProof/>
          <w:lang w:val="en-GB" w:eastAsia="en-GB"/>
        </w:rPr>
        <w:t xml:space="preserve"> </w:t>
      </w:r>
      <w:r w:rsidR="00C34A6E">
        <w:rPr>
          <w:noProof/>
          <w:lang w:val="en-GB" w:eastAsia="en-GB"/>
        </w:rPr>
        <w:t xml:space="preserve">Generally households headed by women have fewer economic assets than those headed by men: 43% of male heads of households are recipients of agricultural development loans and 14% </w:t>
      </w:r>
      <w:r w:rsidR="00CE5F9C">
        <w:rPr>
          <w:noProof/>
          <w:lang w:val="en-GB" w:eastAsia="en-GB"/>
        </w:rPr>
        <w:t>of</w:t>
      </w:r>
      <w:r w:rsidR="00C34A6E">
        <w:rPr>
          <w:noProof/>
          <w:lang w:val="en-GB" w:eastAsia="en-GB"/>
        </w:rPr>
        <w:t xml:space="preserve"> loans relating to income-generating </w:t>
      </w:r>
      <w:r w:rsidR="00C34A6E">
        <w:rPr>
          <w:noProof/>
          <w:lang w:val="en-GB" w:eastAsia="en-GB"/>
        </w:rPr>
        <w:lastRenderedPageBreak/>
        <w:t xml:space="preserve">activities, compared to 21% and 9% </w:t>
      </w:r>
      <w:r w:rsidR="00CE5F9C">
        <w:rPr>
          <w:noProof/>
          <w:lang w:val="en-GB" w:eastAsia="en-GB"/>
        </w:rPr>
        <w:t xml:space="preserve">respectively </w:t>
      </w:r>
      <w:r w:rsidR="00C34A6E">
        <w:rPr>
          <w:noProof/>
          <w:lang w:val="en-GB" w:eastAsia="en-GB"/>
        </w:rPr>
        <w:t>of female heads of households.</w:t>
      </w:r>
      <w:r>
        <w:rPr>
          <w:rStyle w:val="FootnoteReference"/>
          <w:noProof/>
          <w:lang w:val="en-GB" w:eastAsia="en-GB"/>
        </w:rPr>
        <w:footnoteReference w:id="77"/>
      </w:r>
    </w:p>
    <w:p w:rsidR="00D86CC0" w:rsidRDefault="008B52D1" w:rsidP="006F1A67">
      <w:pPr>
        <w:pStyle w:val="Body4"/>
        <w:jc w:val="both"/>
        <w:rPr>
          <w:noProof/>
          <w:lang w:val="en-GB" w:eastAsia="en-GB"/>
        </w:rPr>
      </w:pPr>
      <w:r>
        <w:rPr>
          <w:noProof/>
          <w:lang w:val="en-GB" w:eastAsia="en-GB"/>
        </w:rPr>
        <w:t>The social pressure against women exercising rights to property is greater in rural areas. A 2012 Jordan Demographic and Health Survey showed that</w:t>
      </w:r>
      <w:r w:rsidR="00CB10B5">
        <w:rPr>
          <w:noProof/>
          <w:lang w:val="en-GB" w:eastAsia="en-GB"/>
        </w:rPr>
        <w:t xml:space="preserve"> married women in urban areas (e.g. those in the Central region and Amman, not living in Badia areas or refugee camps) were more likely to own a house than married women in rural areas. More generally, married women with higher levels of education or wealth and of a greater age </w:t>
      </w:r>
      <w:r w:rsidR="007E4A6E">
        <w:rPr>
          <w:noProof/>
          <w:lang w:val="en-GB" w:eastAsia="en-GB"/>
        </w:rPr>
        <w:t>are</w:t>
      </w:r>
      <w:r w:rsidR="00CB10B5">
        <w:rPr>
          <w:noProof/>
          <w:lang w:val="en-GB" w:eastAsia="en-GB"/>
        </w:rPr>
        <w:t xml:space="preserve"> more likely to own property.</w:t>
      </w:r>
      <w:r>
        <w:rPr>
          <w:rStyle w:val="FootnoteReference"/>
          <w:noProof/>
          <w:lang w:val="en-GB" w:eastAsia="en-GB"/>
        </w:rPr>
        <w:footnoteReference w:id="78"/>
      </w:r>
      <w:r w:rsidR="00BB666F">
        <w:rPr>
          <w:noProof/>
          <w:lang w:val="en-GB" w:eastAsia="en-GB"/>
        </w:rPr>
        <w:t xml:space="preserve"> </w:t>
      </w:r>
    </w:p>
    <w:p w:rsidR="00F8091E" w:rsidRDefault="008B52D1" w:rsidP="00DA6735">
      <w:pPr>
        <w:pStyle w:val="AllensHeading4"/>
        <w:rPr>
          <w:noProof/>
          <w:lang w:val="en-GB" w:eastAsia="en-GB"/>
        </w:rPr>
      </w:pPr>
      <w:r>
        <w:rPr>
          <w:noProof/>
          <w:lang w:val="en-GB" w:eastAsia="en-GB"/>
        </w:rPr>
        <w:t>Exclusion or pressure by men</w:t>
      </w:r>
    </w:p>
    <w:p w:rsidR="007E4A6E" w:rsidRDefault="008B52D1" w:rsidP="00821A85">
      <w:pPr>
        <w:pStyle w:val="Body4"/>
        <w:jc w:val="both"/>
        <w:rPr>
          <w:lang w:val="en-GB" w:eastAsia="en-GB"/>
        </w:rPr>
      </w:pPr>
      <w:r>
        <w:rPr>
          <w:lang w:val="en-GB" w:eastAsia="en-GB"/>
        </w:rPr>
        <w:t xml:space="preserve">Though there are legal protections for </w:t>
      </w:r>
      <w:r w:rsidR="00B85AF6">
        <w:rPr>
          <w:lang w:val="en-GB" w:eastAsia="en-GB"/>
        </w:rPr>
        <w:t>women’s rights</w:t>
      </w:r>
      <w:r>
        <w:rPr>
          <w:lang w:val="en-GB" w:eastAsia="en-GB"/>
        </w:rPr>
        <w:t xml:space="preserve"> to inheritance, </w:t>
      </w:r>
      <w:r w:rsidR="0016198E">
        <w:rPr>
          <w:lang w:val="en-GB" w:eastAsia="en-GB"/>
        </w:rPr>
        <w:t xml:space="preserve">female </w:t>
      </w:r>
      <w:r>
        <w:rPr>
          <w:lang w:val="en-GB" w:eastAsia="en-GB"/>
        </w:rPr>
        <w:t xml:space="preserve">heirs can face pressure to relinquish this right. This can be both </w:t>
      </w:r>
      <w:r w:rsidR="0016198E">
        <w:rPr>
          <w:lang w:val="en-GB" w:eastAsia="en-GB"/>
        </w:rPr>
        <w:t xml:space="preserve">through </w:t>
      </w:r>
      <w:r>
        <w:rPr>
          <w:lang w:val="en-GB" w:eastAsia="en-GB"/>
        </w:rPr>
        <w:t>physical</w:t>
      </w:r>
      <w:r w:rsidR="0016198E">
        <w:rPr>
          <w:lang w:val="en-GB" w:eastAsia="en-GB"/>
        </w:rPr>
        <w:t xml:space="preserve"> violence</w:t>
      </w:r>
      <w:r>
        <w:rPr>
          <w:lang w:val="en-GB" w:eastAsia="en-GB"/>
        </w:rPr>
        <w:t xml:space="preserve"> </w:t>
      </w:r>
      <w:r w:rsidR="00DA6735">
        <w:rPr>
          <w:lang w:val="en-GB" w:eastAsia="en-GB"/>
        </w:rPr>
        <w:t xml:space="preserve">and </w:t>
      </w:r>
      <w:r w:rsidR="0016198E">
        <w:rPr>
          <w:lang w:val="en-GB" w:eastAsia="en-GB"/>
        </w:rPr>
        <w:t xml:space="preserve">through </w:t>
      </w:r>
      <w:proofErr w:type="gramStart"/>
      <w:r w:rsidR="0016198E">
        <w:rPr>
          <w:lang w:val="en-GB" w:eastAsia="en-GB"/>
        </w:rPr>
        <w:t>more subtle</w:t>
      </w:r>
      <w:proofErr w:type="gramEnd"/>
      <w:r w:rsidR="0016198E">
        <w:rPr>
          <w:lang w:val="en-GB" w:eastAsia="en-GB"/>
        </w:rPr>
        <w:t xml:space="preserve"> coercion</w:t>
      </w:r>
      <w:r w:rsidR="00EC1C4C">
        <w:rPr>
          <w:lang w:val="en-GB" w:eastAsia="en-GB"/>
        </w:rPr>
        <w:t>. F</w:t>
      </w:r>
      <w:r>
        <w:rPr>
          <w:lang w:val="en-GB" w:eastAsia="en-GB"/>
        </w:rPr>
        <w:t>or instance</w:t>
      </w:r>
      <w:r w:rsidR="00EC1C4C">
        <w:rPr>
          <w:lang w:val="en-GB" w:eastAsia="en-GB"/>
        </w:rPr>
        <w:t>,</w:t>
      </w:r>
      <w:r>
        <w:rPr>
          <w:lang w:val="en-GB" w:eastAsia="en-GB"/>
        </w:rPr>
        <w:t xml:space="preserve"> male heirs may offer</w:t>
      </w:r>
      <w:r w:rsidR="009146C7">
        <w:rPr>
          <w:lang w:val="en-GB" w:eastAsia="en-GB"/>
        </w:rPr>
        <w:t xml:space="preserve"> their female counterparts</w:t>
      </w:r>
      <w:r>
        <w:rPr>
          <w:lang w:val="en-GB" w:eastAsia="en-GB"/>
        </w:rPr>
        <w:t xml:space="preserve"> “gifts” in exchange for property rights.</w:t>
      </w:r>
      <w:r w:rsidR="005356A2">
        <w:rPr>
          <w:lang w:val="en-GB" w:eastAsia="en-GB"/>
        </w:rPr>
        <w:t xml:space="preserve"> A study by the Jordanian National Forum for Women in the Govern</w:t>
      </w:r>
      <w:r w:rsidR="00EC1C4C">
        <w:rPr>
          <w:lang w:val="en-GB" w:eastAsia="en-GB"/>
        </w:rPr>
        <w:t>or</w:t>
      </w:r>
      <w:r w:rsidR="005356A2">
        <w:rPr>
          <w:lang w:val="en-GB" w:eastAsia="en-GB"/>
        </w:rPr>
        <w:t xml:space="preserve">ate of Irbid found that </w:t>
      </w:r>
      <w:r>
        <w:rPr>
          <w:noProof/>
          <w:lang w:val="en-GB" w:eastAsia="en-GB"/>
        </w:rPr>
        <w:t xml:space="preserve">74% of women in the governorate did not enjoy their full inheritance rights and </w:t>
      </w:r>
      <w:r w:rsidR="005356A2">
        <w:rPr>
          <w:lang w:val="en-GB" w:eastAsia="en-GB"/>
        </w:rPr>
        <w:t>15% voluntarily relinquished their inheritance rights</w:t>
      </w:r>
      <w:r w:rsidR="00CE5F9C">
        <w:rPr>
          <w:lang w:val="en-GB" w:eastAsia="en-GB"/>
        </w:rPr>
        <w:t>,</w:t>
      </w:r>
      <w:r>
        <w:rPr>
          <w:rStyle w:val="FootnoteReference"/>
          <w:lang w:val="en-GB" w:eastAsia="en-GB"/>
        </w:rPr>
        <w:footnoteReference w:id="79"/>
      </w:r>
      <w:r w:rsidR="005356A2">
        <w:rPr>
          <w:lang w:val="en-GB" w:eastAsia="en-GB"/>
        </w:rPr>
        <w:t xml:space="preserve"> so this is still a practical obstacle for wom</w:t>
      </w:r>
      <w:r w:rsidR="009146C7">
        <w:rPr>
          <w:lang w:val="en-GB" w:eastAsia="en-GB"/>
        </w:rPr>
        <w:t>en in Jordan.</w:t>
      </w:r>
      <w:r>
        <w:rPr>
          <w:lang w:val="en-GB" w:eastAsia="en-GB"/>
        </w:rPr>
        <w:t xml:space="preserve"> </w:t>
      </w:r>
    </w:p>
    <w:p w:rsidR="00A0008D" w:rsidRPr="00A0008D" w:rsidRDefault="008B52D1" w:rsidP="00821A85">
      <w:pPr>
        <w:pStyle w:val="Body4"/>
        <w:jc w:val="both"/>
        <w:rPr>
          <w:lang w:val="en-GB" w:eastAsia="en-GB"/>
        </w:rPr>
      </w:pPr>
      <w:r>
        <w:rPr>
          <w:noProof/>
          <w:lang w:val="en-GB" w:eastAsia="en-GB"/>
        </w:rPr>
        <w:t>Women also face social stigma if they challenge violations in inheritance law, meaning that few apply to the courts to protect their rights.</w:t>
      </w:r>
      <w:r>
        <w:rPr>
          <w:rStyle w:val="FootnoteReference"/>
          <w:lang w:val="en-GB" w:eastAsia="en-GB"/>
        </w:rPr>
        <w:footnoteReference w:id="80"/>
      </w:r>
    </w:p>
    <w:p w:rsidR="0002092A" w:rsidRDefault="008B52D1" w:rsidP="00EC1C4C">
      <w:pPr>
        <w:pStyle w:val="AllensHeading4"/>
        <w:rPr>
          <w:noProof/>
          <w:lang w:val="en-GB" w:eastAsia="en-GB"/>
        </w:rPr>
      </w:pPr>
      <w:r>
        <w:rPr>
          <w:noProof/>
          <w:lang w:val="en-GB" w:eastAsia="en-GB"/>
        </w:rPr>
        <w:t>Lack of knowledge</w:t>
      </w:r>
    </w:p>
    <w:p w:rsidR="00A0008D" w:rsidRPr="00A0008D" w:rsidRDefault="008B52D1" w:rsidP="00821A85">
      <w:pPr>
        <w:pStyle w:val="Body4"/>
        <w:jc w:val="both"/>
        <w:rPr>
          <w:lang w:val="en-GB" w:eastAsia="en-GB"/>
        </w:rPr>
      </w:pPr>
      <w:r>
        <w:rPr>
          <w:noProof/>
          <w:lang w:val="en-GB" w:eastAsia="en-GB"/>
        </w:rPr>
        <w:t>While there have been improvements in the law (e.g. Article 319 of the Jordanian Personal Status Law requires a real estate lawyer to inform all heirs of their inheritance), greater awareness of women's property rights is still much needed.</w:t>
      </w:r>
      <w:r>
        <w:rPr>
          <w:rStyle w:val="FootnoteReference"/>
          <w:noProof/>
          <w:lang w:val="en-GB" w:eastAsia="en-GB"/>
        </w:rPr>
        <w:footnoteReference w:id="81"/>
      </w:r>
      <w:r>
        <w:rPr>
          <w:noProof/>
          <w:lang w:val="en-GB" w:eastAsia="en-GB"/>
        </w:rPr>
        <w:t xml:space="preserve"> </w:t>
      </w:r>
      <w:r w:rsidR="00702ACD">
        <w:rPr>
          <w:lang w:val="en-GB" w:eastAsia="en-GB"/>
        </w:rPr>
        <w:t>Studies have shown that many women lack knowledge of their rights to inheritance</w:t>
      </w:r>
      <w:r w:rsidR="00953757">
        <w:rPr>
          <w:lang w:val="en-GB" w:eastAsia="en-GB"/>
        </w:rPr>
        <w:t xml:space="preserve"> or </w:t>
      </w:r>
      <w:r w:rsidR="007A072C">
        <w:rPr>
          <w:lang w:val="en-GB" w:eastAsia="en-GB"/>
        </w:rPr>
        <w:t xml:space="preserve">details surrounding </w:t>
      </w:r>
      <w:r w:rsidR="00953757">
        <w:rPr>
          <w:lang w:val="en-GB" w:eastAsia="en-GB"/>
        </w:rPr>
        <w:t xml:space="preserve">the division of inheritance (in that </w:t>
      </w:r>
      <w:r w:rsidR="00EC1C4C">
        <w:rPr>
          <w:lang w:val="en-GB" w:eastAsia="en-GB"/>
        </w:rPr>
        <w:t xml:space="preserve">they </w:t>
      </w:r>
      <w:r w:rsidR="00953757">
        <w:rPr>
          <w:lang w:val="en-GB" w:eastAsia="en-GB"/>
        </w:rPr>
        <w:t xml:space="preserve">may be entitled to </w:t>
      </w:r>
      <w:r w:rsidR="007A072C">
        <w:rPr>
          <w:lang w:val="en-GB" w:eastAsia="en-GB"/>
        </w:rPr>
        <w:t xml:space="preserve">equal or </w:t>
      </w:r>
      <w:r w:rsidR="00953757">
        <w:rPr>
          <w:lang w:val="en-GB" w:eastAsia="en-GB"/>
        </w:rPr>
        <w:t xml:space="preserve">more </w:t>
      </w:r>
      <w:r w:rsidR="007A072C">
        <w:rPr>
          <w:lang w:val="en-GB" w:eastAsia="en-GB"/>
        </w:rPr>
        <w:t xml:space="preserve">assets </w:t>
      </w:r>
      <w:r w:rsidR="00953757">
        <w:rPr>
          <w:lang w:val="en-GB" w:eastAsia="en-GB"/>
        </w:rPr>
        <w:t xml:space="preserve">than </w:t>
      </w:r>
      <w:r w:rsidR="00EC1C4C">
        <w:rPr>
          <w:lang w:val="en-GB" w:eastAsia="en-GB"/>
        </w:rPr>
        <w:t xml:space="preserve">their </w:t>
      </w:r>
      <w:r w:rsidR="00953757">
        <w:rPr>
          <w:lang w:val="en-GB" w:eastAsia="en-GB"/>
        </w:rPr>
        <w:t>male counterparts)</w:t>
      </w:r>
      <w:r w:rsidR="00702ACD">
        <w:rPr>
          <w:lang w:val="en-GB" w:eastAsia="en-GB"/>
        </w:rPr>
        <w:t xml:space="preserve">, which is </w:t>
      </w:r>
      <w:r w:rsidR="00953757">
        <w:rPr>
          <w:lang w:val="en-GB" w:eastAsia="en-GB"/>
        </w:rPr>
        <w:t xml:space="preserve">a practical barrier </w:t>
      </w:r>
      <w:r w:rsidR="00702ACD">
        <w:rPr>
          <w:lang w:val="en-GB" w:eastAsia="en-GB"/>
        </w:rPr>
        <w:t>to</w:t>
      </w:r>
      <w:r w:rsidR="00953757">
        <w:rPr>
          <w:lang w:val="en-GB" w:eastAsia="en-GB"/>
        </w:rPr>
        <w:t xml:space="preserve"> enforcing</w:t>
      </w:r>
      <w:r w:rsidR="00702ACD">
        <w:rPr>
          <w:lang w:val="en-GB" w:eastAsia="en-GB"/>
        </w:rPr>
        <w:t xml:space="preserve"> </w:t>
      </w:r>
      <w:r w:rsidR="00EC1C4C">
        <w:rPr>
          <w:lang w:val="en-GB" w:eastAsia="en-GB"/>
        </w:rPr>
        <w:t xml:space="preserve">their </w:t>
      </w:r>
      <w:r w:rsidR="00953757">
        <w:rPr>
          <w:lang w:val="en-GB" w:eastAsia="en-GB"/>
        </w:rPr>
        <w:t>rights</w:t>
      </w:r>
      <w:r w:rsidR="00702ACD">
        <w:rPr>
          <w:lang w:val="en-GB" w:eastAsia="en-GB"/>
        </w:rPr>
        <w:t>.</w:t>
      </w:r>
      <w:r>
        <w:rPr>
          <w:rStyle w:val="FootnoteReference"/>
          <w:lang w:val="en-GB" w:eastAsia="en-GB"/>
        </w:rPr>
        <w:footnoteReference w:id="82"/>
      </w:r>
    </w:p>
    <w:p w:rsidR="004E4875" w:rsidRPr="004E4875" w:rsidRDefault="008B52D1" w:rsidP="00EC1C4C">
      <w:pPr>
        <w:pStyle w:val="AllensHeading2"/>
        <w:rPr>
          <w:noProof/>
          <w:lang w:val="en-GB" w:eastAsia="en-GB"/>
        </w:rPr>
      </w:pPr>
      <w:bookmarkStart w:id="78" w:name="_Toc256000094"/>
      <w:bookmarkStart w:id="79" w:name="_Toc256000010"/>
      <w:bookmarkStart w:id="80" w:name="_Toc16243121"/>
      <w:r w:rsidRPr="004E4875">
        <w:rPr>
          <w:noProof/>
          <w:lang w:val="en-GB" w:eastAsia="en-GB"/>
        </w:rPr>
        <w:t>Indigenous groups</w:t>
      </w:r>
      <w:bookmarkEnd w:id="78"/>
      <w:bookmarkEnd w:id="79"/>
      <w:bookmarkEnd w:id="80"/>
    </w:p>
    <w:p w:rsidR="004E4875" w:rsidRPr="00EC1C4C" w:rsidRDefault="008B52D1" w:rsidP="00EC1C4C">
      <w:pPr>
        <w:pStyle w:val="AllensHeading3"/>
        <w:rPr>
          <w:b/>
          <w:lang w:val="en-GB" w:eastAsia="en-GB"/>
        </w:rPr>
      </w:pPr>
      <w:bookmarkStart w:id="81" w:name="_Ref13686190"/>
      <w:bookmarkStart w:id="82" w:name="_Ref13686196"/>
      <w:r w:rsidRPr="00EC1C4C">
        <w:rPr>
          <w:b/>
          <w:lang w:val="en-GB" w:eastAsia="en-GB"/>
        </w:rPr>
        <w:t>Is indigenous customary ownership (or custodianship) of land legally recognised?</w:t>
      </w:r>
      <w:bookmarkEnd w:id="81"/>
      <w:bookmarkEnd w:id="82"/>
    </w:p>
    <w:p w:rsidR="00081489" w:rsidRDefault="008B52D1" w:rsidP="00081489">
      <w:pPr>
        <w:pStyle w:val="Body3"/>
        <w:rPr>
          <w:lang w:val="en-GB" w:eastAsia="en-GB"/>
        </w:rPr>
      </w:pPr>
      <w:r>
        <w:rPr>
          <w:lang w:val="en-GB" w:eastAsia="en-GB"/>
        </w:rPr>
        <w:t xml:space="preserve">See </w:t>
      </w:r>
      <w:r w:rsidR="00EC1C4C">
        <w:rPr>
          <w:lang w:val="en-GB" w:eastAsia="en-GB"/>
        </w:rPr>
        <w:t>S</w:t>
      </w:r>
      <w:r>
        <w:rPr>
          <w:lang w:val="en-GB" w:eastAsia="en-GB"/>
        </w:rPr>
        <w:t xml:space="preserve">ection </w:t>
      </w:r>
      <w:r w:rsidR="00EC1C4C">
        <w:rPr>
          <w:lang w:val="en-GB" w:eastAsia="en-GB"/>
        </w:rPr>
        <w:fldChar w:fldCharType="begin"/>
      </w:r>
      <w:r w:rsidR="00EC1C4C">
        <w:rPr>
          <w:lang w:val="en-GB" w:eastAsia="en-GB"/>
        </w:rPr>
        <w:instrText xml:space="preserve"> REF _Ref13685577 \w \h </w:instrText>
      </w:r>
      <w:r w:rsidR="00EC1C4C">
        <w:rPr>
          <w:lang w:val="en-GB" w:eastAsia="en-GB"/>
        </w:rPr>
      </w:r>
      <w:r w:rsidR="00EC1C4C">
        <w:rPr>
          <w:lang w:val="en-GB" w:eastAsia="en-GB"/>
        </w:rPr>
        <w:fldChar w:fldCharType="separate"/>
      </w:r>
      <w:r w:rsidR="00EC1C4C">
        <w:rPr>
          <w:lang w:val="en-GB" w:eastAsia="en-GB"/>
        </w:rPr>
        <w:t>2.3</w:t>
      </w:r>
      <w:r w:rsidR="00EC1C4C">
        <w:rPr>
          <w:lang w:val="en-GB" w:eastAsia="en-GB"/>
        </w:rPr>
        <w:fldChar w:fldCharType="end"/>
      </w:r>
      <w:r>
        <w:rPr>
          <w:lang w:val="en-GB" w:eastAsia="en-GB"/>
        </w:rPr>
        <w:t xml:space="preserve"> </w:t>
      </w:r>
      <w:r w:rsidR="00E309BD">
        <w:rPr>
          <w:lang w:val="en-GB" w:eastAsia="en-GB"/>
        </w:rPr>
        <w:t xml:space="preserve">above </w:t>
      </w:r>
      <w:r>
        <w:rPr>
          <w:lang w:val="en-GB" w:eastAsia="en-GB"/>
        </w:rPr>
        <w:t xml:space="preserve">on customary ownership.  </w:t>
      </w:r>
    </w:p>
    <w:p w:rsidR="004E4875" w:rsidRPr="00EC1C4C" w:rsidRDefault="008B52D1" w:rsidP="00EC1C4C">
      <w:pPr>
        <w:pStyle w:val="AllensHeading3"/>
        <w:rPr>
          <w:b/>
          <w:lang w:val="en-GB" w:eastAsia="en-GB"/>
        </w:rPr>
      </w:pPr>
      <w:bookmarkStart w:id="83" w:name="_Ref13686199"/>
      <w:r w:rsidRPr="00EC1C4C">
        <w:rPr>
          <w:b/>
          <w:lang w:val="en-GB" w:eastAsia="en-GB"/>
        </w:rPr>
        <w:lastRenderedPageBreak/>
        <w:t>Does customary ownership provide indigenous people with a high degree of security of tenure?</w:t>
      </w:r>
      <w:bookmarkEnd w:id="83"/>
    </w:p>
    <w:p w:rsidR="00B511F7" w:rsidRDefault="008B52D1" w:rsidP="00081489">
      <w:pPr>
        <w:pStyle w:val="Body3"/>
        <w:rPr>
          <w:lang w:val="en-GB" w:eastAsia="en-GB"/>
        </w:rPr>
      </w:pPr>
      <w:r>
        <w:rPr>
          <w:lang w:val="en-GB" w:eastAsia="en-GB"/>
        </w:rPr>
        <w:t xml:space="preserve">See Section </w:t>
      </w:r>
      <w:r>
        <w:rPr>
          <w:lang w:val="en-GB" w:eastAsia="en-GB"/>
        </w:rPr>
        <w:fldChar w:fldCharType="begin"/>
      </w:r>
      <w:r>
        <w:rPr>
          <w:lang w:val="en-GB" w:eastAsia="en-GB"/>
        </w:rPr>
        <w:instrText xml:space="preserve"> REF _Ref13685577 \w \h </w:instrText>
      </w:r>
      <w:r>
        <w:rPr>
          <w:lang w:val="en-GB" w:eastAsia="en-GB"/>
        </w:rPr>
      </w:r>
      <w:r>
        <w:rPr>
          <w:lang w:val="en-GB" w:eastAsia="en-GB"/>
        </w:rPr>
        <w:fldChar w:fldCharType="separate"/>
      </w:r>
      <w:r>
        <w:rPr>
          <w:lang w:val="en-GB" w:eastAsia="en-GB"/>
        </w:rPr>
        <w:t>2.3</w:t>
      </w:r>
      <w:r>
        <w:rPr>
          <w:lang w:val="en-GB" w:eastAsia="en-GB"/>
        </w:rPr>
        <w:fldChar w:fldCharType="end"/>
      </w:r>
      <w:r>
        <w:rPr>
          <w:lang w:val="en-GB" w:eastAsia="en-GB"/>
        </w:rPr>
        <w:t xml:space="preserve"> above on customary ownership. </w:t>
      </w:r>
    </w:p>
    <w:p w:rsidR="004E4875" w:rsidRPr="00EC1C4C" w:rsidRDefault="008B52D1" w:rsidP="00AD7408">
      <w:pPr>
        <w:pStyle w:val="AllensHeading3"/>
        <w:numPr>
          <w:ilvl w:val="2"/>
          <w:numId w:val="10"/>
        </w:numPr>
        <w:rPr>
          <w:b/>
        </w:rPr>
      </w:pPr>
      <w:r w:rsidRPr="00EC1C4C">
        <w:rPr>
          <w:b/>
        </w:rPr>
        <w:t>If not, what are the barriers to indigenous people living on or owning their land?</w:t>
      </w:r>
    </w:p>
    <w:p w:rsidR="00B511F7" w:rsidRPr="00B511F7" w:rsidRDefault="008B52D1" w:rsidP="00B511F7">
      <w:pPr>
        <w:pStyle w:val="AllensHeading3"/>
        <w:numPr>
          <w:ilvl w:val="0"/>
          <w:numId w:val="0"/>
        </w:numPr>
        <w:ind w:left="1418"/>
        <w:jc w:val="both"/>
        <w:rPr>
          <w:lang w:val="en-GB" w:eastAsia="en-GB"/>
        </w:rPr>
      </w:pPr>
      <w:r w:rsidRPr="00B511F7">
        <w:rPr>
          <w:lang w:val="en-GB" w:eastAsia="en-GB"/>
        </w:rPr>
        <w:t xml:space="preserve">Since there is no customary ownership in a formal legal sense, this question is not relevant, save to the extent that </w:t>
      </w:r>
      <w:r>
        <w:rPr>
          <w:lang w:val="en-GB" w:eastAsia="en-GB"/>
        </w:rPr>
        <w:t>informal sales still occur underneath the formally owned and registered</w:t>
      </w:r>
      <w:r w:rsidR="00360C1A">
        <w:rPr>
          <w:lang w:val="en-GB" w:eastAsia="en-GB"/>
        </w:rPr>
        <w:t xml:space="preserve"> land and property</w:t>
      </w:r>
      <w:r>
        <w:rPr>
          <w:lang w:val="en-GB" w:eastAsia="en-GB"/>
        </w:rPr>
        <w:t xml:space="preserve"> rights. </w:t>
      </w:r>
      <w:r w:rsidRPr="00B511F7">
        <w:rPr>
          <w:lang w:val="en-GB" w:eastAsia="en-GB"/>
        </w:rPr>
        <w:t xml:space="preserve">  </w:t>
      </w:r>
      <w:r>
        <w:rPr>
          <w:lang w:val="en-GB" w:eastAsia="en-GB"/>
        </w:rPr>
        <w:t>Where sales are</w:t>
      </w:r>
      <w:r w:rsidRPr="00B511F7">
        <w:rPr>
          <w:lang w:val="en-GB" w:eastAsia="en-GB"/>
        </w:rPr>
        <w:t xml:space="preserve"> not registered with the D</w:t>
      </w:r>
      <w:r w:rsidR="005C121A">
        <w:rPr>
          <w:lang w:val="en-GB" w:eastAsia="en-GB"/>
        </w:rPr>
        <w:t>LS</w:t>
      </w:r>
      <w:r w:rsidRPr="00B511F7">
        <w:rPr>
          <w:lang w:val="en-GB" w:eastAsia="en-GB"/>
        </w:rPr>
        <w:t xml:space="preserve">, </w:t>
      </w:r>
      <w:r w:rsidR="00360C1A">
        <w:rPr>
          <w:lang w:val="en-GB" w:eastAsia="en-GB"/>
        </w:rPr>
        <w:t>they</w:t>
      </w:r>
      <w:r w:rsidRPr="00B511F7">
        <w:rPr>
          <w:lang w:val="en-GB" w:eastAsia="en-GB"/>
        </w:rPr>
        <w:t xml:space="preserve"> will not be considered valid (even if a group possesses customary title (</w:t>
      </w:r>
      <w:proofErr w:type="spellStart"/>
      <w:r w:rsidRPr="00CE5F9C">
        <w:rPr>
          <w:i/>
          <w:lang w:val="en-GB" w:eastAsia="en-GB"/>
        </w:rPr>
        <w:t>hiija</w:t>
      </w:r>
      <w:proofErr w:type="spellEnd"/>
      <w:r w:rsidRPr="00B511F7">
        <w:rPr>
          <w:lang w:val="en-GB" w:eastAsia="en-GB"/>
        </w:rPr>
        <w:t>)</w:t>
      </w:r>
      <w:r w:rsidR="00CE5F9C">
        <w:rPr>
          <w:lang w:val="en-GB" w:eastAsia="en-GB"/>
        </w:rPr>
        <w:t>)</w:t>
      </w:r>
      <w:r w:rsidRPr="00B511F7">
        <w:rPr>
          <w:lang w:val="en-GB" w:eastAsia="en-GB"/>
        </w:rPr>
        <w:t xml:space="preserve">. Although most tribes still have some control over their lands, their rights are not officially recognized by the national government. </w:t>
      </w:r>
      <w:r w:rsidR="00360C1A">
        <w:rPr>
          <w:lang w:val="en-GB" w:eastAsia="en-GB"/>
        </w:rPr>
        <w:t xml:space="preserve">This does not prevent tribes </w:t>
      </w:r>
      <w:r w:rsidR="00A316B6">
        <w:rPr>
          <w:lang w:val="en-GB" w:eastAsia="en-GB"/>
        </w:rPr>
        <w:t xml:space="preserve">from </w:t>
      </w:r>
      <w:r w:rsidR="00360C1A">
        <w:rPr>
          <w:lang w:val="en-GB" w:eastAsia="en-GB"/>
        </w:rPr>
        <w:t>living harmoniously</w:t>
      </w:r>
      <w:r w:rsidR="00EC1C4C">
        <w:rPr>
          <w:lang w:val="en-GB" w:eastAsia="en-GB"/>
        </w:rPr>
        <w:t>,</w:t>
      </w:r>
      <w:r w:rsidR="00360C1A">
        <w:rPr>
          <w:lang w:val="en-GB" w:eastAsia="en-GB"/>
        </w:rPr>
        <w:t xml:space="preserve"> as they have for centuries</w:t>
      </w:r>
      <w:r w:rsidR="00EC1C4C">
        <w:rPr>
          <w:lang w:val="en-GB" w:eastAsia="en-GB"/>
        </w:rPr>
        <w:t>,</w:t>
      </w:r>
      <w:r w:rsidR="00360C1A">
        <w:rPr>
          <w:lang w:val="en-GB" w:eastAsia="en-GB"/>
        </w:rPr>
        <w:t xml:space="preserve"> but the lack of ownership (even in the custodial sense)</w:t>
      </w:r>
      <w:r w:rsidRPr="00B511F7">
        <w:rPr>
          <w:lang w:val="en-GB" w:eastAsia="en-GB"/>
        </w:rPr>
        <w:t xml:space="preserve"> has eroded incentives </w:t>
      </w:r>
      <w:r w:rsidR="00360C1A">
        <w:rPr>
          <w:lang w:val="en-GB" w:eastAsia="en-GB"/>
        </w:rPr>
        <w:t>for</w:t>
      </w:r>
      <w:r>
        <w:rPr>
          <w:lang w:val="en-GB" w:eastAsia="en-GB"/>
        </w:rPr>
        <w:t xml:space="preserve"> indigenous people to preserve the land.</w:t>
      </w:r>
    </w:p>
    <w:p w:rsidR="00081489" w:rsidRDefault="008B52D1" w:rsidP="00081489">
      <w:pPr>
        <w:pStyle w:val="AllensHeading3"/>
        <w:rPr>
          <w:b/>
          <w:lang w:val="en-GB" w:eastAsia="en-GB"/>
        </w:rPr>
      </w:pPr>
      <w:r>
        <w:rPr>
          <w:b/>
          <w:lang w:val="en-GB" w:eastAsia="en-GB"/>
        </w:rPr>
        <w:t>Is there conflict between indigenous groups regarding land ownership?</w:t>
      </w:r>
    </w:p>
    <w:p w:rsidR="00081489" w:rsidRPr="00081489" w:rsidRDefault="008B52D1" w:rsidP="00081489">
      <w:pPr>
        <w:pStyle w:val="Body3"/>
        <w:rPr>
          <w:lang w:val="en-GB" w:eastAsia="en-GB"/>
        </w:rPr>
      </w:pPr>
      <w:r>
        <w:rPr>
          <w:lang w:val="en-GB" w:eastAsia="en-GB"/>
        </w:rPr>
        <w:t>There is no evidence of any such conflict.</w:t>
      </w:r>
    </w:p>
    <w:p w:rsidR="004E4875" w:rsidRPr="00EC1C4C" w:rsidRDefault="008B52D1" w:rsidP="00EC1C4C">
      <w:pPr>
        <w:pStyle w:val="AllensHeading3"/>
        <w:rPr>
          <w:b/>
        </w:rPr>
      </w:pPr>
      <w:r w:rsidRPr="00EC1C4C">
        <w:rPr>
          <w:b/>
        </w:rPr>
        <w:t>If so, to what degree? Are there mechanisms for resolving these conflicts?</w:t>
      </w:r>
    </w:p>
    <w:p w:rsidR="00081489" w:rsidRDefault="008B52D1" w:rsidP="00081489">
      <w:pPr>
        <w:pStyle w:val="Body3"/>
        <w:rPr>
          <w:lang w:val="en-GB" w:eastAsia="en-GB"/>
        </w:rPr>
      </w:pPr>
      <w:r>
        <w:rPr>
          <w:lang w:val="en-GB" w:eastAsia="en-GB"/>
        </w:rPr>
        <w:t>N/A.</w:t>
      </w:r>
    </w:p>
    <w:p w:rsidR="004E4875" w:rsidRPr="004E4875" w:rsidRDefault="008B52D1" w:rsidP="00EC1C4C">
      <w:pPr>
        <w:pStyle w:val="AllensHeading2"/>
        <w:rPr>
          <w:lang w:val="en-GB" w:eastAsia="en-GB"/>
        </w:rPr>
      </w:pPr>
      <w:bookmarkStart w:id="84" w:name="MinorityGroups"/>
      <w:bookmarkStart w:id="85" w:name="_Toc256000095"/>
      <w:bookmarkStart w:id="86" w:name="_Toc256000011"/>
      <w:bookmarkStart w:id="87" w:name="_Toc16243122"/>
      <w:bookmarkEnd w:id="84"/>
      <w:r w:rsidRPr="004E4875">
        <w:rPr>
          <w:lang w:val="en-GB" w:eastAsia="en-GB"/>
        </w:rPr>
        <w:t>Minority groups</w:t>
      </w:r>
      <w:bookmarkEnd w:id="85"/>
      <w:bookmarkEnd w:id="86"/>
      <w:bookmarkEnd w:id="87"/>
    </w:p>
    <w:p w:rsidR="004E4875" w:rsidRPr="00EC1C4C" w:rsidRDefault="008B52D1" w:rsidP="00EC1C4C">
      <w:pPr>
        <w:pStyle w:val="AllensHeading3"/>
        <w:jc w:val="both"/>
        <w:rPr>
          <w:b/>
          <w:lang w:val="en-GB" w:eastAsia="en-GB"/>
        </w:rPr>
      </w:pPr>
      <w:r w:rsidRPr="00EC1C4C">
        <w:rPr>
          <w:b/>
          <w:lang w:val="en-GB" w:eastAsia="en-GB"/>
        </w:rPr>
        <w:t>Can minority groups (i</w:t>
      </w:r>
      <w:r w:rsidR="00EC1C4C">
        <w:rPr>
          <w:b/>
          <w:lang w:val="en-GB" w:eastAsia="en-GB"/>
        </w:rPr>
        <w:t>.</w:t>
      </w:r>
      <w:r w:rsidRPr="00EC1C4C">
        <w:rPr>
          <w:b/>
          <w:lang w:val="en-GB" w:eastAsia="en-GB"/>
        </w:rPr>
        <w:t>e</w:t>
      </w:r>
      <w:r w:rsidR="00EC1C4C">
        <w:rPr>
          <w:b/>
          <w:lang w:val="en-GB" w:eastAsia="en-GB"/>
        </w:rPr>
        <w:t>. ethnic minorities, immigrants and</w:t>
      </w:r>
      <w:r w:rsidRPr="00EC1C4C">
        <w:rPr>
          <w:b/>
          <w:lang w:val="en-GB" w:eastAsia="en-GB"/>
        </w:rPr>
        <w:t xml:space="preserve"> stateless people) legally own and/or rent land and housing?</w:t>
      </w:r>
    </w:p>
    <w:p w:rsidR="008F60B6" w:rsidRDefault="008B52D1" w:rsidP="00821A85">
      <w:pPr>
        <w:pStyle w:val="Body3"/>
        <w:jc w:val="both"/>
        <w:rPr>
          <w:lang w:val="en-GB" w:eastAsia="en-GB"/>
        </w:rPr>
      </w:pPr>
      <w:r>
        <w:rPr>
          <w:lang w:val="en-GB" w:eastAsia="en-GB"/>
        </w:rPr>
        <w:t xml:space="preserve">Though all Jordanians are equal under the </w:t>
      </w:r>
      <w:r w:rsidR="00EC1C4C">
        <w:rPr>
          <w:lang w:val="en-GB" w:eastAsia="en-GB"/>
        </w:rPr>
        <w:t>C</w:t>
      </w:r>
      <w:r>
        <w:rPr>
          <w:lang w:val="en-GB" w:eastAsia="en-GB"/>
        </w:rPr>
        <w:t xml:space="preserve">onstitution, </w:t>
      </w:r>
      <w:r w:rsidR="00EC1C4C">
        <w:rPr>
          <w:lang w:val="en-GB" w:eastAsia="en-GB"/>
        </w:rPr>
        <w:t xml:space="preserve">this is not the case for </w:t>
      </w:r>
      <w:r>
        <w:rPr>
          <w:lang w:val="en-GB" w:eastAsia="en-GB"/>
        </w:rPr>
        <w:t xml:space="preserve">foreign nationals living in </w:t>
      </w:r>
      <w:r w:rsidR="00EC1C4C">
        <w:rPr>
          <w:lang w:val="en-GB" w:eastAsia="en-GB"/>
        </w:rPr>
        <w:t>Jordan,</w:t>
      </w:r>
      <w:r>
        <w:rPr>
          <w:lang w:val="en-GB" w:eastAsia="en-GB"/>
        </w:rPr>
        <w:t xml:space="preserve"> especially </w:t>
      </w:r>
      <w:r w:rsidR="009C104E">
        <w:rPr>
          <w:lang w:val="en-GB" w:eastAsia="en-GB"/>
        </w:rPr>
        <w:t>immigrants, refugees, and non-citizen families of Jordanian women</w:t>
      </w:r>
      <w:r w:rsidR="00EC1C4C">
        <w:rPr>
          <w:lang w:val="en-GB" w:eastAsia="en-GB"/>
        </w:rPr>
        <w:t>.</w:t>
      </w:r>
      <w:r w:rsidR="005C121A">
        <w:rPr>
          <w:lang w:val="en-GB" w:eastAsia="en-GB"/>
        </w:rPr>
        <w:t xml:space="preserve"> For the avoidance of doubt, people of other Arab nationalities that are not Jordanian, are not considered as a Jordanian under the Constitution.</w:t>
      </w:r>
    </w:p>
    <w:p w:rsidR="008F60B6" w:rsidRDefault="008B52D1" w:rsidP="009C7A97">
      <w:pPr>
        <w:pStyle w:val="Body3"/>
        <w:jc w:val="both"/>
        <w:rPr>
          <w:lang w:val="en-GB" w:eastAsia="en-GB"/>
        </w:rPr>
      </w:pPr>
      <w:r>
        <w:rPr>
          <w:lang w:val="en-GB" w:eastAsia="en-GB"/>
        </w:rPr>
        <w:t>Syrian refugees, as a group, have perhaps</w:t>
      </w:r>
      <w:r w:rsidR="00EC1C4C">
        <w:rPr>
          <w:lang w:val="en-GB" w:eastAsia="en-GB"/>
        </w:rPr>
        <w:t xml:space="preserve"> the </w:t>
      </w:r>
      <w:r w:rsidR="001B0D31">
        <w:rPr>
          <w:lang w:val="en-GB" w:eastAsia="en-GB"/>
        </w:rPr>
        <w:t xml:space="preserve">lowest level of </w:t>
      </w:r>
      <w:r w:rsidR="00EC1C4C">
        <w:rPr>
          <w:lang w:val="en-GB" w:eastAsia="en-GB"/>
        </w:rPr>
        <w:t xml:space="preserve">security of </w:t>
      </w:r>
      <w:r w:rsidR="00702ACD" w:rsidRPr="0014158C">
        <w:rPr>
          <w:lang w:val="en-GB" w:eastAsia="en-GB"/>
        </w:rPr>
        <w:t xml:space="preserve">tenure in Jordan. </w:t>
      </w:r>
      <w:r w:rsidR="004C7CC3">
        <w:rPr>
          <w:lang w:val="en-GB" w:eastAsia="en-GB"/>
        </w:rPr>
        <w:t>While r</w:t>
      </w:r>
      <w:r w:rsidR="003404EC" w:rsidRPr="003404EC">
        <w:rPr>
          <w:lang w:val="en-GB" w:eastAsia="en-GB"/>
        </w:rPr>
        <w:t xml:space="preserve">egistered refugees </w:t>
      </w:r>
      <w:r w:rsidR="003404EC">
        <w:rPr>
          <w:lang w:val="en-GB" w:eastAsia="en-GB"/>
        </w:rPr>
        <w:t>number 756</w:t>
      </w:r>
      <w:r w:rsidR="004C7CC3">
        <w:rPr>
          <w:lang w:val="en-GB" w:eastAsia="en-GB"/>
        </w:rPr>
        <w:t>,</w:t>
      </w:r>
      <w:r w:rsidR="003404EC">
        <w:rPr>
          <w:lang w:val="en-GB" w:eastAsia="en-GB"/>
        </w:rPr>
        <w:t xml:space="preserve">551 </w:t>
      </w:r>
      <w:r w:rsidR="003404EC" w:rsidRPr="003404EC">
        <w:rPr>
          <w:lang w:val="en-GB" w:eastAsia="en-GB"/>
        </w:rPr>
        <w:t>as of April 2019</w:t>
      </w:r>
      <w:r>
        <w:rPr>
          <w:rStyle w:val="FootnoteReference"/>
          <w:lang w:val="en-GB" w:eastAsia="en-GB"/>
        </w:rPr>
        <w:footnoteReference w:id="83"/>
      </w:r>
      <w:r w:rsidR="003404EC" w:rsidRPr="003404EC">
        <w:rPr>
          <w:lang w:val="en-GB" w:eastAsia="en-GB"/>
        </w:rPr>
        <w:t xml:space="preserve"> (although the actual number is estimated t</w:t>
      </w:r>
      <w:r w:rsidR="003404EC">
        <w:rPr>
          <w:lang w:val="en-GB" w:eastAsia="en-GB"/>
        </w:rPr>
        <w:t>o be much higher at around 1.3</w:t>
      </w:r>
      <w:r w:rsidR="003404EC" w:rsidRPr="003404EC">
        <w:rPr>
          <w:lang w:val="en-GB" w:eastAsia="en-GB"/>
        </w:rPr>
        <w:t xml:space="preserve"> million</w:t>
      </w:r>
      <w:r w:rsidR="003404EC">
        <w:rPr>
          <w:lang w:val="en-GB" w:eastAsia="en-GB"/>
        </w:rPr>
        <w:t xml:space="preserve"> for Syrian refugees alone</w:t>
      </w:r>
      <w:r>
        <w:rPr>
          <w:rStyle w:val="FootnoteReference"/>
          <w:lang w:val="en-GB" w:eastAsia="en-GB"/>
        </w:rPr>
        <w:footnoteReference w:id="84"/>
      </w:r>
      <w:r w:rsidR="003404EC">
        <w:rPr>
          <w:lang w:val="en-GB" w:eastAsia="en-GB"/>
        </w:rPr>
        <w:t>)</w:t>
      </w:r>
      <w:r w:rsidR="00702ACD" w:rsidRPr="0014158C">
        <w:rPr>
          <w:lang w:val="en-GB" w:eastAsia="en-GB"/>
        </w:rPr>
        <w:t>, only 10</w:t>
      </w:r>
      <w:r w:rsidR="00EC1C4C">
        <w:rPr>
          <w:lang w:val="en-GB" w:eastAsia="en-GB"/>
        </w:rPr>
        <w:t>% of them</w:t>
      </w:r>
      <w:r w:rsidR="00702ACD" w:rsidRPr="0014158C">
        <w:rPr>
          <w:lang w:val="en-GB" w:eastAsia="en-GB"/>
        </w:rPr>
        <w:t xml:space="preserve"> live in camps. Nearly 70</w:t>
      </w:r>
      <w:r w:rsidR="00EC1C4C">
        <w:rPr>
          <w:lang w:val="en-GB" w:eastAsia="en-GB"/>
        </w:rPr>
        <w:t xml:space="preserve">% </w:t>
      </w:r>
      <w:r w:rsidR="00702ACD" w:rsidRPr="0014158C">
        <w:rPr>
          <w:lang w:val="en-GB" w:eastAsia="en-GB"/>
        </w:rPr>
        <w:t>do not have security of tenure.</w:t>
      </w:r>
      <w:r>
        <w:rPr>
          <w:rStyle w:val="FootnoteReference"/>
          <w:lang w:val="en-GB" w:eastAsia="en-GB"/>
        </w:rPr>
        <w:footnoteReference w:id="85"/>
      </w:r>
      <w:r w:rsidR="00702ACD" w:rsidRPr="0014158C">
        <w:rPr>
          <w:lang w:val="en-GB" w:eastAsia="en-GB"/>
        </w:rPr>
        <w:t xml:space="preserve"> </w:t>
      </w:r>
      <w:r w:rsidR="007A4937">
        <w:rPr>
          <w:lang w:val="en-GB" w:eastAsia="en-GB"/>
        </w:rPr>
        <w:t xml:space="preserve"> Many rent </w:t>
      </w:r>
      <w:r w:rsidR="00EC1C4C">
        <w:rPr>
          <w:lang w:val="en-GB" w:eastAsia="en-GB"/>
        </w:rPr>
        <w:t xml:space="preserve">properties </w:t>
      </w:r>
      <w:r w:rsidR="007A4937">
        <w:rPr>
          <w:lang w:val="en-GB" w:eastAsia="en-GB"/>
        </w:rPr>
        <w:t>without basic rental contracts</w:t>
      </w:r>
      <w:r w:rsidR="00EC1C4C">
        <w:rPr>
          <w:lang w:val="en-GB" w:eastAsia="en-GB"/>
        </w:rPr>
        <w:t>,</w:t>
      </w:r>
      <w:r w:rsidR="007A4937">
        <w:rPr>
          <w:lang w:val="en-GB" w:eastAsia="en-GB"/>
        </w:rPr>
        <w:t xml:space="preserve"> leaving them vulnerable to eviction.</w:t>
      </w:r>
      <w:r w:rsidR="00702ACD">
        <w:rPr>
          <w:lang w:val="en-GB" w:eastAsia="en-GB"/>
        </w:rPr>
        <w:t xml:space="preserve"> </w:t>
      </w:r>
    </w:p>
    <w:p w:rsidR="003404EC" w:rsidRDefault="008B52D1" w:rsidP="009C7A97">
      <w:pPr>
        <w:pStyle w:val="Body3"/>
        <w:jc w:val="both"/>
        <w:rPr>
          <w:lang w:val="en-GB" w:eastAsia="en-GB"/>
        </w:rPr>
      </w:pPr>
      <w:r>
        <w:rPr>
          <w:lang w:val="en-GB" w:eastAsia="en-GB"/>
        </w:rPr>
        <w:t xml:space="preserve">As noted in </w:t>
      </w:r>
      <w:r w:rsidR="004C7CC3">
        <w:rPr>
          <w:lang w:val="en-GB" w:eastAsia="en-GB"/>
        </w:rPr>
        <w:t>S</w:t>
      </w:r>
      <w:r>
        <w:rPr>
          <w:lang w:val="en-GB" w:eastAsia="en-GB"/>
        </w:rPr>
        <w:t xml:space="preserve">ection </w:t>
      </w:r>
      <w:r w:rsidR="004C7CC3">
        <w:rPr>
          <w:lang w:val="en-GB" w:eastAsia="en-GB"/>
        </w:rPr>
        <w:fldChar w:fldCharType="begin"/>
      </w:r>
      <w:r w:rsidR="004C7CC3">
        <w:rPr>
          <w:lang w:val="en-GB" w:eastAsia="en-GB"/>
        </w:rPr>
        <w:instrText xml:space="preserve"> REF _Ref19030378 \r \h </w:instrText>
      </w:r>
      <w:r w:rsidR="004C7CC3">
        <w:rPr>
          <w:lang w:val="en-GB" w:eastAsia="en-GB"/>
        </w:rPr>
      </w:r>
      <w:r w:rsidR="004C7CC3">
        <w:rPr>
          <w:lang w:val="en-GB" w:eastAsia="en-GB"/>
        </w:rPr>
        <w:fldChar w:fldCharType="separate"/>
      </w:r>
      <w:r w:rsidR="004C7CC3">
        <w:rPr>
          <w:lang w:val="en-GB" w:eastAsia="en-GB"/>
        </w:rPr>
        <w:t>2.4</w:t>
      </w:r>
      <w:r w:rsidR="004C7CC3">
        <w:rPr>
          <w:lang w:val="en-GB" w:eastAsia="en-GB"/>
        </w:rPr>
        <w:fldChar w:fldCharType="end"/>
      </w:r>
      <w:r>
        <w:rPr>
          <w:lang w:val="en-GB" w:eastAsia="en-GB"/>
        </w:rPr>
        <w:t xml:space="preserve"> above, there are many other refugee groups in Jordan, in fact the UNHCR estimates there are around 57 different refugee nationalities in Jordan</w:t>
      </w:r>
      <w:r w:rsidR="004C7CC3">
        <w:rPr>
          <w:lang w:val="en-GB" w:eastAsia="en-GB"/>
        </w:rPr>
        <w:t>.</w:t>
      </w:r>
      <w:r>
        <w:rPr>
          <w:rStyle w:val="FootnoteReference"/>
          <w:lang w:val="en-GB" w:eastAsia="en-GB"/>
        </w:rPr>
        <w:footnoteReference w:id="86"/>
      </w:r>
      <w:r w:rsidR="006E1E44">
        <w:rPr>
          <w:lang w:val="en-GB" w:eastAsia="en-GB"/>
        </w:rPr>
        <w:t xml:space="preserve"> Each group faces their own challenges especially since Syrian refugees are often prioritised in the distribution of humanitarian resources.</w:t>
      </w:r>
      <w:r>
        <w:rPr>
          <w:rStyle w:val="FootnoteReference"/>
          <w:lang w:val="en-GB" w:eastAsia="en-GB"/>
        </w:rPr>
        <w:footnoteReference w:id="87"/>
      </w:r>
      <w:r w:rsidR="006E1E44">
        <w:rPr>
          <w:lang w:val="en-GB" w:eastAsia="en-GB"/>
        </w:rPr>
        <w:t xml:space="preserve"> For instance, Sudanese </w:t>
      </w:r>
      <w:r w:rsidR="006E1E44">
        <w:rPr>
          <w:lang w:val="en-GB" w:eastAsia="en-GB"/>
        </w:rPr>
        <w:lastRenderedPageBreak/>
        <w:t xml:space="preserve">refugees are banned from formally entering the labour market </w:t>
      </w:r>
      <w:r w:rsidR="00DF6D5B">
        <w:rPr>
          <w:lang w:val="en-GB" w:eastAsia="en-GB"/>
        </w:rPr>
        <w:t xml:space="preserve">and their income stream is unstable, </w:t>
      </w:r>
      <w:r w:rsidR="004C7CC3">
        <w:rPr>
          <w:lang w:val="en-GB" w:eastAsia="en-GB"/>
        </w:rPr>
        <w:t>which</w:t>
      </w:r>
      <w:r w:rsidR="006E1E44">
        <w:rPr>
          <w:lang w:val="en-GB" w:eastAsia="en-GB"/>
        </w:rPr>
        <w:t xml:space="preserve"> means their access to secure housing is limited</w:t>
      </w:r>
      <w:r w:rsidR="00DF6D5B">
        <w:rPr>
          <w:lang w:val="en-GB" w:eastAsia="en-GB"/>
        </w:rPr>
        <w:t xml:space="preserve"> and they are at the mercy of landlords</w:t>
      </w:r>
      <w:r w:rsidR="00600054">
        <w:rPr>
          <w:lang w:val="en-GB" w:eastAsia="en-GB"/>
        </w:rPr>
        <w:t>, who are able to evict them without notice</w:t>
      </w:r>
      <w:r w:rsidR="006E1E44">
        <w:rPr>
          <w:lang w:val="en-GB" w:eastAsia="en-GB"/>
        </w:rPr>
        <w:t>.</w:t>
      </w:r>
      <w:r>
        <w:rPr>
          <w:rStyle w:val="FootnoteReference"/>
          <w:lang w:val="en-GB" w:eastAsia="en-GB"/>
        </w:rPr>
        <w:footnoteReference w:id="88"/>
      </w:r>
      <w:r w:rsidR="00DF6D5B">
        <w:rPr>
          <w:lang w:val="en-GB" w:eastAsia="en-GB"/>
        </w:rPr>
        <w:t xml:space="preserve"> There is a lot of competition for housing close to the UNHCR office in Amman and there have additionally been reports of Sudanese refugees facing racism and distrust and therefore finding it difficult to find a landlord that will rent to them.</w:t>
      </w:r>
      <w:r>
        <w:rPr>
          <w:rStyle w:val="FootnoteReference"/>
          <w:lang w:val="en-GB" w:eastAsia="en-GB"/>
        </w:rPr>
        <w:footnoteReference w:id="89"/>
      </w:r>
      <w:r w:rsidR="00DF6D5B">
        <w:rPr>
          <w:lang w:val="en-GB" w:eastAsia="en-GB"/>
        </w:rPr>
        <w:t xml:space="preserve"> Tenure for Sudanese migrants in Jordan is therefore extremely precarious.</w:t>
      </w:r>
    </w:p>
    <w:p w:rsidR="00A45917" w:rsidRDefault="008B52D1" w:rsidP="009C7A97">
      <w:pPr>
        <w:pStyle w:val="Body3"/>
        <w:jc w:val="both"/>
        <w:rPr>
          <w:lang w:val="en-GB" w:eastAsia="en-GB"/>
        </w:rPr>
      </w:pPr>
      <w:r>
        <w:rPr>
          <w:lang w:val="en-GB" w:eastAsia="en-GB"/>
        </w:rPr>
        <w:t>A further group of refugees is Palestinian refugee</w:t>
      </w:r>
      <w:r w:rsidR="001A64DF">
        <w:rPr>
          <w:lang w:val="en-GB" w:eastAsia="en-GB"/>
        </w:rPr>
        <w:t>s, specifically Gazans in Jordan</w:t>
      </w:r>
      <w:r w:rsidR="005C6D66">
        <w:rPr>
          <w:lang w:val="en-GB" w:eastAsia="en-GB"/>
        </w:rPr>
        <w:t>. Unli</w:t>
      </w:r>
      <w:r w:rsidR="00EC34F7">
        <w:rPr>
          <w:lang w:val="en-GB" w:eastAsia="en-GB"/>
        </w:rPr>
        <w:t>ke West Bank Palesti</w:t>
      </w:r>
      <w:r w:rsidR="004C7CC3">
        <w:rPr>
          <w:lang w:val="en-GB" w:eastAsia="en-GB"/>
        </w:rPr>
        <w:t>n</w:t>
      </w:r>
      <w:r w:rsidR="001A0D1A">
        <w:rPr>
          <w:lang w:val="en-GB" w:eastAsia="en-GB"/>
        </w:rPr>
        <w:t>i</w:t>
      </w:r>
      <w:r w:rsidR="00EC34F7">
        <w:rPr>
          <w:lang w:val="en-GB" w:eastAsia="en-GB"/>
        </w:rPr>
        <w:t>ans, Gazan Palestinians</w:t>
      </w:r>
      <w:r w:rsidR="005C6D66">
        <w:rPr>
          <w:lang w:val="en-GB" w:eastAsia="en-GB"/>
        </w:rPr>
        <w:t xml:space="preserve"> have not been given Jordanian citizenship which was justified under the guise of preserving the refugees</w:t>
      </w:r>
      <w:r w:rsidR="004C7CC3">
        <w:rPr>
          <w:lang w:val="en-GB" w:eastAsia="en-GB"/>
        </w:rPr>
        <w:t>'</w:t>
      </w:r>
      <w:r w:rsidR="005C6D66">
        <w:rPr>
          <w:lang w:val="en-GB" w:eastAsia="en-GB"/>
        </w:rPr>
        <w:t xml:space="preserve"> right</w:t>
      </w:r>
      <w:r w:rsidR="004C7CC3">
        <w:rPr>
          <w:lang w:val="en-GB" w:eastAsia="en-GB"/>
        </w:rPr>
        <w:t>s</w:t>
      </w:r>
      <w:r w:rsidR="005C6D66">
        <w:rPr>
          <w:lang w:val="en-GB" w:eastAsia="en-GB"/>
        </w:rPr>
        <w:t xml:space="preserve"> of return</w:t>
      </w:r>
      <w:r w:rsidR="004C7CC3">
        <w:rPr>
          <w:lang w:val="en-GB" w:eastAsia="en-GB"/>
        </w:rPr>
        <w:t>.</w:t>
      </w:r>
      <w:r>
        <w:rPr>
          <w:rStyle w:val="FootnoteReference"/>
          <w:lang w:val="en-GB" w:eastAsia="en-GB"/>
        </w:rPr>
        <w:footnoteReference w:id="90"/>
      </w:r>
      <w:r w:rsidR="001A64DF">
        <w:rPr>
          <w:lang w:val="en-GB" w:eastAsia="en-GB"/>
        </w:rPr>
        <w:t xml:space="preserve"> </w:t>
      </w:r>
      <w:r w:rsidR="005C6D66">
        <w:rPr>
          <w:lang w:val="en-GB" w:eastAsia="en-GB"/>
        </w:rPr>
        <w:t>In real</w:t>
      </w:r>
      <w:r w:rsidR="004C7CC3">
        <w:rPr>
          <w:lang w:val="en-GB" w:eastAsia="en-GB"/>
        </w:rPr>
        <w:t>it</w:t>
      </w:r>
      <w:r w:rsidR="005C6D66">
        <w:rPr>
          <w:lang w:val="en-GB" w:eastAsia="en-GB"/>
        </w:rPr>
        <w:t xml:space="preserve">y, this deprives Gazans of many of the rights described in earlier sections of this report. </w:t>
      </w:r>
      <w:r w:rsidR="001A64DF">
        <w:rPr>
          <w:lang w:val="en-GB" w:eastAsia="en-GB"/>
        </w:rPr>
        <w:t>Most Palestin</w:t>
      </w:r>
      <w:r w:rsidR="004C7CC3">
        <w:rPr>
          <w:lang w:val="en-GB" w:eastAsia="en-GB"/>
        </w:rPr>
        <w:t>i</w:t>
      </w:r>
      <w:r w:rsidR="001A64DF">
        <w:rPr>
          <w:lang w:val="en-GB" w:eastAsia="en-GB"/>
        </w:rPr>
        <w:t>an refugees reside in one of the ten UN recognised refugee camps</w:t>
      </w:r>
      <w:r w:rsidR="005C6D66">
        <w:rPr>
          <w:lang w:val="en-GB" w:eastAsia="en-GB"/>
        </w:rPr>
        <w:t xml:space="preserve"> and three informal settlements as noted in </w:t>
      </w:r>
      <w:r w:rsidR="004C7CC3">
        <w:rPr>
          <w:lang w:val="en-GB" w:eastAsia="en-GB"/>
        </w:rPr>
        <w:t>S</w:t>
      </w:r>
      <w:r w:rsidR="005C6D66">
        <w:rPr>
          <w:lang w:val="en-GB" w:eastAsia="en-GB"/>
        </w:rPr>
        <w:t xml:space="preserve">ection </w:t>
      </w:r>
      <w:r w:rsidR="004C7CC3">
        <w:rPr>
          <w:lang w:val="en-GB" w:eastAsia="en-GB"/>
        </w:rPr>
        <w:fldChar w:fldCharType="begin"/>
      </w:r>
      <w:r w:rsidR="004C7CC3">
        <w:rPr>
          <w:lang w:val="en-GB" w:eastAsia="en-GB"/>
        </w:rPr>
        <w:instrText xml:space="preserve"> REF _Ref19030466 \r \h </w:instrText>
      </w:r>
      <w:r w:rsidR="004C7CC3">
        <w:rPr>
          <w:lang w:val="en-GB" w:eastAsia="en-GB"/>
        </w:rPr>
      </w:r>
      <w:r w:rsidR="004C7CC3">
        <w:rPr>
          <w:lang w:val="en-GB" w:eastAsia="en-GB"/>
        </w:rPr>
        <w:fldChar w:fldCharType="separate"/>
      </w:r>
      <w:r w:rsidR="004C7CC3">
        <w:rPr>
          <w:lang w:val="en-GB" w:eastAsia="en-GB"/>
        </w:rPr>
        <w:t>2.4</w:t>
      </w:r>
      <w:r w:rsidR="004C7CC3">
        <w:rPr>
          <w:lang w:val="en-GB" w:eastAsia="en-GB"/>
        </w:rPr>
        <w:fldChar w:fldCharType="end"/>
      </w:r>
      <w:r w:rsidR="005C6D66">
        <w:rPr>
          <w:lang w:val="en-GB" w:eastAsia="en-GB"/>
        </w:rPr>
        <w:t xml:space="preserve"> above</w:t>
      </w:r>
      <w:r w:rsidR="001A64DF">
        <w:rPr>
          <w:lang w:val="en-GB" w:eastAsia="en-GB"/>
        </w:rPr>
        <w:t>.</w:t>
      </w:r>
      <w:r>
        <w:rPr>
          <w:rStyle w:val="FootnoteReference"/>
          <w:lang w:val="en-GB" w:eastAsia="en-GB"/>
        </w:rPr>
        <w:footnoteReference w:id="91"/>
      </w:r>
      <w:r w:rsidR="001A64DF">
        <w:rPr>
          <w:lang w:val="en-GB" w:eastAsia="en-GB"/>
        </w:rPr>
        <w:t xml:space="preserve"> </w:t>
      </w:r>
      <w:r w:rsidR="005C6D66">
        <w:rPr>
          <w:lang w:val="en-GB" w:eastAsia="en-GB"/>
        </w:rPr>
        <w:t>These camps are overcrowded and living conditions</w:t>
      </w:r>
      <w:r w:rsidR="004C7CC3">
        <w:rPr>
          <w:lang w:val="en-GB" w:eastAsia="en-GB"/>
        </w:rPr>
        <w:t xml:space="preserve"> are dismal</w:t>
      </w:r>
      <w:r w:rsidR="005C6D66">
        <w:rPr>
          <w:lang w:val="en-GB" w:eastAsia="en-GB"/>
        </w:rPr>
        <w:t>.</w:t>
      </w:r>
    </w:p>
    <w:p w:rsidR="00DF3386" w:rsidRPr="006E15A2" w:rsidRDefault="008B52D1" w:rsidP="006E0841">
      <w:pPr>
        <w:pStyle w:val="Body3"/>
        <w:jc w:val="both"/>
        <w:rPr>
          <w:lang w:val="en-GB" w:eastAsia="en-GB"/>
        </w:rPr>
      </w:pPr>
      <w:r w:rsidRPr="006E0841">
        <w:rPr>
          <w:lang w:val="en-GB" w:eastAsia="en-GB"/>
        </w:rPr>
        <w:t xml:space="preserve">As described in section 2.4 above, the Dom gypsy community in Jordan mostly live in tents on the outskirts in the East of Amman with little access to water or electricity. Much of the community is nomadic or semi-nomadic and move to the Jordan Valley during the winter month. Though this group have full rights under the constitution and are in theory in a better position than those who are not Jordanian citizens, the realisation of any rights is lacking and social exclusion remains problematic for this group. </w:t>
      </w:r>
    </w:p>
    <w:p w:rsidR="00EA305E" w:rsidRPr="00EC1C4C" w:rsidRDefault="008B52D1" w:rsidP="00AD7408">
      <w:pPr>
        <w:pStyle w:val="AllensHeading3"/>
        <w:numPr>
          <w:ilvl w:val="2"/>
          <w:numId w:val="11"/>
        </w:numPr>
        <w:rPr>
          <w:b/>
          <w:lang w:val="en-GB" w:eastAsia="en-GB"/>
        </w:rPr>
      </w:pPr>
      <w:r w:rsidRPr="00EC1C4C">
        <w:rPr>
          <w:b/>
          <w:lang w:val="en-GB" w:eastAsia="en-GB"/>
        </w:rPr>
        <w:t>If so, are they subject to special conditions or restrictions?</w:t>
      </w:r>
    </w:p>
    <w:p w:rsidR="00832BBB" w:rsidRPr="00EC1C4C" w:rsidRDefault="008B52D1" w:rsidP="00AD7408">
      <w:pPr>
        <w:pStyle w:val="AllensHeading4"/>
        <w:numPr>
          <w:ilvl w:val="3"/>
          <w:numId w:val="11"/>
        </w:numPr>
        <w:jc w:val="both"/>
        <w:rPr>
          <w:lang w:val="en-GB" w:eastAsia="en-GB"/>
        </w:rPr>
      </w:pPr>
      <w:bookmarkStart w:id="88" w:name="_Ref19551214"/>
      <w:r w:rsidRPr="00EC1C4C">
        <w:rPr>
          <w:lang w:val="en-GB" w:eastAsia="en-GB"/>
        </w:rPr>
        <w:t>Children and</w:t>
      </w:r>
      <w:r w:rsidR="005C121A">
        <w:rPr>
          <w:lang w:val="en-GB" w:eastAsia="en-GB"/>
        </w:rPr>
        <w:t xml:space="preserve"> foreign national</w:t>
      </w:r>
      <w:r w:rsidRPr="00EC1C4C">
        <w:rPr>
          <w:lang w:val="en-GB" w:eastAsia="en-GB"/>
        </w:rPr>
        <w:t xml:space="preserve"> spouses of Jordanian women residing in Jordan</w:t>
      </w:r>
      <w:bookmarkEnd w:id="88"/>
    </w:p>
    <w:p w:rsidR="00832BBB" w:rsidRDefault="008B52D1" w:rsidP="007A4937">
      <w:pPr>
        <w:pStyle w:val="Body4"/>
        <w:jc w:val="both"/>
        <w:rPr>
          <w:lang w:val="en-GB" w:eastAsia="en-GB"/>
        </w:rPr>
      </w:pPr>
      <w:r>
        <w:rPr>
          <w:lang w:val="en-GB" w:eastAsia="en-GB"/>
        </w:rPr>
        <w:t>In this situation, the woman has to be attached to all the property.</w:t>
      </w:r>
      <w:r>
        <w:rPr>
          <w:rStyle w:val="FootnoteReference"/>
          <w:lang w:val="en-GB" w:eastAsia="en-GB"/>
        </w:rPr>
        <w:footnoteReference w:id="92"/>
      </w:r>
      <w:r>
        <w:rPr>
          <w:lang w:val="en-GB" w:eastAsia="en-GB"/>
        </w:rPr>
        <w:t xml:space="preserve"> Land laws are so restrictive that all property must be registered in the woman's name. Their children and spouses who are foreign nationals cannot acquire property without obtaining approval from the Minister of Finance (or other relevant Minister). Even after this, it is difficult to sell on the property.</w:t>
      </w:r>
      <w:r w:rsidR="005C121A">
        <w:rPr>
          <w:lang w:val="en-GB" w:eastAsia="en-GB"/>
        </w:rPr>
        <w:t xml:space="preserve"> For the avoidance of doubt, Jordanian women are able to transfer property to other Jordanian citizens as normal.</w:t>
      </w:r>
    </w:p>
    <w:p w:rsidR="0030110F" w:rsidRDefault="008B52D1" w:rsidP="00315CE9">
      <w:pPr>
        <w:pStyle w:val="AllensHeading4"/>
        <w:rPr>
          <w:lang w:val="en-GB" w:eastAsia="en-GB"/>
        </w:rPr>
      </w:pPr>
      <w:r w:rsidRPr="0030110F">
        <w:rPr>
          <w:lang w:val="en-GB" w:eastAsia="en-GB"/>
        </w:rPr>
        <w:t>Non-</w:t>
      </w:r>
      <w:r w:rsidR="003B4B77">
        <w:rPr>
          <w:lang w:val="en-GB" w:eastAsia="en-GB"/>
        </w:rPr>
        <w:t>Jordanian</w:t>
      </w:r>
      <w:r w:rsidRPr="0030110F">
        <w:rPr>
          <w:lang w:val="en-GB" w:eastAsia="en-GB"/>
        </w:rPr>
        <w:t xml:space="preserve"> foreigners </w:t>
      </w:r>
    </w:p>
    <w:p w:rsidR="0030110F" w:rsidRDefault="008B52D1" w:rsidP="008F60B6">
      <w:pPr>
        <w:pStyle w:val="Level4"/>
        <w:numPr>
          <w:ilvl w:val="0"/>
          <w:numId w:val="0"/>
        </w:numPr>
        <w:ind w:left="2126"/>
        <w:jc w:val="both"/>
        <w:rPr>
          <w:lang w:val="en-GB" w:eastAsia="en-GB"/>
        </w:rPr>
      </w:pPr>
      <w:r>
        <w:rPr>
          <w:lang w:val="en-GB" w:eastAsia="en-GB"/>
        </w:rPr>
        <w:t xml:space="preserve">Non-Jordanian prospective landowners </w:t>
      </w:r>
      <w:r w:rsidRPr="0030110F">
        <w:rPr>
          <w:lang w:val="en-GB" w:eastAsia="en-GB"/>
        </w:rPr>
        <w:t xml:space="preserve">have to </w:t>
      </w:r>
      <w:r>
        <w:rPr>
          <w:lang w:val="en-GB" w:eastAsia="en-GB"/>
        </w:rPr>
        <w:t xml:space="preserve">obtain </w:t>
      </w:r>
      <w:r w:rsidRPr="0030110F">
        <w:rPr>
          <w:lang w:val="en-GB" w:eastAsia="en-GB"/>
        </w:rPr>
        <w:t>approval from the Minister of Finance before they can purchase residential or commercial property in Jordan (according to the Law of Sale and Leasing of Immovable Assets to Non-</w:t>
      </w:r>
      <w:r w:rsidR="002D4889">
        <w:rPr>
          <w:lang w:val="en-GB" w:eastAsia="en-GB"/>
        </w:rPr>
        <w:t xml:space="preserve">Jordanian and Judicial Persons </w:t>
      </w:r>
      <w:r w:rsidR="001A0D1A">
        <w:rPr>
          <w:lang w:val="en-GB" w:eastAsia="en-GB"/>
        </w:rPr>
        <w:t>(</w:t>
      </w:r>
      <w:r w:rsidRPr="0030110F">
        <w:rPr>
          <w:lang w:val="en-GB" w:eastAsia="en-GB"/>
        </w:rPr>
        <w:t>No. 47</w:t>
      </w:r>
      <w:r w:rsidR="002D4889">
        <w:rPr>
          <w:lang w:val="en-GB" w:eastAsia="en-GB"/>
        </w:rPr>
        <w:t xml:space="preserve"> </w:t>
      </w:r>
      <w:r>
        <w:rPr>
          <w:lang w:val="en-GB" w:eastAsia="en-GB"/>
        </w:rPr>
        <w:t xml:space="preserve">of </w:t>
      </w:r>
      <w:r w:rsidRPr="0030110F">
        <w:rPr>
          <w:lang w:val="en-GB" w:eastAsia="en-GB"/>
        </w:rPr>
        <w:t>2006</w:t>
      </w:r>
      <w:r w:rsidR="001A0D1A">
        <w:rPr>
          <w:lang w:val="en-GB" w:eastAsia="en-GB"/>
        </w:rPr>
        <w:t>)</w:t>
      </w:r>
      <w:r>
        <w:rPr>
          <w:lang w:val="en-GB" w:eastAsia="en-GB"/>
        </w:rPr>
        <w:t>). This law</w:t>
      </w:r>
      <w:r w:rsidRPr="0030110F">
        <w:rPr>
          <w:lang w:val="en-GB" w:eastAsia="en-GB"/>
        </w:rPr>
        <w:t xml:space="preserve"> also restrict</w:t>
      </w:r>
      <w:r>
        <w:rPr>
          <w:lang w:val="en-GB" w:eastAsia="en-GB"/>
        </w:rPr>
        <w:t>s</w:t>
      </w:r>
      <w:r w:rsidRPr="0030110F">
        <w:rPr>
          <w:lang w:val="en-GB" w:eastAsia="en-GB"/>
        </w:rPr>
        <w:t xml:space="preserve"> the period of tenure </w:t>
      </w:r>
      <w:r>
        <w:rPr>
          <w:lang w:val="en-GB" w:eastAsia="en-GB"/>
        </w:rPr>
        <w:t xml:space="preserve">of a leasehold </w:t>
      </w:r>
      <w:r w:rsidRPr="0030110F">
        <w:rPr>
          <w:lang w:val="en-GB" w:eastAsia="en-GB"/>
        </w:rPr>
        <w:t xml:space="preserve">to </w:t>
      </w:r>
      <w:r>
        <w:rPr>
          <w:lang w:val="en-GB" w:eastAsia="en-GB"/>
        </w:rPr>
        <w:t>one three-</w:t>
      </w:r>
      <w:r w:rsidRPr="0030110F">
        <w:rPr>
          <w:lang w:val="en-GB" w:eastAsia="en-GB"/>
        </w:rPr>
        <w:t>year period</w:t>
      </w:r>
      <w:r>
        <w:rPr>
          <w:lang w:val="en-GB" w:eastAsia="en-GB"/>
        </w:rPr>
        <w:t>,</w:t>
      </w:r>
      <w:r w:rsidRPr="0030110F">
        <w:rPr>
          <w:lang w:val="en-GB" w:eastAsia="en-GB"/>
        </w:rPr>
        <w:t xml:space="preserve"> with an option to extend </w:t>
      </w:r>
      <w:r>
        <w:rPr>
          <w:lang w:val="en-GB" w:eastAsia="en-GB"/>
        </w:rPr>
        <w:t xml:space="preserve">tenure </w:t>
      </w:r>
      <w:r w:rsidRPr="0030110F">
        <w:rPr>
          <w:lang w:val="en-GB" w:eastAsia="en-GB"/>
        </w:rPr>
        <w:t xml:space="preserve">for another three years.  A further condition is that there must be </w:t>
      </w:r>
      <w:r w:rsidRPr="0030110F">
        <w:rPr>
          <w:lang w:val="en-GB" w:eastAsia="en-GB"/>
        </w:rPr>
        <w:lastRenderedPageBreak/>
        <w:t>reciprocal property ownership rights in their h</w:t>
      </w:r>
      <w:r>
        <w:rPr>
          <w:lang w:val="en-GB" w:eastAsia="en-GB"/>
        </w:rPr>
        <w:t xml:space="preserve">ome state. </w:t>
      </w:r>
      <w:r w:rsidRPr="0030110F">
        <w:rPr>
          <w:lang w:val="en-GB" w:eastAsia="en-GB"/>
        </w:rPr>
        <w:t xml:space="preserve">In practice, foreigners </w:t>
      </w:r>
      <w:r>
        <w:rPr>
          <w:lang w:val="en-GB" w:eastAsia="en-GB"/>
        </w:rPr>
        <w:t xml:space="preserve">who </w:t>
      </w:r>
      <w:r w:rsidRPr="0030110F">
        <w:rPr>
          <w:lang w:val="en-GB" w:eastAsia="en-GB"/>
        </w:rPr>
        <w:t>can afford to purchase or lease a property are likely to be granted permission</w:t>
      </w:r>
      <w:r>
        <w:rPr>
          <w:lang w:val="en-GB" w:eastAsia="en-GB"/>
        </w:rPr>
        <w:t xml:space="preserve"> to do so</w:t>
      </w:r>
      <w:r w:rsidRPr="0030110F">
        <w:rPr>
          <w:lang w:val="en-GB" w:eastAsia="en-GB"/>
        </w:rPr>
        <w:t>.</w:t>
      </w:r>
    </w:p>
    <w:p w:rsidR="007A4937" w:rsidRDefault="008B52D1" w:rsidP="00315CE9">
      <w:pPr>
        <w:pStyle w:val="AllensHeading4"/>
        <w:rPr>
          <w:lang w:val="en-GB" w:eastAsia="en-GB"/>
        </w:rPr>
      </w:pPr>
      <w:bookmarkStart w:id="89" w:name="Informal"/>
      <w:bookmarkEnd w:id="89"/>
      <w:r>
        <w:rPr>
          <w:lang w:val="en-GB" w:eastAsia="en-GB"/>
        </w:rPr>
        <w:t>Refugees</w:t>
      </w:r>
    </w:p>
    <w:p w:rsidR="007A4937" w:rsidRDefault="008B52D1" w:rsidP="007A4937">
      <w:pPr>
        <w:pStyle w:val="Body4"/>
        <w:jc w:val="both"/>
        <w:rPr>
          <w:lang w:val="en-GB" w:eastAsia="en-GB"/>
        </w:rPr>
      </w:pPr>
      <w:r>
        <w:rPr>
          <w:lang w:val="en-GB" w:eastAsia="en-GB"/>
        </w:rPr>
        <w:t>Many refugees rent property in Jordan if they can afford it. Those who cannot afford it often end up in informal settlements where they do not have a legal right to own or occupy</w:t>
      </w:r>
      <w:r w:rsidR="00315CE9">
        <w:rPr>
          <w:lang w:val="en-GB" w:eastAsia="en-GB"/>
        </w:rPr>
        <w:t xml:space="preserve"> the property</w:t>
      </w:r>
      <w:r>
        <w:rPr>
          <w:lang w:val="en-GB" w:eastAsia="en-GB"/>
        </w:rPr>
        <w:t xml:space="preserve">. There are now </w:t>
      </w:r>
      <w:r w:rsidR="0030110F">
        <w:rPr>
          <w:lang w:val="en-GB" w:eastAsia="en-GB"/>
        </w:rPr>
        <w:t>programmes</w:t>
      </w:r>
      <w:r>
        <w:rPr>
          <w:lang w:val="en-GB" w:eastAsia="en-GB"/>
        </w:rPr>
        <w:t xml:space="preserve"> where a group of prospective renters can negotiate with a landowner to upgrade houses in exchange for a</w:t>
      </w:r>
      <w:r w:rsidR="0030110F">
        <w:rPr>
          <w:lang w:val="en-GB" w:eastAsia="en-GB"/>
        </w:rPr>
        <w:t xml:space="preserve"> rent-free</w:t>
      </w:r>
      <w:r>
        <w:rPr>
          <w:lang w:val="en-GB" w:eastAsia="en-GB"/>
        </w:rPr>
        <w:t xml:space="preserve"> right to occupy a property legally </w:t>
      </w:r>
      <w:r w:rsidR="00483BEA">
        <w:rPr>
          <w:lang w:val="en-GB" w:eastAsia="en-GB"/>
        </w:rPr>
        <w:t>for 12 to</w:t>
      </w:r>
      <w:r>
        <w:rPr>
          <w:lang w:val="en-GB" w:eastAsia="en-GB"/>
        </w:rPr>
        <w:t xml:space="preserve"> 24 months. </w:t>
      </w:r>
      <w:r w:rsidR="0051201F">
        <w:rPr>
          <w:lang w:val="en-GB" w:eastAsia="en-GB"/>
        </w:rPr>
        <w:t>This is a programme that is predominately used by refugees who ca</w:t>
      </w:r>
      <w:r w:rsidR="00317500">
        <w:rPr>
          <w:lang w:val="en-GB" w:eastAsia="en-GB"/>
        </w:rPr>
        <w:t xml:space="preserve">nnot afford to pay market rent, to enable them to have a place to live. </w:t>
      </w:r>
      <w:r w:rsidR="0051201F">
        <w:rPr>
          <w:lang w:val="en-GB" w:eastAsia="en-GB"/>
        </w:rPr>
        <w:t>The arrangement</w:t>
      </w:r>
      <w:r>
        <w:rPr>
          <w:lang w:val="en-GB" w:eastAsia="en-GB"/>
        </w:rPr>
        <w:t xml:space="preserve"> will be documented </w:t>
      </w:r>
      <w:r w:rsidR="00483BEA">
        <w:rPr>
          <w:lang w:val="en-GB" w:eastAsia="en-GB"/>
        </w:rPr>
        <w:t xml:space="preserve">by </w:t>
      </w:r>
      <w:r>
        <w:rPr>
          <w:lang w:val="en-GB" w:eastAsia="en-GB"/>
        </w:rPr>
        <w:t>a formal agreement and registered with a local authority, providing protection from eviction.</w:t>
      </w:r>
      <w:r>
        <w:rPr>
          <w:rStyle w:val="FootnoteReference"/>
          <w:lang w:val="en-GB" w:eastAsia="en-GB"/>
        </w:rPr>
        <w:footnoteReference w:id="93"/>
      </w:r>
    </w:p>
    <w:p w:rsidR="00573500" w:rsidRPr="007A4937" w:rsidRDefault="008B52D1" w:rsidP="007A4937">
      <w:pPr>
        <w:pStyle w:val="Body4"/>
        <w:jc w:val="both"/>
        <w:rPr>
          <w:lang w:val="en-GB" w:eastAsia="en-GB"/>
        </w:rPr>
      </w:pPr>
      <w:r>
        <w:rPr>
          <w:lang w:val="en-GB" w:eastAsia="en-GB"/>
        </w:rPr>
        <w:t xml:space="preserve">As mentioned above in </w:t>
      </w:r>
      <w:r w:rsidR="004C7CC3">
        <w:rPr>
          <w:lang w:val="en-GB" w:eastAsia="en-GB"/>
        </w:rPr>
        <w:t>S</w:t>
      </w:r>
      <w:r>
        <w:rPr>
          <w:lang w:val="en-GB" w:eastAsia="en-GB"/>
        </w:rPr>
        <w:t xml:space="preserve">ection </w:t>
      </w:r>
      <w:r w:rsidR="004C7CC3">
        <w:rPr>
          <w:lang w:val="en-GB" w:eastAsia="en-GB"/>
        </w:rPr>
        <w:fldChar w:fldCharType="begin"/>
      </w:r>
      <w:r w:rsidR="004C7CC3">
        <w:rPr>
          <w:lang w:val="en-GB" w:eastAsia="en-GB"/>
        </w:rPr>
        <w:instrText xml:space="preserve"> REF _Ref19030489 \r \h </w:instrText>
      </w:r>
      <w:r w:rsidR="004C7CC3">
        <w:rPr>
          <w:lang w:val="en-GB" w:eastAsia="en-GB"/>
        </w:rPr>
      </w:r>
      <w:r w:rsidR="004C7CC3">
        <w:rPr>
          <w:lang w:val="en-GB" w:eastAsia="en-GB"/>
        </w:rPr>
        <w:fldChar w:fldCharType="separate"/>
      </w:r>
      <w:r w:rsidR="004C7CC3">
        <w:rPr>
          <w:lang w:val="en-GB" w:eastAsia="en-GB"/>
        </w:rPr>
        <w:t>2.4</w:t>
      </w:r>
      <w:r w:rsidR="004C7CC3">
        <w:rPr>
          <w:lang w:val="en-GB" w:eastAsia="en-GB"/>
        </w:rPr>
        <w:fldChar w:fldCharType="end"/>
      </w:r>
      <w:r>
        <w:rPr>
          <w:lang w:val="en-GB" w:eastAsia="en-GB"/>
        </w:rPr>
        <w:t>, the rules and</w:t>
      </w:r>
      <w:r w:rsidRPr="00573500">
        <w:rPr>
          <w:lang w:val="en-GB" w:eastAsia="en-GB"/>
        </w:rPr>
        <w:t xml:space="preserve"> contractual arrangements in the</w:t>
      </w:r>
      <w:r>
        <w:rPr>
          <w:lang w:val="en-GB" w:eastAsia="en-GB"/>
        </w:rPr>
        <w:t xml:space="preserve"> established</w:t>
      </w:r>
      <w:r w:rsidRPr="00573500">
        <w:rPr>
          <w:lang w:val="en-GB" w:eastAsia="en-GB"/>
        </w:rPr>
        <w:t xml:space="preserve"> Palestinian and Syrian refugee camps are not publically available. However</w:t>
      </w:r>
      <w:r w:rsidR="004C7CC3">
        <w:rPr>
          <w:lang w:val="en-GB" w:eastAsia="en-GB"/>
        </w:rPr>
        <w:t>,</w:t>
      </w:r>
      <w:r w:rsidRPr="00573500">
        <w:rPr>
          <w:lang w:val="en-GB" w:eastAsia="en-GB"/>
        </w:rPr>
        <w:t xml:space="preserve"> realistically</w:t>
      </w:r>
      <w:r w:rsidR="004C7CC3">
        <w:rPr>
          <w:lang w:val="en-GB" w:eastAsia="en-GB"/>
        </w:rPr>
        <w:t>,</w:t>
      </w:r>
      <w:r w:rsidRPr="00573500">
        <w:rPr>
          <w:lang w:val="en-GB" w:eastAsia="en-GB"/>
        </w:rPr>
        <w:t xml:space="preserve"> it is not likely that the inhabitants will have any legal right to title (</w:t>
      </w:r>
      <w:r w:rsidR="004C7CC3">
        <w:rPr>
          <w:lang w:val="en-GB" w:eastAsia="en-GB"/>
        </w:rPr>
        <w:t>under</w:t>
      </w:r>
      <w:r w:rsidRPr="00573500">
        <w:rPr>
          <w:lang w:val="en-GB" w:eastAsia="en-GB"/>
        </w:rPr>
        <w:t xml:space="preserve"> Jordanian law) to the houses or shelters that they live in</w:t>
      </w:r>
      <w:r>
        <w:rPr>
          <w:lang w:val="en-GB" w:eastAsia="en-GB"/>
        </w:rPr>
        <w:t>.</w:t>
      </w:r>
    </w:p>
    <w:p w:rsidR="00BD1AEC" w:rsidRPr="00483BEA" w:rsidRDefault="008B52D1" w:rsidP="00483BEA">
      <w:pPr>
        <w:pStyle w:val="AllensHeading3"/>
        <w:rPr>
          <w:b/>
          <w:lang w:val="en-GB" w:eastAsia="en-GB"/>
        </w:rPr>
      </w:pPr>
      <w:r w:rsidRPr="00483BEA">
        <w:rPr>
          <w:b/>
          <w:lang w:val="en-GB" w:eastAsia="en-GB"/>
        </w:rPr>
        <w:t>In practice, do minority groups legally own and/or rent land and housing? If not, why not?</w:t>
      </w:r>
    </w:p>
    <w:p w:rsidR="00AB0208" w:rsidRDefault="008B52D1" w:rsidP="00AB0208">
      <w:pPr>
        <w:pStyle w:val="Body3"/>
        <w:jc w:val="both"/>
        <w:rPr>
          <w:lang w:val="en-GB" w:eastAsia="en-GB"/>
        </w:rPr>
      </w:pPr>
      <w:r>
        <w:rPr>
          <w:lang w:val="en-GB" w:eastAsia="en-GB"/>
        </w:rPr>
        <w:t xml:space="preserve">See </w:t>
      </w:r>
      <w:r w:rsidR="001A0D1A">
        <w:rPr>
          <w:lang w:val="en-GB" w:eastAsia="en-GB"/>
        </w:rPr>
        <w:t xml:space="preserve">Section </w:t>
      </w:r>
      <w:r w:rsidR="001A0D1A">
        <w:rPr>
          <w:lang w:val="en-GB" w:eastAsia="en-GB"/>
        </w:rPr>
        <w:fldChar w:fldCharType="begin"/>
      </w:r>
      <w:r w:rsidR="001A0D1A">
        <w:rPr>
          <w:lang w:val="en-GB" w:eastAsia="en-GB"/>
        </w:rPr>
        <w:instrText xml:space="preserve"> REF _Ref19551559 \w \h </w:instrText>
      </w:r>
      <w:r w:rsidR="001A0D1A">
        <w:rPr>
          <w:lang w:val="en-GB" w:eastAsia="en-GB"/>
        </w:rPr>
      </w:r>
      <w:r w:rsidR="001A0D1A">
        <w:rPr>
          <w:lang w:val="en-GB" w:eastAsia="en-GB"/>
        </w:rPr>
        <w:fldChar w:fldCharType="separate"/>
      </w:r>
      <w:r w:rsidR="001A0D1A">
        <w:rPr>
          <w:lang w:val="en-GB" w:eastAsia="en-GB"/>
        </w:rPr>
        <w:t>2.3</w:t>
      </w:r>
      <w:r w:rsidR="001A0D1A">
        <w:rPr>
          <w:lang w:val="en-GB" w:eastAsia="en-GB"/>
        </w:rPr>
        <w:fldChar w:fldCharType="end"/>
      </w:r>
      <w:r>
        <w:rPr>
          <w:lang w:val="en-GB" w:eastAsia="en-GB"/>
        </w:rPr>
        <w:t xml:space="preserve"> on customary ownership and Section </w:t>
      </w:r>
      <w:r w:rsidR="001A0D1A">
        <w:rPr>
          <w:lang w:val="en-GB" w:eastAsia="en-GB"/>
        </w:rPr>
        <w:fldChar w:fldCharType="begin"/>
      </w:r>
      <w:r w:rsidR="001A0D1A">
        <w:rPr>
          <w:lang w:val="en-GB" w:eastAsia="en-GB"/>
        </w:rPr>
        <w:instrText xml:space="preserve"> REF _Ref19551566 \w \h </w:instrText>
      </w:r>
      <w:r w:rsidR="001A0D1A">
        <w:rPr>
          <w:lang w:val="en-GB" w:eastAsia="en-GB"/>
        </w:rPr>
      </w:r>
      <w:r w:rsidR="001A0D1A">
        <w:rPr>
          <w:lang w:val="en-GB" w:eastAsia="en-GB"/>
        </w:rPr>
        <w:fldChar w:fldCharType="separate"/>
      </w:r>
      <w:r w:rsidR="001A0D1A">
        <w:rPr>
          <w:lang w:val="en-GB" w:eastAsia="en-GB"/>
        </w:rPr>
        <w:t>2.4</w:t>
      </w:r>
      <w:r w:rsidR="001A0D1A">
        <w:rPr>
          <w:lang w:val="en-GB" w:eastAsia="en-GB"/>
        </w:rPr>
        <w:fldChar w:fldCharType="end"/>
      </w:r>
      <w:r>
        <w:rPr>
          <w:lang w:val="en-GB" w:eastAsia="en-GB"/>
        </w:rPr>
        <w:t xml:space="preserve"> on informal settlements above. A number of vulnerable Jordanians and refugees live in urban areas and legally rent housing units with the assistance of cash-for-rent aid from NGOs. However as to the refugee camps, even where these have evolved into semi-permanent settlements, the refugees still lack land and property rights and could potentially be subject to lawful eviction from their homes.</w:t>
      </w:r>
    </w:p>
    <w:p w:rsidR="00EA305E" w:rsidRDefault="008B52D1" w:rsidP="00483BEA">
      <w:pPr>
        <w:pStyle w:val="AllensHeading2"/>
      </w:pPr>
      <w:bookmarkStart w:id="90" w:name="Landless"/>
      <w:bookmarkStart w:id="91" w:name="_Toc256000096"/>
      <w:bookmarkStart w:id="92" w:name="_Toc256000012"/>
      <w:bookmarkStart w:id="93" w:name="_Toc16243123"/>
      <w:bookmarkEnd w:id="90"/>
      <w:r>
        <w:t>Landless people/squatters</w:t>
      </w:r>
      <w:bookmarkEnd w:id="91"/>
      <w:bookmarkEnd w:id="92"/>
      <w:bookmarkEnd w:id="93"/>
    </w:p>
    <w:p w:rsidR="00EA305E" w:rsidRPr="00483BEA" w:rsidRDefault="008B52D1" w:rsidP="00483BEA">
      <w:pPr>
        <w:pStyle w:val="AllensHeading3"/>
        <w:jc w:val="both"/>
        <w:rPr>
          <w:b/>
          <w:lang w:val="en-GB" w:eastAsia="en-GB"/>
        </w:rPr>
      </w:pPr>
      <w:r w:rsidRPr="00483BEA">
        <w:rPr>
          <w:b/>
          <w:lang w:val="en-GB" w:eastAsia="en-GB"/>
        </w:rPr>
        <w:t>Do landless people/squatters have ri</w:t>
      </w:r>
      <w:r w:rsidR="00483BEA">
        <w:rPr>
          <w:b/>
          <w:lang w:val="en-GB" w:eastAsia="en-GB"/>
        </w:rPr>
        <w:t>ghts to land and/or housing (e.g.</w:t>
      </w:r>
      <w:r w:rsidRPr="00483BEA">
        <w:rPr>
          <w:b/>
          <w:lang w:val="en-GB" w:eastAsia="en-GB"/>
        </w:rPr>
        <w:t xml:space="preserve"> adverse possession)? If so, are those rights re</w:t>
      </w:r>
      <w:r w:rsidR="009C104E" w:rsidRPr="00483BEA">
        <w:rPr>
          <w:b/>
          <w:lang w:val="en-GB" w:eastAsia="en-GB"/>
        </w:rPr>
        <w:t>spected?</w:t>
      </w:r>
    </w:p>
    <w:p w:rsidR="00EA305E" w:rsidRDefault="008B52D1" w:rsidP="00CA5CD1">
      <w:pPr>
        <w:pStyle w:val="AllensHeading3"/>
        <w:numPr>
          <w:ilvl w:val="0"/>
          <w:numId w:val="0"/>
        </w:numPr>
        <w:ind w:left="1418"/>
        <w:jc w:val="both"/>
        <w:rPr>
          <w:lang w:val="en-GB" w:eastAsia="en-GB"/>
        </w:rPr>
      </w:pPr>
      <w:r>
        <w:rPr>
          <w:lang w:val="en-GB" w:eastAsia="en-GB"/>
        </w:rPr>
        <w:t xml:space="preserve">See Section </w:t>
      </w:r>
      <w:r>
        <w:rPr>
          <w:lang w:val="en-GB" w:eastAsia="en-GB"/>
        </w:rPr>
        <w:fldChar w:fldCharType="begin"/>
      </w:r>
      <w:r>
        <w:rPr>
          <w:lang w:val="en-GB" w:eastAsia="en-GB"/>
        </w:rPr>
        <w:instrText xml:space="preserve"> REF _Ref13685577 \n \h </w:instrText>
      </w:r>
      <w:r>
        <w:rPr>
          <w:lang w:val="en-GB" w:eastAsia="en-GB"/>
        </w:rPr>
      </w:r>
      <w:r>
        <w:rPr>
          <w:lang w:val="en-GB" w:eastAsia="en-GB"/>
        </w:rPr>
        <w:fldChar w:fldCharType="separate"/>
      </w:r>
      <w:r>
        <w:rPr>
          <w:lang w:val="en-GB" w:eastAsia="en-GB"/>
        </w:rPr>
        <w:t>2.3</w:t>
      </w:r>
      <w:r>
        <w:rPr>
          <w:lang w:val="en-GB" w:eastAsia="en-GB"/>
        </w:rPr>
        <w:fldChar w:fldCharType="end"/>
      </w:r>
      <w:r w:rsidR="003052EE">
        <w:rPr>
          <w:lang w:val="en-GB" w:eastAsia="en-GB"/>
        </w:rPr>
        <w:t>.</w:t>
      </w:r>
      <w:r>
        <w:rPr>
          <w:lang w:val="en-GB" w:eastAsia="en-GB"/>
        </w:rPr>
        <w:t xml:space="preserve"> </w:t>
      </w:r>
      <w:r w:rsidR="003052EE">
        <w:rPr>
          <w:lang w:val="en-GB" w:eastAsia="en-GB"/>
        </w:rPr>
        <w:t>There are still many informal settlements in Jordan but these do not provide sec</w:t>
      </w:r>
      <w:r>
        <w:rPr>
          <w:lang w:val="en-GB" w:eastAsia="en-GB"/>
        </w:rPr>
        <w:t>ure property rights for tenants as</w:t>
      </w:r>
      <w:r w:rsidR="003052EE">
        <w:rPr>
          <w:lang w:val="en-GB" w:eastAsia="en-GB"/>
        </w:rPr>
        <w:t xml:space="preserve"> the relevant </w:t>
      </w:r>
      <w:r w:rsidR="009C104E">
        <w:rPr>
          <w:lang w:val="en-GB" w:eastAsia="en-GB"/>
        </w:rPr>
        <w:t xml:space="preserve">legal </w:t>
      </w:r>
      <w:r w:rsidR="003052EE">
        <w:rPr>
          <w:lang w:val="en-GB" w:eastAsia="en-GB"/>
        </w:rPr>
        <w:t xml:space="preserve">right still </w:t>
      </w:r>
      <w:r>
        <w:rPr>
          <w:lang w:val="en-GB" w:eastAsia="en-GB"/>
        </w:rPr>
        <w:t xml:space="preserve">lies with </w:t>
      </w:r>
      <w:r w:rsidR="003052EE">
        <w:rPr>
          <w:lang w:val="en-GB" w:eastAsia="en-GB"/>
        </w:rPr>
        <w:t xml:space="preserve">the owner of </w:t>
      </w:r>
      <w:r>
        <w:rPr>
          <w:lang w:val="en-GB" w:eastAsia="en-GB"/>
        </w:rPr>
        <w:t>the land (either the State</w:t>
      </w:r>
      <w:r w:rsidR="003052EE">
        <w:rPr>
          <w:lang w:val="en-GB" w:eastAsia="en-GB"/>
        </w:rPr>
        <w:t xml:space="preserve"> or </w:t>
      </w:r>
      <w:r>
        <w:rPr>
          <w:lang w:val="en-GB" w:eastAsia="en-GB"/>
        </w:rPr>
        <w:t xml:space="preserve">a </w:t>
      </w:r>
      <w:r w:rsidR="003052EE">
        <w:rPr>
          <w:lang w:val="en-GB" w:eastAsia="en-GB"/>
        </w:rPr>
        <w:t>private owner).</w:t>
      </w:r>
      <w:r w:rsidR="00821A85">
        <w:rPr>
          <w:lang w:val="en-GB" w:eastAsia="en-GB"/>
        </w:rPr>
        <w:t xml:space="preserve"> Informal sales and transfers of land </w:t>
      </w:r>
      <w:r>
        <w:rPr>
          <w:lang w:val="en-GB" w:eastAsia="en-GB"/>
        </w:rPr>
        <w:t xml:space="preserve">are </w:t>
      </w:r>
      <w:r w:rsidR="00821A85">
        <w:rPr>
          <w:lang w:val="en-GB" w:eastAsia="en-GB"/>
        </w:rPr>
        <w:t xml:space="preserve">not recognised as legally valid unless registered </w:t>
      </w:r>
      <w:r>
        <w:rPr>
          <w:lang w:val="en-GB" w:eastAsia="en-GB"/>
        </w:rPr>
        <w:t xml:space="preserve">with </w:t>
      </w:r>
      <w:r w:rsidR="00821A85">
        <w:rPr>
          <w:lang w:val="en-GB" w:eastAsia="en-GB"/>
        </w:rPr>
        <w:t xml:space="preserve">the </w:t>
      </w:r>
      <w:r>
        <w:rPr>
          <w:lang w:val="en-GB" w:eastAsia="en-GB"/>
        </w:rPr>
        <w:t>DLS</w:t>
      </w:r>
      <w:r w:rsidR="00821A85">
        <w:rPr>
          <w:lang w:val="en-GB" w:eastAsia="en-GB"/>
        </w:rPr>
        <w:t>.</w:t>
      </w:r>
    </w:p>
    <w:p w:rsidR="00EA305E" w:rsidRDefault="008B52D1" w:rsidP="00483BEA">
      <w:pPr>
        <w:pStyle w:val="AllensHeading2"/>
      </w:pPr>
      <w:bookmarkStart w:id="94" w:name="_Toc256000097"/>
      <w:bookmarkStart w:id="95" w:name="_Toc256000013"/>
      <w:bookmarkStart w:id="96" w:name="_Toc16243124"/>
      <w:r>
        <w:t>General questions</w:t>
      </w:r>
      <w:bookmarkEnd w:id="94"/>
      <w:bookmarkEnd w:id="95"/>
      <w:bookmarkEnd w:id="96"/>
    </w:p>
    <w:p w:rsidR="004E4875" w:rsidRPr="00483BEA" w:rsidRDefault="008B52D1" w:rsidP="00483BEA">
      <w:pPr>
        <w:pStyle w:val="AllensHeading3"/>
        <w:rPr>
          <w:b/>
          <w:lang w:val="en-GB" w:eastAsia="en-GB"/>
        </w:rPr>
      </w:pPr>
      <w:r w:rsidRPr="00483BEA">
        <w:rPr>
          <w:b/>
          <w:lang w:val="en-GB" w:eastAsia="en-GB"/>
        </w:rPr>
        <w:t>Are there any other persons or groups that face difficulties in accessing or maintaining secure tenure (for example, due to internal displacement)?</w:t>
      </w:r>
    </w:p>
    <w:p w:rsidR="001227A6" w:rsidRDefault="008B52D1" w:rsidP="00A83C98">
      <w:pPr>
        <w:pStyle w:val="Body3"/>
        <w:jc w:val="both"/>
      </w:pPr>
      <w:r>
        <w:t>N/A: there has not been any internal displacement in Jordan.</w:t>
      </w:r>
      <w:r w:rsidR="00922936">
        <w:t xml:space="preserve"> Please see sections 2.4</w:t>
      </w:r>
      <w:r w:rsidR="00A83C98">
        <w:t xml:space="preserve">, 3.3 and 3.4 </w:t>
      </w:r>
      <w:r w:rsidR="00922936">
        <w:t>above for discussion on Dom</w:t>
      </w:r>
      <w:r w:rsidR="00A83C98">
        <w:t xml:space="preserve"> gypsies in Jordan.</w:t>
      </w:r>
    </w:p>
    <w:p w:rsidR="001227A6" w:rsidRDefault="008B52D1" w:rsidP="00483BEA">
      <w:pPr>
        <w:pStyle w:val="AllensHeading1"/>
      </w:pPr>
      <w:bookmarkStart w:id="97" w:name="_Toc256000098"/>
      <w:bookmarkStart w:id="98" w:name="_Toc256000014"/>
      <w:bookmarkStart w:id="99" w:name="_Toc16243125"/>
      <w:r>
        <w:lastRenderedPageBreak/>
        <w:t>Eviction, Expropriation and Relocation</w:t>
      </w:r>
      <w:bookmarkEnd w:id="97"/>
      <w:bookmarkEnd w:id="98"/>
      <w:bookmarkEnd w:id="99"/>
    </w:p>
    <w:p w:rsidR="001227A6" w:rsidRDefault="008B52D1" w:rsidP="00483BEA">
      <w:pPr>
        <w:pStyle w:val="AllensHeading2"/>
      </w:pPr>
      <w:bookmarkStart w:id="100" w:name="_Toc256000099"/>
      <w:bookmarkStart w:id="101" w:name="_Toc256000015"/>
      <w:bookmarkStart w:id="102" w:name="_Toc16243126"/>
      <w:r>
        <w:t>Evict</w:t>
      </w:r>
      <w:bookmarkStart w:id="103" w:name="Eviction"/>
      <w:bookmarkEnd w:id="103"/>
      <w:r>
        <w:t>ion</w:t>
      </w:r>
      <w:bookmarkEnd w:id="100"/>
      <w:bookmarkEnd w:id="101"/>
      <w:bookmarkEnd w:id="102"/>
    </w:p>
    <w:p w:rsidR="001227A6" w:rsidRPr="00483BEA" w:rsidRDefault="008B52D1" w:rsidP="001227A6">
      <w:pPr>
        <w:pStyle w:val="AllensHeading3"/>
        <w:rPr>
          <w:b/>
        </w:rPr>
      </w:pPr>
      <w:bookmarkStart w:id="104" w:name="_Ref13077583"/>
      <w:r w:rsidRPr="00483BEA">
        <w:rPr>
          <w:b/>
        </w:rPr>
        <w:t>Are there laws or regulations prohibiting forced evictions?</w:t>
      </w:r>
      <w:bookmarkEnd w:id="104"/>
    </w:p>
    <w:p w:rsidR="001227A6" w:rsidRDefault="008B52D1" w:rsidP="001227A6">
      <w:pPr>
        <w:pStyle w:val="AllensHeading3"/>
        <w:numPr>
          <w:ilvl w:val="0"/>
          <w:numId w:val="0"/>
        </w:numPr>
        <w:tabs>
          <w:tab w:val="left" w:pos="720"/>
        </w:tabs>
        <w:ind w:left="1418" w:firstLine="22"/>
        <w:jc w:val="both"/>
      </w:pPr>
      <w:r>
        <w:t>Article 9(ii) of Jordan's Constitution provides for a general right not to be evicted: "</w:t>
      </w:r>
      <w:r>
        <w:rPr>
          <w:i/>
        </w:rPr>
        <w:t>No Jordanian may be prevented from residing at any place, or be compelled to reside in any specified place, except in the circumstances prescribed by law</w:t>
      </w:r>
      <w:r>
        <w:t>"</w:t>
      </w:r>
      <w:r w:rsidR="002413E7">
        <w:t>.</w:t>
      </w:r>
      <w:r>
        <w:rPr>
          <w:rStyle w:val="FootnoteReference"/>
        </w:rPr>
        <w:footnoteReference w:id="94"/>
      </w:r>
      <w:r w:rsidR="00967608">
        <w:t xml:space="preserve"> Note that this right</w:t>
      </w:r>
      <w:r w:rsidR="00356E25">
        <w:t xml:space="preserve"> is provided only to Jordanians</w:t>
      </w:r>
      <w:r w:rsidR="00FC5454">
        <w:t xml:space="preserve">. It does not </w:t>
      </w:r>
      <w:r w:rsidR="00356E25">
        <w:t xml:space="preserve">extend to </w:t>
      </w:r>
      <w:r w:rsidR="00FC5454">
        <w:t xml:space="preserve">any </w:t>
      </w:r>
      <w:r w:rsidR="00356E25">
        <w:t>foreigners.</w:t>
      </w:r>
    </w:p>
    <w:p w:rsidR="001227A6" w:rsidRDefault="008B52D1" w:rsidP="001227A6">
      <w:pPr>
        <w:pStyle w:val="AllensHeading3"/>
        <w:numPr>
          <w:ilvl w:val="0"/>
          <w:numId w:val="0"/>
        </w:numPr>
        <w:tabs>
          <w:tab w:val="left" w:pos="720"/>
        </w:tabs>
        <w:ind w:left="1440"/>
        <w:jc w:val="both"/>
      </w:pPr>
      <w:r>
        <w:t xml:space="preserve">The circumstances in which one may be evicted are contained on a general level in the Civil Code and on a more specific level in </w:t>
      </w:r>
      <w:r w:rsidR="00640A8F">
        <w:t>the Landlord-Tenant Law</w:t>
      </w:r>
      <w:r>
        <w:t>.</w:t>
      </w:r>
      <w:r>
        <w:rPr>
          <w:rStyle w:val="FootnoteReference"/>
        </w:rPr>
        <w:footnoteReference w:id="95"/>
      </w:r>
      <w:r>
        <w:t xml:space="preserve"> In event of a conflict between the two, the latter takes precedence over the former.</w:t>
      </w:r>
      <w:r>
        <w:rPr>
          <w:rStyle w:val="FootnoteReference"/>
        </w:rPr>
        <w:footnoteReference w:id="96"/>
      </w:r>
      <w:r w:rsidR="00967608">
        <w:t xml:space="preserve"> Unlike the Constitution, there is no indication that the application of these two laws is limited to Jordanians.</w:t>
      </w:r>
    </w:p>
    <w:p w:rsidR="001227A6" w:rsidRDefault="008B52D1" w:rsidP="001227A6">
      <w:pPr>
        <w:pStyle w:val="AllensHeading3"/>
        <w:numPr>
          <w:ilvl w:val="0"/>
          <w:numId w:val="0"/>
        </w:numPr>
        <w:tabs>
          <w:tab w:val="left" w:pos="720"/>
        </w:tabs>
        <w:ind w:left="1440"/>
        <w:jc w:val="both"/>
      </w:pPr>
      <w:r>
        <w:t xml:space="preserve">As detailed in Section </w:t>
      </w:r>
      <w:r>
        <w:fldChar w:fldCharType="begin"/>
      </w:r>
      <w:r>
        <w:instrText xml:space="preserve"> REF _Ref13684684 \w \h </w:instrText>
      </w:r>
      <w:r>
        <w:fldChar w:fldCharType="separate"/>
      </w:r>
      <w:r>
        <w:t>2.1(b)(iii)</w:t>
      </w:r>
      <w:r>
        <w:fldChar w:fldCharType="end"/>
      </w:r>
      <w:r>
        <w:t>, the Civil Code requires landlords to provide tenants a guarantee of undisturbed possession (or else face liability) and grants tenants the right to exclusive possession.</w:t>
      </w:r>
      <w:r>
        <w:rPr>
          <w:rStyle w:val="FootnoteReference"/>
        </w:rPr>
        <w:footnoteReference w:id="97"/>
      </w:r>
      <w:r>
        <w:t xml:space="preserve"> However, tenancy contracts are </w:t>
      </w:r>
      <w:r w:rsidR="00F46678">
        <w:t>bilateral contracts under the Civil Code</w:t>
      </w:r>
      <w:r>
        <w:t xml:space="preserve"> such that a failure by one party to perform a material part of its consideration excuses the other party from performing its obligations</w:t>
      </w:r>
      <w:r w:rsidR="00F46678">
        <w:t>. Further, the Civil Code</w:t>
      </w:r>
      <w:r>
        <w:t xml:space="preserve"> allows landlords to terminate tenancies for "</w:t>
      </w:r>
      <w:r>
        <w:rPr>
          <w:i/>
        </w:rPr>
        <w:t>good cause</w:t>
      </w:r>
      <w:r>
        <w:t>", a phrase which is not legislatively defined. Landlord</w:t>
      </w:r>
      <w:r w:rsidR="00F46678">
        <w:t>s</w:t>
      </w:r>
      <w:r>
        <w:t xml:space="preserve"> who terminate tenancies for "</w:t>
      </w:r>
      <w:r>
        <w:rPr>
          <w:i/>
        </w:rPr>
        <w:t>good cause</w:t>
      </w:r>
      <w:r>
        <w:t>" must pay compensation to tenants but need not provide any notice in order to terminate.</w:t>
      </w:r>
      <w:r>
        <w:rPr>
          <w:rStyle w:val="FootnoteReference"/>
        </w:rPr>
        <w:footnoteReference w:id="98"/>
      </w:r>
      <w:r>
        <w:t xml:space="preserve"> </w:t>
      </w:r>
    </w:p>
    <w:p w:rsidR="001227A6" w:rsidRDefault="008B52D1" w:rsidP="001227A6">
      <w:pPr>
        <w:pStyle w:val="AllensHeading3"/>
        <w:numPr>
          <w:ilvl w:val="0"/>
          <w:numId w:val="0"/>
        </w:numPr>
        <w:tabs>
          <w:tab w:val="left" w:pos="720"/>
        </w:tabs>
        <w:ind w:left="1440"/>
        <w:jc w:val="both"/>
      </w:pPr>
      <w:r>
        <w:t>The</w:t>
      </w:r>
      <w:r w:rsidR="00C30C1A">
        <w:t xml:space="preserve"> Landlord-</w:t>
      </w:r>
      <w:r w:rsidR="00967608">
        <w:t>Tenant Law contain</w:t>
      </w:r>
      <w:r w:rsidR="00FC5454">
        <w:t>s</w:t>
      </w:r>
      <w:r w:rsidR="00967608">
        <w:t xml:space="preserve"> specific grounds for termination, listed in Section </w:t>
      </w:r>
      <w:r w:rsidR="00967608">
        <w:fldChar w:fldCharType="begin"/>
      </w:r>
      <w:r w:rsidR="00967608">
        <w:instrText xml:space="preserve"> REF _Ref13686671 \w \h </w:instrText>
      </w:r>
      <w:r w:rsidR="00967608">
        <w:fldChar w:fldCharType="separate"/>
      </w:r>
      <w:r w:rsidR="00967608">
        <w:t>2.1(c)</w:t>
      </w:r>
      <w:r w:rsidR="00967608">
        <w:fldChar w:fldCharType="end"/>
      </w:r>
      <w:r w:rsidR="00967608">
        <w:t xml:space="preserve">. If a landlord wishes to terminate a lease on grounds of </w:t>
      </w:r>
      <w:r>
        <w:t>non-payment of rent</w:t>
      </w:r>
      <w:r w:rsidR="00967608">
        <w:t>, they must serve</w:t>
      </w:r>
      <w:r>
        <w:t xml:space="preserve"> notice: "</w:t>
      </w:r>
      <w:r>
        <w:rPr>
          <w:i/>
        </w:rPr>
        <w:t>Upon non-payment of the prescribed rent, wholly or partially, a legal notification should be served upon the tenant and within 15 days a legal action of ejection can be brought by the landlord before courts.</w:t>
      </w:r>
      <w:r>
        <w:t>" However, if the</w:t>
      </w:r>
      <w:r w:rsidR="00967608">
        <w:t>ir</w:t>
      </w:r>
      <w:r>
        <w:t xml:space="preserve"> tenant has failed to pay rent three or more times in the past, </w:t>
      </w:r>
      <w:r w:rsidR="00967608">
        <w:t>they are not required</w:t>
      </w:r>
      <w:r>
        <w:t xml:space="preserve"> to give any notice before evicting </w:t>
      </w:r>
      <w:r w:rsidR="00967608">
        <w:t xml:space="preserve">their </w:t>
      </w:r>
      <w:r>
        <w:t>tenant.</w:t>
      </w:r>
      <w:r>
        <w:rPr>
          <w:rStyle w:val="FootnoteReference"/>
        </w:rPr>
        <w:footnoteReference w:id="99"/>
      </w:r>
    </w:p>
    <w:p w:rsidR="001227A6" w:rsidRPr="00967608" w:rsidRDefault="008B52D1" w:rsidP="001227A6">
      <w:pPr>
        <w:pStyle w:val="AllensHeading3"/>
        <w:rPr>
          <w:b/>
        </w:rPr>
      </w:pPr>
      <w:r w:rsidRPr="00967608">
        <w:rPr>
          <w:b/>
        </w:rPr>
        <w:t>In practice, are those laws adhered to?</w:t>
      </w:r>
    </w:p>
    <w:p w:rsidR="001227A6" w:rsidRDefault="008B52D1" w:rsidP="001227A6">
      <w:pPr>
        <w:pStyle w:val="AllensHeading3"/>
        <w:numPr>
          <w:ilvl w:val="0"/>
          <w:numId w:val="0"/>
        </w:numPr>
        <w:tabs>
          <w:tab w:val="left" w:pos="720"/>
        </w:tabs>
        <w:ind w:left="1440"/>
        <w:jc w:val="both"/>
      </w:pPr>
      <w:r>
        <w:t xml:space="preserve">Eviction proceedings brought under the </w:t>
      </w:r>
      <w:r w:rsidR="00C30C1A">
        <w:t>Landlord-</w:t>
      </w:r>
      <w:r w:rsidR="00967608">
        <w:t xml:space="preserve">Tenant Law </w:t>
      </w:r>
      <w:r>
        <w:t>must be conducted in accordance with Jordan's procedural code. This is a time-consuming, complex and expensive process: the average eviction case reportedly takes 137 days and requires 22 procedural actions from filing to enforcement.</w:t>
      </w:r>
      <w:r>
        <w:rPr>
          <w:rStyle w:val="FootnoteReference"/>
        </w:rPr>
        <w:footnoteReference w:id="100"/>
      </w:r>
      <w:r>
        <w:t xml:space="preserve"> In addition, decisions in eviction cases, which are heard in the Magistrate's Court, may be appealed to the Courts of Appeal and finally to the Court of Cassation, lengthening the eviction process further </w:t>
      </w:r>
      <w:r>
        <w:lastRenderedPageBreak/>
        <w:t>still. As a result, landlords often strike deals with tenants rather than go through formal eviction processes.</w:t>
      </w:r>
      <w:r>
        <w:rPr>
          <w:rStyle w:val="FootnoteReference"/>
        </w:rPr>
        <w:footnoteReference w:id="101"/>
      </w:r>
    </w:p>
    <w:p w:rsidR="001227A6" w:rsidRDefault="008B52D1" w:rsidP="001227A6">
      <w:pPr>
        <w:pStyle w:val="AllensHeading2"/>
      </w:pPr>
      <w:bookmarkStart w:id="105" w:name="_Toc256000100"/>
      <w:bookmarkStart w:id="106" w:name="_Toc256000016"/>
      <w:bookmarkStart w:id="107" w:name="_Toc16243127"/>
      <w:r>
        <w:t>Expro</w:t>
      </w:r>
      <w:bookmarkStart w:id="108" w:name="Expropriation"/>
      <w:bookmarkEnd w:id="108"/>
      <w:r>
        <w:t>priation</w:t>
      </w:r>
      <w:bookmarkEnd w:id="105"/>
      <w:bookmarkEnd w:id="106"/>
      <w:bookmarkEnd w:id="107"/>
    </w:p>
    <w:p w:rsidR="001227A6" w:rsidRPr="00356E25" w:rsidRDefault="008B52D1" w:rsidP="001227A6">
      <w:pPr>
        <w:pStyle w:val="AllensHeading3"/>
        <w:rPr>
          <w:b/>
        </w:rPr>
      </w:pPr>
      <w:r w:rsidRPr="00356E25">
        <w:rPr>
          <w:b/>
        </w:rPr>
        <w:t>Are there laws or regulations permitting the government to expropriate land?</w:t>
      </w:r>
    </w:p>
    <w:p w:rsidR="001227A6" w:rsidRPr="00C63346" w:rsidRDefault="008B52D1" w:rsidP="001227A6">
      <w:pPr>
        <w:pStyle w:val="AllensHeading3"/>
        <w:numPr>
          <w:ilvl w:val="0"/>
          <w:numId w:val="0"/>
        </w:numPr>
        <w:tabs>
          <w:tab w:val="left" w:pos="720"/>
        </w:tabs>
        <w:ind w:left="1418"/>
        <w:jc w:val="both"/>
      </w:pPr>
      <w:r>
        <w:t xml:space="preserve">Article 11 of </w:t>
      </w:r>
      <w:r w:rsidR="00356E25">
        <w:t xml:space="preserve">the </w:t>
      </w:r>
      <w:r>
        <w:t>Constitution provides for a general right against expropriation, with a public utility carve-out: "</w:t>
      </w:r>
      <w:r>
        <w:rPr>
          <w:i/>
        </w:rPr>
        <w:t>No property of any person may be expropriated except for purposes of public utility and in consideration of a just compensation, as may be prescribed by law.</w:t>
      </w:r>
      <w:r>
        <w:t>"</w:t>
      </w:r>
      <w:r>
        <w:rPr>
          <w:rStyle w:val="FootnoteReference"/>
        </w:rPr>
        <w:footnoteReference w:id="102"/>
      </w:r>
      <w:r w:rsidR="00356E25">
        <w:t xml:space="preserve"> Note that this right is also provided only to Jordanians</w:t>
      </w:r>
      <w:r w:rsidR="00FC5454">
        <w:t xml:space="preserve">. It </w:t>
      </w:r>
      <w:r w:rsidR="00356E25">
        <w:t>does not extend to foreigners.</w:t>
      </w:r>
    </w:p>
    <w:p w:rsidR="00C63346" w:rsidRDefault="008B52D1" w:rsidP="001227A6">
      <w:pPr>
        <w:pStyle w:val="AllensHeading3"/>
        <w:numPr>
          <w:ilvl w:val="0"/>
          <w:numId w:val="0"/>
        </w:numPr>
        <w:tabs>
          <w:tab w:val="left" w:pos="720"/>
        </w:tabs>
        <w:ind w:left="1418"/>
        <w:jc w:val="both"/>
      </w:pPr>
      <w:r>
        <w:t xml:space="preserve">The Investment Law </w:t>
      </w:r>
      <w:r w:rsidR="00C30C1A">
        <w:t>(</w:t>
      </w:r>
      <w:r w:rsidR="00356E25">
        <w:t>No. 30</w:t>
      </w:r>
      <w:r w:rsidR="001227A6">
        <w:t xml:space="preserve"> of 2014</w:t>
      </w:r>
      <w:r w:rsidR="00C30C1A">
        <w:t>)</w:t>
      </w:r>
      <w:r w:rsidR="001227A6">
        <w:t xml:space="preserve"> and the Land Acquisition Law (No. 12 of 1987</w:t>
      </w:r>
      <w:r w:rsidR="00356E25">
        <w:t>)</w:t>
      </w:r>
      <w:r w:rsidR="001227A6">
        <w:t xml:space="preserve"> </w:t>
      </w:r>
      <w:r>
        <w:t xml:space="preserve">also contain </w:t>
      </w:r>
      <w:r w:rsidR="001227A6">
        <w:t>provisions on expropriation.</w:t>
      </w:r>
      <w:r>
        <w:rPr>
          <w:rStyle w:val="FootnoteReference"/>
        </w:rPr>
        <w:footnoteReference w:id="103"/>
      </w:r>
      <w:r w:rsidR="001227A6">
        <w:t xml:space="preserve"> </w:t>
      </w:r>
    </w:p>
    <w:p w:rsidR="001227A6" w:rsidRDefault="008B52D1" w:rsidP="001227A6">
      <w:pPr>
        <w:pStyle w:val="AllensHeading3"/>
        <w:numPr>
          <w:ilvl w:val="0"/>
          <w:numId w:val="0"/>
        </w:numPr>
        <w:tabs>
          <w:tab w:val="left" w:pos="720"/>
        </w:tabs>
        <w:ind w:left="1418"/>
        <w:jc w:val="both"/>
      </w:pPr>
      <w:r>
        <w:t xml:space="preserve">The Investment Law, which does not </w:t>
      </w:r>
      <w:r w:rsidR="00FC5454">
        <w:t xml:space="preserve">specifically </w:t>
      </w:r>
      <w:r>
        <w:t>pertain to residential land, states that “</w:t>
      </w:r>
      <w:r>
        <w:rPr>
          <w:i/>
        </w:rPr>
        <w:t>ownership of any economic activity may not be removed or be subjected to any procedures that would result in the same, unless it is expropriated for the public benefit, on the condition that fair compensation is to be paid to the investor, in a currency, which may be exchanged without delay.</w:t>
      </w:r>
      <w:r>
        <w:t>”</w:t>
      </w:r>
    </w:p>
    <w:p w:rsidR="001227A6" w:rsidRDefault="008B52D1" w:rsidP="001227A6">
      <w:pPr>
        <w:pStyle w:val="AllensHeading3"/>
        <w:numPr>
          <w:ilvl w:val="0"/>
          <w:numId w:val="0"/>
        </w:numPr>
        <w:tabs>
          <w:tab w:val="left" w:pos="720"/>
        </w:tabs>
        <w:ind w:left="1418"/>
        <w:jc w:val="both"/>
      </w:pPr>
      <w:r>
        <w:t xml:space="preserve">Similarly, Articles 3 and 9 of the Land Acquisition Law state </w:t>
      </w:r>
      <w:r w:rsidR="00C63346">
        <w:t xml:space="preserve">that </w:t>
      </w:r>
      <w:r>
        <w:t xml:space="preserve">land </w:t>
      </w:r>
      <w:r w:rsidR="00C63346">
        <w:t xml:space="preserve">may </w:t>
      </w:r>
      <w:r>
        <w:t>be expropriated</w:t>
      </w:r>
      <w:r w:rsidR="00C63346">
        <w:t xml:space="preserve"> provided that</w:t>
      </w:r>
      <w:r>
        <w:t>:</w:t>
      </w:r>
    </w:p>
    <w:p w:rsidR="00C63346" w:rsidRDefault="008B52D1" w:rsidP="001227A6">
      <w:pPr>
        <w:pStyle w:val="AllensHeading4"/>
        <w:jc w:val="both"/>
      </w:pPr>
      <w:r>
        <w:t>i</w:t>
      </w:r>
      <w:r w:rsidR="001227A6">
        <w:t>t is for public benefit</w:t>
      </w:r>
      <w:r>
        <w:t>;</w:t>
      </w:r>
    </w:p>
    <w:p w:rsidR="001227A6" w:rsidRDefault="008B52D1" w:rsidP="001227A6">
      <w:pPr>
        <w:pStyle w:val="AllensHeading4"/>
        <w:jc w:val="both"/>
      </w:pPr>
      <w:r>
        <w:t>there is fair and just compensation; and</w:t>
      </w:r>
    </w:p>
    <w:p w:rsidR="001227A6" w:rsidRDefault="008B52D1" w:rsidP="001227A6">
      <w:pPr>
        <w:pStyle w:val="AllensHeading4"/>
        <w:jc w:val="both"/>
      </w:pPr>
      <w:r>
        <w:t xml:space="preserve">there is direct negotiation between the purchasers or public benefit project and the landowners until agreement is reached. If no agreement is reached, cases are referred to the Magistrate's Court and may be appealed to higher courts if necessary. </w:t>
      </w:r>
    </w:p>
    <w:p w:rsidR="001227A6" w:rsidRDefault="008B52D1" w:rsidP="001227A6">
      <w:pPr>
        <w:pStyle w:val="AllensHeading4"/>
        <w:numPr>
          <w:ilvl w:val="0"/>
          <w:numId w:val="0"/>
        </w:numPr>
        <w:tabs>
          <w:tab w:val="left" w:pos="720"/>
        </w:tabs>
        <w:ind w:left="1418"/>
        <w:jc w:val="both"/>
      </w:pPr>
      <w:r>
        <w:t xml:space="preserve">Articles 11 to 26 further provide for the proper amount of compensation for </w:t>
      </w:r>
      <w:r w:rsidR="00FC5454">
        <w:t xml:space="preserve">expropriated </w:t>
      </w:r>
      <w:r>
        <w:t>land to be based on: the amount of land confiscated; the purpose of confiscation; the percentage of land confiscated; and the status and size of the leftover land.</w:t>
      </w:r>
    </w:p>
    <w:p w:rsidR="00356E25" w:rsidRPr="00356E25" w:rsidRDefault="008B52D1" w:rsidP="001227A6">
      <w:pPr>
        <w:pStyle w:val="AllensHeading3"/>
        <w:rPr>
          <w:b/>
        </w:rPr>
      </w:pPr>
      <w:r w:rsidRPr="00356E25">
        <w:rPr>
          <w:b/>
        </w:rPr>
        <w:t>If so, are those laws or regulations applicable in the context of a disaster?</w:t>
      </w:r>
    </w:p>
    <w:p w:rsidR="00356E25" w:rsidRDefault="008B52D1" w:rsidP="00356E25">
      <w:pPr>
        <w:pStyle w:val="AllensHeading3"/>
        <w:numPr>
          <w:ilvl w:val="0"/>
          <w:numId w:val="0"/>
        </w:numPr>
        <w:ind w:left="1418"/>
        <w:jc w:val="both"/>
      </w:pPr>
      <w:r>
        <w:t>The phrases "</w:t>
      </w:r>
      <w:r>
        <w:rPr>
          <w:i/>
        </w:rPr>
        <w:t>public utility</w:t>
      </w:r>
      <w:r>
        <w:t>" and "</w:t>
      </w:r>
      <w:r>
        <w:rPr>
          <w:i/>
        </w:rPr>
        <w:t>public benefit</w:t>
      </w:r>
      <w:r>
        <w:t>" are not defined in legislation or guidance, but we expect they would extend to disaster situations.</w:t>
      </w:r>
    </w:p>
    <w:p w:rsidR="001227A6" w:rsidRDefault="008B52D1" w:rsidP="001227A6">
      <w:pPr>
        <w:pStyle w:val="AllensHeading2"/>
      </w:pPr>
      <w:bookmarkStart w:id="109" w:name="_Toc256000101"/>
      <w:bookmarkStart w:id="110" w:name="_Toc256000017"/>
      <w:bookmarkStart w:id="111" w:name="_Toc16243128"/>
      <w:r>
        <w:t>Relocati</w:t>
      </w:r>
      <w:bookmarkStart w:id="112" w:name="Relocation"/>
      <w:bookmarkEnd w:id="112"/>
      <w:r>
        <w:t>on</w:t>
      </w:r>
      <w:bookmarkEnd w:id="109"/>
      <w:bookmarkEnd w:id="110"/>
      <w:bookmarkEnd w:id="111"/>
    </w:p>
    <w:p w:rsidR="001227A6" w:rsidRPr="00356E25" w:rsidRDefault="008B52D1" w:rsidP="001227A6">
      <w:pPr>
        <w:pStyle w:val="AllensHeading3"/>
        <w:rPr>
          <w:b/>
        </w:rPr>
      </w:pPr>
      <w:r w:rsidRPr="00356E25">
        <w:rPr>
          <w:b/>
        </w:rPr>
        <w:t>Are there laws or regulations governing relocations?</w:t>
      </w:r>
    </w:p>
    <w:p w:rsidR="00356E25" w:rsidRDefault="008B52D1" w:rsidP="00C63346">
      <w:pPr>
        <w:pStyle w:val="AllensHeading3"/>
        <w:numPr>
          <w:ilvl w:val="0"/>
          <w:numId w:val="0"/>
        </w:numPr>
        <w:tabs>
          <w:tab w:val="left" w:pos="720"/>
        </w:tabs>
        <w:ind w:left="1418"/>
        <w:jc w:val="both"/>
      </w:pPr>
      <w:r>
        <w:t>Article 9 of the Constitution prohibit</w:t>
      </w:r>
      <w:r w:rsidR="007874FA">
        <w:t>s</w:t>
      </w:r>
      <w:r>
        <w:t xml:space="preserve"> deportations from Jordan and relocations within Jordan: "</w:t>
      </w:r>
      <w:r w:rsidRPr="00C63346">
        <w:rPr>
          <w:i/>
        </w:rPr>
        <w:t>(</w:t>
      </w:r>
      <w:proofErr w:type="spellStart"/>
      <w:r w:rsidRPr="00C63346">
        <w:rPr>
          <w:i/>
        </w:rPr>
        <w:t>i</w:t>
      </w:r>
      <w:proofErr w:type="spellEnd"/>
      <w:r w:rsidRPr="00C63346">
        <w:rPr>
          <w:i/>
        </w:rPr>
        <w:t>) No Jordanian may be deported from the territory of the Kingdom. (ii) No Jordanian may be prevented from residing at any place, or be compelled to reside in any specified place, except in the circumstances prescribed by law.</w:t>
      </w:r>
      <w:r>
        <w:t>"</w:t>
      </w:r>
      <w:r>
        <w:rPr>
          <w:rStyle w:val="FootnoteReference"/>
        </w:rPr>
        <w:footnoteReference w:id="104"/>
      </w:r>
      <w:r>
        <w:t xml:space="preserve"> </w:t>
      </w:r>
    </w:p>
    <w:p w:rsidR="00356E25" w:rsidRDefault="008B52D1" w:rsidP="00C63346">
      <w:pPr>
        <w:pStyle w:val="AllensHeading3"/>
        <w:numPr>
          <w:ilvl w:val="0"/>
          <w:numId w:val="0"/>
        </w:numPr>
        <w:tabs>
          <w:tab w:val="left" w:pos="720"/>
        </w:tabs>
        <w:ind w:left="1418"/>
        <w:jc w:val="both"/>
      </w:pPr>
      <w:r>
        <w:lastRenderedPageBreak/>
        <w:t>This right is provided only to Jordanians and therefore does not extend to Syrian refugees, who are a vulnerable group that may be in greatest need of it.</w:t>
      </w:r>
    </w:p>
    <w:p w:rsidR="00C30C1A" w:rsidRDefault="008B52D1" w:rsidP="00C30C1A">
      <w:pPr>
        <w:pStyle w:val="AllensHeading3"/>
        <w:numPr>
          <w:ilvl w:val="0"/>
          <w:numId w:val="0"/>
        </w:numPr>
        <w:ind w:left="1418"/>
        <w:jc w:val="both"/>
      </w:pPr>
      <w:r>
        <w:t>Further, in practice, it is not only state law that matters, but also the tribal law of the Bedouin tribes. Tribal law continues to be applied in many parts of Jordan, including by those in urban areas with tribal affiliations and non-Muslims with tribal affiliations. The state justice system often defers to it (particularly where both parties agree to apply tribal law) and the police system cooperates with tribal leaders. Further, male members of the royal family and members of Parliament often act as tribal mediators and arbitrators.</w:t>
      </w:r>
      <w:r>
        <w:rPr>
          <w:rStyle w:val="FootnoteReference"/>
        </w:rPr>
        <w:footnoteReference w:id="105"/>
      </w:r>
    </w:p>
    <w:p w:rsidR="00C30C1A" w:rsidRPr="00B30720" w:rsidRDefault="008B52D1" w:rsidP="00C30C1A">
      <w:pPr>
        <w:pStyle w:val="AllensHeading3"/>
        <w:numPr>
          <w:ilvl w:val="0"/>
          <w:numId w:val="0"/>
        </w:numPr>
        <w:ind w:left="1418"/>
        <w:jc w:val="both"/>
      </w:pPr>
      <w:r>
        <w:t xml:space="preserve">Relocations may occur as part of the tribal peace and dispute resolution process. If a serious crime (i.e. one involving damage to life, limb or honour) is committed, the perpetrator and his family going back three generations must relocate to a different area to avoid the victim's family taking revenge against them and a conflict thereby ensuing. This process is known as </w:t>
      </w:r>
      <w:proofErr w:type="spellStart"/>
      <w:r>
        <w:rPr>
          <w:i/>
        </w:rPr>
        <w:t>jalwa</w:t>
      </w:r>
      <w:proofErr w:type="spellEnd"/>
      <w:r>
        <w:t xml:space="preserve">. The length of the </w:t>
      </w:r>
      <w:proofErr w:type="spellStart"/>
      <w:r>
        <w:rPr>
          <w:i/>
        </w:rPr>
        <w:t>jalwa</w:t>
      </w:r>
      <w:proofErr w:type="spellEnd"/>
      <w:r>
        <w:t xml:space="preserve"> may be a mere few weeks or it may be a number of years. It depends on the seriousness of the crime, whether or not the two families reach a settlement under the overarching peace and dispute resolution process, and the terms of this settlement. Sometimes, instead of </w:t>
      </w:r>
      <w:proofErr w:type="spellStart"/>
      <w:r>
        <w:rPr>
          <w:i/>
        </w:rPr>
        <w:t>jalwa</w:t>
      </w:r>
      <w:proofErr w:type="spellEnd"/>
      <w:r>
        <w:t>, the two families may declare a temporary truce or cease-fire (</w:t>
      </w:r>
      <w:proofErr w:type="spellStart"/>
      <w:r>
        <w:rPr>
          <w:i/>
        </w:rPr>
        <w:t>atweh</w:t>
      </w:r>
      <w:proofErr w:type="spellEnd"/>
      <w:r>
        <w:t>) before the peace and dispute resolution process has begun. Temporary relocation</w:t>
      </w:r>
      <w:r>
        <w:rPr>
          <w:i/>
        </w:rPr>
        <w:t xml:space="preserve"> </w:t>
      </w:r>
      <w:r>
        <w:t xml:space="preserve">may be – but is not always – a condition for </w:t>
      </w:r>
      <w:proofErr w:type="spellStart"/>
      <w:r>
        <w:rPr>
          <w:i/>
        </w:rPr>
        <w:t>atweh</w:t>
      </w:r>
      <w:proofErr w:type="spellEnd"/>
      <w:r>
        <w:t>. The actual relocation is often supervised by the police to prevent bloodshed.</w:t>
      </w:r>
      <w:r>
        <w:rPr>
          <w:rStyle w:val="FootnoteReference"/>
        </w:rPr>
        <w:footnoteReference w:id="106"/>
      </w:r>
    </w:p>
    <w:p w:rsidR="00C30C1A" w:rsidRDefault="008B52D1" w:rsidP="00C30C1A">
      <w:pPr>
        <w:pStyle w:val="AllensHeading3"/>
        <w:numPr>
          <w:ilvl w:val="0"/>
          <w:numId w:val="0"/>
        </w:numPr>
        <w:ind w:left="1418"/>
        <w:jc w:val="both"/>
      </w:pPr>
      <w:r>
        <w:t xml:space="preserve">Given that </w:t>
      </w:r>
      <w:proofErr w:type="spellStart"/>
      <w:r>
        <w:rPr>
          <w:i/>
        </w:rPr>
        <w:t>jalwa</w:t>
      </w:r>
      <w:proofErr w:type="spellEnd"/>
      <w:r>
        <w:t xml:space="preserve"> extends to three generations of the perpetrator's family, it can involve mass relocations and therefore be disruptive to the family's shelter, schooling, health and community.</w:t>
      </w:r>
      <w:r>
        <w:rPr>
          <w:rStyle w:val="FootnoteReference"/>
        </w:rPr>
        <w:footnoteReference w:id="107"/>
      </w:r>
      <w:r>
        <w:t xml:space="preserve"> To mitigate these disruptive effects, a draft amendment to the Criminal Prevention Law 2016 proposes that </w:t>
      </w:r>
      <w:proofErr w:type="spellStart"/>
      <w:r>
        <w:rPr>
          <w:i/>
        </w:rPr>
        <w:t>jalwa</w:t>
      </w:r>
      <w:proofErr w:type="spellEnd"/>
      <w:r>
        <w:t xml:space="preserve"> be limited to the perpetrator's immediate family, i.e. their parents and children, and last for one year with any extensions subject to approval by a civil administrator.</w:t>
      </w:r>
      <w:r>
        <w:rPr>
          <w:rStyle w:val="FootnoteReference"/>
        </w:rPr>
        <w:footnoteReference w:id="108"/>
      </w:r>
    </w:p>
    <w:p w:rsidR="001227A6" w:rsidRPr="00356E25" w:rsidRDefault="008B52D1" w:rsidP="001227A6">
      <w:pPr>
        <w:pStyle w:val="AllensHeading3"/>
        <w:rPr>
          <w:b/>
        </w:rPr>
      </w:pPr>
      <w:r w:rsidRPr="00356E25">
        <w:rPr>
          <w:b/>
        </w:rPr>
        <w:t>Are there any other laws or regulations (</w:t>
      </w:r>
      <w:proofErr w:type="spellStart"/>
      <w:r w:rsidRPr="00356E25">
        <w:rPr>
          <w:b/>
        </w:rPr>
        <w:t>ie</w:t>
      </w:r>
      <w:proofErr w:type="spellEnd"/>
      <w:r w:rsidRPr="00356E25">
        <w:rPr>
          <w:b/>
        </w:rPr>
        <w:t>, human rights instruments) that are applicable to relocations?</w:t>
      </w:r>
    </w:p>
    <w:p w:rsidR="00356E25" w:rsidRDefault="008B52D1" w:rsidP="00F3657D">
      <w:pPr>
        <w:pStyle w:val="AllensHeading3"/>
        <w:numPr>
          <w:ilvl w:val="0"/>
          <w:numId w:val="0"/>
        </w:numPr>
        <w:ind w:left="1418"/>
        <w:jc w:val="both"/>
      </w:pPr>
      <w:r>
        <w:t xml:space="preserve">It is unclear whether any laws have been passed prescribing the circumstances in which a person may be compelled to relocate as envisioned by Article 9(ii) of the Constitution. </w:t>
      </w:r>
    </w:p>
    <w:p w:rsidR="00C96B64" w:rsidRDefault="008B52D1" w:rsidP="00F3657D">
      <w:pPr>
        <w:pStyle w:val="AllensHeading3"/>
        <w:numPr>
          <w:ilvl w:val="0"/>
          <w:numId w:val="0"/>
        </w:numPr>
        <w:ind w:left="1418"/>
        <w:jc w:val="both"/>
      </w:pPr>
      <w:r>
        <w:t xml:space="preserve">However, in practice, an example of relocation is the evacuation and relocation of residents of several buildings in </w:t>
      </w:r>
      <w:proofErr w:type="spellStart"/>
      <w:r>
        <w:t>Jabal</w:t>
      </w:r>
      <w:proofErr w:type="spellEnd"/>
      <w:r>
        <w:t xml:space="preserve"> Al-</w:t>
      </w:r>
      <w:proofErr w:type="spellStart"/>
      <w:r>
        <w:t>Jofeh</w:t>
      </w:r>
      <w:proofErr w:type="spellEnd"/>
      <w:r>
        <w:t xml:space="preserve">. After cracks appeared in one building, the General Directorate of Civil Defence (see Section </w:t>
      </w:r>
      <w:r>
        <w:fldChar w:fldCharType="begin"/>
      </w:r>
      <w:r>
        <w:instrText xml:space="preserve"> REF _Ref19796273 \w \h </w:instrText>
      </w:r>
      <w:r>
        <w:fldChar w:fldCharType="separate"/>
      </w:r>
      <w:r>
        <w:t>5.2</w:t>
      </w:r>
      <w:r>
        <w:fldChar w:fldCharType="end"/>
      </w:r>
      <w:r>
        <w:t xml:space="preserve">) </w:t>
      </w:r>
      <w:r w:rsidR="00A11C3A">
        <w:t xml:space="preserve">relocated local residents to </w:t>
      </w:r>
      <w:r w:rsidR="00A11C3A">
        <w:lastRenderedPageBreak/>
        <w:t>furnished apartments, aided by the police, social development officials, CARE Jordan, and the Islamic Charitable Centre. The buildings later collapsed.</w:t>
      </w:r>
      <w:r>
        <w:rPr>
          <w:rStyle w:val="FootnoteReference"/>
        </w:rPr>
        <w:footnoteReference w:id="109"/>
      </w:r>
    </w:p>
    <w:p w:rsidR="001227A6" w:rsidRDefault="008B52D1" w:rsidP="001227A6">
      <w:pPr>
        <w:pStyle w:val="AllensHeading2"/>
      </w:pPr>
      <w:bookmarkStart w:id="113" w:name="_Toc256000102"/>
      <w:bookmarkStart w:id="114" w:name="_Toc256000018"/>
      <w:bookmarkStart w:id="115" w:name="_Toc16243129"/>
      <w:r>
        <w:t>Compensation</w:t>
      </w:r>
      <w:bookmarkEnd w:id="113"/>
      <w:bookmarkEnd w:id="114"/>
      <w:bookmarkEnd w:id="115"/>
    </w:p>
    <w:p w:rsidR="001227A6" w:rsidRPr="00F3657D" w:rsidRDefault="008B52D1" w:rsidP="001227A6">
      <w:pPr>
        <w:pStyle w:val="AllensHeading3"/>
        <w:rPr>
          <w:b/>
        </w:rPr>
      </w:pPr>
      <w:r w:rsidRPr="00F3657D">
        <w:rPr>
          <w:b/>
        </w:rPr>
        <w:t>Are there laws or regulations providing compensation for people who are relocated, forcibly evicted, or whose land is expropriated?</w:t>
      </w:r>
    </w:p>
    <w:p w:rsidR="006178EC" w:rsidRDefault="008B52D1" w:rsidP="00DC3C1C">
      <w:pPr>
        <w:pStyle w:val="AllensHeading3"/>
        <w:numPr>
          <w:ilvl w:val="0"/>
          <w:numId w:val="0"/>
        </w:numPr>
        <w:ind w:left="1418"/>
        <w:jc w:val="both"/>
      </w:pPr>
      <w:r>
        <w:t xml:space="preserve">As stated in Section </w:t>
      </w:r>
      <w:r>
        <w:fldChar w:fldCharType="begin"/>
      </w:r>
      <w:r>
        <w:instrText xml:space="preserve"> REF _Ref13077583 \r \h </w:instrText>
      </w:r>
      <w:r>
        <w:fldChar w:fldCharType="separate"/>
      </w:r>
      <w:r>
        <w:t>4.1(a)</w:t>
      </w:r>
      <w:r>
        <w:fldChar w:fldCharType="end"/>
      </w:r>
      <w:r>
        <w:t>, landlords who do not guarantee their tenants' exclusive possession (for example, by forcibly evicting them) face liability</w:t>
      </w:r>
      <w:r w:rsidR="00F3657D">
        <w:rPr>
          <w:b/>
          <w:i/>
        </w:rPr>
        <w:t xml:space="preserve"> </w:t>
      </w:r>
      <w:r>
        <w:t>under the C</w:t>
      </w:r>
      <w:r w:rsidR="00F46678">
        <w:t xml:space="preserve">ivil </w:t>
      </w:r>
      <w:r>
        <w:t>C</w:t>
      </w:r>
      <w:r w:rsidR="00F46678">
        <w:t>ode</w:t>
      </w:r>
      <w:r>
        <w:t>.</w:t>
      </w:r>
      <w:r>
        <w:rPr>
          <w:rStyle w:val="FootnoteReference"/>
        </w:rPr>
        <w:footnoteReference w:id="110"/>
      </w:r>
      <w:r>
        <w:t xml:space="preserve"> Similarly, the C</w:t>
      </w:r>
      <w:r w:rsidR="00F46678">
        <w:t>ivil Code</w:t>
      </w:r>
      <w:r>
        <w:t>, the Investment Law and the Land Acquisition Law require fair or just compensation to be paid when land is expropriated.</w:t>
      </w:r>
    </w:p>
    <w:p w:rsidR="00DC3C1C" w:rsidRDefault="008B52D1" w:rsidP="00DC3C1C">
      <w:pPr>
        <w:pStyle w:val="AllensHeading3"/>
        <w:numPr>
          <w:ilvl w:val="0"/>
          <w:numId w:val="0"/>
        </w:numPr>
        <w:ind w:left="1418"/>
        <w:jc w:val="both"/>
      </w:pPr>
      <w:r>
        <w:t>As it is unclear whether there are any laws prescribing the circumstances in which people may be relocated, it is also unclear whether they are required to be compensated in such cases.</w:t>
      </w:r>
    </w:p>
    <w:p w:rsidR="001227A6" w:rsidRPr="00F3657D" w:rsidRDefault="008B52D1" w:rsidP="001227A6">
      <w:pPr>
        <w:pStyle w:val="AllensHeading3"/>
        <w:rPr>
          <w:b/>
        </w:rPr>
      </w:pPr>
      <w:r w:rsidRPr="00F3657D">
        <w:rPr>
          <w:b/>
        </w:rPr>
        <w:t>In practice, are these laws or regulations adhered to?</w:t>
      </w:r>
    </w:p>
    <w:p w:rsidR="00DC3C1C" w:rsidRDefault="008B52D1" w:rsidP="00DC3C1C">
      <w:pPr>
        <w:pStyle w:val="AllensHeading3"/>
        <w:numPr>
          <w:ilvl w:val="0"/>
          <w:numId w:val="0"/>
        </w:numPr>
        <w:ind w:left="1418"/>
      </w:pPr>
      <w:r>
        <w:t>We have found no information on the workings of these laws in practice.</w:t>
      </w:r>
    </w:p>
    <w:p w:rsidR="001227A6" w:rsidRDefault="008B52D1" w:rsidP="001227A6">
      <w:pPr>
        <w:pStyle w:val="AllensHeading2"/>
      </w:pPr>
      <w:bookmarkStart w:id="116" w:name="ShelterCluster"/>
      <w:bookmarkStart w:id="117" w:name="_Toc256000103"/>
      <w:bookmarkStart w:id="118" w:name="_Toc256000019"/>
      <w:bookmarkStart w:id="119" w:name="_Ref16090326"/>
      <w:bookmarkStart w:id="120" w:name="_Toc16243130"/>
      <w:bookmarkEnd w:id="116"/>
      <w:r>
        <w:t>Shelter cluster</w:t>
      </w:r>
      <w:bookmarkEnd w:id="117"/>
      <w:bookmarkEnd w:id="118"/>
      <w:bookmarkEnd w:id="119"/>
      <w:bookmarkEnd w:id="120"/>
    </w:p>
    <w:p w:rsidR="001227A6" w:rsidRPr="00F3657D" w:rsidRDefault="008B52D1" w:rsidP="001227A6">
      <w:pPr>
        <w:pStyle w:val="AllensHeading3"/>
        <w:rPr>
          <w:b/>
        </w:rPr>
      </w:pPr>
      <w:r w:rsidRPr="00F3657D">
        <w:rPr>
          <w:b/>
        </w:rPr>
        <w:t>Is there an active shelter cluster in Jordan?</w:t>
      </w:r>
    </w:p>
    <w:p w:rsidR="00F3657D" w:rsidRDefault="008B52D1" w:rsidP="00D105EF">
      <w:pPr>
        <w:pStyle w:val="AllensHeading3"/>
        <w:numPr>
          <w:ilvl w:val="0"/>
          <w:numId w:val="0"/>
        </w:numPr>
        <w:ind w:left="1418"/>
        <w:jc w:val="both"/>
      </w:pPr>
      <w:r>
        <w:t>There is no active shelter cluster in Jordan</w:t>
      </w:r>
      <w:r w:rsidR="00E47055">
        <w:t xml:space="preserve"> operated by Shelter Cluster, the global organisation</w:t>
      </w:r>
      <w:r>
        <w:t>.</w:t>
      </w:r>
      <w:r>
        <w:rPr>
          <w:rStyle w:val="FootnoteReference"/>
        </w:rPr>
        <w:footnoteReference w:id="111"/>
      </w:r>
      <w:r w:rsidR="00E47055">
        <w:t xml:space="preserve"> However, as detailed </w:t>
      </w:r>
      <w:r w:rsidR="00825B64">
        <w:t xml:space="preserve">in Section </w:t>
      </w:r>
      <w:r w:rsidR="00825B64">
        <w:fldChar w:fldCharType="begin"/>
      </w:r>
      <w:r w:rsidR="00825B64">
        <w:instrText xml:space="preserve"> REF _Ref18932350 \r \h </w:instrText>
      </w:r>
      <w:r w:rsidR="00825B64">
        <w:fldChar w:fldCharType="separate"/>
      </w:r>
      <w:r w:rsidR="00825B64">
        <w:t>5.3</w:t>
      </w:r>
      <w:r w:rsidR="00825B64">
        <w:fldChar w:fldCharType="end"/>
      </w:r>
      <w:r w:rsidR="00825B64">
        <w:t>, there is a separate Shelter Working Group which is co-chaired by the UNHCR and the Norwegian Refugee Council.</w:t>
      </w:r>
      <w:r>
        <w:t xml:space="preserve"> </w:t>
      </w:r>
    </w:p>
    <w:p w:rsidR="001227A6" w:rsidRPr="00F3657D" w:rsidRDefault="008B52D1" w:rsidP="001227A6">
      <w:pPr>
        <w:pStyle w:val="AllensHeading3"/>
        <w:rPr>
          <w:b/>
        </w:rPr>
      </w:pPr>
      <w:r w:rsidRPr="00F3657D">
        <w:rPr>
          <w:b/>
        </w:rPr>
        <w:t>If not, has the shelter cluster been activated during any previous disasters?</w:t>
      </w:r>
    </w:p>
    <w:p w:rsidR="001227A6" w:rsidRDefault="008B52D1" w:rsidP="00ED74DE">
      <w:pPr>
        <w:pStyle w:val="Bullet2"/>
        <w:numPr>
          <w:ilvl w:val="0"/>
          <w:numId w:val="0"/>
        </w:numPr>
        <w:tabs>
          <w:tab w:val="left" w:pos="720"/>
        </w:tabs>
        <w:ind w:left="1418"/>
      </w:pPr>
      <w:r>
        <w:t>W</w:t>
      </w:r>
      <w:r w:rsidR="00AB2AD9">
        <w:t xml:space="preserve">e have found no indication that a </w:t>
      </w:r>
      <w:r w:rsidR="005753EA">
        <w:t>shelter cluster ha</w:t>
      </w:r>
      <w:r w:rsidR="00AB2AD9">
        <w:t xml:space="preserve">s ever been activated in Jordan </w:t>
      </w:r>
      <w:r w:rsidR="00325085">
        <w:t xml:space="preserve">by Shelter Cluster </w:t>
      </w:r>
      <w:r w:rsidR="00AB2AD9">
        <w:t>during any previous disasters</w:t>
      </w:r>
      <w:r w:rsidR="005753EA">
        <w:t>.</w:t>
      </w:r>
    </w:p>
    <w:p w:rsidR="009F7495" w:rsidRDefault="008B52D1" w:rsidP="009F7495">
      <w:pPr>
        <w:pStyle w:val="AllensHeading1"/>
      </w:pPr>
      <w:bookmarkStart w:id="121" w:name="_Toc256000104"/>
      <w:bookmarkStart w:id="122" w:name="_Toc256000020"/>
      <w:bookmarkStart w:id="123" w:name="_Toc16243131"/>
      <w:r>
        <w:t>National Framework and Actors</w:t>
      </w:r>
      <w:bookmarkEnd w:id="121"/>
      <w:bookmarkEnd w:id="122"/>
      <w:bookmarkEnd w:id="123"/>
    </w:p>
    <w:p w:rsidR="009F7495" w:rsidRDefault="008B52D1" w:rsidP="009F7495">
      <w:pPr>
        <w:pStyle w:val="AllensHeading2"/>
      </w:pPr>
      <w:bookmarkStart w:id="124" w:name="_Toc256000105"/>
      <w:bookmarkStart w:id="125" w:name="_Toc256000021"/>
      <w:bookmarkStart w:id="126" w:name="_Toc16243132"/>
      <w:r>
        <w:t>Are there laws/regulations/policy guiding shelter provision in disaster response and recovery?</w:t>
      </w:r>
      <w:bookmarkEnd w:id="124"/>
      <w:bookmarkEnd w:id="125"/>
      <w:bookmarkEnd w:id="126"/>
    </w:p>
    <w:p w:rsidR="004F5CAA" w:rsidRPr="004F5CAA" w:rsidRDefault="008B52D1" w:rsidP="004F5CAA">
      <w:pPr>
        <w:pStyle w:val="AllensHeading3"/>
        <w:rPr>
          <w:b/>
        </w:rPr>
      </w:pPr>
      <w:r w:rsidRPr="004F5CAA">
        <w:rPr>
          <w:b/>
        </w:rPr>
        <w:t>Laws and regulations</w:t>
      </w:r>
    </w:p>
    <w:p w:rsidR="004F5CAA" w:rsidRDefault="008B52D1" w:rsidP="004F5CAA">
      <w:pPr>
        <w:pStyle w:val="Body2"/>
        <w:jc w:val="both"/>
      </w:pPr>
      <w:r>
        <w:t>Jordan has three sets of laws on disaster response and recovery, accompanied by a number of ancillary laws.</w:t>
      </w:r>
    </w:p>
    <w:p w:rsidR="004F5CAA" w:rsidRDefault="008B52D1" w:rsidP="004F5CAA">
      <w:pPr>
        <w:pStyle w:val="Body2"/>
        <w:jc w:val="both"/>
      </w:pPr>
      <w:r>
        <w:t xml:space="preserve">First, Article 124 of the Constitution provides for the enactment of a “Defence Law” in the event of an emergency necessitating the defence of the Kingdom, providing such powers to such persons as </w:t>
      </w:r>
      <w:r w:rsidR="0097271B">
        <w:t xml:space="preserve">are </w:t>
      </w:r>
      <w:r>
        <w:t>specified therein to take actions and measures necessary to ensure the defence of the Kingdom</w:t>
      </w:r>
      <w:r w:rsidR="00C4771C">
        <w:t>, including suspension of ordinary laws</w:t>
      </w:r>
      <w:r>
        <w:t>.</w:t>
      </w:r>
      <w:r>
        <w:rPr>
          <w:rStyle w:val="FootnoteReference"/>
        </w:rPr>
        <w:footnoteReference w:id="112"/>
      </w:r>
      <w:r>
        <w:t xml:space="preserve"> Jordan accordingly enacted the Defence Law </w:t>
      </w:r>
      <w:r w:rsidR="00C4771C">
        <w:t>(</w:t>
      </w:r>
      <w:r>
        <w:t>No. 13 of 1992</w:t>
      </w:r>
      <w:r w:rsidR="00C4771C">
        <w:t>)</w:t>
      </w:r>
      <w:r>
        <w:t xml:space="preserve">. This law only becomes active if (a) there are wars, a state leading </w:t>
      </w:r>
      <w:r>
        <w:lastRenderedPageBreak/>
        <w:t>to them, internal armed uprising, general disasters, or outbreak of a plague or epidemic, and (b) a Royal Decree is issued based on a decision of the Council of Ministers. The Defence Law grants the Prime Minister a variety of powers, including the powe</w:t>
      </w:r>
      <w:r w:rsidR="00CA526A">
        <w:t>r to seize property, capture</w:t>
      </w:r>
      <w:r>
        <w:t xml:space="preserve"> buildings, and establish works on them or manage or utilise or regulate their use.</w:t>
      </w:r>
      <w:r>
        <w:rPr>
          <w:rStyle w:val="FootnoteReference"/>
        </w:rPr>
        <w:footnoteReference w:id="113"/>
      </w:r>
    </w:p>
    <w:p w:rsidR="00C4771C" w:rsidRDefault="008B52D1" w:rsidP="004F5CAA">
      <w:pPr>
        <w:pStyle w:val="Body2"/>
        <w:jc w:val="both"/>
      </w:pPr>
      <w:r>
        <w:t>Second, Article 125(</w:t>
      </w:r>
      <w:proofErr w:type="spellStart"/>
      <w:r>
        <w:t>i</w:t>
      </w:r>
      <w:proofErr w:type="spellEnd"/>
      <w:r>
        <w:t>) of the Constitution makes provisions in respect of more serious emergencies: “</w:t>
      </w:r>
      <w:r w:rsidRPr="00C4771C">
        <w:rPr>
          <w:i/>
        </w:rPr>
        <w:t>In the event of an emergency of such a serious nature that action under the preceding Article of the present Constitution will be considered insufficient for the defence of the Kingdom, the King may by a Royal Decree, based on a decision of the Council of Ministers, declare martial law in the whole or any part of the Kingdom.</w:t>
      </w:r>
      <w:r>
        <w:t>” The Article also provides that when martial law is declared the King may issue by decree such orders as may be necessary for the defence of the Kingdom, notwithstanding any other laws.</w:t>
      </w:r>
      <w:r>
        <w:rPr>
          <w:rStyle w:val="FootnoteReference"/>
        </w:rPr>
        <w:footnoteReference w:id="114"/>
      </w:r>
    </w:p>
    <w:p w:rsidR="00C4771C" w:rsidRDefault="008B52D1" w:rsidP="004F5CAA">
      <w:pPr>
        <w:pStyle w:val="Body2"/>
        <w:jc w:val="both"/>
      </w:pPr>
      <w:r>
        <w:t>Finally, the Civil Defence Law (No. 18 of 1999) created the Higher Council for Civil Defence (“</w:t>
      </w:r>
      <w:r>
        <w:rPr>
          <w:b/>
        </w:rPr>
        <w:t>HCCD</w:t>
      </w:r>
      <w:r>
        <w:t xml:space="preserve">”). It authorises the HCCD to manage and face </w:t>
      </w:r>
      <w:r w:rsidR="00325085">
        <w:t>'</w:t>
      </w:r>
      <w:r>
        <w:t>emergency cases</w:t>
      </w:r>
      <w:r w:rsidR="00325085">
        <w:t>'</w:t>
      </w:r>
      <w:r>
        <w:t>, defined as any unordinary or sudden cases which are (a) faced by the Kingdom or any part of it, and (b) announced by the Prime Minister. As part of its responsibility for setting up general shelters in Jordan, the HCCD is given the power to seize real estate and buildings necessary to set up such shelters.</w:t>
      </w:r>
      <w:r>
        <w:rPr>
          <w:rStyle w:val="FootnoteReference"/>
        </w:rPr>
        <w:footnoteReference w:id="115"/>
      </w:r>
    </w:p>
    <w:p w:rsidR="00C4771C" w:rsidRPr="00C4771C" w:rsidRDefault="008B52D1" w:rsidP="004F5CAA">
      <w:pPr>
        <w:pStyle w:val="Body2"/>
        <w:jc w:val="both"/>
      </w:pPr>
      <w:r>
        <w:t>The ancillary laws which support the above major sets of laws are: the Municipalities Law (No. 29 of 1955), the Public Security Law (No. 38 of 1965), the Jordan National Red Crescent Society Law (No. 3 of 1969), the Jordanian National Construction Law (No. 7 of 1993), and the Jordanian Armed Forces Temporary Law (No. 64 of 2001).</w:t>
      </w:r>
      <w:r>
        <w:rPr>
          <w:rStyle w:val="FootnoteReference"/>
        </w:rPr>
        <w:footnoteReference w:id="116"/>
      </w:r>
    </w:p>
    <w:p w:rsidR="004F5CAA" w:rsidRPr="004F5CAA" w:rsidRDefault="008B52D1" w:rsidP="004F5CAA">
      <w:pPr>
        <w:pStyle w:val="AllensHeading3"/>
        <w:rPr>
          <w:b/>
        </w:rPr>
      </w:pPr>
      <w:r w:rsidRPr="004F5CAA">
        <w:rPr>
          <w:b/>
        </w:rPr>
        <w:t>Policies</w:t>
      </w:r>
    </w:p>
    <w:p w:rsidR="00E70C85" w:rsidRDefault="008B52D1" w:rsidP="00C4771C">
      <w:pPr>
        <w:pStyle w:val="Body2"/>
        <w:jc w:val="both"/>
      </w:pPr>
      <w:r>
        <w:t xml:space="preserve">The major policy effort in this area is Jordan’s </w:t>
      </w:r>
      <w:r w:rsidRPr="00E70C85">
        <w:t>National Natural Disaster Risk Reduction Strategy</w:t>
      </w:r>
      <w:r>
        <w:t xml:space="preserve"> 2019 – 2022, which was </w:t>
      </w:r>
      <w:r w:rsidR="00903DC8">
        <w:t xml:space="preserve">devised by the National </w:t>
      </w:r>
      <w:proofErr w:type="spellStart"/>
      <w:r w:rsidR="00CA526A">
        <w:t>Center</w:t>
      </w:r>
      <w:proofErr w:type="spellEnd"/>
      <w:r w:rsidR="00CA526A">
        <w:t xml:space="preserve"> for Security and Crises M</w:t>
      </w:r>
      <w:r w:rsidR="00903DC8">
        <w:t>anagement (</w:t>
      </w:r>
      <w:r>
        <w:t>“</w:t>
      </w:r>
      <w:r w:rsidR="00903DC8" w:rsidRPr="00C4771C">
        <w:rPr>
          <w:b/>
        </w:rPr>
        <w:t>NCSCM</w:t>
      </w:r>
      <w:r>
        <w:t>”</w:t>
      </w:r>
      <w:r w:rsidR="00903DC8">
        <w:t>)</w:t>
      </w:r>
      <w:r>
        <w:t>.</w:t>
      </w:r>
      <w:r>
        <w:rPr>
          <w:rStyle w:val="FootnoteReference"/>
        </w:rPr>
        <w:footnoteReference w:id="117"/>
      </w:r>
      <w:r w:rsidR="00850B5E">
        <w:t xml:space="preserve"> Despite the name, this strategy also touches upon disaster</w:t>
      </w:r>
      <w:r w:rsidR="00CA526A">
        <w:t xml:space="preserve"> response and recovery and</w:t>
      </w:r>
      <w:r w:rsidR="00850B5E">
        <w:t xml:space="preserve"> mention</w:t>
      </w:r>
      <w:r w:rsidR="00CA526A">
        <w:t>s</w:t>
      </w:r>
      <w:r w:rsidR="00850B5E">
        <w:t xml:space="preserve"> housing and shelter.</w:t>
      </w:r>
    </w:p>
    <w:p w:rsidR="00B50270" w:rsidRDefault="008B52D1" w:rsidP="00850B5E">
      <w:pPr>
        <w:pStyle w:val="Body2"/>
        <w:jc w:val="both"/>
      </w:pPr>
      <w:r>
        <w:t xml:space="preserve">At a </w:t>
      </w:r>
      <w:proofErr w:type="gramStart"/>
      <w:r>
        <w:t>more high</w:t>
      </w:r>
      <w:proofErr w:type="gramEnd"/>
      <w:r>
        <w:t xml:space="preserve"> level, the Government had also come up with a National Resilience Plan 2014 – 2016. This plan included two aims to relieve stress on housing in Jordan in the wake of the Syrian refugee crisis. These </w:t>
      </w:r>
      <w:r w:rsidR="00C918F6">
        <w:t>we</w:t>
      </w:r>
      <w:r>
        <w:t xml:space="preserve">re to: (a) bring new residential units onto market, and (b) </w:t>
      </w:r>
      <w:r>
        <w:lastRenderedPageBreak/>
        <w:t>implement a large-scale affordable housing programme to assist refugees and low-income Jordanian families</w:t>
      </w:r>
      <w:r w:rsidR="000A7C11">
        <w:t>.</w:t>
      </w:r>
      <w:r>
        <w:rPr>
          <w:rStyle w:val="FootnoteReference"/>
        </w:rPr>
        <w:footnoteReference w:id="118"/>
      </w:r>
    </w:p>
    <w:p w:rsidR="009F7495" w:rsidRDefault="008B52D1" w:rsidP="009F7495">
      <w:pPr>
        <w:pStyle w:val="AllensHeading2"/>
      </w:pPr>
      <w:bookmarkStart w:id="127" w:name="_Toc256000106"/>
      <w:bookmarkStart w:id="128" w:name="_Toc256000022"/>
      <w:bookmarkStart w:id="129" w:name="_Toc16243133"/>
      <w:bookmarkStart w:id="130" w:name="_Ref19796273"/>
      <w:r>
        <w:t>Which g</w:t>
      </w:r>
      <w:r w:rsidR="006A76A1">
        <w:t>overnment agency takes the lead</w:t>
      </w:r>
      <w:r>
        <w:t xml:space="preserve"> in housing/land/shelter issues in peace time and in disasters?</w:t>
      </w:r>
      <w:bookmarkEnd w:id="127"/>
      <w:bookmarkEnd w:id="128"/>
      <w:bookmarkEnd w:id="129"/>
      <w:bookmarkEnd w:id="130"/>
    </w:p>
    <w:p w:rsidR="00645741" w:rsidRDefault="008B52D1" w:rsidP="00645741">
      <w:pPr>
        <w:pStyle w:val="Body2"/>
        <w:jc w:val="both"/>
      </w:pPr>
      <w:r>
        <w:t>In peace time, housing, land and shelter issues fall under the remit of the Housing and Urban Development Corporation.</w:t>
      </w:r>
      <w:r>
        <w:rPr>
          <w:rStyle w:val="FootnoteReference"/>
        </w:rPr>
        <w:footnoteReference w:id="119"/>
      </w:r>
      <w:r>
        <w:t xml:space="preserve"> There is also a Ministry of Public Works and Housing but its focus is on public works and not on housing.</w:t>
      </w:r>
      <w:r>
        <w:rPr>
          <w:rStyle w:val="FootnoteReference"/>
        </w:rPr>
        <w:footnoteReference w:id="120"/>
      </w:r>
    </w:p>
    <w:p w:rsidR="00645741" w:rsidRDefault="008B52D1" w:rsidP="00645741">
      <w:pPr>
        <w:pStyle w:val="Body2"/>
        <w:jc w:val="both"/>
      </w:pPr>
      <w:r>
        <w:t xml:space="preserve">There is no one central disaster response agency, but in practice, the HCCD is treated as the coordinating agency for policy and action. The HCCD is a joint effort between the Ministry of the Interior and the </w:t>
      </w:r>
      <w:r w:rsidR="00271127">
        <w:t>General Directorate</w:t>
      </w:r>
      <w:r>
        <w:t xml:space="preserve"> of the Civil Defence</w:t>
      </w:r>
      <w:r w:rsidR="00DE666B">
        <w:t xml:space="preserve"> (“</w:t>
      </w:r>
      <w:r w:rsidR="00271127">
        <w:rPr>
          <w:b/>
        </w:rPr>
        <w:t>GDCD</w:t>
      </w:r>
      <w:r w:rsidR="00DE666B">
        <w:t xml:space="preserve">”). </w:t>
      </w:r>
      <w:r>
        <w:t xml:space="preserve">The </w:t>
      </w:r>
      <w:r w:rsidR="00DE666B">
        <w:t xml:space="preserve">Minister of the Interior acts as the Chair (and takes a more strategic policy role) and the </w:t>
      </w:r>
      <w:r w:rsidR="00271127">
        <w:t>GDCD</w:t>
      </w:r>
      <w:r w:rsidR="00DE666B">
        <w:t xml:space="preserve"> acts as the Vice-Chair (and takes a more operational role, being a paramilitary organisation which reports to the Ministry of the Interior). The rest of the members of the HCCD are various government agencies and ministries and third party organisations involved in disaster response and recovery.</w:t>
      </w:r>
      <w:r>
        <w:rPr>
          <w:rStyle w:val="FootnoteReference"/>
        </w:rPr>
        <w:footnoteReference w:id="121"/>
      </w:r>
    </w:p>
    <w:p w:rsidR="00DE666B" w:rsidRDefault="008B52D1" w:rsidP="00645741">
      <w:pPr>
        <w:pStyle w:val="Body2"/>
        <w:jc w:val="both"/>
      </w:pPr>
      <w:r>
        <w:t>In addition, the NCSCM plays an overarching role of strategic management of crises and integration and coordination of the various governmental agencies’ efforts across all types of crises.</w:t>
      </w:r>
      <w:r>
        <w:rPr>
          <w:rStyle w:val="FootnoteReference"/>
        </w:rPr>
        <w:footnoteReference w:id="122"/>
      </w:r>
    </w:p>
    <w:p w:rsidR="009F7495" w:rsidRDefault="008B52D1" w:rsidP="009F7495">
      <w:pPr>
        <w:pStyle w:val="AllensHeading2"/>
      </w:pPr>
      <w:bookmarkStart w:id="131" w:name="_Toc256000107"/>
      <w:bookmarkStart w:id="132" w:name="_Toc256000023"/>
      <w:bookmarkStart w:id="133" w:name="_Toc16243134"/>
      <w:bookmarkStart w:id="134" w:name="_Ref18932350"/>
      <w:r>
        <w:t>What other government agencies are involve</w:t>
      </w:r>
      <w:r w:rsidR="00271127">
        <w:t xml:space="preserve">d in shelter issues in disaster </w:t>
      </w:r>
      <w:r>
        <w:t>response?</w:t>
      </w:r>
      <w:bookmarkEnd w:id="131"/>
      <w:bookmarkEnd w:id="132"/>
      <w:bookmarkEnd w:id="133"/>
      <w:bookmarkEnd w:id="134"/>
    </w:p>
    <w:p w:rsidR="00DE666B" w:rsidRDefault="008B52D1" w:rsidP="00DE666B">
      <w:pPr>
        <w:pStyle w:val="Body2"/>
        <w:jc w:val="both"/>
      </w:pPr>
      <w:r>
        <w:t xml:space="preserve">In relation to the Syrian refugee crisis specifically, the Syrian </w:t>
      </w:r>
      <w:r w:rsidR="00271127">
        <w:t>Refugee Affairs Directorate</w:t>
      </w:r>
      <w:r>
        <w:t xml:space="preserve"> manages </w:t>
      </w:r>
      <w:proofErr w:type="spellStart"/>
      <w:r>
        <w:t>Za</w:t>
      </w:r>
      <w:r w:rsidR="00DA79D9">
        <w:t>'</w:t>
      </w:r>
      <w:r>
        <w:t>atari</w:t>
      </w:r>
      <w:proofErr w:type="spellEnd"/>
      <w:r>
        <w:t xml:space="preserve"> and </w:t>
      </w:r>
      <w:proofErr w:type="spellStart"/>
      <w:r>
        <w:t>Azraq</w:t>
      </w:r>
      <w:proofErr w:type="spellEnd"/>
      <w:r>
        <w:t>, the two largest refugee camps in Jordan, with the assistance of the Ministry of Public Works and Housing.</w:t>
      </w:r>
      <w:r>
        <w:rPr>
          <w:rStyle w:val="FootnoteReference"/>
        </w:rPr>
        <w:footnoteReference w:id="123"/>
      </w:r>
    </w:p>
    <w:p w:rsidR="009263AE" w:rsidRDefault="008B52D1" w:rsidP="00271127">
      <w:pPr>
        <w:pStyle w:val="NormalIndent"/>
        <w:jc w:val="both"/>
      </w:pPr>
      <w:r>
        <w:t xml:space="preserve">The </w:t>
      </w:r>
      <w:r w:rsidR="00271127">
        <w:t>GDCD</w:t>
      </w:r>
      <w:r>
        <w:t>’s</w:t>
      </w:r>
      <w:r w:rsidR="00441257">
        <w:t xml:space="preserve"> </w:t>
      </w:r>
      <w:r w:rsidR="00441257" w:rsidRPr="009263AE">
        <w:t>National Comprehensive Plan</w:t>
      </w:r>
      <w:r w:rsidR="00441257">
        <w:t xml:space="preserve"> for Encountering Emergencies &amp; Disasters </w:t>
      </w:r>
      <w:r>
        <w:t>gives further details of agencies which are involved in shelter issues in disaster response. This Plan is from 2003 but there is no indication that the information within it has changed:</w:t>
      </w:r>
      <w:r>
        <w:rPr>
          <w:rStyle w:val="FootnoteReference"/>
        </w:rPr>
        <w:footnoteReference w:id="124"/>
      </w:r>
    </w:p>
    <w:p w:rsidR="009263AE" w:rsidRDefault="008B52D1" w:rsidP="003841AC">
      <w:pPr>
        <w:pStyle w:val="Bullet2"/>
        <w:jc w:val="both"/>
      </w:pPr>
      <w:r>
        <w:lastRenderedPageBreak/>
        <w:t>The Ministry of Public Works and Housing (as mentioned above);</w:t>
      </w:r>
    </w:p>
    <w:p w:rsidR="009263AE" w:rsidRDefault="008B52D1" w:rsidP="003841AC">
      <w:pPr>
        <w:pStyle w:val="Bullet2"/>
        <w:jc w:val="both"/>
      </w:pPr>
      <w:r>
        <w:t>The Ministry of Finance (financing of shelters);</w:t>
      </w:r>
    </w:p>
    <w:p w:rsidR="009263AE" w:rsidRDefault="008B52D1" w:rsidP="003841AC">
      <w:pPr>
        <w:pStyle w:val="Bullet2"/>
        <w:jc w:val="both"/>
      </w:pPr>
      <w:r>
        <w:t>The Jordanian Armed Forces (active in shelter and relief operations);</w:t>
      </w:r>
    </w:p>
    <w:p w:rsidR="009263AE" w:rsidRDefault="008B52D1" w:rsidP="003841AC">
      <w:pPr>
        <w:pStyle w:val="Bullet2"/>
        <w:jc w:val="both"/>
      </w:pPr>
      <w:r>
        <w:t>The Public Security Directorate (</w:t>
      </w:r>
      <w:r w:rsidR="00271127">
        <w:t xml:space="preserve">active in </w:t>
      </w:r>
      <w:r>
        <w:t>rescue, evacuation and subsequent sheltering);</w:t>
      </w:r>
    </w:p>
    <w:p w:rsidR="009263AE" w:rsidRDefault="008B52D1" w:rsidP="003841AC">
      <w:pPr>
        <w:pStyle w:val="Bullet2"/>
        <w:jc w:val="both"/>
      </w:pPr>
      <w:r>
        <w:t>The Ministry of Higher Education (which can use universities as shelters);</w:t>
      </w:r>
    </w:p>
    <w:p w:rsidR="009263AE" w:rsidRDefault="008B52D1" w:rsidP="003841AC">
      <w:pPr>
        <w:pStyle w:val="Bullet2"/>
        <w:jc w:val="both"/>
      </w:pPr>
      <w:r>
        <w:t>The Ministry of Education (which can use schools as shelters);</w:t>
      </w:r>
    </w:p>
    <w:p w:rsidR="009263AE" w:rsidRDefault="008B52D1" w:rsidP="003841AC">
      <w:pPr>
        <w:pStyle w:val="Bullet2"/>
        <w:jc w:val="both"/>
      </w:pPr>
      <w:r>
        <w:t>The Ministry of Social Development (which organise</w:t>
      </w:r>
      <w:r w:rsidR="00271127">
        <w:t>s</w:t>
      </w:r>
      <w:r>
        <w:t xml:space="preserve"> shelters for old people</w:t>
      </w:r>
      <w:r w:rsidR="00033B95">
        <w:t>,</w:t>
      </w:r>
      <w:r>
        <w:t xml:space="preserve"> the homeless</w:t>
      </w:r>
      <w:r w:rsidR="00033B95">
        <w:t>, juveniles, and children in need of care and protection</w:t>
      </w:r>
      <w:r>
        <w:t>);</w:t>
      </w:r>
      <w:r>
        <w:rPr>
          <w:rStyle w:val="FootnoteReference"/>
        </w:rPr>
        <w:footnoteReference w:id="125"/>
      </w:r>
    </w:p>
    <w:p w:rsidR="009263AE" w:rsidRDefault="008B52D1" w:rsidP="003841AC">
      <w:pPr>
        <w:pStyle w:val="Bullet2"/>
        <w:jc w:val="both"/>
      </w:pPr>
      <w:r>
        <w:t>The Ministry of Religious Endowment (which can use mosques as shelters);</w:t>
      </w:r>
    </w:p>
    <w:p w:rsidR="009263AE" w:rsidRDefault="008B52D1" w:rsidP="003841AC">
      <w:pPr>
        <w:pStyle w:val="Bullet2"/>
        <w:jc w:val="both"/>
      </w:pPr>
      <w:r>
        <w:t>The Highest Council of Youth (which can use youth clubs and centres as shelters); and</w:t>
      </w:r>
    </w:p>
    <w:p w:rsidR="009263AE" w:rsidRDefault="008B52D1" w:rsidP="003841AC">
      <w:pPr>
        <w:pStyle w:val="Bullet2"/>
        <w:jc w:val="both"/>
      </w:pPr>
      <w:r>
        <w:t>The Ministry of Culture (which can use its clubs and centres as shelters).</w:t>
      </w:r>
    </w:p>
    <w:p w:rsidR="009F7495" w:rsidRDefault="008B52D1" w:rsidP="009F7495">
      <w:pPr>
        <w:pStyle w:val="AllensHeading2"/>
      </w:pPr>
      <w:bookmarkStart w:id="135" w:name="_Toc256000108"/>
      <w:bookmarkStart w:id="136" w:name="_Toc256000024"/>
      <w:bookmarkStart w:id="137" w:name="_Toc16243135"/>
      <w:r>
        <w:t>Is there a shelter cluster in Jordan? If so, how does this function?</w:t>
      </w:r>
      <w:bookmarkEnd w:id="135"/>
      <w:bookmarkEnd w:id="136"/>
      <w:bookmarkEnd w:id="137"/>
    </w:p>
    <w:p w:rsidR="00B50270" w:rsidRPr="00B50270" w:rsidRDefault="008B52D1" w:rsidP="00B50270">
      <w:pPr>
        <w:pStyle w:val="NormalIndent"/>
      </w:pPr>
      <w:r>
        <w:t xml:space="preserve">See Section </w:t>
      </w:r>
      <w:r>
        <w:fldChar w:fldCharType="begin"/>
      </w:r>
      <w:r>
        <w:instrText xml:space="preserve"> REF _Ref16090326 \r \h </w:instrText>
      </w:r>
      <w:r>
        <w:fldChar w:fldCharType="separate"/>
      </w:r>
      <w:r>
        <w:t>4.5</w:t>
      </w:r>
      <w:r>
        <w:fldChar w:fldCharType="end"/>
      </w:r>
      <w:r>
        <w:t xml:space="preserve"> above.</w:t>
      </w:r>
    </w:p>
    <w:p w:rsidR="009F7495" w:rsidRDefault="008B52D1" w:rsidP="009F7495">
      <w:pPr>
        <w:pStyle w:val="AllensHeading2"/>
      </w:pPr>
      <w:bookmarkStart w:id="138" w:name="_Toc256000109"/>
      <w:bookmarkStart w:id="139" w:name="_Toc256000025"/>
      <w:bookmarkStart w:id="140" w:name="_Toc16243136"/>
      <w:r>
        <w:t>Does IFRC or the Host NS have recognised role in shelter in Jordan?</w:t>
      </w:r>
      <w:bookmarkEnd w:id="138"/>
      <w:bookmarkEnd w:id="139"/>
      <w:bookmarkEnd w:id="140"/>
    </w:p>
    <w:p w:rsidR="002A6A3C" w:rsidRPr="002A6A3C" w:rsidRDefault="008B52D1" w:rsidP="009263AE">
      <w:pPr>
        <w:pStyle w:val="Body2"/>
        <w:jc w:val="both"/>
      </w:pPr>
      <w:r>
        <w:t xml:space="preserve">The IFRC operates in Jordan through the </w:t>
      </w:r>
      <w:r w:rsidRPr="009263AE">
        <w:t>Jordan National Red Crescent Society</w:t>
      </w:r>
      <w:r>
        <w:t>, which is a constituent member of the HCCD.</w:t>
      </w:r>
      <w:r>
        <w:rPr>
          <w:rStyle w:val="FootnoteReference"/>
        </w:rPr>
        <w:footnoteReference w:id="126"/>
      </w:r>
      <w:r>
        <w:t xml:space="preserve"> It played a role in sheltering Iraqi refugees in Jordan from 2003 onwards. While it has not provided shelter for Syrian refugees in Jordan, it has provided them</w:t>
      </w:r>
      <w:r w:rsidR="00F102C2">
        <w:t xml:space="preserve"> with</w:t>
      </w:r>
      <w:r>
        <w:t xml:space="preserve"> cash assistance which has enabled many of them to obtain housing.</w:t>
      </w:r>
      <w:r>
        <w:rPr>
          <w:rStyle w:val="FootnoteReference"/>
        </w:rPr>
        <w:footnoteReference w:id="127"/>
      </w:r>
    </w:p>
    <w:p w:rsidR="009F7495" w:rsidRDefault="008B52D1" w:rsidP="009F7495">
      <w:pPr>
        <w:pStyle w:val="AllensHeading2"/>
      </w:pPr>
      <w:bookmarkStart w:id="141" w:name="_Toc256000110"/>
      <w:bookmarkStart w:id="142" w:name="_Toc256000026"/>
      <w:bookmarkStart w:id="143" w:name="_Toc16243137"/>
      <w:r>
        <w:t>In previous disasters, were beneficiaries of shelter assistance required to provide proof of security of tenure? If so, which actors required proof and what type of evidence was necessary?</w:t>
      </w:r>
      <w:bookmarkEnd w:id="141"/>
      <w:bookmarkEnd w:id="142"/>
      <w:bookmarkEnd w:id="143"/>
    </w:p>
    <w:p w:rsidR="00C011D4" w:rsidRPr="00C011D4" w:rsidRDefault="008B52D1" w:rsidP="009263AE">
      <w:pPr>
        <w:pStyle w:val="Body2"/>
        <w:jc w:val="both"/>
      </w:pPr>
      <w:r w:rsidRPr="009263AE">
        <w:t>There is no evidence to make clear whether beneficia</w:t>
      </w:r>
      <w:r>
        <w:t xml:space="preserve">ries of shelter assistance have </w:t>
      </w:r>
      <w:r w:rsidRPr="009263AE">
        <w:t>previously been required to provide proof of security of tenure.</w:t>
      </w:r>
      <w:r w:rsidR="0033594E">
        <w:t xml:space="preserve"> </w:t>
      </w:r>
    </w:p>
    <w:p w:rsidR="009F7495" w:rsidRDefault="008B52D1" w:rsidP="009F7495">
      <w:pPr>
        <w:pStyle w:val="AllensHeading2"/>
      </w:pPr>
      <w:bookmarkStart w:id="144" w:name="_Toc256000111"/>
      <w:bookmarkStart w:id="145" w:name="_Toc256000027"/>
      <w:bookmarkStart w:id="146" w:name="_Toc16243138"/>
      <w:r>
        <w:lastRenderedPageBreak/>
        <w:t>What is the breakdown of the different forms of tenure identified in Stage One? If possible, please provide statistics and identify differences between urban and rural areas.</w:t>
      </w:r>
      <w:bookmarkEnd w:id="144"/>
      <w:bookmarkEnd w:id="145"/>
      <w:bookmarkEnd w:id="146"/>
    </w:p>
    <w:p w:rsidR="0081072A" w:rsidRDefault="008B52D1" w:rsidP="004A5539">
      <w:pPr>
        <w:pStyle w:val="NormalIndent"/>
        <w:jc w:val="both"/>
      </w:pPr>
      <w:r>
        <w:t xml:space="preserve">See Section </w:t>
      </w:r>
      <w:r>
        <w:fldChar w:fldCharType="begin"/>
      </w:r>
      <w:r>
        <w:instrText xml:space="preserve"> REF _Ref16086158 \r \h </w:instrText>
      </w:r>
      <w:r>
        <w:fldChar w:fldCharType="separate"/>
      </w:r>
      <w:r>
        <w:t>2.1(d)</w:t>
      </w:r>
      <w:r>
        <w:fldChar w:fldCharType="end"/>
      </w:r>
      <w:r w:rsidR="00FD7EB1">
        <w:t>.</w:t>
      </w:r>
      <w:r w:rsidR="00EE0FC0">
        <w:t xml:space="preserve"> </w:t>
      </w:r>
      <w:r w:rsidR="00BD7845">
        <w:t xml:space="preserve">Statistical data as to the breakdown of the different forms of tenure for 2018 and 2019 is not available. </w:t>
      </w:r>
      <w:r w:rsidR="001665CE">
        <w:t>However the 2015 census conducted by the Jordanian government showed the following:</w:t>
      </w:r>
      <w:r>
        <w:rPr>
          <w:rStyle w:val="FootnoteReference"/>
        </w:rPr>
        <w:footnoteReference w:id="128"/>
      </w:r>
    </w:p>
    <w:tbl>
      <w:tblPr>
        <w:tblStyle w:val="TableGrid"/>
        <w:tblW w:w="0" w:type="auto"/>
        <w:tblInd w:w="720" w:type="dxa"/>
        <w:tblLook w:val="04A0" w:firstRow="1" w:lastRow="0" w:firstColumn="1" w:lastColumn="0" w:noHBand="0" w:noVBand="1"/>
      </w:tblPr>
      <w:tblGrid>
        <w:gridCol w:w="1940"/>
        <w:gridCol w:w="1701"/>
        <w:gridCol w:w="1701"/>
        <w:gridCol w:w="1843"/>
      </w:tblGrid>
      <w:tr w:rsidR="006D0A9D" w:rsidTr="00886000">
        <w:tc>
          <w:tcPr>
            <w:tcW w:w="1940" w:type="dxa"/>
            <w:tcBorders>
              <w:bottom w:val="single" w:sz="4" w:space="0" w:color="auto"/>
            </w:tcBorders>
            <w:shd w:val="pct15" w:color="auto" w:fill="auto"/>
          </w:tcPr>
          <w:p w:rsidR="00A222EB" w:rsidRDefault="00A222EB" w:rsidP="004A5539">
            <w:pPr>
              <w:pStyle w:val="NormalIndent"/>
              <w:ind w:left="0"/>
              <w:jc w:val="both"/>
            </w:pPr>
          </w:p>
        </w:tc>
        <w:tc>
          <w:tcPr>
            <w:tcW w:w="1701" w:type="dxa"/>
            <w:tcBorders>
              <w:bottom w:val="single" w:sz="4" w:space="0" w:color="auto"/>
            </w:tcBorders>
            <w:shd w:val="pct15" w:color="auto" w:fill="auto"/>
          </w:tcPr>
          <w:p w:rsidR="00A222EB" w:rsidRDefault="008B52D1" w:rsidP="004A5539">
            <w:pPr>
              <w:pStyle w:val="NormalIndent"/>
              <w:ind w:left="0"/>
              <w:jc w:val="both"/>
            </w:pPr>
            <w:r>
              <w:t>Urban</w:t>
            </w:r>
          </w:p>
        </w:tc>
        <w:tc>
          <w:tcPr>
            <w:tcW w:w="1701" w:type="dxa"/>
            <w:tcBorders>
              <w:bottom w:val="single" w:sz="4" w:space="0" w:color="auto"/>
            </w:tcBorders>
            <w:shd w:val="pct15" w:color="auto" w:fill="auto"/>
          </w:tcPr>
          <w:p w:rsidR="00A222EB" w:rsidRDefault="008B52D1" w:rsidP="004A5539">
            <w:pPr>
              <w:pStyle w:val="NormalIndent"/>
              <w:ind w:left="0"/>
              <w:jc w:val="both"/>
            </w:pPr>
            <w:r>
              <w:t>Rural</w:t>
            </w:r>
          </w:p>
        </w:tc>
        <w:tc>
          <w:tcPr>
            <w:tcW w:w="1843" w:type="dxa"/>
            <w:tcBorders>
              <w:bottom w:val="single" w:sz="4" w:space="0" w:color="auto"/>
            </w:tcBorders>
            <w:shd w:val="pct15" w:color="auto" w:fill="auto"/>
          </w:tcPr>
          <w:p w:rsidR="00A222EB" w:rsidRDefault="008B52D1" w:rsidP="004A5539">
            <w:pPr>
              <w:pStyle w:val="NormalIndent"/>
              <w:ind w:left="0"/>
              <w:jc w:val="both"/>
            </w:pPr>
            <w:r>
              <w:t>Total (across Jordan)</w:t>
            </w:r>
          </w:p>
        </w:tc>
      </w:tr>
      <w:tr w:rsidR="006D0A9D" w:rsidTr="00886000">
        <w:tc>
          <w:tcPr>
            <w:tcW w:w="1940" w:type="dxa"/>
            <w:shd w:val="pct15" w:color="auto" w:fill="auto"/>
          </w:tcPr>
          <w:p w:rsidR="00A222EB" w:rsidRDefault="008B52D1" w:rsidP="004A5539">
            <w:pPr>
              <w:pStyle w:val="NormalIndent"/>
              <w:ind w:left="0"/>
              <w:jc w:val="both"/>
            </w:pPr>
            <w:r>
              <w:t>Property owned by household or household member</w:t>
            </w:r>
          </w:p>
        </w:tc>
        <w:tc>
          <w:tcPr>
            <w:tcW w:w="1701" w:type="dxa"/>
          </w:tcPr>
          <w:p w:rsidR="00A222EB" w:rsidRDefault="008B52D1" w:rsidP="004A5539">
            <w:pPr>
              <w:pStyle w:val="NormalIndent"/>
              <w:ind w:left="0"/>
              <w:jc w:val="both"/>
            </w:pPr>
            <w:r>
              <w:t>983,152</w:t>
            </w:r>
          </w:p>
        </w:tc>
        <w:tc>
          <w:tcPr>
            <w:tcW w:w="1701" w:type="dxa"/>
          </w:tcPr>
          <w:p w:rsidR="00A222EB" w:rsidRDefault="008B52D1" w:rsidP="004A5539">
            <w:pPr>
              <w:pStyle w:val="NormalIndent"/>
              <w:ind w:left="0"/>
              <w:jc w:val="both"/>
            </w:pPr>
            <w:r>
              <w:t>140,195</w:t>
            </w:r>
          </w:p>
        </w:tc>
        <w:tc>
          <w:tcPr>
            <w:tcW w:w="1843" w:type="dxa"/>
          </w:tcPr>
          <w:p w:rsidR="00A222EB" w:rsidRDefault="008B52D1" w:rsidP="004A5539">
            <w:pPr>
              <w:pStyle w:val="NormalIndent"/>
              <w:ind w:left="0"/>
              <w:jc w:val="both"/>
            </w:pPr>
            <w:r>
              <w:t>1,123,347</w:t>
            </w:r>
          </w:p>
        </w:tc>
      </w:tr>
      <w:tr w:rsidR="006D0A9D" w:rsidTr="00886000">
        <w:tc>
          <w:tcPr>
            <w:tcW w:w="1940" w:type="dxa"/>
            <w:shd w:val="pct15" w:color="auto" w:fill="auto"/>
          </w:tcPr>
          <w:p w:rsidR="00A222EB" w:rsidRDefault="008B52D1" w:rsidP="004A5539">
            <w:pPr>
              <w:pStyle w:val="NormalIndent"/>
              <w:ind w:left="0"/>
              <w:jc w:val="both"/>
            </w:pPr>
            <w:r>
              <w:t>Rented (Furnished / Unfurnished)</w:t>
            </w:r>
          </w:p>
        </w:tc>
        <w:tc>
          <w:tcPr>
            <w:tcW w:w="1701" w:type="dxa"/>
          </w:tcPr>
          <w:p w:rsidR="0011271D" w:rsidRDefault="008B52D1" w:rsidP="004A5539">
            <w:pPr>
              <w:pStyle w:val="NormalIndent"/>
              <w:ind w:left="0"/>
              <w:jc w:val="both"/>
            </w:pPr>
            <w:r>
              <w:t>F: 31,688</w:t>
            </w:r>
          </w:p>
          <w:p w:rsidR="00A222EB" w:rsidRDefault="008B52D1" w:rsidP="004A5539">
            <w:pPr>
              <w:pStyle w:val="NormalIndent"/>
              <w:ind w:left="0"/>
              <w:jc w:val="both"/>
            </w:pPr>
            <w:proofErr w:type="gramStart"/>
            <w:r>
              <w:t>U:486,850</w:t>
            </w:r>
            <w:proofErr w:type="gramEnd"/>
          </w:p>
          <w:p w:rsidR="004D68B1" w:rsidRDefault="004D68B1" w:rsidP="004A5539">
            <w:pPr>
              <w:pStyle w:val="NormalIndent"/>
              <w:ind w:left="0"/>
              <w:jc w:val="both"/>
            </w:pPr>
          </w:p>
        </w:tc>
        <w:tc>
          <w:tcPr>
            <w:tcW w:w="1701" w:type="dxa"/>
          </w:tcPr>
          <w:p w:rsidR="0011271D" w:rsidRDefault="008B52D1" w:rsidP="004A5539">
            <w:pPr>
              <w:pStyle w:val="NormalIndent"/>
              <w:ind w:left="0"/>
              <w:jc w:val="both"/>
            </w:pPr>
            <w:r>
              <w:t>F: 663</w:t>
            </w:r>
          </w:p>
          <w:p w:rsidR="00A222EB" w:rsidRDefault="008B52D1" w:rsidP="004A5539">
            <w:pPr>
              <w:pStyle w:val="NormalIndent"/>
              <w:ind w:left="0"/>
              <w:jc w:val="both"/>
            </w:pPr>
            <w:r>
              <w:t>U: 20,518</w:t>
            </w:r>
          </w:p>
          <w:p w:rsidR="004D68B1" w:rsidRDefault="004D68B1" w:rsidP="004A5539">
            <w:pPr>
              <w:pStyle w:val="NormalIndent"/>
              <w:ind w:left="0"/>
              <w:jc w:val="both"/>
            </w:pPr>
          </w:p>
        </w:tc>
        <w:tc>
          <w:tcPr>
            <w:tcW w:w="1843" w:type="dxa"/>
          </w:tcPr>
          <w:p w:rsidR="0011271D" w:rsidRDefault="008B52D1" w:rsidP="004A5539">
            <w:pPr>
              <w:pStyle w:val="NormalIndent"/>
              <w:ind w:left="0"/>
              <w:jc w:val="both"/>
            </w:pPr>
            <w:r>
              <w:t>F: 32,351</w:t>
            </w:r>
          </w:p>
          <w:p w:rsidR="004D68B1" w:rsidRDefault="008B52D1" w:rsidP="004A5539">
            <w:pPr>
              <w:pStyle w:val="NormalIndent"/>
              <w:ind w:left="0"/>
              <w:jc w:val="both"/>
            </w:pPr>
            <w:r>
              <w:t>U: 507,368</w:t>
            </w:r>
          </w:p>
          <w:p w:rsidR="00A222EB" w:rsidRDefault="00A222EB" w:rsidP="004D68B1">
            <w:pPr>
              <w:pStyle w:val="NormalIndent"/>
              <w:ind w:left="0"/>
              <w:jc w:val="both"/>
            </w:pPr>
          </w:p>
        </w:tc>
      </w:tr>
      <w:tr w:rsidR="006D0A9D" w:rsidTr="00886000">
        <w:tc>
          <w:tcPr>
            <w:tcW w:w="1940" w:type="dxa"/>
            <w:shd w:val="pct15" w:color="auto" w:fill="auto"/>
          </w:tcPr>
          <w:p w:rsidR="00A222EB" w:rsidRDefault="008B52D1" w:rsidP="004A5539">
            <w:pPr>
              <w:pStyle w:val="NormalIndent"/>
              <w:ind w:left="0"/>
              <w:jc w:val="both"/>
            </w:pPr>
            <w:r>
              <w:t>Owned by relative</w:t>
            </w:r>
          </w:p>
        </w:tc>
        <w:tc>
          <w:tcPr>
            <w:tcW w:w="1701" w:type="dxa"/>
          </w:tcPr>
          <w:p w:rsidR="00A222EB" w:rsidRDefault="008B52D1" w:rsidP="004A5539">
            <w:pPr>
              <w:pStyle w:val="NormalIndent"/>
              <w:ind w:left="0"/>
              <w:jc w:val="both"/>
            </w:pPr>
            <w:r>
              <w:t>40,985</w:t>
            </w:r>
          </w:p>
        </w:tc>
        <w:tc>
          <w:tcPr>
            <w:tcW w:w="1701" w:type="dxa"/>
          </w:tcPr>
          <w:p w:rsidR="00A222EB" w:rsidRDefault="008B52D1" w:rsidP="004A5539">
            <w:pPr>
              <w:pStyle w:val="NormalIndent"/>
              <w:ind w:left="0"/>
              <w:jc w:val="both"/>
            </w:pPr>
            <w:r>
              <w:t>4,400</w:t>
            </w:r>
          </w:p>
        </w:tc>
        <w:tc>
          <w:tcPr>
            <w:tcW w:w="1843" w:type="dxa"/>
          </w:tcPr>
          <w:p w:rsidR="00A222EB" w:rsidRDefault="008B52D1" w:rsidP="00A222EB">
            <w:pPr>
              <w:pStyle w:val="NormalIndent"/>
              <w:ind w:left="0"/>
              <w:jc w:val="both"/>
            </w:pPr>
            <w:r>
              <w:t>45,385</w:t>
            </w:r>
          </w:p>
        </w:tc>
      </w:tr>
      <w:tr w:rsidR="006D0A9D" w:rsidTr="00886000">
        <w:tc>
          <w:tcPr>
            <w:tcW w:w="1940" w:type="dxa"/>
            <w:tcBorders>
              <w:bottom w:val="single" w:sz="4" w:space="0" w:color="auto"/>
            </w:tcBorders>
            <w:shd w:val="pct15" w:color="auto" w:fill="auto"/>
          </w:tcPr>
          <w:p w:rsidR="00A222EB" w:rsidRDefault="008B52D1" w:rsidP="004A5539">
            <w:pPr>
              <w:pStyle w:val="NormalIndent"/>
              <w:ind w:left="0"/>
              <w:jc w:val="both"/>
            </w:pPr>
            <w:r>
              <w:t>Provided in return for work</w:t>
            </w:r>
          </w:p>
        </w:tc>
        <w:tc>
          <w:tcPr>
            <w:tcW w:w="1701" w:type="dxa"/>
            <w:tcBorders>
              <w:bottom w:val="single" w:sz="4" w:space="0" w:color="auto"/>
            </w:tcBorders>
          </w:tcPr>
          <w:p w:rsidR="00A222EB" w:rsidRDefault="008B52D1" w:rsidP="004A5539">
            <w:pPr>
              <w:pStyle w:val="NormalIndent"/>
              <w:ind w:left="0"/>
              <w:jc w:val="both"/>
            </w:pPr>
            <w:r>
              <w:t>29,924</w:t>
            </w:r>
          </w:p>
        </w:tc>
        <w:tc>
          <w:tcPr>
            <w:tcW w:w="1701" w:type="dxa"/>
            <w:tcBorders>
              <w:bottom w:val="single" w:sz="4" w:space="0" w:color="auto"/>
            </w:tcBorders>
          </w:tcPr>
          <w:p w:rsidR="00A222EB" w:rsidRDefault="008B52D1" w:rsidP="004A5539">
            <w:pPr>
              <w:pStyle w:val="NormalIndent"/>
              <w:ind w:left="0"/>
              <w:jc w:val="both"/>
            </w:pPr>
            <w:r>
              <w:t>5,455</w:t>
            </w:r>
          </w:p>
        </w:tc>
        <w:tc>
          <w:tcPr>
            <w:tcW w:w="1843" w:type="dxa"/>
            <w:tcBorders>
              <w:bottom w:val="single" w:sz="4" w:space="0" w:color="auto"/>
            </w:tcBorders>
          </w:tcPr>
          <w:p w:rsidR="00A222EB" w:rsidRDefault="008B52D1" w:rsidP="004A5539">
            <w:pPr>
              <w:pStyle w:val="NormalIndent"/>
              <w:ind w:left="0"/>
              <w:jc w:val="both"/>
            </w:pPr>
            <w:r>
              <w:t>35,379</w:t>
            </w:r>
          </w:p>
        </w:tc>
      </w:tr>
    </w:tbl>
    <w:p w:rsidR="001665CE" w:rsidRDefault="001665CE" w:rsidP="004A5539">
      <w:pPr>
        <w:pStyle w:val="NormalIndent"/>
        <w:jc w:val="both"/>
      </w:pPr>
    </w:p>
    <w:p w:rsidR="00416CD1" w:rsidRDefault="008B52D1" w:rsidP="004A5539">
      <w:pPr>
        <w:pStyle w:val="NormalIndent"/>
        <w:jc w:val="both"/>
      </w:pPr>
      <w:r>
        <w:t>M</w:t>
      </w:r>
      <w:r w:rsidR="00423E8D">
        <w:t xml:space="preserve">ost freehold land (and much of the population) </w:t>
      </w:r>
      <w:r w:rsidR="00AC699D">
        <w:t xml:space="preserve">is concentrated in the west, particularly </w:t>
      </w:r>
      <w:r w:rsidR="004A5539">
        <w:t xml:space="preserve">in </w:t>
      </w:r>
      <w:r w:rsidR="00AC699D">
        <w:t>the heavily urbanised northwest centring around Amman</w:t>
      </w:r>
      <w:r w:rsidR="00423E8D">
        <w:t xml:space="preserve">, </w:t>
      </w:r>
      <w:r w:rsidR="00AC699D">
        <w:t>while the eastern region</w:t>
      </w:r>
      <w:r w:rsidR="00423E8D">
        <w:t xml:space="preserve">s, which </w:t>
      </w:r>
      <w:r w:rsidR="00AC699D">
        <w:t xml:space="preserve">are rural and </w:t>
      </w:r>
      <w:r w:rsidR="00423E8D">
        <w:t>mainly</w:t>
      </w:r>
      <w:r w:rsidR="00AC699D">
        <w:t xml:space="preserve"> arid desert land</w:t>
      </w:r>
      <w:r w:rsidR="00423E8D">
        <w:t xml:space="preserve">, are mostly made up of treasury lands or waste land (see Section </w:t>
      </w:r>
      <w:r w:rsidR="004A5539">
        <w:fldChar w:fldCharType="begin"/>
      </w:r>
      <w:r w:rsidR="004A5539">
        <w:instrText xml:space="preserve"> REF _Ref13683993 \r \h </w:instrText>
      </w:r>
      <w:r w:rsidR="004A5539">
        <w:fldChar w:fldCharType="separate"/>
      </w:r>
      <w:r w:rsidR="004A5539">
        <w:t>2.1(b)</w:t>
      </w:r>
      <w:r w:rsidR="004A5539">
        <w:fldChar w:fldCharType="end"/>
      </w:r>
      <w:r w:rsidR="00423E8D">
        <w:t xml:space="preserve"> above)</w:t>
      </w:r>
      <w:r w:rsidR="00AC699D">
        <w:t>.</w:t>
      </w:r>
      <w:r>
        <w:rPr>
          <w:rStyle w:val="FootnoteReference"/>
        </w:rPr>
        <w:footnoteReference w:id="129"/>
      </w:r>
      <w:r w:rsidR="00AC699D">
        <w:t xml:space="preserve"> </w:t>
      </w:r>
      <w:r w:rsidR="00702ACD">
        <w:t xml:space="preserve">As discussed in Section </w:t>
      </w:r>
      <w:r w:rsidR="004A5539">
        <w:fldChar w:fldCharType="begin"/>
      </w:r>
      <w:r w:rsidR="004A5539">
        <w:instrText xml:space="preserve"> REF _Ref13685577 \r \h </w:instrText>
      </w:r>
      <w:r w:rsidR="004A5539">
        <w:fldChar w:fldCharType="separate"/>
      </w:r>
      <w:r w:rsidR="004A5539">
        <w:t>2.3</w:t>
      </w:r>
      <w:r w:rsidR="004A5539">
        <w:fldChar w:fldCharType="end"/>
      </w:r>
      <w:r w:rsidR="00702ACD">
        <w:t xml:space="preserve"> above, while treasury lands technically belong to the state, the Bedouin tribes </w:t>
      </w:r>
      <w:r w:rsidR="004A5539">
        <w:t xml:space="preserve">which </w:t>
      </w:r>
      <w:r w:rsidR="00702ACD">
        <w:t xml:space="preserve">had previously installed their own system of land tenure and grazing rights </w:t>
      </w:r>
      <w:r w:rsidR="00F102C2">
        <w:t>continue to make transactions of</w:t>
      </w:r>
      <w:r w:rsidR="00702ACD">
        <w:t xml:space="preserve"> property rights outside of the </w:t>
      </w:r>
      <w:r w:rsidR="00F102C2">
        <w:t xml:space="preserve">legally recognised </w:t>
      </w:r>
      <w:r w:rsidR="00702ACD">
        <w:t xml:space="preserve">land registration system. </w:t>
      </w:r>
    </w:p>
    <w:p w:rsidR="009F7495" w:rsidRDefault="008B52D1" w:rsidP="009F7495">
      <w:pPr>
        <w:pStyle w:val="AllensHeading2"/>
      </w:pPr>
      <w:bookmarkStart w:id="147" w:name="_Toc256000112"/>
      <w:bookmarkStart w:id="148" w:name="_Toc256000028"/>
      <w:bookmarkStart w:id="149" w:name="_Toc16243139"/>
      <w:r>
        <w:t>Are there in-country agencies active in worki</w:t>
      </w:r>
      <w:r w:rsidR="00127653">
        <w:t>ng in HLP rights, or who could assist with understanding further information on HLP rights?</w:t>
      </w:r>
      <w:bookmarkEnd w:id="147"/>
      <w:bookmarkEnd w:id="148"/>
      <w:bookmarkEnd w:id="149"/>
    </w:p>
    <w:p w:rsidR="005E3054" w:rsidRDefault="008B52D1" w:rsidP="005E3054">
      <w:pPr>
        <w:pStyle w:val="NormalIndent"/>
        <w:jc w:val="both"/>
      </w:pPr>
      <w:r>
        <w:t xml:space="preserve">In addition to </w:t>
      </w:r>
      <w:r w:rsidR="00033B95">
        <w:t>CARE Jordan</w:t>
      </w:r>
      <w:r>
        <w:t>, which</w:t>
      </w:r>
      <w:r w:rsidR="00033B95">
        <w:t xml:space="preserve"> provides shelter assistance indirectly</w:t>
      </w:r>
      <w:r>
        <w:t xml:space="preserve"> (such as </w:t>
      </w:r>
      <w:r w:rsidR="00033B95">
        <w:t>through its cash for rent programme</w:t>
      </w:r>
      <w:r>
        <w:t>), o</w:t>
      </w:r>
      <w:r w:rsidR="00033B95">
        <w:t>ther a</w:t>
      </w:r>
      <w:r w:rsidR="00702ACD">
        <w:t xml:space="preserve">gencies in Jordan active in working in HLP rights include the Norwegian Refugee Council (NRC) and the </w:t>
      </w:r>
      <w:r w:rsidR="00702ACD" w:rsidRPr="00AB75EB">
        <w:t>UN</w:t>
      </w:r>
      <w:r w:rsidR="00702ACD">
        <w:t xml:space="preserve"> </w:t>
      </w:r>
      <w:r w:rsidR="00702ACD" w:rsidRPr="00AB75EB">
        <w:t>H</w:t>
      </w:r>
      <w:r w:rsidR="00702ACD">
        <w:t xml:space="preserve">igh </w:t>
      </w:r>
      <w:r w:rsidR="00702ACD" w:rsidRPr="00AB75EB">
        <w:t>C</w:t>
      </w:r>
      <w:r w:rsidR="00702ACD">
        <w:t xml:space="preserve">ommission for </w:t>
      </w:r>
      <w:r w:rsidR="00702ACD" w:rsidRPr="00AB75EB">
        <w:t>R</w:t>
      </w:r>
      <w:r w:rsidR="00702ACD">
        <w:t xml:space="preserve">efugees (UNHCR). Together, the two agencies co-chair the Shelter Working Group which aims to provide </w:t>
      </w:r>
      <w:r w:rsidR="00FD7EB1">
        <w:t xml:space="preserve">Syrian </w:t>
      </w:r>
      <w:r w:rsidR="00702ACD">
        <w:t>refugees in Jordan with adequate shelter and housing</w:t>
      </w:r>
      <w:r w:rsidR="00FD7EB1">
        <w:t>, including creating refugee housing units</w:t>
      </w:r>
      <w:r w:rsidR="00702ACD">
        <w:t>.</w:t>
      </w:r>
      <w:r>
        <w:rPr>
          <w:rStyle w:val="FootnoteReference"/>
        </w:rPr>
        <w:footnoteReference w:id="130"/>
      </w:r>
      <w:r w:rsidR="00702ACD">
        <w:t xml:space="preserve"> </w:t>
      </w:r>
      <w:r>
        <w:t>T</w:t>
      </w:r>
      <w:r w:rsidR="00702ACD">
        <w:t xml:space="preserve">he NRC </w:t>
      </w:r>
      <w:r>
        <w:t xml:space="preserve">also </w:t>
      </w:r>
      <w:r w:rsidR="00702ACD">
        <w:t xml:space="preserve">provides shelter and settlements for vulnerable Jordanians, advises on </w:t>
      </w:r>
      <w:r w:rsidR="00702ACD">
        <w:lastRenderedPageBreak/>
        <w:t xml:space="preserve">housing rights, evictions and landlord-tenant disputes, and </w:t>
      </w:r>
      <w:r w:rsidR="00FD7EB1">
        <w:t>operates</w:t>
      </w:r>
      <w:r w:rsidR="00702ACD">
        <w:t xml:space="preserve"> the Urban Shelter Project to provide rent-free housing for Syrian refugees.</w:t>
      </w:r>
      <w:r>
        <w:rPr>
          <w:rStyle w:val="FootnoteReference"/>
        </w:rPr>
        <w:footnoteReference w:id="131"/>
      </w:r>
      <w:r w:rsidR="00702ACD">
        <w:t xml:space="preserve"> </w:t>
      </w:r>
      <w:r w:rsidR="007848BF">
        <w:t>Other agencies, such as the</w:t>
      </w:r>
      <w:r w:rsidR="00FE79A0">
        <w:t xml:space="preserve"> International Catholic Migration Commission (ICMC)</w:t>
      </w:r>
      <w:r w:rsidR="007848BF">
        <w:t xml:space="preserve">, </w:t>
      </w:r>
      <w:r w:rsidR="00FE79A0">
        <w:t>Caritas</w:t>
      </w:r>
      <w:r w:rsidR="007848BF">
        <w:t xml:space="preserve">, </w:t>
      </w:r>
      <w:r w:rsidR="007848BF" w:rsidRPr="007848BF">
        <w:t>Première</w:t>
      </w:r>
      <w:r w:rsidR="007848BF">
        <w:t xml:space="preserve"> </w:t>
      </w:r>
      <w:proofErr w:type="spellStart"/>
      <w:r w:rsidR="007848BF">
        <w:t>Urgence</w:t>
      </w:r>
      <w:proofErr w:type="spellEnd"/>
      <w:r w:rsidR="007848BF">
        <w:t xml:space="preserve"> Internationale</w:t>
      </w:r>
      <w:r w:rsidR="00033B95">
        <w:t>,</w:t>
      </w:r>
      <w:r w:rsidR="007848BF">
        <w:t xml:space="preserve"> </w:t>
      </w:r>
      <w:proofErr w:type="spellStart"/>
      <w:r w:rsidR="007848BF">
        <w:t>Medair</w:t>
      </w:r>
      <w:proofErr w:type="spellEnd"/>
      <w:r w:rsidR="00033B95">
        <w:t>, International Orthodox Christian Charities (IOCC)</w:t>
      </w:r>
      <w:r>
        <w:t xml:space="preserve"> and </w:t>
      </w:r>
      <w:proofErr w:type="spellStart"/>
      <w:r>
        <w:t>Intersos</w:t>
      </w:r>
      <w:proofErr w:type="spellEnd"/>
      <w:r w:rsidR="007848BF">
        <w:t xml:space="preserve"> also</w:t>
      </w:r>
      <w:r w:rsidR="00FE79A0">
        <w:t xml:space="preserve"> </w:t>
      </w:r>
      <w:r w:rsidR="007848BF">
        <w:t>distribute</w:t>
      </w:r>
      <w:r w:rsidR="00FE79A0">
        <w:t xml:space="preserve"> cash-for-rent aid, pr</w:t>
      </w:r>
      <w:r w:rsidR="007848BF">
        <w:t xml:space="preserve">imarily for Syrian refugees, with a minority of beneficiaries being </w:t>
      </w:r>
      <w:r w:rsidR="00FE79A0">
        <w:t>deprived Jordanian households.</w:t>
      </w:r>
      <w:r>
        <w:rPr>
          <w:rStyle w:val="FootnoteReference"/>
        </w:rPr>
        <w:footnoteReference w:id="132"/>
      </w:r>
      <w:r w:rsidR="00FE79A0">
        <w:t xml:space="preserve"> </w:t>
      </w:r>
    </w:p>
    <w:p w:rsidR="005E3054" w:rsidRPr="00C731A6" w:rsidRDefault="008B52D1" w:rsidP="007848BF">
      <w:pPr>
        <w:pStyle w:val="NormalIndent"/>
        <w:tabs>
          <w:tab w:val="left" w:pos="3880"/>
        </w:tabs>
        <w:jc w:val="both"/>
        <w:rPr>
          <w:b/>
          <w:i/>
        </w:rPr>
      </w:pPr>
      <w:r>
        <w:rPr>
          <w:b/>
          <w:i/>
        </w:rPr>
        <w:tab/>
      </w:r>
    </w:p>
    <w:p w:rsidR="001227A6" w:rsidRDefault="008B52D1" w:rsidP="00F3657D">
      <w:pPr>
        <w:pStyle w:val="AllensHeading1"/>
        <w:rPr>
          <w:rFonts w:eastAsiaTheme="minorHAnsi"/>
          <w:lang w:eastAsia="en-US"/>
        </w:rPr>
      </w:pPr>
      <w:bookmarkStart w:id="150" w:name="Bibliography"/>
      <w:bookmarkStart w:id="151" w:name="_Toc256000113"/>
      <w:bookmarkStart w:id="152" w:name="_Toc256000029"/>
      <w:bookmarkStart w:id="153" w:name="_Toc16243140"/>
      <w:bookmarkEnd w:id="150"/>
      <w:r>
        <w:rPr>
          <w:rFonts w:eastAsiaTheme="minorHAnsi"/>
          <w:lang w:eastAsia="en-US"/>
        </w:rPr>
        <w:t>Bibliography</w:t>
      </w:r>
      <w:bookmarkEnd w:id="151"/>
      <w:bookmarkEnd w:id="152"/>
      <w:bookmarkEnd w:id="153"/>
    </w:p>
    <w:p w:rsidR="001227A6" w:rsidRDefault="008B52D1" w:rsidP="00F3657D">
      <w:pPr>
        <w:pStyle w:val="AllensHeading2"/>
        <w:rPr>
          <w:rFonts w:eastAsiaTheme="minorHAnsi"/>
          <w:lang w:eastAsia="en-US"/>
        </w:rPr>
      </w:pPr>
      <w:bookmarkStart w:id="154" w:name="_Toc256000114"/>
      <w:bookmarkStart w:id="155" w:name="_Toc256000030"/>
      <w:bookmarkStart w:id="156" w:name="_Toc16243141"/>
      <w:r>
        <w:rPr>
          <w:rFonts w:eastAsiaTheme="minorHAnsi"/>
          <w:lang w:eastAsia="en-US"/>
        </w:rPr>
        <w:t>Legislation</w:t>
      </w:r>
      <w:bookmarkEnd w:id="154"/>
      <w:bookmarkEnd w:id="155"/>
      <w:bookmarkEnd w:id="156"/>
    </w:p>
    <w:p w:rsidR="00B53A2B" w:rsidRDefault="008B52D1" w:rsidP="00AD7408">
      <w:pPr>
        <w:pStyle w:val="Level3"/>
        <w:numPr>
          <w:ilvl w:val="2"/>
          <w:numId w:val="20"/>
        </w:numPr>
      </w:pPr>
      <w:bookmarkStart w:id="157" w:name="_Toc256000115"/>
      <w:bookmarkStart w:id="158" w:name="_Toc256000031"/>
      <w:bookmarkStart w:id="159" w:name="_Toc13818586"/>
      <w:bookmarkStart w:id="160" w:name="_Toc16243142"/>
      <w:r>
        <w:t>The Constitution of the Hashemite Kingdom of Jordan &lt;</w:t>
      </w:r>
      <w:hyperlink r:id="rId21" w:history="1">
        <w:r w:rsidRPr="00001DA7">
          <w:rPr>
            <w:rStyle w:val="Hyperlink"/>
          </w:rPr>
          <w:t>http://www.kinghussein.gov.jo/const_ch1-3.html</w:t>
        </w:r>
      </w:hyperlink>
      <w:r>
        <w:t>&gt; (accessed 11 July 2019) and &lt;</w:t>
      </w:r>
      <w:hyperlink r:id="rId22" w:history="1">
        <w:r w:rsidRPr="00A87FD7">
          <w:rPr>
            <w:rStyle w:val="Hyperlink"/>
          </w:rPr>
          <w:t>https://www.constituteproject.org/constitution/Jordan_2016.pdf?lang=en</w:t>
        </w:r>
      </w:hyperlink>
      <w:r>
        <w:t>&gt; (accessed 8 July 2019)</w:t>
      </w:r>
      <w:bookmarkEnd w:id="157"/>
      <w:bookmarkEnd w:id="158"/>
      <w:bookmarkEnd w:id="159"/>
      <w:bookmarkEnd w:id="160"/>
      <w:r>
        <w:t xml:space="preserve"> </w:t>
      </w:r>
    </w:p>
    <w:p w:rsidR="009724D8" w:rsidRDefault="008B52D1" w:rsidP="00E60E5F">
      <w:pPr>
        <w:pStyle w:val="Level3"/>
      </w:pPr>
      <w:bookmarkStart w:id="161" w:name="_Toc256000116"/>
      <w:bookmarkStart w:id="162" w:name="_Toc256000032"/>
      <w:bookmarkStart w:id="163" w:name="_Toc13818587"/>
      <w:bookmarkStart w:id="164" w:name="_Toc16243143"/>
      <w:r>
        <w:t>Law No. 32 of 1965 (Management of State Property Law)</w:t>
      </w:r>
      <w:bookmarkEnd w:id="161"/>
      <w:bookmarkEnd w:id="162"/>
      <w:bookmarkEnd w:id="163"/>
      <w:bookmarkEnd w:id="164"/>
    </w:p>
    <w:p w:rsidR="009724D8" w:rsidRDefault="008B52D1" w:rsidP="00E60E5F">
      <w:pPr>
        <w:pStyle w:val="Level3"/>
      </w:pPr>
      <w:bookmarkStart w:id="165" w:name="_Toc256000117"/>
      <w:bookmarkStart w:id="166" w:name="_Toc256000033"/>
      <w:bookmarkStart w:id="167" w:name="_Toc13818588"/>
      <w:bookmarkStart w:id="168" w:name="_Toc16243144"/>
      <w:r>
        <w:t xml:space="preserve">1921 </w:t>
      </w:r>
      <w:proofErr w:type="spellStart"/>
      <w:r>
        <w:t>Mewat</w:t>
      </w:r>
      <w:proofErr w:type="spellEnd"/>
      <w:r>
        <w:t xml:space="preserve"> Land Ordinance</w:t>
      </w:r>
      <w:bookmarkEnd w:id="165"/>
      <w:bookmarkEnd w:id="166"/>
      <w:bookmarkEnd w:id="167"/>
      <w:bookmarkEnd w:id="168"/>
    </w:p>
    <w:p w:rsidR="009724D8" w:rsidRDefault="008B52D1" w:rsidP="00E60E5F">
      <w:pPr>
        <w:pStyle w:val="Level3"/>
      </w:pPr>
      <w:bookmarkStart w:id="169" w:name="_Toc256000118"/>
      <w:bookmarkStart w:id="170" w:name="_Toc256000034"/>
      <w:bookmarkStart w:id="171" w:name="_Toc13818589"/>
      <w:bookmarkStart w:id="172" w:name="_Toc16243145"/>
      <w:r>
        <w:t>Law No. 14 of 1961 (Preservation of State Lands and Properties Law)</w:t>
      </w:r>
      <w:bookmarkEnd w:id="169"/>
      <w:bookmarkEnd w:id="170"/>
      <w:bookmarkEnd w:id="171"/>
      <w:bookmarkEnd w:id="172"/>
    </w:p>
    <w:p w:rsidR="00E65743" w:rsidRDefault="008B52D1" w:rsidP="00E60E5F">
      <w:pPr>
        <w:pStyle w:val="Level3"/>
      </w:pPr>
      <w:bookmarkStart w:id="173" w:name="_Toc256000035"/>
      <w:bookmarkStart w:id="174" w:name="_Toc13818590"/>
      <w:bookmarkStart w:id="175" w:name="_Toc16243146"/>
      <w:bookmarkStart w:id="176" w:name="_Toc256000119"/>
      <w:r>
        <w:t xml:space="preserve">Landlord-Tenant Law </w:t>
      </w:r>
      <w:r w:rsidR="00434493">
        <w:t>(</w:t>
      </w:r>
      <w:r>
        <w:t>No. 30 of 2000</w:t>
      </w:r>
      <w:bookmarkEnd w:id="173"/>
      <w:bookmarkEnd w:id="174"/>
      <w:bookmarkEnd w:id="175"/>
      <w:r w:rsidR="00434493">
        <w:t>)</w:t>
      </w:r>
      <w:bookmarkEnd w:id="176"/>
    </w:p>
    <w:p w:rsidR="00B53A2B" w:rsidRPr="000032E1" w:rsidRDefault="008B52D1" w:rsidP="00E60E5F">
      <w:pPr>
        <w:pStyle w:val="Level3"/>
      </w:pPr>
      <w:bookmarkStart w:id="177" w:name="_Toc256000120"/>
      <w:bookmarkStart w:id="178" w:name="_Toc256000036"/>
      <w:bookmarkStart w:id="179" w:name="_Toc13818591"/>
      <w:bookmarkStart w:id="180" w:name="_Toc16243147"/>
      <w:r w:rsidRPr="00AD4910">
        <w:rPr>
          <w:noProof/>
          <w:lang w:val="en-GB" w:eastAsia="en-GB"/>
        </w:rPr>
        <w:t>Provisional Jordianian Personal Status Law (No. 36) of 2010</w:t>
      </w:r>
      <w:bookmarkEnd w:id="177"/>
      <w:bookmarkEnd w:id="178"/>
      <w:bookmarkEnd w:id="179"/>
      <w:bookmarkEnd w:id="180"/>
    </w:p>
    <w:p w:rsidR="001227A6" w:rsidRDefault="008B52D1" w:rsidP="001227A6">
      <w:pPr>
        <w:pStyle w:val="AllensHeading2"/>
        <w:rPr>
          <w:rFonts w:eastAsiaTheme="minorHAnsi"/>
          <w:lang w:eastAsia="en-US"/>
        </w:rPr>
      </w:pPr>
      <w:bookmarkStart w:id="181" w:name="_Toc256000121"/>
      <w:bookmarkStart w:id="182" w:name="_Toc256000037"/>
      <w:bookmarkStart w:id="183" w:name="_Toc16243148"/>
      <w:r>
        <w:rPr>
          <w:rFonts w:eastAsiaTheme="minorHAnsi"/>
          <w:lang w:eastAsia="en-US"/>
        </w:rPr>
        <w:t>Case law</w:t>
      </w:r>
      <w:bookmarkEnd w:id="181"/>
      <w:bookmarkEnd w:id="182"/>
      <w:bookmarkEnd w:id="183"/>
    </w:p>
    <w:p w:rsidR="00E65743" w:rsidRDefault="008B52D1" w:rsidP="00AD7408">
      <w:pPr>
        <w:pStyle w:val="Level3"/>
        <w:numPr>
          <w:ilvl w:val="2"/>
          <w:numId w:val="21"/>
        </w:numPr>
      </w:pPr>
      <w:bookmarkStart w:id="184" w:name="_Toc256000122"/>
      <w:bookmarkStart w:id="185" w:name="_Toc256000038"/>
      <w:bookmarkStart w:id="186" w:name="_Toc13818593"/>
      <w:bookmarkStart w:id="187" w:name="_Toc16243149"/>
      <w:r>
        <w:t>Court of Cassation, Case No.28/77, Jordan Bar Assoc. J., 761 (1977)</w:t>
      </w:r>
      <w:bookmarkEnd w:id="184"/>
      <w:bookmarkEnd w:id="185"/>
      <w:bookmarkEnd w:id="186"/>
      <w:bookmarkEnd w:id="187"/>
    </w:p>
    <w:p w:rsidR="00640A8F" w:rsidRPr="00640A8F" w:rsidRDefault="008B52D1" w:rsidP="00DB67AD">
      <w:pPr>
        <w:pStyle w:val="Level3"/>
        <w:rPr>
          <w:rFonts w:eastAsiaTheme="minorHAnsi"/>
        </w:rPr>
      </w:pPr>
      <w:bookmarkStart w:id="188" w:name="_Toc256000123"/>
      <w:bookmarkStart w:id="189" w:name="_Toc256000039"/>
      <w:bookmarkStart w:id="190" w:name="_Toc13818594"/>
      <w:bookmarkStart w:id="191" w:name="_Toc16243150"/>
      <w:r>
        <w:t>Court of Cassation, Case No. 289/88</w:t>
      </w:r>
      <w:bookmarkEnd w:id="188"/>
      <w:bookmarkEnd w:id="189"/>
      <w:bookmarkEnd w:id="190"/>
      <w:bookmarkEnd w:id="191"/>
    </w:p>
    <w:p w:rsidR="001227A6" w:rsidRDefault="008B52D1" w:rsidP="001227A6">
      <w:pPr>
        <w:pStyle w:val="AllensHeading2"/>
        <w:rPr>
          <w:rFonts w:eastAsiaTheme="minorHAnsi"/>
          <w:lang w:eastAsia="en-US"/>
        </w:rPr>
      </w:pPr>
      <w:bookmarkStart w:id="192" w:name="_Toc256000124"/>
      <w:bookmarkStart w:id="193" w:name="_Toc256000040"/>
      <w:bookmarkStart w:id="194" w:name="_Toc16243151"/>
      <w:r>
        <w:rPr>
          <w:rFonts w:eastAsiaTheme="minorHAnsi"/>
          <w:lang w:eastAsia="en-US"/>
        </w:rPr>
        <w:t>Secondary Sources</w:t>
      </w:r>
      <w:bookmarkEnd w:id="192"/>
      <w:bookmarkEnd w:id="193"/>
      <w:bookmarkEnd w:id="194"/>
    </w:p>
    <w:p w:rsidR="00332C40" w:rsidRPr="00E85A45" w:rsidRDefault="008B52D1" w:rsidP="00AD7408">
      <w:pPr>
        <w:pStyle w:val="Level3"/>
        <w:numPr>
          <w:ilvl w:val="2"/>
          <w:numId w:val="19"/>
        </w:numPr>
      </w:pPr>
      <w:bookmarkStart w:id="195" w:name="_Toc256000125"/>
      <w:bookmarkStart w:id="196" w:name="_Toc256000041"/>
      <w:bookmarkStart w:id="197" w:name="_Toc13818613"/>
      <w:bookmarkStart w:id="198" w:name="_Toc16243152"/>
      <w:bookmarkStart w:id="199" w:name="_Toc13818596"/>
      <w:r w:rsidRPr="00E85A45">
        <w:t xml:space="preserve">Ali Sharif </w:t>
      </w:r>
      <w:proofErr w:type="spellStart"/>
      <w:r w:rsidRPr="00E85A45">
        <w:t>Zu'bi</w:t>
      </w:r>
      <w:proofErr w:type="spellEnd"/>
      <w:r w:rsidRPr="00E85A45">
        <w:t>, Advocates &amp; Legal Consultants, ‘Issues in Ownership of Real Estate’ (</w:t>
      </w:r>
      <w:r w:rsidRPr="00DB67AD">
        <w:rPr>
          <w:i/>
        </w:rPr>
        <w:t>Lex Mundi</w:t>
      </w:r>
      <w:r w:rsidRPr="00E85A45">
        <w:t>, 2008) &lt;</w:t>
      </w:r>
      <w:hyperlink r:id="rId23" w:history="1">
        <w:r w:rsidRPr="00E85A45">
          <w:rPr>
            <w:rStyle w:val="Hyperlink"/>
          </w:rPr>
          <w:t>http://www.google.com/url?sa=t&amp;rct=j&amp;q=&amp;esrc=s&amp;source=web&amp;cd=1&amp;ved=2ahUKEwjRp-bp8aXjAhVTa8AKHdAgAQYQFjAAegQIABAC&amp;url=http%3A%2F%2Fwww.lexmundi.c</w:t>
        </w:r>
        <w:r w:rsidRPr="00E85A45">
          <w:rPr>
            <w:rStyle w:val="Hyperlink"/>
          </w:rPr>
          <w:lastRenderedPageBreak/>
          <w:t>om%2FDocument.asp%3FDocID%3D1729&amp;usg=AOvVaw0JACD7QLuuicc8mNWW8wR2</w:t>
        </w:r>
      </w:hyperlink>
      <w:r w:rsidRPr="00E85A45">
        <w:rPr>
          <w:rStyle w:val="CommentReference"/>
        </w:rPr>
        <w:t>&gt; (</w:t>
      </w:r>
      <w:r w:rsidRPr="00E85A45">
        <w:t>accessed 8 July 2019)</w:t>
      </w:r>
      <w:bookmarkEnd w:id="195"/>
      <w:bookmarkEnd w:id="196"/>
      <w:bookmarkEnd w:id="197"/>
      <w:bookmarkEnd w:id="198"/>
    </w:p>
    <w:p w:rsidR="007B0A2C" w:rsidRDefault="008B52D1" w:rsidP="007B0A2C">
      <w:pPr>
        <w:pStyle w:val="Level3"/>
      </w:pPr>
      <w:bookmarkStart w:id="200" w:name="_Toc256000126"/>
      <w:bookmarkStart w:id="201" w:name="_Toc256000042"/>
      <w:bookmarkStart w:id="202" w:name="_Toc16243153"/>
      <w:bookmarkEnd w:id="199"/>
      <w:r>
        <w:t xml:space="preserve">CIA </w:t>
      </w:r>
      <w:proofErr w:type="spellStart"/>
      <w:r>
        <w:t>Factbook</w:t>
      </w:r>
      <w:proofErr w:type="spellEnd"/>
      <w:r>
        <w:t xml:space="preserve"> on Jordan &lt;</w:t>
      </w:r>
      <w:hyperlink r:id="rId24" w:history="1">
        <w:r>
          <w:rPr>
            <w:rStyle w:val="Hyperlink"/>
          </w:rPr>
          <w:t>https://www.cia.gov/library/publications/the-world-factbook/geos/jo.html</w:t>
        </w:r>
      </w:hyperlink>
      <w:r w:rsidRPr="00CB240A">
        <w:t xml:space="preserve">&gt; (accessed </w:t>
      </w:r>
      <w:r>
        <w:t>10 September</w:t>
      </w:r>
      <w:r w:rsidRPr="00CB240A">
        <w:t xml:space="preserve"> 2019)</w:t>
      </w:r>
      <w:bookmarkEnd w:id="200"/>
    </w:p>
    <w:p w:rsidR="003D00D2" w:rsidRPr="007560AC" w:rsidRDefault="008B52D1" w:rsidP="004409F4">
      <w:pPr>
        <w:pStyle w:val="Level3"/>
      </w:pPr>
      <w:bookmarkStart w:id="203" w:name="_Toc256000127"/>
      <w:r>
        <w:t>USAID, 'USAID Country Profile: Property Rights and Resource Governance: Jordan' &lt;</w:t>
      </w:r>
      <w:hyperlink r:id="rId25" w:history="1">
        <w:r w:rsidRPr="00001DA7">
          <w:rPr>
            <w:rStyle w:val="Hyperlink"/>
          </w:rPr>
          <w:t>https://www.land-links.org/wp-content/uploads/2018/06/USAID_Land_Tenure_Profile_Jordan.pdf</w:t>
        </w:r>
      </w:hyperlink>
      <w:r>
        <w:t xml:space="preserve">&gt; (accessed 10 </w:t>
      </w:r>
      <w:r w:rsidRPr="007560AC">
        <w:t>July 2019)</w:t>
      </w:r>
      <w:bookmarkEnd w:id="201"/>
      <w:bookmarkEnd w:id="202"/>
      <w:bookmarkEnd w:id="203"/>
    </w:p>
    <w:p w:rsidR="005065C9" w:rsidRDefault="008B52D1" w:rsidP="004409F4">
      <w:pPr>
        <w:pStyle w:val="Level3"/>
      </w:pPr>
      <w:bookmarkStart w:id="204" w:name="_Toc256000128"/>
      <w:bookmarkStart w:id="205" w:name="_Toc256000043"/>
      <w:bookmarkStart w:id="206" w:name="_Toc13818597"/>
      <w:bookmarkStart w:id="207" w:name="_Toc16243154"/>
      <w:r w:rsidRPr="00D105EF">
        <w:t xml:space="preserve">KURI Journal of the Dom Research </w:t>
      </w:r>
      <w:proofErr w:type="spellStart"/>
      <w:r w:rsidRPr="00D105EF">
        <w:t>Center</w:t>
      </w:r>
      <w:proofErr w:type="spellEnd"/>
      <w:r w:rsidRPr="00D105EF">
        <w:t xml:space="preserve"> Vol.1 No. 8 (Spring / Summer 2003) "The Current Situation of the Dom in Jordan: A DRC Update, 2003" by Allen </w:t>
      </w:r>
      <w:proofErr w:type="spellStart"/>
      <w:r w:rsidRPr="00D105EF">
        <w:t>Wiliams</w:t>
      </w:r>
      <w:proofErr w:type="spellEnd"/>
      <w:r w:rsidRPr="00D105EF">
        <w:t xml:space="preserve"> &lt;</w:t>
      </w:r>
      <w:hyperlink r:id="rId26" w:history="1">
        <w:r w:rsidRPr="00D105EF">
          <w:rPr>
            <w:rStyle w:val="Hyperlink"/>
          </w:rPr>
          <w:t>http://www.domresearchcenter.com/journal/18/jordan8.html</w:t>
        </w:r>
      </w:hyperlink>
      <w:r>
        <w:t>&gt;</w:t>
      </w:r>
      <w:r w:rsidRPr="00D105EF">
        <w:t xml:space="preserve"> (accessed 3 September 2019)</w:t>
      </w:r>
      <w:bookmarkEnd w:id="204"/>
    </w:p>
    <w:p w:rsidR="003D00D2" w:rsidRPr="007560AC" w:rsidRDefault="008B52D1" w:rsidP="004409F4">
      <w:pPr>
        <w:pStyle w:val="Level3"/>
      </w:pPr>
      <w:bookmarkStart w:id="208" w:name="_Toc256000129"/>
      <w:r w:rsidRPr="007560AC">
        <w:t>UNICEF, 'Syria Crisis Humanitarian Update' June 2014 &lt;</w:t>
      </w:r>
      <w:hyperlink r:id="rId27" w:history="1">
        <w:r w:rsidRPr="007560AC">
          <w:rPr>
            <w:rStyle w:val="Hyperlink"/>
          </w:rPr>
          <w:t>https://reliefweb.int/sites/reliefweb.int/files/resources/Pages%20from%20REACH_UNICEF_ITS_MS_AUGUST2014_FINAL-10_0.pdf</w:t>
        </w:r>
      </w:hyperlink>
      <w:r w:rsidRPr="007560AC">
        <w:t>&gt; (accessed 10 July 2019)</w:t>
      </w:r>
      <w:bookmarkEnd w:id="205"/>
      <w:bookmarkEnd w:id="206"/>
      <w:bookmarkEnd w:id="207"/>
      <w:bookmarkEnd w:id="208"/>
    </w:p>
    <w:p w:rsidR="003D00D2" w:rsidRPr="003D00D2" w:rsidRDefault="008B52D1" w:rsidP="004409F4">
      <w:pPr>
        <w:pStyle w:val="Level3"/>
      </w:pPr>
      <w:bookmarkStart w:id="209" w:name="_Toc256000130"/>
      <w:bookmarkStart w:id="210" w:name="_Toc256000044"/>
      <w:bookmarkStart w:id="211" w:name="_Toc13818598"/>
      <w:bookmarkStart w:id="212" w:name="_Toc16243155"/>
      <w:r>
        <w:t>World Population Review, 'Jordan' &lt;</w:t>
      </w:r>
      <w:hyperlink r:id="rId28" w:history="1">
        <w:r w:rsidRPr="00FC4E64">
          <w:rPr>
            <w:rStyle w:val="Hyperlink"/>
          </w:rPr>
          <w:t>http://worldpopulationreview.com/countries/jordan-population/cities/</w:t>
        </w:r>
      </w:hyperlink>
      <w:r>
        <w:t>&gt; (accessed 10 July 2019)</w:t>
      </w:r>
      <w:bookmarkEnd w:id="209"/>
      <w:bookmarkEnd w:id="210"/>
      <w:bookmarkEnd w:id="211"/>
      <w:bookmarkEnd w:id="212"/>
    </w:p>
    <w:p w:rsidR="005065C9" w:rsidRDefault="008B52D1" w:rsidP="004409F4">
      <w:pPr>
        <w:pStyle w:val="Level3"/>
      </w:pPr>
      <w:bookmarkStart w:id="213" w:name="_Toc256000131"/>
      <w:bookmarkStart w:id="214" w:name="_Toc256000045"/>
      <w:bookmarkStart w:id="215" w:name="_Toc13818599"/>
      <w:bookmarkStart w:id="216" w:name="_Toc16243156"/>
      <w:r>
        <w:t>The Jordanian e-Government Department of Statistics Statistical Online Database – Demographic Statistics - Table 1: Estimated Population of the Kingdom by Governorate and Sex &lt;</w:t>
      </w:r>
      <w:hyperlink r:id="rId29" w:history="1">
        <w:r>
          <w:rPr>
            <w:rStyle w:val="Hyperlink"/>
          </w:rPr>
          <w:t>http://jorinfo.dos.gov.jo/PXWeb2014R2/Selection.aspx?px_path=Population%20and%20Housing__Demographic%20Statistics&amp;px_tableid=Table%201.px&amp;px_language=en&amp;px_db=Population%20and%20Housing&amp;rxid=d8467649-5faf-4b4c-8c29-f629d95a188e</w:t>
        </w:r>
      </w:hyperlink>
      <w:r>
        <w:rPr>
          <w:rStyle w:val="Hyperlink"/>
        </w:rPr>
        <w:t>&gt; (accessed on 9 September 2019)</w:t>
      </w:r>
      <w:bookmarkEnd w:id="213"/>
    </w:p>
    <w:p w:rsidR="003D00D2" w:rsidRDefault="008B52D1" w:rsidP="004409F4">
      <w:pPr>
        <w:pStyle w:val="Level3"/>
      </w:pPr>
      <w:bookmarkStart w:id="217" w:name="_Toc256000132"/>
      <w:proofErr w:type="spellStart"/>
      <w:r>
        <w:t>Encyclopedia</w:t>
      </w:r>
      <w:proofErr w:type="spellEnd"/>
      <w:r>
        <w:t xml:space="preserve"> Britannica, 'Jordan: History' 30 May 2019 &lt;</w:t>
      </w:r>
      <w:hyperlink r:id="rId30" w:history="1">
        <w:r>
          <w:rPr>
            <w:rStyle w:val="Hyperlink"/>
          </w:rPr>
          <w:t>https://www.britannica.com/place/Jordan/History</w:t>
        </w:r>
      </w:hyperlink>
      <w:r>
        <w:t>&gt; (accessed 11 July 2019)</w:t>
      </w:r>
      <w:bookmarkEnd w:id="214"/>
      <w:bookmarkEnd w:id="215"/>
      <w:bookmarkEnd w:id="216"/>
      <w:bookmarkEnd w:id="217"/>
    </w:p>
    <w:p w:rsidR="003F6DCC" w:rsidRDefault="008B52D1" w:rsidP="004409F4">
      <w:pPr>
        <w:pStyle w:val="Level3"/>
      </w:pPr>
      <w:bookmarkStart w:id="218" w:name="_Toc256000133"/>
      <w:bookmarkStart w:id="219" w:name="_Toc256000046"/>
      <w:bookmarkStart w:id="220" w:name="_Toc13818600"/>
      <w:bookmarkStart w:id="221" w:name="_Toc16243157"/>
      <w:r>
        <w:t xml:space="preserve">Tufts University Refugees in Towns research paper - Citizens of Somewhere (A Case Study of Refugees in Towns – Amman, Jordan) dated August 2019, Introduction (p.4) </w:t>
      </w:r>
      <w:hyperlink r:id="rId31" w:history="1">
        <w:r w:rsidRPr="001334B7">
          <w:rPr>
            <w:rStyle w:val="Hyperlink"/>
          </w:rPr>
          <w:t>https://static1.squarespace.com/static/599720dc59cc68c3683049bc/t/5d52c54b18d85e0001b20f88/1565705548232/RIT+Report+Amman+Jordan.pdf</w:t>
        </w:r>
      </w:hyperlink>
      <w:r>
        <w:t xml:space="preserve"> (accessed 9 September 2019)</w:t>
      </w:r>
      <w:bookmarkEnd w:id="218"/>
    </w:p>
    <w:p w:rsidR="001C2235" w:rsidRPr="00F615B0" w:rsidRDefault="008B52D1" w:rsidP="004409F4">
      <w:pPr>
        <w:pStyle w:val="Level3"/>
      </w:pPr>
      <w:bookmarkStart w:id="222" w:name="_Toc256000134"/>
      <w:r w:rsidRPr="00F615B0">
        <w:t>UK Government, 'Foreign Travel Advice: Jordan' 27 February 2019 &lt;</w:t>
      </w:r>
      <w:hyperlink r:id="rId32" w:history="1">
        <w:r w:rsidRPr="00F615B0">
          <w:rPr>
            <w:rStyle w:val="Hyperlink"/>
          </w:rPr>
          <w:t>https://www.gov.uk/foreign-travel-advice/jordan</w:t>
        </w:r>
      </w:hyperlink>
      <w:r w:rsidRPr="00F615B0">
        <w:t>&gt; (accessed 10 July 2019)</w:t>
      </w:r>
      <w:bookmarkEnd w:id="219"/>
      <w:bookmarkEnd w:id="220"/>
      <w:bookmarkEnd w:id="221"/>
      <w:bookmarkEnd w:id="222"/>
    </w:p>
    <w:p w:rsidR="005543C2" w:rsidRPr="000032E1" w:rsidRDefault="008B52D1" w:rsidP="004409F4">
      <w:pPr>
        <w:pStyle w:val="Level3"/>
      </w:pPr>
      <w:bookmarkStart w:id="223" w:name="_Toc256000135"/>
      <w:bookmarkStart w:id="224" w:name="_Toc256000047"/>
      <w:bookmarkStart w:id="225" w:name="_Toc13818601"/>
      <w:bookmarkStart w:id="226" w:name="_Toc16243158"/>
      <w:proofErr w:type="spellStart"/>
      <w:r w:rsidRPr="000032E1">
        <w:t>Husam</w:t>
      </w:r>
      <w:proofErr w:type="spellEnd"/>
      <w:r w:rsidRPr="000032E1">
        <w:t xml:space="preserve"> Jamil </w:t>
      </w:r>
      <w:proofErr w:type="spellStart"/>
      <w:r w:rsidRPr="000032E1">
        <w:t>Madanat</w:t>
      </w:r>
      <w:proofErr w:type="spellEnd"/>
      <w:r w:rsidRPr="000032E1">
        <w:t>, 'Land Tenure in Jordan' (2010) Land Tenure Journal of the Climate, Energy and Tenure Division of the Food and Agriculture Organisation of the United Nations &lt;</w:t>
      </w:r>
      <w:hyperlink r:id="rId33" w:history="1">
        <w:r w:rsidRPr="000032E1">
          <w:rPr>
            <w:rStyle w:val="Hyperlink"/>
          </w:rPr>
          <w:t>http://www.fao.org/tenure/resources/results/card/en/c/05b817f3-bfee-5f2c-89dd-6afbc2010a16</w:t>
        </w:r>
      </w:hyperlink>
      <w:r w:rsidRPr="000032E1">
        <w:t>&gt; (accessed 12 June 2019)</w:t>
      </w:r>
      <w:bookmarkEnd w:id="223"/>
      <w:bookmarkEnd w:id="224"/>
      <w:bookmarkEnd w:id="225"/>
      <w:bookmarkEnd w:id="226"/>
    </w:p>
    <w:p w:rsidR="00B53A2B" w:rsidRPr="000032E1" w:rsidRDefault="008B52D1" w:rsidP="004409F4">
      <w:pPr>
        <w:pStyle w:val="Level3"/>
      </w:pPr>
      <w:bookmarkStart w:id="227" w:name="_Toc256000136"/>
      <w:bookmarkStart w:id="228" w:name="_Toc256000048"/>
      <w:bookmarkStart w:id="229" w:name="_Toc13818602"/>
      <w:bookmarkStart w:id="230" w:name="_Toc16243159"/>
      <w:r w:rsidRPr="000032E1">
        <w:lastRenderedPageBreak/>
        <w:t>Housing and Land Rights Network, 'Property Rights in Jordan' &lt;</w:t>
      </w:r>
      <w:hyperlink r:id="rId34" w:history="1">
        <w:r w:rsidRPr="000032E1">
          <w:rPr>
            <w:rStyle w:val="Hyperlink"/>
          </w:rPr>
          <w:t>http://www.hlrn.org/img/documents/property%20rights%20english.pdf</w:t>
        </w:r>
      </w:hyperlink>
      <w:r w:rsidRPr="000032E1">
        <w:t>&gt; (accessed 6 July 2019)</w:t>
      </w:r>
      <w:bookmarkEnd w:id="227"/>
      <w:bookmarkEnd w:id="228"/>
      <w:bookmarkEnd w:id="229"/>
      <w:bookmarkEnd w:id="230"/>
    </w:p>
    <w:p w:rsidR="003F6DCC" w:rsidRDefault="008B52D1" w:rsidP="004409F4">
      <w:pPr>
        <w:pStyle w:val="Level3"/>
      </w:pPr>
      <w:bookmarkStart w:id="231" w:name="_Toc256000137"/>
      <w:bookmarkStart w:id="232" w:name="_Toc256000049"/>
      <w:bookmarkStart w:id="233" w:name="_Toc13818603"/>
      <w:bookmarkStart w:id="234" w:name="_Toc16243160"/>
      <w:proofErr w:type="spellStart"/>
      <w:r>
        <w:t>O</w:t>
      </w:r>
      <w:r w:rsidRPr="00B03DB1">
        <w:t>dai</w:t>
      </w:r>
      <w:proofErr w:type="spellEnd"/>
      <w:r w:rsidRPr="00B03DB1">
        <w:t xml:space="preserve"> </w:t>
      </w:r>
      <w:proofErr w:type="spellStart"/>
      <w:r w:rsidRPr="00B03DB1">
        <w:t>Mismar</w:t>
      </w:r>
      <w:proofErr w:type="spellEnd"/>
      <w:r w:rsidRPr="00B03DB1">
        <w:t xml:space="preserve">, 'New Amendments to the Jordanian Landlords and Tenants Law' (Al </w:t>
      </w:r>
      <w:proofErr w:type="spellStart"/>
      <w:r w:rsidRPr="00B03DB1">
        <w:t>Tamimi</w:t>
      </w:r>
      <w:proofErr w:type="spellEnd"/>
      <w:r w:rsidRPr="00B03DB1">
        <w:t xml:space="preserve"> &amp; Co, December 2014 / January 2015) </w:t>
      </w:r>
      <w:r>
        <w:t>&lt;</w:t>
      </w:r>
      <w:hyperlink r:id="rId35" w:history="1">
        <w:r>
          <w:rPr>
            <w:rStyle w:val="Hyperlink"/>
          </w:rPr>
          <w:t>https://www.tamimi.com/law-update-articles/new-amendments-to-the-jordanian-landlord-and-tenants-law/</w:t>
        </w:r>
      </w:hyperlink>
      <w:r>
        <w:t>&gt; (accessed 12 July 2019)</w:t>
      </w:r>
      <w:bookmarkEnd w:id="231"/>
    </w:p>
    <w:p w:rsidR="00622400" w:rsidRPr="00D33A00" w:rsidRDefault="008B52D1" w:rsidP="004409F4">
      <w:pPr>
        <w:pStyle w:val="Level3"/>
      </w:pPr>
      <w:bookmarkStart w:id="235" w:name="_Toc256000138"/>
      <w:r w:rsidRPr="000032E1">
        <w:t>Encyclopedia.com, 'Land Code of 1858' &lt;</w:t>
      </w:r>
      <w:hyperlink r:id="rId36" w:history="1">
        <w:r w:rsidRPr="00AC34EA">
          <w:rPr>
            <w:rStyle w:val="Hyperlink"/>
          </w:rPr>
          <w:t>https://www.encyclopedia.com/humanities/encyclopedias-almanacs-transcripts-and-maps/land-code-1858</w:t>
        </w:r>
      </w:hyperlink>
      <w:r w:rsidRPr="00AC34EA">
        <w:t>&gt; (acc</w:t>
      </w:r>
      <w:r w:rsidRPr="00D33A00">
        <w:t>essed 7 July 2019)</w:t>
      </w:r>
      <w:bookmarkEnd w:id="232"/>
      <w:bookmarkEnd w:id="233"/>
      <w:bookmarkEnd w:id="234"/>
      <w:bookmarkEnd w:id="235"/>
    </w:p>
    <w:p w:rsidR="00584D57" w:rsidRPr="00D33A00" w:rsidRDefault="008B52D1" w:rsidP="00584D57">
      <w:pPr>
        <w:pStyle w:val="Level3"/>
      </w:pPr>
      <w:bookmarkStart w:id="236" w:name="_Toc256000139"/>
      <w:bookmarkStart w:id="237" w:name="_Toc256000050"/>
      <w:bookmarkStart w:id="238" w:name="_Toc13818604"/>
      <w:bookmarkStart w:id="239" w:name="_Toc16243161"/>
      <w:r w:rsidRPr="00D33A00">
        <w:t>Global Property Guide – Middle East Buying Guide - Jordan &lt;</w:t>
      </w:r>
      <w:hyperlink r:id="rId37" w:history="1">
        <w:r w:rsidRPr="00D33A00">
          <w:rPr>
            <w:rStyle w:val="Hyperlink"/>
          </w:rPr>
          <w:t>https://www.globalpropertyguide.com/Middle-East/Jordan/Buying-Guide</w:t>
        </w:r>
      </w:hyperlink>
      <w:r w:rsidRPr="00D33A00">
        <w:t>&gt; (accessed 8 August 2019)</w:t>
      </w:r>
      <w:bookmarkEnd w:id="236"/>
      <w:bookmarkEnd w:id="237"/>
    </w:p>
    <w:p w:rsidR="005543C2" w:rsidRPr="00AC34EA" w:rsidRDefault="008B52D1" w:rsidP="004409F4">
      <w:pPr>
        <w:pStyle w:val="Level3"/>
      </w:pPr>
      <w:bookmarkStart w:id="240" w:name="_Toc256000140"/>
      <w:bookmarkStart w:id="241" w:name="_Toc256000051"/>
      <w:proofErr w:type="spellStart"/>
      <w:r w:rsidRPr="00AC34EA">
        <w:t>Badia</w:t>
      </w:r>
      <w:proofErr w:type="spellEnd"/>
      <w:r w:rsidRPr="00AC34EA">
        <w:t xml:space="preserve"> Research Program National </w:t>
      </w:r>
      <w:proofErr w:type="spellStart"/>
      <w:r w:rsidRPr="00AC34EA">
        <w:t>Center</w:t>
      </w:r>
      <w:proofErr w:type="spellEnd"/>
      <w:r w:rsidRPr="00AC34EA">
        <w:t xml:space="preserve"> for Research and Development, 'Securing Rights and Restoring Range Lands for Improved Livelihoods in the </w:t>
      </w:r>
      <w:proofErr w:type="spellStart"/>
      <w:r w:rsidRPr="00AC34EA">
        <w:t>Badia</w:t>
      </w:r>
      <w:proofErr w:type="spellEnd"/>
      <w:r w:rsidRPr="00AC34EA">
        <w:t xml:space="preserve"> of the </w:t>
      </w:r>
      <w:proofErr w:type="spellStart"/>
      <w:r w:rsidRPr="00AC34EA">
        <w:t>Zarqa</w:t>
      </w:r>
      <w:proofErr w:type="spellEnd"/>
      <w:r w:rsidRPr="00AC34EA">
        <w:t xml:space="preserve"> River Basin – Jordan' November 2011 &lt;</w:t>
      </w:r>
      <w:hyperlink r:id="rId38" w:history="1">
        <w:r w:rsidRPr="00AC34EA">
          <w:rPr>
            <w:rStyle w:val="Hyperlink"/>
          </w:rPr>
          <w:t>https://www.iucn.org/sites/dev/files/import/downloads/baseline_study___securing_rights_and_restoring_land_for_improved_livlihoohs.pdf</w:t>
        </w:r>
      </w:hyperlink>
      <w:r w:rsidRPr="00AC34EA">
        <w:t>&gt; (accessed 8 July 2019)</w:t>
      </w:r>
      <w:bookmarkEnd w:id="238"/>
      <w:bookmarkEnd w:id="239"/>
      <w:bookmarkEnd w:id="240"/>
      <w:bookmarkEnd w:id="241"/>
      <w:r w:rsidRPr="00AC34EA">
        <w:t xml:space="preserve"> </w:t>
      </w:r>
    </w:p>
    <w:p w:rsidR="009724D8" w:rsidRPr="00AC34EA" w:rsidRDefault="008B52D1" w:rsidP="004409F4">
      <w:pPr>
        <w:pStyle w:val="Level3"/>
      </w:pPr>
      <w:bookmarkStart w:id="242" w:name="_Toc256000141"/>
      <w:bookmarkStart w:id="243" w:name="_Toc256000052"/>
      <w:bookmarkStart w:id="244" w:name="_Toc13818605"/>
      <w:bookmarkStart w:id="245" w:name="_Toc16243162"/>
      <w:proofErr w:type="spellStart"/>
      <w:r w:rsidRPr="00AC34EA">
        <w:t>Ya'akov</w:t>
      </w:r>
      <w:proofErr w:type="spellEnd"/>
      <w:r w:rsidRPr="00AC34EA">
        <w:t xml:space="preserve"> </w:t>
      </w:r>
      <w:proofErr w:type="spellStart"/>
      <w:r w:rsidRPr="00AC34EA">
        <w:t>Meron</w:t>
      </w:r>
      <w:proofErr w:type="spellEnd"/>
      <w:r w:rsidRPr="00AC34EA">
        <w:t>, 'Waste Land (</w:t>
      </w:r>
      <w:proofErr w:type="spellStart"/>
      <w:r w:rsidRPr="00AC34EA">
        <w:t>Mewat</w:t>
      </w:r>
      <w:proofErr w:type="spellEnd"/>
      <w:r w:rsidRPr="00AC34EA">
        <w:t>) in Judea and Samaria' 4 Boston College International and Comparative Law Review 1 (1981) &lt;</w:t>
      </w:r>
      <w:hyperlink r:id="rId39" w:history="1">
        <w:r w:rsidRPr="00AC34EA">
          <w:rPr>
            <w:rStyle w:val="Hyperlink"/>
          </w:rPr>
          <w:t>https://pdfs.semanticscholar.org/f5db/fbeef4aeeb8cda3ceefe5f40f5dd571856dd.pdf</w:t>
        </w:r>
      </w:hyperlink>
      <w:r w:rsidRPr="00AC34EA">
        <w:t>&gt;</w:t>
      </w:r>
      <w:bookmarkEnd w:id="242"/>
      <w:bookmarkEnd w:id="243"/>
      <w:bookmarkEnd w:id="244"/>
      <w:bookmarkEnd w:id="245"/>
    </w:p>
    <w:p w:rsidR="005F6AC7" w:rsidRPr="00AC34EA" w:rsidRDefault="008B52D1" w:rsidP="004409F4">
      <w:pPr>
        <w:pStyle w:val="Level3"/>
        <w:rPr>
          <w:rStyle w:val="Hyperlink"/>
          <w:rFonts w:cs="Arial"/>
          <w:color w:val="auto"/>
          <w:u w:val="none"/>
        </w:rPr>
      </w:pPr>
      <w:bookmarkStart w:id="246" w:name="_Toc256000142"/>
      <w:bookmarkStart w:id="247" w:name="_Toc256000053"/>
      <w:bookmarkStart w:id="248" w:name="_Toc13818606"/>
      <w:bookmarkStart w:id="249" w:name="_Toc16243163"/>
      <w:r w:rsidRPr="00AC34EA">
        <w:t xml:space="preserve">Bashar H </w:t>
      </w:r>
      <w:proofErr w:type="spellStart"/>
      <w:r w:rsidRPr="00AC34EA">
        <w:t>Malkawi</w:t>
      </w:r>
      <w:proofErr w:type="spellEnd"/>
      <w:r w:rsidRPr="00AC34EA">
        <w:t>, 'Regulating Tenancy Relationships in Jordan: Pro-Landlord, Neutral, and Pro-Tenant' (2011) 25 ARAB LQ 1 &lt;</w:t>
      </w:r>
      <w:hyperlink r:id="rId40" w:anchor="page_scan_tab_contents" w:history="1">
        <w:r w:rsidRPr="00AC34EA">
          <w:rPr>
            <w:rStyle w:val="Hyperlink"/>
          </w:rPr>
          <w:t>https://www.jstor.org/stable/23025221?seq=1#page_scan_tab_contents</w:t>
        </w:r>
      </w:hyperlink>
      <w:r w:rsidRPr="00AC34EA">
        <w:t>&gt;</w:t>
      </w:r>
      <w:bookmarkEnd w:id="246"/>
      <w:bookmarkEnd w:id="247"/>
      <w:bookmarkEnd w:id="248"/>
      <w:bookmarkEnd w:id="249"/>
    </w:p>
    <w:p w:rsidR="00B53A2B" w:rsidRPr="00225EFE" w:rsidRDefault="008B52D1" w:rsidP="004409F4">
      <w:pPr>
        <w:pStyle w:val="Level3"/>
      </w:pPr>
      <w:bookmarkStart w:id="250" w:name="_Toc256000143"/>
      <w:bookmarkStart w:id="251" w:name="_Toc256000054"/>
      <w:bookmarkStart w:id="252" w:name="_Toc13818607"/>
      <w:bookmarkStart w:id="253" w:name="_Toc16243164"/>
      <w:r w:rsidRPr="00AC34EA">
        <w:t xml:space="preserve">Mohammad Ghazal, '25,000 Property Owners in </w:t>
      </w:r>
      <w:proofErr w:type="spellStart"/>
      <w:r w:rsidRPr="00AC34EA">
        <w:t>Jubeiha</w:t>
      </w:r>
      <w:proofErr w:type="spellEnd"/>
      <w:r w:rsidRPr="00AC34EA">
        <w:t xml:space="preserve"> Face Loss of Ownership after Ruling' </w:t>
      </w:r>
      <w:r w:rsidRPr="00AC34EA">
        <w:rPr>
          <w:i/>
        </w:rPr>
        <w:t>The Jordan Times</w:t>
      </w:r>
      <w:r w:rsidRPr="00AC34EA">
        <w:t xml:space="preserve"> (Amman, 28 December 2015) </w:t>
      </w:r>
      <w:r w:rsidRPr="00225EFE">
        <w:t>&lt;</w:t>
      </w:r>
      <w:hyperlink r:id="rId41" w:history="1">
        <w:r w:rsidRPr="00225EFE">
          <w:rPr>
            <w:rStyle w:val="Hyperlink"/>
          </w:rPr>
          <w:t>http://jordantimes.com/news/local/25000-property-owners-jubeiha-face-loss-ownership-after-ruling%E2%80%99</w:t>
        </w:r>
      </w:hyperlink>
      <w:r w:rsidRPr="00225EFE">
        <w:t xml:space="preserve">&gt; (accessed </w:t>
      </w:r>
      <w:r w:rsidR="00AC34EA" w:rsidRPr="00225EFE">
        <w:t>8</w:t>
      </w:r>
      <w:r w:rsidRPr="00225EFE">
        <w:t xml:space="preserve"> July 2019)</w:t>
      </w:r>
      <w:bookmarkEnd w:id="250"/>
      <w:bookmarkEnd w:id="251"/>
      <w:bookmarkEnd w:id="252"/>
      <w:bookmarkEnd w:id="253"/>
    </w:p>
    <w:p w:rsidR="002D59A3" w:rsidRPr="00225EFE" w:rsidRDefault="008B52D1" w:rsidP="004409F4">
      <w:pPr>
        <w:pStyle w:val="Level3"/>
      </w:pPr>
      <w:bookmarkStart w:id="254" w:name="_Toc256000144"/>
      <w:bookmarkStart w:id="255" w:name="_Toc256000055"/>
      <w:bookmarkStart w:id="256" w:name="_Toc13818608"/>
      <w:bookmarkStart w:id="257" w:name="_Toc16243165"/>
      <w:r w:rsidRPr="00225EFE">
        <w:t xml:space="preserve">Teale </w:t>
      </w:r>
      <w:proofErr w:type="spellStart"/>
      <w:r w:rsidRPr="00225EFE">
        <w:t>Toweill</w:t>
      </w:r>
      <w:proofErr w:type="spellEnd"/>
      <w:r w:rsidRPr="00225EFE">
        <w:t>, Hannah Simpson and Ahmad Amara, 'The Jordan Landlords and Tenants Law: The Right to Adequate Housing' Amman Centre for Human Rights Studies (6 May 2008) &lt;</w:t>
      </w:r>
      <w:hyperlink r:id="rId42" w:history="1">
        <w:r w:rsidRPr="00225EFE">
          <w:rPr>
            <w:rStyle w:val="Hyperlink"/>
          </w:rPr>
          <w:t>http://www.landpedia.org/landdoc/Analytical_materials/Jordan_Landlord-Tenants_Law_report_en.pdf</w:t>
        </w:r>
      </w:hyperlink>
      <w:r w:rsidRPr="00225EFE">
        <w:t>&gt; (accessed 11 July 2019)</w:t>
      </w:r>
      <w:bookmarkEnd w:id="254"/>
      <w:bookmarkEnd w:id="255"/>
      <w:bookmarkEnd w:id="256"/>
      <w:bookmarkEnd w:id="257"/>
    </w:p>
    <w:p w:rsidR="002D59A3" w:rsidRPr="00AC34EA" w:rsidRDefault="008B52D1" w:rsidP="004409F4">
      <w:pPr>
        <w:pStyle w:val="Level3"/>
      </w:pPr>
      <w:bookmarkStart w:id="258" w:name="_Toc256000145"/>
      <w:bookmarkStart w:id="259" w:name="_Toc256000056"/>
      <w:bookmarkStart w:id="260" w:name="_Toc13818609"/>
      <w:bookmarkStart w:id="261" w:name="_Toc16243166"/>
      <w:r w:rsidRPr="00AC34EA">
        <w:t>Housing and Land Rights Network, 'Jordan: Parliament Endorses Landlord and Tenants Law Amendments' (23 July 2009)</w:t>
      </w:r>
      <w:r w:rsidRPr="00AC34EA">
        <w:rPr>
          <w:rFonts w:cs="Arial"/>
        </w:rPr>
        <w:t xml:space="preserve"> &lt;</w:t>
      </w:r>
      <w:hyperlink r:id="rId43" w:anchor=".XQuzF2youpI" w:history="1">
        <w:r w:rsidRPr="00AC34EA">
          <w:rPr>
            <w:rStyle w:val="Hyperlink"/>
            <w:rFonts w:cs="Arial"/>
          </w:rPr>
          <w:t>http://www.hlrn.org/news.php?id=pG1law==#.XQuzF2youpI</w:t>
        </w:r>
      </w:hyperlink>
      <w:r w:rsidRPr="00AC34EA">
        <w:rPr>
          <w:rFonts w:cs="Arial"/>
        </w:rPr>
        <w:t>) (accessed 11 July 2019)</w:t>
      </w:r>
      <w:bookmarkEnd w:id="258"/>
      <w:bookmarkEnd w:id="259"/>
      <w:bookmarkEnd w:id="260"/>
      <w:bookmarkEnd w:id="261"/>
    </w:p>
    <w:p w:rsidR="00584D57" w:rsidRPr="00B8022E" w:rsidRDefault="008B52D1" w:rsidP="00584D57">
      <w:pPr>
        <w:pStyle w:val="Level3"/>
      </w:pPr>
      <w:bookmarkStart w:id="262" w:name="_Toc256000146"/>
      <w:bookmarkStart w:id="263" w:name="_Toc256000058"/>
      <w:bookmarkStart w:id="264" w:name="_Toc16243168"/>
      <w:r>
        <w:t xml:space="preserve">J.A. </w:t>
      </w:r>
      <w:proofErr w:type="spellStart"/>
      <w:r>
        <w:t>Alnsour</w:t>
      </w:r>
      <w:proofErr w:type="spellEnd"/>
      <w:r>
        <w:t xml:space="preserve">, 'Financing Housing Transformation in Informal Settlements in Jordan' (Journal of Sustainable Development Studies, Vol 8 No. 2, 2015, 317-341), p.326 </w:t>
      </w:r>
      <w:r>
        <w:lastRenderedPageBreak/>
        <w:t>&lt;</w:t>
      </w:r>
      <w:hyperlink r:id="rId44" w:history="1">
        <w:r>
          <w:rPr>
            <w:rStyle w:val="Hyperlink"/>
          </w:rPr>
          <w:t>https://pdfs.semanticscholar.org/be29/e566372086160cb92ac9b4e86659eab6b75c.pdf</w:t>
        </w:r>
      </w:hyperlink>
      <w:r>
        <w:t>&gt; (accessed 9 August 201</w:t>
      </w:r>
      <w:r w:rsidRPr="00B8022E">
        <w:t>9)</w:t>
      </w:r>
      <w:bookmarkEnd w:id="262"/>
      <w:bookmarkEnd w:id="263"/>
    </w:p>
    <w:p w:rsidR="00B8022E" w:rsidRPr="00B8022E" w:rsidRDefault="008B52D1" w:rsidP="00B8022E">
      <w:pPr>
        <w:pStyle w:val="Level3"/>
      </w:pPr>
      <w:bookmarkStart w:id="265" w:name="_Toc256000147"/>
      <w:bookmarkStart w:id="266" w:name="_Toc256000059"/>
      <w:r w:rsidRPr="00B8022E">
        <w:t>UHCR Operational Update on Jordan dated July 2019 &lt;</w:t>
      </w:r>
      <w:hyperlink r:id="rId45" w:history="1">
        <w:r w:rsidRPr="00B8022E">
          <w:rPr>
            <w:rStyle w:val="Hyperlink"/>
          </w:rPr>
          <w:t>https://data2.unhcr.org/en/documents/download/70664</w:t>
        </w:r>
      </w:hyperlink>
      <w:r w:rsidRPr="00B8022E">
        <w:t>&gt;(accessed 8 August 2019)</w:t>
      </w:r>
      <w:bookmarkEnd w:id="265"/>
      <w:bookmarkEnd w:id="266"/>
    </w:p>
    <w:p w:rsidR="00A65775" w:rsidRDefault="008B52D1" w:rsidP="00B8022E">
      <w:pPr>
        <w:pStyle w:val="Level3"/>
      </w:pPr>
      <w:bookmarkStart w:id="267" w:name="_Toc256000148"/>
      <w:bookmarkStart w:id="268" w:name="_Toc256000060"/>
      <w:r>
        <w:t xml:space="preserve">3RP Jordan Vulnerability Assessment Framework – Population Study (2019) </w:t>
      </w:r>
      <w:hyperlink r:id="rId46" w:history="1">
        <w:r w:rsidRPr="001334B7">
          <w:rPr>
            <w:rStyle w:val="Hyperlink"/>
          </w:rPr>
          <w:t>https://reliefweb.int/sites/reliefweb.int/files/resources/68856.pdf</w:t>
        </w:r>
      </w:hyperlink>
      <w:r>
        <w:t xml:space="preserve"> (accessed 9 September 2019)</w:t>
      </w:r>
      <w:bookmarkEnd w:id="267"/>
    </w:p>
    <w:p w:rsidR="00A11C3A" w:rsidRDefault="008B52D1" w:rsidP="00B8022E">
      <w:pPr>
        <w:pStyle w:val="Level3"/>
      </w:pPr>
      <w:bookmarkStart w:id="269" w:name="_Toc256000149"/>
      <w:r>
        <w:t>The Jordan Response Platform for the Syria Crisis, 'Jordan Response Plan for the Syrian Crisis 2019' &lt;</w:t>
      </w:r>
      <w:hyperlink r:id="rId47" w:history="1">
        <w:r w:rsidRPr="00717417">
          <w:rPr>
            <w:rStyle w:val="Hyperlink"/>
          </w:rPr>
          <w:t>https://static1.squarespace.com/static/522c2552e4b0d3c39ccd1e00/t/5c56a2bd652dead32780dff4/1549181638082/JRP+2019+Update+-+Draft.pdf</w:t>
        </w:r>
      </w:hyperlink>
      <w:r>
        <w:t>&gt; (accessed 19 September 2019</w:t>
      </w:r>
      <w:bookmarkEnd w:id="269"/>
    </w:p>
    <w:p w:rsidR="00B8022E" w:rsidRPr="00B8022E" w:rsidRDefault="008B52D1" w:rsidP="00B8022E">
      <w:pPr>
        <w:pStyle w:val="Level3"/>
      </w:pPr>
      <w:bookmarkStart w:id="270" w:name="_Toc256000150"/>
      <w:r w:rsidRPr="00B8022E">
        <w:t>World Food Program USA article titled "10 Facts About the Syrian Refugee Crisis in Jordan" dated 26 December 2018 &lt;</w:t>
      </w:r>
      <w:hyperlink r:id="rId48" w:history="1">
        <w:r w:rsidRPr="00B8022E">
          <w:rPr>
            <w:rStyle w:val="Hyperlink"/>
          </w:rPr>
          <w:t>https://www.wfpusa.org/stories/10-facts-about-the-syrian-refugee-crisis-in-jordan/</w:t>
        </w:r>
      </w:hyperlink>
      <w:r w:rsidRPr="00B8022E">
        <w:t>&gt; (accessed 8 August 2019)</w:t>
      </w:r>
      <w:bookmarkEnd w:id="268"/>
      <w:bookmarkEnd w:id="270"/>
    </w:p>
    <w:p w:rsidR="00B8022E" w:rsidRDefault="008B52D1" w:rsidP="00B8022E">
      <w:pPr>
        <w:pStyle w:val="Level3"/>
      </w:pPr>
      <w:bookmarkStart w:id="271" w:name="_Toc256000151"/>
      <w:bookmarkStart w:id="272" w:name="_Toc256000061"/>
      <w:r>
        <w:t xml:space="preserve">UNRWA – </w:t>
      </w:r>
      <w:proofErr w:type="spellStart"/>
      <w:r>
        <w:t>Baq'aa</w:t>
      </w:r>
      <w:proofErr w:type="spellEnd"/>
      <w:r>
        <w:t xml:space="preserve"> camp &lt;</w:t>
      </w:r>
      <w:hyperlink r:id="rId49" w:history="1">
        <w:r w:rsidRPr="00B8022E">
          <w:rPr>
            <w:color w:val="0000FF"/>
            <w:u w:val="single"/>
          </w:rPr>
          <w:t>https://www.unrwa.org/where-we-work/jordan/baqaa-camp</w:t>
        </w:r>
      </w:hyperlink>
      <w:r>
        <w:t>&gt;; Amman New Camp &lt;</w:t>
      </w:r>
      <w:hyperlink r:id="rId50" w:history="1">
        <w:r w:rsidRPr="00B8022E">
          <w:rPr>
            <w:color w:val="0000FF"/>
            <w:u w:val="single"/>
          </w:rPr>
          <w:t>https://www.unrwa.org/where-we-work/jordan/amman-new-camp</w:t>
        </w:r>
      </w:hyperlink>
      <w:r>
        <w:t xml:space="preserve">&gt;; </w:t>
      </w:r>
      <w:proofErr w:type="spellStart"/>
      <w:r>
        <w:t>Jerash</w:t>
      </w:r>
      <w:proofErr w:type="spellEnd"/>
      <w:r>
        <w:t xml:space="preserve"> &lt;</w:t>
      </w:r>
      <w:hyperlink r:id="rId51" w:history="1">
        <w:r w:rsidRPr="00B8022E">
          <w:rPr>
            <w:color w:val="0000FF"/>
            <w:u w:val="single"/>
          </w:rPr>
          <w:t>https://www.unrwa.org/where-we-work/jordan/jerash-camp</w:t>
        </w:r>
      </w:hyperlink>
      <w:r>
        <w:t xml:space="preserve">&gt;; </w:t>
      </w:r>
      <w:proofErr w:type="spellStart"/>
      <w:r>
        <w:t>Marka</w:t>
      </w:r>
      <w:proofErr w:type="spellEnd"/>
      <w:r>
        <w:t xml:space="preserve"> &lt;</w:t>
      </w:r>
      <w:hyperlink r:id="rId52" w:history="1">
        <w:r w:rsidRPr="00B8022E">
          <w:rPr>
            <w:color w:val="0000FF"/>
            <w:u w:val="single"/>
          </w:rPr>
          <w:t>https://www.unrwa.org/where-we-work/jordan/marka-camp</w:t>
        </w:r>
      </w:hyperlink>
      <w:r>
        <w:t xml:space="preserve">&gt;; </w:t>
      </w:r>
      <w:proofErr w:type="spellStart"/>
      <w:r>
        <w:t>Husn</w:t>
      </w:r>
      <w:proofErr w:type="spellEnd"/>
      <w:r>
        <w:t xml:space="preserve"> &lt;</w:t>
      </w:r>
      <w:hyperlink r:id="rId53" w:history="1">
        <w:r w:rsidRPr="00B8022E">
          <w:rPr>
            <w:color w:val="0000FF"/>
            <w:u w:val="single"/>
          </w:rPr>
          <w:t>https://www.unrwa.org/where-we-work/jordan/husn-camp</w:t>
        </w:r>
      </w:hyperlink>
      <w:r>
        <w:t xml:space="preserve">&gt;; </w:t>
      </w:r>
      <w:proofErr w:type="spellStart"/>
      <w:r>
        <w:t>Souf</w:t>
      </w:r>
      <w:proofErr w:type="spellEnd"/>
      <w:r>
        <w:t xml:space="preserve">  &lt;</w:t>
      </w:r>
      <w:hyperlink r:id="rId54" w:history="1">
        <w:r w:rsidRPr="00B8022E">
          <w:rPr>
            <w:color w:val="0000FF"/>
            <w:u w:val="single"/>
          </w:rPr>
          <w:t>https://www.unrwa.org/where-we-work/jordan/souf-camp</w:t>
        </w:r>
      </w:hyperlink>
      <w:r>
        <w:t>&gt;; Irbid &lt;</w:t>
      </w:r>
      <w:hyperlink r:id="rId55" w:history="1">
        <w:r w:rsidRPr="00B8022E">
          <w:rPr>
            <w:color w:val="0000FF"/>
            <w:u w:val="single"/>
          </w:rPr>
          <w:t>https://www.unrwa.org/where-we-work/jordan/irbid-camp</w:t>
        </w:r>
      </w:hyperlink>
      <w:r>
        <w:t>&gt;;Talbieh &lt;</w:t>
      </w:r>
      <w:hyperlink r:id="rId56" w:history="1">
        <w:r w:rsidRPr="00B8022E">
          <w:rPr>
            <w:color w:val="0000FF"/>
            <w:u w:val="single"/>
          </w:rPr>
          <w:t>https://www.unrwa.org/where-we-work/jordan/talbieh-camp</w:t>
        </w:r>
      </w:hyperlink>
      <w:r>
        <w:t xml:space="preserve">&gt; ; </w:t>
      </w:r>
      <w:proofErr w:type="spellStart"/>
      <w:r>
        <w:t>Jabal</w:t>
      </w:r>
      <w:proofErr w:type="spellEnd"/>
      <w:r>
        <w:t xml:space="preserve"> El-Hussein &lt;</w:t>
      </w:r>
      <w:hyperlink r:id="rId57" w:history="1">
        <w:r w:rsidRPr="00B8022E">
          <w:rPr>
            <w:color w:val="0000FF"/>
            <w:u w:val="single"/>
          </w:rPr>
          <w:t>https://www.unrwa.org/where-we-work/jordan/jabal-el-hussein-camp</w:t>
        </w:r>
      </w:hyperlink>
      <w:r>
        <w:t xml:space="preserve">&gt;; </w:t>
      </w:r>
      <w:proofErr w:type="spellStart"/>
      <w:r>
        <w:t>Zarqa</w:t>
      </w:r>
      <w:proofErr w:type="spellEnd"/>
      <w:r>
        <w:t xml:space="preserve"> camp &lt;</w:t>
      </w:r>
      <w:hyperlink r:id="rId58" w:history="1">
        <w:r w:rsidRPr="00B8022E">
          <w:rPr>
            <w:color w:val="0000FF"/>
            <w:u w:val="single"/>
          </w:rPr>
          <w:t>https://www.unrwa.org/where-we-work/jordan/zarqa-camp</w:t>
        </w:r>
      </w:hyperlink>
      <w:r>
        <w:t>&gt; (each accessed 9 August 2019)</w:t>
      </w:r>
      <w:bookmarkEnd w:id="271"/>
      <w:bookmarkEnd w:id="272"/>
    </w:p>
    <w:p w:rsidR="00584D57" w:rsidRPr="00584D57" w:rsidRDefault="008B52D1" w:rsidP="00A11C3A">
      <w:pPr>
        <w:pStyle w:val="Level3"/>
      </w:pPr>
      <w:bookmarkStart w:id="273" w:name="_Toc256000062"/>
      <w:bookmarkStart w:id="274" w:name="_Toc256000152"/>
      <w:r>
        <w:t>"Syrian Refugees Staying in Informal Tented Settlements in Jordan: Multi-Sector Needs Assessment, August 2014" by UN Children's Fund and REACH Initiative, dated 2 October 2014 &lt;</w:t>
      </w:r>
      <w:hyperlink r:id="rId59" w:history="1">
        <w:r w:rsidRPr="00914074">
          <w:rPr>
            <w:rStyle w:val="Hyperlink"/>
          </w:rPr>
          <w:t>https://reliefweb.int/report/jordan/syrian-refugees-staying-informal-tented-settlements-jordan-multi-sector-needs</w:t>
        </w:r>
      </w:hyperlink>
      <w:r>
        <w:t>&gt; (accessed 9 August 2019</w:t>
      </w:r>
      <w:bookmarkEnd w:id="273"/>
      <w:r w:rsidR="00A11C3A">
        <w:t>)</w:t>
      </w:r>
      <w:bookmarkEnd w:id="274"/>
    </w:p>
    <w:p w:rsidR="007B372F" w:rsidRDefault="008B52D1" w:rsidP="004409F4">
      <w:pPr>
        <w:pStyle w:val="Level3"/>
      </w:pPr>
      <w:bookmarkStart w:id="275" w:name="_Toc256000153"/>
      <w:bookmarkStart w:id="276" w:name="_Toc256000063"/>
      <w:proofErr w:type="spellStart"/>
      <w:r>
        <w:t>Engelcke</w:t>
      </w:r>
      <w:proofErr w:type="spellEnd"/>
      <w:r>
        <w:t>, ‘</w:t>
      </w:r>
      <w:r w:rsidRPr="005C121A">
        <w:t>Reforming Family Law</w:t>
      </w:r>
      <w:r>
        <w:t>: Social and Political change in Jordan and Morocco’ (2019), 175</w:t>
      </w:r>
      <w:bookmarkEnd w:id="275"/>
    </w:p>
    <w:p w:rsidR="000032E1" w:rsidRPr="00225EFE" w:rsidRDefault="008B52D1" w:rsidP="004409F4">
      <w:pPr>
        <w:pStyle w:val="Level3"/>
      </w:pPr>
      <w:bookmarkStart w:id="277" w:name="_Toc256000154"/>
      <w:proofErr w:type="spellStart"/>
      <w:r w:rsidRPr="00225EFE">
        <w:t>Nasarat</w:t>
      </w:r>
      <w:proofErr w:type="spellEnd"/>
      <w:r w:rsidRPr="00225EFE">
        <w:t xml:space="preserve">, ‘Jordanian Citizens’ Trends towards Women’s Social, Economic and Political Rights in </w:t>
      </w:r>
      <w:proofErr w:type="spellStart"/>
      <w:r w:rsidRPr="00225EFE">
        <w:t>Karak</w:t>
      </w:r>
      <w:proofErr w:type="spellEnd"/>
      <w:r w:rsidRPr="00225EFE">
        <w:t xml:space="preserve">, </w:t>
      </w:r>
      <w:proofErr w:type="spellStart"/>
      <w:r w:rsidRPr="00225EFE">
        <w:t>Tafieleh</w:t>
      </w:r>
      <w:proofErr w:type="spellEnd"/>
      <w:r w:rsidRPr="00225EFE">
        <w:t xml:space="preserve"> and </w:t>
      </w:r>
      <w:proofErr w:type="spellStart"/>
      <w:r w:rsidRPr="00225EFE">
        <w:t>Maan</w:t>
      </w:r>
      <w:proofErr w:type="spellEnd"/>
      <w:r w:rsidRPr="00225EFE">
        <w:t xml:space="preserve"> Governorates International Journal of Humanities and Social Science Vol. 7, No. 4</w:t>
      </w:r>
      <w:r w:rsidR="007874FA">
        <w:t xml:space="preserve"> &lt;</w:t>
      </w:r>
      <w:hyperlink r:id="rId60" w:history="1">
        <w:r w:rsidR="007874FA" w:rsidRPr="00FC42C5">
          <w:rPr>
            <w:rStyle w:val="Hyperlink"/>
          </w:rPr>
          <w:t>https://www.ijhssnet.com/journals/Vol_7_No_4_April_2017/8.pdf</w:t>
        </w:r>
      </w:hyperlink>
      <w:r w:rsidR="007874FA">
        <w:t>&gt; (accessed 12 July 2019)</w:t>
      </w:r>
      <w:bookmarkEnd w:id="264"/>
      <w:bookmarkEnd w:id="276"/>
      <w:bookmarkEnd w:id="277"/>
    </w:p>
    <w:p w:rsidR="007B372F" w:rsidRDefault="008B52D1" w:rsidP="004409F4">
      <w:pPr>
        <w:pStyle w:val="Level3"/>
      </w:pPr>
      <w:bookmarkStart w:id="278" w:name="_Toc256000155"/>
      <w:bookmarkStart w:id="279" w:name="_Toc256000064"/>
      <w:bookmarkStart w:id="280" w:name="_Toc16243169"/>
      <w:r>
        <w:t xml:space="preserve">Daniel Howden, Hannah </w:t>
      </w:r>
      <w:proofErr w:type="spellStart"/>
      <w:r>
        <w:t>Patchett</w:t>
      </w:r>
      <w:proofErr w:type="spellEnd"/>
      <w:r>
        <w:t xml:space="preserve"> and Charlotte Alfred, 'Can Jordan get a million Syrians into work?' (13 December 2017, Amman) &lt;</w:t>
      </w:r>
      <w:hyperlink r:id="rId61" w:history="1">
        <w:r w:rsidRPr="000919E7">
          <w:rPr>
            <w:rStyle w:val="Hyperlink"/>
          </w:rPr>
          <w:t>https://www.theguardian.com/world/2017/dec/13/can-jordan-get-a-million-syrians-into-work</w:t>
        </w:r>
      </w:hyperlink>
      <w:r>
        <w:t>&gt; (accessed 10 September 2019)</w:t>
      </w:r>
      <w:bookmarkEnd w:id="278"/>
    </w:p>
    <w:p w:rsidR="007B372F" w:rsidRDefault="008B52D1" w:rsidP="004409F4">
      <w:pPr>
        <w:pStyle w:val="Level3"/>
      </w:pPr>
      <w:bookmarkStart w:id="281" w:name="_Toc256000156"/>
      <w:r w:rsidRPr="00600054">
        <w:lastRenderedPageBreak/>
        <w:t xml:space="preserve">Dina </w:t>
      </w:r>
      <w:proofErr w:type="spellStart"/>
      <w:r w:rsidRPr="00600054">
        <w:t>Baslan</w:t>
      </w:r>
      <w:proofErr w:type="spellEnd"/>
      <w:r w:rsidRPr="00600054">
        <w:t xml:space="preserve">, Anna </w:t>
      </w:r>
      <w:proofErr w:type="spellStart"/>
      <w:r w:rsidRPr="00600054">
        <w:t>Kvittingenm</w:t>
      </w:r>
      <w:proofErr w:type="spellEnd"/>
      <w:r w:rsidRPr="00600054">
        <w:t xml:space="preserve"> and Maya </w:t>
      </w:r>
      <w:proofErr w:type="spellStart"/>
      <w:r w:rsidRPr="00600054">
        <w:t>Perlmann</w:t>
      </w:r>
      <w:proofErr w:type="spellEnd"/>
      <w:r w:rsidRPr="00600054">
        <w:t>, ‘Sheltering in Amman:</w:t>
      </w:r>
      <w:r w:rsidR="001D6A9C">
        <w:t xml:space="preserve"> </w:t>
      </w:r>
      <w:r w:rsidRPr="00600054">
        <w:t>Sudanese experiences and practices in a challenging urban environment’ (November 2017)</w:t>
      </w:r>
      <w:bookmarkEnd w:id="281"/>
    </w:p>
    <w:p w:rsidR="007B372F" w:rsidRDefault="008B52D1" w:rsidP="004409F4">
      <w:pPr>
        <w:pStyle w:val="Level3"/>
      </w:pPr>
      <w:bookmarkStart w:id="282" w:name="_Toc256000157"/>
      <w:r>
        <w:t>Palestinian Re</w:t>
      </w:r>
      <w:r w:rsidR="001D6A9C">
        <w:t>turn Centre, ‘Decades of Resilie</w:t>
      </w:r>
      <w:r>
        <w:t>nce: stateless Gazan refugees in Jordan’ (2018)</w:t>
      </w:r>
      <w:bookmarkEnd w:id="282"/>
    </w:p>
    <w:p w:rsidR="000032E1" w:rsidRPr="007560AC" w:rsidRDefault="008B52D1" w:rsidP="004409F4">
      <w:pPr>
        <w:pStyle w:val="Level3"/>
      </w:pPr>
      <w:bookmarkStart w:id="283" w:name="_Toc256000158"/>
      <w:r w:rsidRPr="00225EFE">
        <w:t>Human Right</w:t>
      </w:r>
      <w:r w:rsidR="007874FA">
        <w:t>s Watch ‘</w:t>
      </w:r>
      <w:r w:rsidRPr="00225EFE">
        <w:t>I just want him to live like oth</w:t>
      </w:r>
      <w:r w:rsidRPr="00367F28">
        <w:t>er Jordanians: Treatment of Non-</w:t>
      </w:r>
      <w:r w:rsidRPr="007560AC">
        <w:t>Citizen Children of Jordanian Mothers</w:t>
      </w:r>
      <w:r w:rsidR="007874FA">
        <w:t>’</w:t>
      </w:r>
      <w:r w:rsidRPr="007560AC">
        <w:t xml:space="preserve"> (April 2018, report)</w:t>
      </w:r>
      <w:r w:rsidR="007874FA">
        <w:t xml:space="preserve"> &lt;</w:t>
      </w:r>
      <w:r w:rsidR="007874FA" w:rsidRPr="007874FA">
        <w:t>https://www.hrw.org/sites/default/files/report_pdf/jordan0418_web2.pdf</w:t>
      </w:r>
      <w:r w:rsidR="007874FA">
        <w:t>&gt;</w:t>
      </w:r>
      <w:r w:rsidRPr="007560AC">
        <w:t xml:space="preserve"> (accessed 12 July 2019)</w:t>
      </w:r>
      <w:bookmarkEnd w:id="279"/>
      <w:bookmarkEnd w:id="280"/>
      <w:bookmarkEnd w:id="283"/>
    </w:p>
    <w:p w:rsidR="000032E1" w:rsidRPr="007560AC" w:rsidRDefault="008B52D1" w:rsidP="004409F4">
      <w:pPr>
        <w:pStyle w:val="Level3"/>
      </w:pPr>
      <w:bookmarkStart w:id="284" w:name="_Toc256000159"/>
      <w:bookmarkStart w:id="285" w:name="_Toc256000065"/>
      <w:bookmarkStart w:id="286" w:name="_Toc16243170"/>
      <w:r w:rsidRPr="007560AC">
        <w:t>Norwegian Refugee Council ‘Integrated Urban Shelter / ICLA Programme Evaluation in Jordan’ (2016)</w:t>
      </w:r>
      <w:r w:rsidR="007874FA">
        <w:t xml:space="preserve"> &lt;</w:t>
      </w:r>
      <w:r w:rsidR="007874FA" w:rsidRPr="007874FA">
        <w:t>https://www.nrc.no/resources/evaluations/integrated-urban-shelter--icla-programme-evaluation-in-jordan/</w:t>
      </w:r>
      <w:proofErr w:type="gramStart"/>
      <w:r w:rsidR="007874FA">
        <w:t xml:space="preserve">&gt; </w:t>
      </w:r>
      <w:r w:rsidRPr="007560AC">
        <w:t xml:space="preserve"> (</w:t>
      </w:r>
      <w:proofErr w:type="gramEnd"/>
      <w:r w:rsidRPr="007560AC">
        <w:t>accessed 12 July 2019)</w:t>
      </w:r>
      <w:bookmarkEnd w:id="284"/>
      <w:bookmarkEnd w:id="285"/>
      <w:bookmarkEnd w:id="286"/>
    </w:p>
    <w:p w:rsidR="005543C2" w:rsidRPr="00CB240A" w:rsidRDefault="008B52D1" w:rsidP="004409F4">
      <w:pPr>
        <w:pStyle w:val="Level3"/>
      </w:pPr>
      <w:bookmarkStart w:id="287" w:name="_Toc256000160"/>
      <w:bookmarkStart w:id="288" w:name="_Toc256000066"/>
      <w:bookmarkStart w:id="289" w:name="_Toc13818611"/>
      <w:bookmarkStart w:id="290" w:name="_Toc16243171"/>
      <w:r w:rsidRPr="007560AC">
        <w:t xml:space="preserve">Simeon </w:t>
      </w:r>
      <w:proofErr w:type="spellStart"/>
      <w:r w:rsidRPr="007560AC">
        <w:t>Djankov</w:t>
      </w:r>
      <w:proofErr w:type="spellEnd"/>
      <w:r w:rsidRPr="007560AC">
        <w:t xml:space="preserve">, Rafael La Porta, Florencio Lopez-de-Silanes and Andrei Shleifer, 'Courts: The Lex Mundi Project' NBER Working Paper No. 8890 (April 2002) </w:t>
      </w:r>
      <w:r w:rsidRPr="00CB240A">
        <w:t>&lt;</w:t>
      </w:r>
      <w:hyperlink r:id="rId62" w:history="1">
        <w:r w:rsidRPr="00CB240A">
          <w:rPr>
            <w:rStyle w:val="Hyperlink"/>
          </w:rPr>
          <w:t>https://www.nber.org/papers/w8890.pdf</w:t>
        </w:r>
      </w:hyperlink>
      <w:r w:rsidRPr="00CB240A">
        <w:t>&gt; (accessed 9 July 2019)</w:t>
      </w:r>
      <w:bookmarkEnd w:id="287"/>
      <w:bookmarkEnd w:id="288"/>
      <w:bookmarkEnd w:id="289"/>
      <w:bookmarkEnd w:id="290"/>
    </w:p>
    <w:p w:rsidR="007B372F" w:rsidRDefault="008B52D1" w:rsidP="004409F4">
      <w:pPr>
        <w:pStyle w:val="Level3"/>
      </w:pPr>
      <w:bookmarkStart w:id="291" w:name="_Toc256000161"/>
      <w:bookmarkStart w:id="292" w:name="_Toc256000067"/>
      <w:bookmarkStart w:id="293" w:name="_Toc13818612"/>
      <w:bookmarkStart w:id="294" w:name="_Toc16243172"/>
      <w:r>
        <w:t xml:space="preserve">Naomi Johnstone, </w:t>
      </w:r>
      <w:r w:rsidRPr="00205DA0">
        <w:t>'Tribal Dispute Re</w:t>
      </w:r>
      <w:r>
        <w:t>solution and Women's Access to Justice in Jordan' (2015) WANA Institute &lt;</w:t>
      </w:r>
      <w:hyperlink r:id="rId63" w:history="1">
        <w:r w:rsidRPr="00121696">
          <w:rPr>
            <w:rStyle w:val="Hyperlink"/>
          </w:rPr>
          <w:t>http://wanainstitute.org/sites/default/files/publications/Tribal%20Dispute%20Resolution%20and%20Women%E2%80%99s%20Access%20to%20Justice%20in%20Jordan.pdf</w:t>
        </w:r>
      </w:hyperlink>
      <w:r>
        <w:t>&gt; (accessed 9 September 2019)</w:t>
      </w:r>
      <w:bookmarkEnd w:id="291"/>
    </w:p>
    <w:p w:rsidR="007B372F" w:rsidRDefault="008B52D1" w:rsidP="007B372F">
      <w:pPr>
        <w:pStyle w:val="Level3"/>
      </w:pPr>
      <w:bookmarkStart w:id="295" w:name="_Toc256000162"/>
      <w:r>
        <w:t xml:space="preserve">Ann </w:t>
      </w:r>
      <w:proofErr w:type="spellStart"/>
      <w:r>
        <w:t>Furr</w:t>
      </w:r>
      <w:proofErr w:type="spellEnd"/>
      <w:r>
        <w:t xml:space="preserve"> and </w:t>
      </w:r>
      <w:proofErr w:type="spellStart"/>
      <w:r>
        <w:t>Muwafaq</w:t>
      </w:r>
      <w:proofErr w:type="spellEnd"/>
      <w:r>
        <w:t xml:space="preserve"> Al-</w:t>
      </w:r>
      <w:proofErr w:type="spellStart"/>
      <w:r>
        <w:t>Serhan</w:t>
      </w:r>
      <w:proofErr w:type="spellEnd"/>
      <w:r>
        <w:t xml:space="preserve">, 'Tribal Customary Law in Jordan' (2008) South Carolina Journal of International Law and Business, Vol 3 </w:t>
      </w:r>
      <w:proofErr w:type="spellStart"/>
      <w:r>
        <w:t>Iss</w:t>
      </w:r>
      <w:proofErr w:type="spellEnd"/>
      <w:r>
        <w:t xml:space="preserve"> 2 Article 3, pp.23-26 &lt;</w:t>
      </w:r>
      <w:hyperlink r:id="rId64" w:history="1">
        <w:r w:rsidRPr="00121696">
          <w:rPr>
            <w:rStyle w:val="Hyperlink"/>
          </w:rPr>
          <w:t>https://scholarcommons.sc.edu/cgi/viewcontent.cgi?article=1055&amp;context=scjilb</w:t>
        </w:r>
      </w:hyperlink>
      <w:r>
        <w:t>&gt; (accessed 9 September 2019)</w:t>
      </w:r>
      <w:bookmarkEnd w:id="295"/>
      <w:r>
        <w:t xml:space="preserve"> </w:t>
      </w:r>
    </w:p>
    <w:p w:rsidR="007B372F" w:rsidRDefault="008B52D1" w:rsidP="007B372F">
      <w:pPr>
        <w:pStyle w:val="Level3"/>
      </w:pPr>
      <w:bookmarkStart w:id="296" w:name="_Toc256000163"/>
      <w:r>
        <w:t xml:space="preserve">Dana </w:t>
      </w:r>
      <w:proofErr w:type="spellStart"/>
      <w:r>
        <w:t>Gibreel</w:t>
      </w:r>
      <w:proofErr w:type="spellEnd"/>
      <w:r>
        <w:t>, 'Is tribal custom above the law?' for 7iber (16 May 2016) &lt;</w:t>
      </w:r>
      <w:hyperlink r:id="rId65" w:history="1">
        <w:r w:rsidRPr="00121696">
          <w:rPr>
            <w:rStyle w:val="Hyperlink"/>
          </w:rPr>
          <w:t>https://www.7iber.com/society/is-tribal-custom-above-the-law/</w:t>
        </w:r>
      </w:hyperlink>
      <w:r>
        <w:t>&gt; (accessed 9 September 2019)</w:t>
      </w:r>
      <w:bookmarkEnd w:id="296"/>
    </w:p>
    <w:p w:rsidR="00A11C3A" w:rsidRDefault="008B52D1" w:rsidP="004409F4">
      <w:pPr>
        <w:pStyle w:val="Level3"/>
      </w:pPr>
      <w:bookmarkStart w:id="297" w:name="_Toc256000164"/>
      <w:r>
        <w:t xml:space="preserve">Mohammed Ghazal and Laila </w:t>
      </w:r>
      <w:proofErr w:type="spellStart"/>
      <w:r>
        <w:t>Azzeh</w:t>
      </w:r>
      <w:proofErr w:type="spellEnd"/>
      <w:r>
        <w:t>, '</w:t>
      </w:r>
      <w:r>
        <w:rPr>
          <w:i/>
        </w:rPr>
        <w:t>Collapse of Amman buildings blamed on unlicensed extra floors, 'soak pits'</w:t>
      </w:r>
      <w:r>
        <w:t>' The Jordan Times (Amman, 22 January 2017 &lt;</w:t>
      </w:r>
      <w:hyperlink r:id="rId66" w:history="1">
        <w:r w:rsidRPr="00717417">
          <w:rPr>
            <w:rStyle w:val="Hyperlink"/>
          </w:rPr>
          <w:t>http://www.jordantimes.com/news/local/collapse-amman-buildings-blamed-unlicensed-extra-floors-soak-pits%E2%80%99</w:t>
        </w:r>
      </w:hyperlink>
      <w:r>
        <w:t>&gt; (accessed 19 September 2019)</w:t>
      </w:r>
      <w:bookmarkEnd w:id="297"/>
    </w:p>
    <w:p w:rsidR="00DF35DD" w:rsidRDefault="008B52D1" w:rsidP="004409F4">
      <w:pPr>
        <w:pStyle w:val="Level3"/>
      </w:pPr>
      <w:bookmarkStart w:id="298" w:name="_Toc256000165"/>
      <w:r w:rsidRPr="00CB240A">
        <w:t>Global Shelter Cluster, infographic on active shelter clusters &lt;</w:t>
      </w:r>
      <w:hyperlink r:id="rId67" w:history="1">
        <w:r w:rsidRPr="00CB240A">
          <w:rPr>
            <w:rStyle w:val="Hyperlink"/>
          </w:rPr>
          <w:t>https://www.sheltercluster.org/</w:t>
        </w:r>
      </w:hyperlink>
      <w:r w:rsidRPr="00CB240A">
        <w:t>&gt; (accessed 9 July 2019)</w:t>
      </w:r>
      <w:bookmarkEnd w:id="292"/>
      <w:bookmarkEnd w:id="293"/>
      <w:bookmarkEnd w:id="294"/>
      <w:bookmarkEnd w:id="298"/>
    </w:p>
    <w:p w:rsidR="0097271B" w:rsidRDefault="008B52D1" w:rsidP="00FA1F90">
      <w:pPr>
        <w:pStyle w:val="Level3"/>
      </w:pPr>
      <w:bookmarkStart w:id="299" w:name="_Toc256000166"/>
      <w:bookmarkStart w:id="300" w:name="_Toc256000068"/>
      <w:bookmarkStart w:id="301" w:name="_Toc16243173"/>
      <w:r>
        <w:t>General Directorate on Civil Defence, ‘Analytical Study on Legislations Effective in the Hashemite Kingdom of Jordan Related to Disasters &amp; Disaster Management &lt;</w:t>
      </w:r>
      <w:hyperlink r:id="rId68" w:history="1">
        <w:r w:rsidRPr="00B125F0">
          <w:rPr>
            <w:rStyle w:val="Hyperlink"/>
          </w:rPr>
          <w:t>https://www.preventionweb.net/files/31204_legislativerevision28englishedition.pdf</w:t>
        </w:r>
      </w:hyperlink>
      <w:r>
        <w:t>&gt; (accessed 7 August 2019)</w:t>
      </w:r>
      <w:bookmarkEnd w:id="299"/>
      <w:bookmarkEnd w:id="300"/>
      <w:bookmarkEnd w:id="301"/>
    </w:p>
    <w:p w:rsidR="0097271B" w:rsidRDefault="008B52D1" w:rsidP="00FA1F90">
      <w:pPr>
        <w:pStyle w:val="Level3"/>
      </w:pPr>
      <w:bookmarkStart w:id="302" w:name="_Toc256000167"/>
      <w:bookmarkStart w:id="303" w:name="_Toc256000069"/>
      <w:bookmarkStart w:id="304" w:name="_Toc16243174"/>
      <w:r>
        <w:t xml:space="preserve">Jordan </w:t>
      </w:r>
      <w:r w:rsidRPr="0097271B">
        <w:t>National Natural Disaster Risk Reduction Strategy 2019-22</w:t>
      </w:r>
      <w:r>
        <w:t xml:space="preserve"> &lt;</w:t>
      </w:r>
      <w:hyperlink r:id="rId69" w:history="1">
        <w:r w:rsidRPr="00B125F0">
          <w:rPr>
            <w:rStyle w:val="Hyperlink"/>
          </w:rPr>
          <w:t>http://www.jo.undp.org/content/jordan/en/home/library/NationalNaturalDisasterRiskReductionStrategy.html</w:t>
        </w:r>
      </w:hyperlink>
      <w:r>
        <w:t>&gt; (accessed 7 August 2019)</w:t>
      </w:r>
      <w:bookmarkEnd w:id="302"/>
      <w:bookmarkEnd w:id="303"/>
      <w:bookmarkEnd w:id="304"/>
    </w:p>
    <w:p w:rsidR="00C918F6" w:rsidRDefault="008B52D1" w:rsidP="00FA1F90">
      <w:pPr>
        <w:pStyle w:val="Level3"/>
      </w:pPr>
      <w:bookmarkStart w:id="305" w:name="_Toc256000168"/>
      <w:bookmarkStart w:id="306" w:name="_Toc256000070"/>
      <w:bookmarkStart w:id="307" w:name="_Toc16243175"/>
      <w:r>
        <w:lastRenderedPageBreak/>
        <w:t>Shelter Projects, ‘Shelter Projects 2013 – 2014’ (2014) &lt;</w:t>
      </w:r>
      <w:hyperlink r:id="rId70" w:history="1">
        <w:r w:rsidRPr="00B125F0">
          <w:rPr>
            <w:rStyle w:val="Hyperlink"/>
          </w:rPr>
          <w:t>http://shelterprojects.org/shelterprojects2013-2014/Shelterprojects_2013-14_Lowres_WEB.pdf</w:t>
        </w:r>
      </w:hyperlink>
      <w:r>
        <w:t>&gt; (accessed 7 August 2019)</w:t>
      </w:r>
      <w:bookmarkEnd w:id="305"/>
      <w:bookmarkEnd w:id="306"/>
      <w:bookmarkEnd w:id="307"/>
    </w:p>
    <w:p w:rsidR="00C918F6" w:rsidRDefault="008B52D1" w:rsidP="00FA1F90">
      <w:pPr>
        <w:pStyle w:val="Level3"/>
      </w:pPr>
      <w:bookmarkStart w:id="308" w:name="_Toc256000169"/>
      <w:bookmarkStart w:id="309" w:name="_Toc256000071"/>
      <w:bookmarkStart w:id="310" w:name="_Toc16243176"/>
      <w:r>
        <w:t>Housing and Urban Development Corporation website &lt;</w:t>
      </w:r>
      <w:hyperlink r:id="rId71" w:history="1">
        <w:r w:rsidRPr="00B125F0">
          <w:rPr>
            <w:rStyle w:val="Hyperlink"/>
          </w:rPr>
          <w:t>https://jordan.gov.jo/wps/portal/Home/GovernmentEntities/Ministries/Ministry/Ministry%20of%20Public%20Works%20and%20Housing/Housing%20and%20Urban%20Development%20Corporation?current=true&amp;nameEntity=Housing%20and%20Urban%20Development%20Corporation&amp;entityType=sub</w:t>
        </w:r>
      </w:hyperlink>
      <w:r>
        <w:t>&gt; (accessed 6 August 2019)</w:t>
      </w:r>
      <w:bookmarkEnd w:id="308"/>
      <w:bookmarkEnd w:id="309"/>
      <w:bookmarkEnd w:id="310"/>
    </w:p>
    <w:p w:rsidR="00C918F6" w:rsidRDefault="008B52D1" w:rsidP="00FA1F90">
      <w:pPr>
        <w:pStyle w:val="Level3"/>
      </w:pPr>
      <w:bookmarkStart w:id="311" w:name="_Toc256000170"/>
      <w:bookmarkStart w:id="312" w:name="_Toc256000072"/>
      <w:bookmarkStart w:id="313" w:name="_Toc16243177"/>
      <w:r>
        <w:t>Ministry of Public Works and Housing website &lt;</w:t>
      </w:r>
      <w:hyperlink r:id="rId72" w:history="1">
        <w:r w:rsidRPr="00B125F0">
          <w:rPr>
            <w:rStyle w:val="Hyperlink"/>
          </w:rPr>
          <w:t>https://jordan.gov.jo/wps/portal/Home/GovernmentEntities/Ministries/Ministry/Ministry%20of%20Public%20Works%20and%20Housing?nameEntity=Ministry%20of%20Public%20Works%20and%20Housing&amp;entityType=ministry</w:t>
        </w:r>
      </w:hyperlink>
      <w:r>
        <w:t>&gt; (accessed 6 August 2019)</w:t>
      </w:r>
      <w:bookmarkEnd w:id="311"/>
      <w:bookmarkEnd w:id="312"/>
      <w:bookmarkEnd w:id="313"/>
    </w:p>
    <w:p w:rsidR="00271127" w:rsidRDefault="008B52D1" w:rsidP="00FA1F90">
      <w:pPr>
        <w:pStyle w:val="Level3"/>
      </w:pPr>
      <w:bookmarkStart w:id="314" w:name="_Toc256000171"/>
      <w:bookmarkStart w:id="315" w:name="_Toc256000073"/>
      <w:bookmarkStart w:id="316" w:name="_Toc16243178"/>
      <w:r w:rsidRPr="004A5539">
        <w:t>Urban Humanitarian Response, ‘</w:t>
      </w:r>
      <w:r>
        <w:t>Amman, Jordan: Disaster Risk Management Profile’ (July 2006) &lt;</w:t>
      </w:r>
      <w:hyperlink r:id="rId73" w:history="1">
        <w:r w:rsidRPr="000A5749">
          <w:rPr>
            <w:rStyle w:val="Hyperlink"/>
          </w:rPr>
          <w:t>https://www.urban-response.org/system/files/content/resource/files/main/cp-amman-july2006.pdf</w:t>
        </w:r>
      </w:hyperlink>
      <w:r>
        <w:t>&gt; (accessed 9 August 2019)</w:t>
      </w:r>
      <w:bookmarkEnd w:id="314"/>
      <w:bookmarkEnd w:id="315"/>
      <w:bookmarkEnd w:id="316"/>
    </w:p>
    <w:p w:rsidR="00271127" w:rsidRDefault="008B52D1" w:rsidP="00FA1F90">
      <w:pPr>
        <w:pStyle w:val="Level3"/>
      </w:pPr>
      <w:bookmarkStart w:id="317" w:name="_Toc256000172"/>
      <w:bookmarkStart w:id="318" w:name="_Toc256000074"/>
      <w:bookmarkStart w:id="319" w:name="_Toc16243179"/>
      <w:r>
        <w:t>General Directorate of the Civil Defence, ‘</w:t>
      </w:r>
      <w:r w:rsidRPr="009263AE">
        <w:t>National Comprehensive Plan</w:t>
      </w:r>
      <w:r>
        <w:t xml:space="preserve"> for Encountering Emergencies &amp; Disasters for the Year of 2003’ (2003) &lt;</w:t>
      </w:r>
      <w:hyperlink r:id="rId74" w:history="1">
        <w:r w:rsidRPr="000A5749">
          <w:rPr>
            <w:rStyle w:val="Hyperlink"/>
          </w:rPr>
          <w:t>https://www.preventionweb.net/files/21867_jordan.pdf</w:t>
        </w:r>
      </w:hyperlink>
      <w:r>
        <w:t>&gt; (accessed 9 August 2019)</w:t>
      </w:r>
      <w:bookmarkEnd w:id="317"/>
      <w:bookmarkEnd w:id="318"/>
      <w:bookmarkEnd w:id="319"/>
    </w:p>
    <w:p w:rsidR="0033351F" w:rsidRDefault="008B52D1" w:rsidP="0033351F">
      <w:pPr>
        <w:pStyle w:val="Level3"/>
      </w:pPr>
      <w:bookmarkStart w:id="320" w:name="_Toc256000173"/>
      <w:bookmarkStart w:id="321" w:name="_Toc256000075"/>
      <w:bookmarkStart w:id="322" w:name="_Toc16243180"/>
      <w:r>
        <w:t>National Centre for Human Rights, 'Care and Protection Homes of the Ministry of Social Development' &lt;</w:t>
      </w:r>
      <w:hyperlink r:id="rId75" w:history="1">
        <w:r w:rsidRPr="00121696">
          <w:rPr>
            <w:rStyle w:val="Hyperlink"/>
          </w:rPr>
          <w:t>http://www.nchr.org.jo/User_Site/Site/View_Article.aspx?type=2&amp;ID=1663</w:t>
        </w:r>
      </w:hyperlink>
      <w:r>
        <w:t>&gt; (accessed 9 September 2019)</w:t>
      </w:r>
      <w:bookmarkEnd w:id="320"/>
    </w:p>
    <w:p w:rsidR="00271127" w:rsidRDefault="008B52D1" w:rsidP="00FA1F90">
      <w:pPr>
        <w:pStyle w:val="Level3"/>
      </w:pPr>
      <w:bookmarkStart w:id="323" w:name="_Toc256000174"/>
      <w:r>
        <w:t>International Federation of the Red Crescent, ‘Jordan National Red Crescent Society’ &lt;</w:t>
      </w:r>
      <w:hyperlink r:id="rId76" w:history="1">
        <w:r w:rsidRPr="000A5749">
          <w:rPr>
            <w:rStyle w:val="Hyperlink"/>
          </w:rPr>
          <w:t>https://www.ifrc.org/en/what-we-do/where-we-work/middle-east-and-north-africa/jordan-national-red-crescent-society/</w:t>
        </w:r>
      </w:hyperlink>
      <w:r>
        <w:t>&gt; (accessed 9 August 2019)</w:t>
      </w:r>
      <w:bookmarkEnd w:id="321"/>
      <w:bookmarkEnd w:id="322"/>
      <w:bookmarkEnd w:id="323"/>
    </w:p>
    <w:p w:rsidR="004A5539" w:rsidRDefault="008B52D1" w:rsidP="00FA1F90">
      <w:pPr>
        <w:pStyle w:val="Level3"/>
      </w:pPr>
      <w:bookmarkStart w:id="324" w:name="_Toc256000175"/>
      <w:bookmarkStart w:id="325" w:name="_Toc256000076"/>
      <w:bookmarkStart w:id="326" w:name="_Toc16243181"/>
      <w:r>
        <w:t>International Federation of the Red Crescent, ‘First Displaced People Arrive in Red Crescent Camp in Jordan from Iraq’ (20 March 2003) &lt;</w:t>
      </w:r>
      <w:hyperlink r:id="rId77" w:history="1">
        <w:r w:rsidRPr="000A5749">
          <w:rPr>
            <w:rStyle w:val="Hyperlink"/>
          </w:rPr>
          <w:t>https://www.ifrc.org/en/news-and-media/press-releases/middle-east-and-north-africa/jordan/first-displaced-people-arrive-at-red-crescent-camp-in-jordan-from-iraq/</w:t>
        </w:r>
      </w:hyperlink>
      <w:r>
        <w:t>&gt; (accessed 9 August 2019)</w:t>
      </w:r>
      <w:bookmarkEnd w:id="324"/>
      <w:bookmarkEnd w:id="325"/>
      <w:bookmarkEnd w:id="326"/>
    </w:p>
    <w:p w:rsidR="004A5539" w:rsidRDefault="008B52D1" w:rsidP="00FA1F90">
      <w:pPr>
        <w:pStyle w:val="Level3"/>
      </w:pPr>
      <w:bookmarkStart w:id="327" w:name="_Toc256000176"/>
      <w:bookmarkStart w:id="328" w:name="_Toc256000077"/>
      <w:bookmarkStart w:id="329" w:name="_Toc16243182"/>
      <w:r>
        <w:t>International Federation of the Red Crescent, ‘Red Crescent Cash Support Offers Lifeline to Syrian Refugees in Jordan’ (29 September 2016) &lt;</w:t>
      </w:r>
      <w:hyperlink r:id="rId78" w:history="1">
        <w:r w:rsidRPr="000A5749">
          <w:rPr>
            <w:rStyle w:val="Hyperlink"/>
          </w:rPr>
          <w:t>https://www.ifrc.org/en/news-and-media/news-stories/middle-east-and-north-africa/jordan/red-crescent-cash-support-offers-lifeline-to-syrian-refugee-families-in-jordan-72558/</w:t>
        </w:r>
      </w:hyperlink>
      <w:r>
        <w:t>&gt; (accessed 9 August 2019)</w:t>
      </w:r>
      <w:bookmarkEnd w:id="327"/>
      <w:bookmarkEnd w:id="328"/>
      <w:bookmarkEnd w:id="329"/>
    </w:p>
    <w:p w:rsidR="0033351F" w:rsidRDefault="008B52D1" w:rsidP="00FA1F90">
      <w:pPr>
        <w:pStyle w:val="Level3"/>
      </w:pPr>
      <w:bookmarkStart w:id="330" w:name="_Toc256000177"/>
      <w:bookmarkStart w:id="331" w:name="_Toc256000079"/>
      <w:bookmarkStart w:id="332" w:name="_Toc16243184"/>
      <w:r>
        <w:t>Extract of Jordanian government statistics from 2015 Census: Distribution of Occupied Housing Units by Private or Collective Households by Type of Tenure, Type of Housing Unit, Urban/ Rural and Governorate &lt;</w:t>
      </w:r>
      <w:hyperlink r:id="rId79" w:history="1">
        <w:r>
          <w:rPr>
            <w:rStyle w:val="Hyperlink"/>
          </w:rPr>
          <w:t>http://dosweb.dos.gov.jo/censuses/population_housing/census2015/census2015_tables/</w:t>
        </w:r>
      </w:hyperlink>
      <w:r>
        <w:rPr>
          <w:rStyle w:val="Hyperlink"/>
        </w:rPr>
        <w:t>&gt; (accessed on 9 September 2019)</w:t>
      </w:r>
      <w:bookmarkEnd w:id="330"/>
    </w:p>
    <w:p w:rsidR="00FA1F90" w:rsidRDefault="008B52D1" w:rsidP="00FA1F90">
      <w:pPr>
        <w:pStyle w:val="Level3"/>
      </w:pPr>
      <w:bookmarkStart w:id="333" w:name="_Toc256000178"/>
      <w:r>
        <w:lastRenderedPageBreak/>
        <w:t>Norwegian Refugee Council</w:t>
      </w:r>
      <w:r w:rsidRPr="00CB240A">
        <w:t xml:space="preserve">, </w:t>
      </w:r>
      <w:r>
        <w:t>NRC in Jordan</w:t>
      </w:r>
      <w:r w:rsidRPr="00CB240A">
        <w:t xml:space="preserve"> &lt;</w:t>
      </w:r>
      <w:hyperlink r:id="rId80" w:history="1">
        <w:r>
          <w:rPr>
            <w:rStyle w:val="Hyperlink"/>
          </w:rPr>
          <w:t>https://www.nrc.no/countries/middle-east/jordan/</w:t>
        </w:r>
      </w:hyperlink>
      <w:r w:rsidRPr="00CB240A">
        <w:t xml:space="preserve">&gt; (accessed </w:t>
      </w:r>
      <w:r>
        <w:t>8 August</w:t>
      </w:r>
      <w:r w:rsidRPr="00CB240A">
        <w:t xml:space="preserve"> 2019)</w:t>
      </w:r>
      <w:bookmarkEnd w:id="331"/>
      <w:bookmarkEnd w:id="332"/>
      <w:bookmarkEnd w:id="333"/>
    </w:p>
    <w:p w:rsidR="00FA1F90" w:rsidRDefault="008B52D1" w:rsidP="00FA1F90">
      <w:pPr>
        <w:pStyle w:val="Level3"/>
      </w:pPr>
      <w:bookmarkStart w:id="334" w:name="_Toc256000179"/>
      <w:bookmarkStart w:id="335" w:name="_Toc256000080"/>
      <w:bookmarkStart w:id="336" w:name="_Toc16243185"/>
      <w:r>
        <w:t>Shelter Working Group - Jordan</w:t>
      </w:r>
      <w:r w:rsidRPr="00CB240A">
        <w:t xml:space="preserve"> &lt;</w:t>
      </w:r>
      <w:hyperlink r:id="rId81" w:history="1">
        <w:r>
          <w:rPr>
            <w:rStyle w:val="Hyperlink"/>
          </w:rPr>
          <w:t>https://data2.unhcr.org/en/working-group/52</w:t>
        </w:r>
      </w:hyperlink>
      <w:r w:rsidRPr="00CB240A">
        <w:t xml:space="preserve">&gt; </w:t>
      </w:r>
      <w:r w:rsidR="00622DC1">
        <w:t>and &lt;</w:t>
      </w:r>
      <w:hyperlink r:id="rId82" w:history="1">
        <w:r w:rsidR="00622DC1">
          <w:rPr>
            <w:rStyle w:val="Hyperlink"/>
          </w:rPr>
          <w:t>https://reliefweb.int/report/jordan/seeking-shelter-jordan-s-cities-housing-security-and-urban-humanitarianism-syria</w:t>
        </w:r>
      </w:hyperlink>
      <w:r w:rsidR="00622DC1">
        <w:t>&gt; (both accessed 8 August 2019)</w:t>
      </w:r>
      <w:bookmarkEnd w:id="334"/>
      <w:bookmarkEnd w:id="335"/>
      <w:bookmarkEnd w:id="336"/>
    </w:p>
    <w:p w:rsidR="00696DCC" w:rsidRDefault="008B52D1" w:rsidP="007848BF">
      <w:pPr>
        <w:pStyle w:val="Level3"/>
      </w:pPr>
      <w:bookmarkStart w:id="337" w:name="_Toc256000180"/>
      <w:bookmarkStart w:id="338" w:name="_Toc256000081"/>
      <w:bookmarkStart w:id="339" w:name="_Toc16243186"/>
      <w:r>
        <w:t>World Habitat Award, ‘</w:t>
      </w:r>
      <w:r w:rsidRPr="00696DCC">
        <w:t>Urban Shelter Project</w:t>
      </w:r>
      <w:r>
        <w:t>’ (2016) &lt;</w:t>
      </w:r>
      <w:hyperlink r:id="rId83" w:anchor="award-content" w:history="1">
        <w:r w:rsidRPr="000A5749">
          <w:rPr>
            <w:rStyle w:val="Hyperlink"/>
          </w:rPr>
          <w:t>https://www.world-habitat.org/world-habitat-awards/winners-and-finalists/urban-shelter-project/#award-content</w:t>
        </w:r>
      </w:hyperlink>
      <w:r>
        <w:t>&gt; (accessed 8 August 2019)</w:t>
      </w:r>
      <w:bookmarkEnd w:id="337"/>
      <w:bookmarkEnd w:id="338"/>
      <w:bookmarkEnd w:id="339"/>
    </w:p>
    <w:p w:rsidR="007848BF" w:rsidRDefault="008B52D1" w:rsidP="007848BF">
      <w:pPr>
        <w:pStyle w:val="Level3"/>
      </w:pPr>
      <w:bookmarkStart w:id="340" w:name="_Toc256000181"/>
      <w:bookmarkStart w:id="341" w:name="_Toc256000082"/>
      <w:bookmarkStart w:id="342" w:name="_Toc16243187"/>
      <w:r>
        <w:t>International Catholic Migration Commission</w:t>
      </w:r>
      <w:r w:rsidRPr="00CB240A">
        <w:t xml:space="preserve"> &lt;</w:t>
      </w:r>
      <w:hyperlink r:id="rId84" w:history="1">
        <w:r w:rsidR="00FE79A0">
          <w:rPr>
            <w:rStyle w:val="Hyperlink"/>
          </w:rPr>
          <w:t>https://www.icmc.net/programs/humanitarian-assistance-to-syrian-refugees-and-host-communities-in-jordan</w:t>
        </w:r>
      </w:hyperlink>
      <w:r>
        <w:t>&gt;</w:t>
      </w:r>
      <w:r w:rsidR="00474E7B">
        <w:t xml:space="preserve"> (accessed 8 August 2019)</w:t>
      </w:r>
      <w:bookmarkEnd w:id="340"/>
      <w:bookmarkEnd w:id="341"/>
      <w:bookmarkEnd w:id="342"/>
    </w:p>
    <w:p w:rsidR="007848BF" w:rsidRDefault="008B52D1" w:rsidP="007848BF">
      <w:pPr>
        <w:pStyle w:val="Level3"/>
      </w:pPr>
      <w:bookmarkStart w:id="343" w:name="_Toc256000182"/>
      <w:bookmarkStart w:id="344" w:name="_Toc256000083"/>
      <w:bookmarkStart w:id="345" w:name="_Toc16243188"/>
      <w:r>
        <w:t>Caritas Jordan</w:t>
      </w:r>
      <w:r w:rsidRPr="00CB240A">
        <w:t xml:space="preserve"> &lt;</w:t>
      </w:r>
      <w:hyperlink r:id="rId85" w:history="1">
        <w:hyperlink r:id="rId86" w:history="1">
          <w:r>
            <w:rPr>
              <w:rStyle w:val="Hyperlink"/>
            </w:rPr>
            <w:t>https://www.caritas.org/where-caritas-work/middle-east-and-north-africa/jordan/</w:t>
          </w:r>
        </w:hyperlink>
      </w:hyperlink>
      <w:r w:rsidRPr="00CB240A">
        <w:t xml:space="preserve">&gt; </w:t>
      </w:r>
      <w:r>
        <w:t>and &lt;</w:t>
      </w:r>
      <w:hyperlink r:id="rId87" w:history="1">
        <w:r>
          <w:rPr>
            <w:rStyle w:val="Hyperlink"/>
          </w:rPr>
          <w:t>https://reliefweb.int/report/jordan/seeking-shelter-jordan-s-cities-housing-security-and-urban-humanitarianism-syria</w:t>
        </w:r>
      </w:hyperlink>
      <w:r>
        <w:t>&gt; (both accessed 8 August 2019)</w:t>
      </w:r>
      <w:bookmarkEnd w:id="343"/>
      <w:bookmarkEnd w:id="344"/>
      <w:bookmarkEnd w:id="345"/>
    </w:p>
    <w:p w:rsidR="007848BF" w:rsidRDefault="008B52D1" w:rsidP="007848BF">
      <w:pPr>
        <w:pStyle w:val="Level3"/>
      </w:pPr>
      <w:bookmarkStart w:id="346" w:name="_Toc256000183"/>
      <w:bookmarkStart w:id="347" w:name="_Toc256000084"/>
      <w:bookmarkStart w:id="348" w:name="_Toc16243189"/>
      <w:r w:rsidRPr="007848BF">
        <w:t xml:space="preserve">Première </w:t>
      </w:r>
      <w:proofErr w:type="spellStart"/>
      <w:r w:rsidRPr="007848BF">
        <w:t>Urgence</w:t>
      </w:r>
      <w:proofErr w:type="spellEnd"/>
      <w:r w:rsidRPr="007848BF">
        <w:t xml:space="preserve"> Internationale </w:t>
      </w:r>
      <w:r>
        <w:t xml:space="preserve">– Jordan </w:t>
      </w:r>
      <w:r w:rsidRPr="00CB240A">
        <w:t>&lt;</w:t>
      </w:r>
      <w:hyperlink r:id="rId88" w:history="1">
        <w:r>
          <w:rPr>
            <w:rStyle w:val="Hyperlink"/>
          </w:rPr>
          <w:t>https://www.premiere-urgence.org/en/mission/jordan/</w:t>
        </w:r>
      </w:hyperlink>
      <w:r>
        <w:t>&gt; (accessed 8 August 2019)</w:t>
      </w:r>
      <w:bookmarkEnd w:id="346"/>
      <w:bookmarkEnd w:id="347"/>
      <w:bookmarkEnd w:id="348"/>
    </w:p>
    <w:p w:rsidR="007848BF" w:rsidRDefault="008B52D1" w:rsidP="007848BF">
      <w:pPr>
        <w:pStyle w:val="Level3"/>
      </w:pPr>
      <w:bookmarkStart w:id="349" w:name="_Toc256000184"/>
      <w:bookmarkStart w:id="350" w:name="_Toc256000085"/>
      <w:bookmarkStart w:id="351" w:name="_Toc16243190"/>
      <w:proofErr w:type="spellStart"/>
      <w:r>
        <w:t>Medair</w:t>
      </w:r>
      <w:proofErr w:type="spellEnd"/>
      <w:r>
        <w:t xml:space="preserve"> Jordan</w:t>
      </w:r>
      <w:r w:rsidRPr="00CB240A">
        <w:t xml:space="preserve"> &lt;</w:t>
      </w:r>
      <w:hyperlink r:id="rId89" w:history="1">
        <w:r>
          <w:rPr>
            <w:rStyle w:val="Hyperlink"/>
          </w:rPr>
          <w:t>https://www.medair.org/jordan/</w:t>
        </w:r>
      </w:hyperlink>
      <w:r>
        <w:t>&gt; (accessed 8 August 2019)</w:t>
      </w:r>
      <w:bookmarkEnd w:id="349"/>
      <w:bookmarkEnd w:id="350"/>
      <w:bookmarkEnd w:id="351"/>
    </w:p>
    <w:p w:rsidR="00615A95" w:rsidRDefault="008B52D1" w:rsidP="00D105EF">
      <w:pPr>
        <w:pStyle w:val="Level3"/>
      </w:pPr>
      <w:bookmarkStart w:id="352" w:name="_Toc256000185"/>
      <w:r w:rsidRPr="00615A95">
        <w:t xml:space="preserve">International Orthodox Christian Charities – Jordan </w:t>
      </w:r>
      <w:r>
        <w:t>&lt;</w:t>
      </w:r>
      <w:hyperlink r:id="rId90" w:history="1">
        <w:r w:rsidRPr="00121696">
          <w:rPr>
            <w:rStyle w:val="Hyperlink"/>
          </w:rPr>
          <w:t>https://iocc.org/where-we-work/jordan</w:t>
        </w:r>
      </w:hyperlink>
      <w:r>
        <w:t>&gt;</w:t>
      </w:r>
      <w:r w:rsidR="00106AD4">
        <w:t xml:space="preserve"> (accessed 9 September 2019</w:t>
      </w:r>
      <w:bookmarkEnd w:id="352"/>
    </w:p>
    <w:p w:rsidR="00600054" w:rsidRPr="00600054" w:rsidRDefault="008B52D1" w:rsidP="007B372F">
      <w:pPr>
        <w:pStyle w:val="Level3"/>
      </w:pPr>
      <w:bookmarkStart w:id="353" w:name="_Toc256000186"/>
      <w:proofErr w:type="spellStart"/>
      <w:r w:rsidRPr="00615A95">
        <w:t>Intersos</w:t>
      </w:r>
      <w:proofErr w:type="spellEnd"/>
      <w:r w:rsidRPr="00615A95">
        <w:t xml:space="preserve"> </w:t>
      </w:r>
      <w:r>
        <w:t>&lt;</w:t>
      </w:r>
      <w:hyperlink r:id="rId91" w:history="1">
        <w:r w:rsidRPr="00121696">
          <w:rPr>
            <w:rStyle w:val="Hyperlink"/>
          </w:rPr>
          <w:t>https://www.intersos.org/en/what-we-do/jordan/</w:t>
        </w:r>
      </w:hyperlink>
      <w:r>
        <w:t>&gt;</w:t>
      </w:r>
      <w:r w:rsidRPr="00615A95">
        <w:t xml:space="preserve"> (accessed 9 September 2019)</w:t>
      </w:r>
      <w:bookmarkEnd w:id="353"/>
    </w:p>
    <w:sectPr w:rsidR="00600054" w:rsidRPr="00600054" w:rsidSect="003406B5">
      <w:headerReference w:type="default" r:id="rId92"/>
      <w:footerReference w:type="default" r:id="rId93"/>
      <w:footerReference w:type="first" r:id="rId94"/>
      <w:pgSz w:w="11907" w:h="16840" w:code="9"/>
      <w:pgMar w:top="992"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0EB" w:rsidRDefault="004560EB">
      <w:pPr>
        <w:spacing w:before="0" w:line="240" w:lineRule="auto"/>
      </w:pPr>
      <w:r>
        <w:separator/>
      </w:r>
    </w:p>
  </w:endnote>
  <w:endnote w:type="continuationSeparator" w:id="0">
    <w:p w:rsidR="004560EB" w:rsidRDefault="004560E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2D1" w:rsidRDefault="008B5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2D1" w:rsidRDefault="008B5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2D1" w:rsidRDefault="008B52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2D1" w:rsidRDefault="008B52D1" w:rsidP="00325E49">
    <w:pPr>
      <w:pStyle w:val="Footer"/>
    </w:pPr>
  </w:p>
  <w:p w:rsidR="008B52D1" w:rsidRDefault="008B52D1" w:rsidP="00325E49">
    <w:pPr>
      <w:pStyle w:val="Footer"/>
    </w:pPr>
    <w:sdt>
      <w:sdtPr>
        <w:alias w:val="DocID"/>
        <w:tag w:val="DocID"/>
        <w:id w:val="1506560089"/>
        <w:text/>
      </w:sdtPr>
      <w:sdtContent>
        <w:r>
          <w:t>LIB03/HUMPHREO/7527901.14</w:t>
        </w:r>
      </w:sdtContent>
    </w:sdt>
    <w:r>
      <w:tab/>
    </w:r>
    <w:r>
      <w:tab/>
    </w:r>
    <w:sdt>
      <w:sdtPr>
        <w:alias w:val="Firm name"/>
        <w:tag w:val="FirmName"/>
        <w:id w:val="-448084639"/>
        <w:text/>
      </w:sdtPr>
      <w:sdtContent>
        <w:r>
          <w:t xml:space="preserve">Hogan </w:t>
        </w:r>
        <w:proofErr w:type="spellStart"/>
        <w:r>
          <w:t>Lovells</w:t>
        </w:r>
        <w:proofErr w:type="spellEnd"/>
      </w:sdtContent>
    </w:sdt>
  </w:p>
  <w:p w:rsidR="008B52D1" w:rsidRDefault="008B52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2D1" w:rsidRPr="00FC53E2" w:rsidRDefault="008B52D1" w:rsidP="00FC53E2">
    <w:pPr>
      <w:pStyle w:val="Footer"/>
    </w:pPr>
  </w:p>
  <w:p w:rsidR="008B52D1" w:rsidRPr="00FC53E2" w:rsidRDefault="008B52D1" w:rsidP="00FC53E2">
    <w:pPr>
      <w:pStyle w:val="Footer"/>
    </w:pPr>
    <w:sdt>
      <w:sdtPr>
        <w:alias w:val="DocID"/>
        <w:tag w:val="DocID"/>
        <w:id w:val="1215853606"/>
        <w:text/>
      </w:sdtPr>
      <w:sdtContent>
        <w:r>
          <w:t>LIB03/HUMPHREO/7527901.14</w:t>
        </w:r>
      </w:sdtContent>
    </w:sdt>
    <w:r w:rsidRPr="00FC53E2">
      <w:tab/>
    </w:r>
    <w:r w:rsidRPr="00FC53E2">
      <w:tab/>
    </w:r>
    <w:sdt>
      <w:sdtPr>
        <w:alias w:val="Firm name"/>
        <w:tag w:val="FirmName"/>
        <w:id w:val="1092979271"/>
        <w:text/>
      </w:sdtPr>
      <w:sdtContent>
        <w:r>
          <w:t xml:space="preserve">Hogan </w:t>
        </w:r>
        <w:proofErr w:type="spellStart"/>
        <w:r>
          <w:t>Lovells</w:t>
        </w:r>
        <w:proofErr w:type="spellEnd"/>
      </w:sdtContent>
    </w:sdt>
  </w:p>
  <w:p w:rsidR="008B52D1" w:rsidRDefault="008B5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0EB" w:rsidRPr="00586325" w:rsidRDefault="004560EB" w:rsidP="00586325">
      <w:pPr>
        <w:pStyle w:val="Footer"/>
      </w:pPr>
      <w:r>
        <w:continuationSeparator/>
      </w:r>
    </w:p>
  </w:footnote>
  <w:footnote w:type="continuationSeparator" w:id="0">
    <w:p w:rsidR="004560EB" w:rsidRDefault="004560EB" w:rsidP="00586325">
      <w:pPr>
        <w:pStyle w:val="Footer"/>
      </w:pPr>
      <w:r>
        <w:continuationSeparator/>
      </w:r>
    </w:p>
  </w:footnote>
  <w:footnote w:id="1">
    <w:p w:rsidR="008B52D1" w:rsidRPr="00AA395B" w:rsidRDefault="008B52D1" w:rsidP="000664C4">
      <w:pPr>
        <w:pStyle w:val="FootnoteText"/>
        <w:rPr>
          <w:lang w:val="en-GB"/>
        </w:rPr>
      </w:pPr>
      <w:r>
        <w:rPr>
          <w:rStyle w:val="FootnoteReference"/>
        </w:rPr>
        <w:footnoteRef/>
      </w:r>
      <w:r>
        <w:t xml:space="preserve"> </w:t>
      </w:r>
      <w:r>
        <w:tab/>
      </w:r>
      <w:bookmarkStart w:id="13" w:name="_Hlk33022736"/>
      <w:r>
        <w:fldChar w:fldCharType="begin"/>
      </w:r>
      <w:r>
        <w:instrText xml:space="preserve"> HYPERLINK "http://www.google.com/url?sa=t&amp;rct=j&amp;q=&amp;esrc=s&amp;source=web&amp;cd=1&amp;ved=2ahUKEwjRp-bp8aXjAhVTa8AKHdAgAQYQFjAAegQIABAC&amp;url=http%3A%2F%2Fwww.lexmundi.com%2FDocument.asp%3FDocID%3D1729&amp;usg=AOvVaw0JACD7QLuuicc8mNWW8wR2" </w:instrText>
      </w:r>
      <w:r>
        <w:fldChar w:fldCharType="separate"/>
      </w:r>
      <w:r w:rsidRPr="008B52D1">
        <w:rPr>
          <w:rStyle w:val="Hyperlink"/>
        </w:rPr>
        <w:t xml:space="preserve">Ali Sharif </w:t>
      </w:r>
      <w:proofErr w:type="spellStart"/>
      <w:r w:rsidRPr="008B52D1">
        <w:rPr>
          <w:rStyle w:val="Hyperlink"/>
        </w:rPr>
        <w:t>Zu'bi</w:t>
      </w:r>
      <w:proofErr w:type="spellEnd"/>
      <w:r w:rsidRPr="008B52D1">
        <w:rPr>
          <w:rStyle w:val="Hyperlink"/>
        </w:rPr>
        <w:t>, Advocates &amp; Legal Consultants, ‘Issues</w:t>
      </w:r>
      <w:r w:rsidRPr="008B52D1">
        <w:rPr>
          <w:rStyle w:val="Hyperlink"/>
        </w:rPr>
        <w:t xml:space="preserve"> </w:t>
      </w:r>
      <w:r w:rsidRPr="008B52D1">
        <w:rPr>
          <w:rStyle w:val="Hyperlink"/>
        </w:rPr>
        <w:t>in Ownership of Real Estate’ (</w:t>
      </w:r>
      <w:r w:rsidRPr="008B52D1">
        <w:rPr>
          <w:rStyle w:val="Hyperlink"/>
          <w:i/>
        </w:rPr>
        <w:t>Lex Mundi</w:t>
      </w:r>
      <w:r w:rsidRPr="008B52D1">
        <w:rPr>
          <w:rStyle w:val="Hyperlink"/>
        </w:rPr>
        <w:t>, 2008), p.</w:t>
      </w:r>
      <w:bookmarkEnd w:id="13"/>
      <w:r>
        <w:fldChar w:fldCharType="end"/>
      </w:r>
      <w:r>
        <w:t xml:space="preserve">1 </w:t>
      </w:r>
      <w:r w:rsidRPr="00E85A45">
        <w:rPr>
          <w:rStyle w:val="CommentReference"/>
        </w:rPr>
        <w:t>(</w:t>
      </w:r>
      <w:r w:rsidRPr="00E85A45">
        <w:t>accessed 8 July 2019)</w:t>
      </w:r>
    </w:p>
  </w:footnote>
  <w:footnote w:id="2">
    <w:p w:rsidR="008B52D1" w:rsidRPr="0082786F" w:rsidRDefault="008B52D1" w:rsidP="00130707">
      <w:pPr>
        <w:pStyle w:val="FootnoteText"/>
        <w:rPr>
          <w:lang w:val="en-GB"/>
        </w:rPr>
      </w:pPr>
      <w:r>
        <w:rPr>
          <w:rStyle w:val="FootnoteReference"/>
        </w:rPr>
        <w:footnoteRef/>
      </w:r>
      <w:r>
        <w:t xml:space="preserve"> </w:t>
      </w:r>
      <w:r>
        <w:tab/>
      </w:r>
      <w:hyperlink r:id="rId1" w:history="1">
        <w:r w:rsidRPr="008B52D1">
          <w:rPr>
            <w:rStyle w:val="Hyperlink"/>
          </w:rPr>
          <w:t xml:space="preserve">CIA </w:t>
        </w:r>
        <w:proofErr w:type="spellStart"/>
        <w:r w:rsidRPr="008B52D1">
          <w:rPr>
            <w:rStyle w:val="Hyperlink"/>
          </w:rPr>
          <w:t>Factbook</w:t>
        </w:r>
        <w:proofErr w:type="spellEnd"/>
        <w:r w:rsidRPr="008B52D1">
          <w:rPr>
            <w:rStyle w:val="Hyperlink"/>
          </w:rPr>
          <w:t xml:space="preserve"> on Jordan</w:t>
        </w:r>
      </w:hyperlink>
      <w:r w:rsidRPr="00D105EF">
        <w:t xml:space="preserve"> </w:t>
      </w:r>
    </w:p>
  </w:footnote>
  <w:footnote w:id="3">
    <w:p w:rsidR="008B52D1" w:rsidRPr="0082786F" w:rsidRDefault="008B52D1" w:rsidP="001227A6">
      <w:pPr>
        <w:pStyle w:val="FootnoteText"/>
        <w:rPr>
          <w:lang w:val="en-GB"/>
        </w:rPr>
      </w:pPr>
      <w:r w:rsidRPr="0082786F">
        <w:rPr>
          <w:rStyle w:val="FootnoteReference"/>
        </w:rPr>
        <w:footnoteRef/>
      </w:r>
      <w:r w:rsidRPr="0082786F">
        <w:t xml:space="preserve"> </w:t>
      </w:r>
      <w:r w:rsidRPr="0082786F">
        <w:tab/>
      </w:r>
      <w:hyperlink r:id="rId2" w:history="1">
        <w:r w:rsidRPr="008B52D1">
          <w:rPr>
            <w:rStyle w:val="Hyperlink"/>
          </w:rPr>
          <w:t>USAID, 'USAID Country Profile: Property Rights and Resource Governance: Jordan'</w:t>
        </w:r>
      </w:hyperlink>
      <w:r w:rsidRPr="0082786F">
        <w:t xml:space="preserve"> p. 32</w:t>
      </w:r>
    </w:p>
  </w:footnote>
  <w:footnote w:id="4">
    <w:p w:rsidR="008B52D1" w:rsidRPr="001F6A73" w:rsidRDefault="008B52D1" w:rsidP="00130707">
      <w:pPr>
        <w:pStyle w:val="FootnoteText"/>
        <w:rPr>
          <w:lang w:val="en-GB"/>
        </w:rPr>
      </w:pPr>
      <w:r w:rsidRPr="0082786F">
        <w:rPr>
          <w:rStyle w:val="FootnoteReference"/>
        </w:rPr>
        <w:footnoteRef/>
      </w:r>
      <w:r w:rsidRPr="0082786F">
        <w:t xml:space="preserve"> </w:t>
      </w:r>
      <w:r w:rsidRPr="0082786F">
        <w:tab/>
      </w:r>
      <w:hyperlink r:id="rId3" w:history="1">
        <w:r w:rsidRPr="008B52D1">
          <w:rPr>
            <w:rStyle w:val="Hyperlink"/>
          </w:rPr>
          <w:t xml:space="preserve">KURI Journal of the Dom Research </w:t>
        </w:r>
        <w:proofErr w:type="spellStart"/>
        <w:r w:rsidRPr="008B52D1">
          <w:rPr>
            <w:rStyle w:val="Hyperlink"/>
          </w:rPr>
          <w:t>Center</w:t>
        </w:r>
        <w:proofErr w:type="spellEnd"/>
        <w:r w:rsidRPr="008B52D1">
          <w:rPr>
            <w:rStyle w:val="Hyperlink"/>
          </w:rPr>
          <w:t xml:space="preserve"> Vol.1 No. 8 (Spring / Summer 2003) "The Current Situation of the Dom in Jordan: A DRC Update, 2003" by Allen </w:t>
        </w:r>
        <w:proofErr w:type="spellStart"/>
        <w:r w:rsidRPr="008B52D1">
          <w:rPr>
            <w:rStyle w:val="Hyperlink"/>
          </w:rPr>
          <w:t>Wiliams</w:t>
        </w:r>
        <w:proofErr w:type="spellEnd"/>
      </w:hyperlink>
      <w:r w:rsidRPr="0082786F">
        <w:t xml:space="preserve"> </w:t>
      </w:r>
    </w:p>
  </w:footnote>
  <w:footnote w:id="5">
    <w:p w:rsidR="008B52D1" w:rsidRPr="00104B97" w:rsidRDefault="008B52D1">
      <w:pPr>
        <w:pStyle w:val="FootnoteText"/>
        <w:rPr>
          <w:lang w:val="en-GB"/>
        </w:rPr>
      </w:pPr>
      <w:r>
        <w:rPr>
          <w:rStyle w:val="FootnoteReference"/>
        </w:rPr>
        <w:footnoteRef/>
      </w:r>
      <w:r>
        <w:t xml:space="preserve"> </w:t>
      </w:r>
      <w:r>
        <w:tab/>
        <w:t xml:space="preserve">UNICEF, </w:t>
      </w:r>
      <w:hyperlink r:id="rId4" w:history="1">
        <w:r w:rsidRPr="008B52D1">
          <w:rPr>
            <w:rStyle w:val="Hyperlink"/>
          </w:rPr>
          <w:t>'Syria Crisis Humanitarian Update' June 2014</w:t>
        </w:r>
      </w:hyperlink>
      <w:r>
        <w:t xml:space="preserve"> </w:t>
      </w:r>
    </w:p>
  </w:footnote>
  <w:footnote w:id="6">
    <w:p w:rsidR="008B52D1" w:rsidRPr="00BE7DAD" w:rsidRDefault="008B52D1" w:rsidP="00BE7DAD">
      <w:pPr>
        <w:pStyle w:val="FootnoteText"/>
      </w:pPr>
      <w:r>
        <w:rPr>
          <w:rStyle w:val="FootnoteReference"/>
        </w:rPr>
        <w:footnoteRef/>
      </w:r>
      <w:r>
        <w:t xml:space="preserve"> </w:t>
      </w:r>
      <w:r>
        <w:tab/>
        <w:t>World Population Review, 'Jordan' &lt;</w:t>
      </w:r>
      <w:hyperlink r:id="rId5" w:history="1">
        <w:r w:rsidRPr="00C849B7">
          <w:rPr>
            <w:rStyle w:val="Hyperlink"/>
          </w:rPr>
          <w:t>http://worldpopulationreview.com/countries/jordan-population/cities/</w:t>
        </w:r>
      </w:hyperlink>
      <w:r>
        <w:t>&gt; (accessed 10 July 2019)</w:t>
      </w:r>
    </w:p>
  </w:footnote>
  <w:footnote w:id="7">
    <w:p w:rsidR="008B52D1" w:rsidRPr="00637AB8" w:rsidRDefault="008B52D1">
      <w:pPr>
        <w:pStyle w:val="FootnoteText"/>
        <w:rPr>
          <w:lang w:val="en-GB"/>
        </w:rPr>
      </w:pPr>
      <w:r>
        <w:rPr>
          <w:rStyle w:val="FootnoteReference"/>
        </w:rPr>
        <w:footnoteRef/>
      </w:r>
      <w:r>
        <w:t xml:space="preserve"> </w:t>
      </w:r>
      <w:r>
        <w:tab/>
        <w:t xml:space="preserve"> The Jordanian e-Government Department of Statistics Statistical Online Database – Demographic Statistics - Table 1: Estimated Population of the Kingdom by Governorate and Sex &lt;</w:t>
      </w:r>
      <w:hyperlink r:id="rId6" w:history="1">
        <w:r>
          <w:rPr>
            <w:rStyle w:val="Hyperlink"/>
          </w:rPr>
          <w:t>http://jorinfo.dos.gov.jo/PXWeb2014R2/Selection.aspx?px_path=Population%20and%20Housing__Demographic%20Statistics&amp;px_tableid=Table%201.px&amp;px_language=en&amp;px_db=Population%20and%20Housing&amp;rxid=d8467649-5faf-4b4c-8c29-f629d95a188e</w:t>
        </w:r>
      </w:hyperlink>
      <w:r>
        <w:rPr>
          <w:rStyle w:val="Hyperlink"/>
        </w:rPr>
        <w:t>&gt; (accessed on 9 September 2019)</w:t>
      </w:r>
    </w:p>
  </w:footnote>
  <w:footnote w:id="8">
    <w:p w:rsidR="008B52D1" w:rsidRPr="00C144C4" w:rsidRDefault="008B52D1" w:rsidP="00B53A2B">
      <w:pPr>
        <w:pStyle w:val="FootnoteText"/>
        <w:spacing w:before="0" w:line="240" w:lineRule="auto"/>
        <w:rPr>
          <w:lang w:val="en-GB"/>
        </w:rPr>
      </w:pPr>
      <w:r w:rsidRPr="00212A6A">
        <w:rPr>
          <w:rStyle w:val="FootnoteReference"/>
        </w:rPr>
        <w:footnoteRef/>
      </w:r>
      <w:r w:rsidRPr="00212A6A">
        <w:t xml:space="preserve"> </w:t>
      </w:r>
      <w:r w:rsidRPr="00212A6A">
        <w:tab/>
      </w:r>
      <w:r>
        <w:t>Encyclopaedia Britannica, 'Jordan: History' 30 May 2019 &lt;</w:t>
      </w:r>
      <w:hyperlink r:id="rId7" w:history="1">
        <w:r w:rsidRPr="00C849B7">
          <w:rPr>
            <w:rStyle w:val="Hyperlink"/>
          </w:rPr>
          <w:t>https://www.britannica.com/place/Jordan/History</w:t>
        </w:r>
      </w:hyperlink>
      <w:r>
        <w:t>&gt; (accessed 11 July 2019)</w:t>
      </w:r>
    </w:p>
  </w:footnote>
  <w:footnote w:id="9">
    <w:p w:rsidR="008B52D1" w:rsidRPr="00637AB8" w:rsidRDefault="008B52D1">
      <w:pPr>
        <w:pStyle w:val="FootnoteText"/>
        <w:rPr>
          <w:lang w:val="en-GB"/>
        </w:rPr>
      </w:pPr>
      <w:r>
        <w:rPr>
          <w:rStyle w:val="FootnoteReference"/>
        </w:rPr>
        <w:footnoteRef/>
      </w:r>
      <w:r>
        <w:t xml:space="preserve"> </w:t>
      </w:r>
      <w:r>
        <w:tab/>
        <w:t>USAID Profile, p. 2</w:t>
      </w:r>
    </w:p>
  </w:footnote>
  <w:footnote w:id="10">
    <w:p w:rsidR="008B52D1" w:rsidRPr="00D105EF" w:rsidRDefault="008B52D1">
      <w:pPr>
        <w:pStyle w:val="FootnoteText"/>
        <w:rPr>
          <w:lang w:val="en-GB"/>
        </w:rPr>
      </w:pPr>
      <w:r>
        <w:rPr>
          <w:rStyle w:val="FootnoteReference"/>
        </w:rPr>
        <w:footnoteRef/>
      </w:r>
      <w:r>
        <w:t xml:space="preserve"> </w:t>
      </w:r>
      <w:r>
        <w:tab/>
        <w:t xml:space="preserve">Tufts University Refugees in Towns research paper - Citizens of Somewhere (A Case Study of Refugees in Towns – Amman, Jordan) dated August 2019, Introduction (p.4) </w:t>
      </w:r>
      <w:hyperlink r:id="rId8" w:history="1">
        <w:r w:rsidRPr="001334B7">
          <w:rPr>
            <w:rStyle w:val="Hyperlink"/>
          </w:rPr>
          <w:t>https://static1.squarespace.com/static/599720dc59cc68c3683049bc/t/5d52c54b18d85e0001b20f88/1565705548232/RIT+Report+Amman+Jordan.pdf</w:t>
        </w:r>
      </w:hyperlink>
      <w:r>
        <w:t xml:space="preserve"> (accessed 9 September 2019)</w:t>
      </w:r>
    </w:p>
  </w:footnote>
  <w:footnote w:id="11">
    <w:p w:rsidR="008B52D1" w:rsidRPr="00637AB8" w:rsidRDefault="008B52D1">
      <w:pPr>
        <w:pStyle w:val="FootnoteText"/>
        <w:rPr>
          <w:lang w:val="en-GB"/>
        </w:rPr>
      </w:pPr>
      <w:r>
        <w:rPr>
          <w:rStyle w:val="FootnoteReference"/>
        </w:rPr>
        <w:footnoteRef/>
      </w:r>
      <w:r>
        <w:t xml:space="preserve"> </w:t>
      </w:r>
      <w:r>
        <w:tab/>
        <w:t>UK Government, 'Foreign Travel Advice: Jordan' 27 February 2019 &lt;</w:t>
      </w:r>
      <w:hyperlink r:id="rId9" w:history="1">
        <w:r>
          <w:rPr>
            <w:rStyle w:val="Hyperlink"/>
          </w:rPr>
          <w:t>https://www.gov.uk/foreign-travel-advice/jordan</w:t>
        </w:r>
      </w:hyperlink>
      <w:r>
        <w:t>&gt; (accessed 10 July 2019)</w:t>
      </w:r>
    </w:p>
  </w:footnote>
  <w:footnote w:id="12">
    <w:p w:rsidR="008B52D1" w:rsidRPr="00511650" w:rsidRDefault="008B52D1" w:rsidP="00B53A2B">
      <w:pPr>
        <w:pStyle w:val="FootnoteText"/>
        <w:spacing w:before="0" w:line="240" w:lineRule="auto"/>
        <w:rPr>
          <w:lang w:val="en-GB"/>
        </w:rPr>
      </w:pPr>
      <w:r>
        <w:rPr>
          <w:rStyle w:val="FootnoteReference"/>
        </w:rPr>
        <w:footnoteRef/>
      </w:r>
      <w:r>
        <w:t xml:space="preserve"> </w:t>
      </w:r>
      <w:r>
        <w:tab/>
        <w:t>The Constitution of the Hashemite Kingdom of Jordan &lt;</w:t>
      </w:r>
      <w:hyperlink r:id="rId10" w:history="1">
        <w:r w:rsidRPr="00001DA7">
          <w:rPr>
            <w:rStyle w:val="Hyperlink"/>
          </w:rPr>
          <w:t>http://www.kinghussein.gov.jo/const_ch1-3.html</w:t>
        </w:r>
      </w:hyperlink>
      <w:r>
        <w:t>&gt; (accessed 11 July 2019)</w:t>
      </w:r>
    </w:p>
  </w:footnote>
  <w:footnote w:id="13">
    <w:p w:rsidR="008B52D1" w:rsidRPr="00CA66B3" w:rsidRDefault="008B52D1" w:rsidP="0009623B">
      <w:pPr>
        <w:pStyle w:val="FootnoteText"/>
        <w:tabs>
          <w:tab w:val="left" w:pos="1440"/>
          <w:tab w:val="left" w:pos="2160"/>
          <w:tab w:val="left" w:pos="2880"/>
          <w:tab w:val="left" w:pos="3600"/>
          <w:tab w:val="right" w:pos="9356"/>
        </w:tabs>
        <w:spacing w:before="0" w:line="240" w:lineRule="auto"/>
        <w:rPr>
          <w:b/>
          <w:lang w:val="en-GB"/>
        </w:rPr>
      </w:pPr>
      <w:r w:rsidRPr="00CA66B3">
        <w:rPr>
          <w:rStyle w:val="FootnoteReference"/>
        </w:rPr>
        <w:footnoteRef/>
      </w:r>
      <w:r w:rsidRPr="00CA66B3">
        <w:t xml:space="preserve"> </w:t>
      </w:r>
      <w:r w:rsidRPr="00CA66B3">
        <w:tab/>
      </w:r>
      <w:proofErr w:type="spellStart"/>
      <w:r>
        <w:t>Husam</w:t>
      </w:r>
      <w:proofErr w:type="spellEnd"/>
      <w:r>
        <w:t xml:space="preserve"> Jamil </w:t>
      </w:r>
      <w:proofErr w:type="spellStart"/>
      <w:r>
        <w:t>Madanat</w:t>
      </w:r>
      <w:proofErr w:type="spellEnd"/>
      <w:r>
        <w:t>, 'Land Tenure in Jordan' (2010) Land Tenure Journal of the Climate, Energy and Tenure Division of the Food and Agriculture Organisation of the United Nations &lt;</w:t>
      </w:r>
      <w:hyperlink r:id="rId11" w:history="1">
        <w:r w:rsidRPr="00CA23AE">
          <w:rPr>
            <w:rStyle w:val="Hyperlink"/>
          </w:rPr>
          <w:t>http://www.fao.org/tenure/resources/results/card/en/c/05b817f3-bfee-5f2c-89dd-6afbc2010a16</w:t>
        </w:r>
      </w:hyperlink>
      <w:r>
        <w:t>&gt; (accessed 12 June 2019), p.151</w:t>
      </w:r>
      <w:r w:rsidRPr="00CA66B3">
        <w:tab/>
      </w:r>
    </w:p>
  </w:footnote>
  <w:footnote w:id="14">
    <w:p w:rsidR="008B52D1" w:rsidRPr="00AD0B44" w:rsidRDefault="008B52D1" w:rsidP="0009623B">
      <w:pPr>
        <w:pStyle w:val="FootnoteText"/>
        <w:tabs>
          <w:tab w:val="left" w:pos="1440"/>
          <w:tab w:val="left" w:pos="2160"/>
          <w:tab w:val="left" w:pos="2880"/>
          <w:tab w:val="left" w:pos="3600"/>
          <w:tab w:val="left" w:pos="5985"/>
        </w:tabs>
        <w:spacing w:before="0" w:line="240" w:lineRule="auto"/>
        <w:rPr>
          <w:b/>
          <w:lang w:val="en-GB"/>
        </w:rPr>
      </w:pPr>
      <w:r w:rsidRPr="00CA66B3">
        <w:rPr>
          <w:rStyle w:val="FootnoteReference"/>
        </w:rPr>
        <w:footnoteRef/>
      </w:r>
      <w:r w:rsidRPr="00CA66B3">
        <w:t xml:space="preserve"> </w:t>
      </w:r>
      <w:r w:rsidRPr="00CA66B3">
        <w:tab/>
      </w:r>
      <w:r>
        <w:t>ibid</w:t>
      </w:r>
      <w:r>
        <w:tab/>
      </w:r>
    </w:p>
  </w:footnote>
  <w:footnote w:id="15">
    <w:p w:rsidR="008B52D1" w:rsidRPr="00BE7DAD" w:rsidRDefault="008B52D1" w:rsidP="0009623B">
      <w:pPr>
        <w:pStyle w:val="FootnoteText"/>
        <w:spacing w:before="0" w:line="240" w:lineRule="auto"/>
        <w:rPr>
          <w:lang w:val="en-GB"/>
        </w:rPr>
      </w:pPr>
      <w:r w:rsidRPr="00BE7DAD">
        <w:rPr>
          <w:rStyle w:val="FootnoteReference"/>
        </w:rPr>
        <w:footnoteRef/>
      </w:r>
      <w:r w:rsidRPr="00BE7DAD">
        <w:t xml:space="preserve"> </w:t>
      </w:r>
      <w:r w:rsidRPr="00BE7DAD">
        <w:tab/>
      </w:r>
      <w:r>
        <w:t>Housing and Land Rights Network (HLRN), 'Property Rights in Jordan' &lt;</w:t>
      </w:r>
      <w:hyperlink r:id="rId12" w:history="1">
        <w:r w:rsidRPr="00A87FD7">
          <w:rPr>
            <w:rStyle w:val="Hyperlink"/>
          </w:rPr>
          <w:t>http://www.hlrn.org/img/documents/property%20rights%20english.pdf</w:t>
        </w:r>
      </w:hyperlink>
      <w:r>
        <w:t>&gt; (accessed 6 July 2019), page 6</w:t>
      </w:r>
    </w:p>
  </w:footnote>
  <w:footnote w:id="16">
    <w:p w:rsidR="008B52D1" w:rsidRPr="00BE7DAD" w:rsidRDefault="008B52D1" w:rsidP="0009623B">
      <w:pPr>
        <w:pStyle w:val="FootnoteText"/>
        <w:spacing w:before="0" w:line="240" w:lineRule="auto"/>
        <w:rPr>
          <w:lang w:val="en-GB"/>
        </w:rPr>
      </w:pPr>
      <w:r w:rsidRPr="00BE7DAD">
        <w:rPr>
          <w:rStyle w:val="FootnoteReference"/>
        </w:rPr>
        <w:footnoteRef/>
      </w:r>
      <w:r w:rsidRPr="00BE7DAD">
        <w:t xml:space="preserve"> </w:t>
      </w:r>
      <w:r w:rsidRPr="00BE7DAD">
        <w:tab/>
        <w:t>HLRN p.6</w:t>
      </w:r>
    </w:p>
  </w:footnote>
  <w:footnote w:id="17">
    <w:p w:rsidR="008B52D1" w:rsidRPr="00BE7DAD" w:rsidRDefault="008B52D1" w:rsidP="0009623B">
      <w:pPr>
        <w:pStyle w:val="FootnoteText"/>
        <w:spacing w:before="0" w:line="240" w:lineRule="auto"/>
        <w:rPr>
          <w:lang w:val="en-GB"/>
        </w:rPr>
      </w:pPr>
      <w:r w:rsidRPr="00BE7DAD">
        <w:rPr>
          <w:rStyle w:val="FootnoteReference"/>
        </w:rPr>
        <w:footnoteRef/>
      </w:r>
      <w:r w:rsidRPr="00BE7DAD">
        <w:t xml:space="preserve"> </w:t>
      </w:r>
      <w:r w:rsidRPr="00BE7DAD">
        <w:tab/>
      </w:r>
      <w:r>
        <w:t>ibid</w:t>
      </w:r>
    </w:p>
  </w:footnote>
  <w:footnote w:id="18">
    <w:p w:rsidR="008B52D1" w:rsidRPr="00EB180B" w:rsidRDefault="008B52D1" w:rsidP="0009623B">
      <w:pPr>
        <w:pStyle w:val="FootnoteText"/>
        <w:spacing w:before="0" w:line="240" w:lineRule="auto"/>
        <w:rPr>
          <w:lang w:val="en-GB"/>
        </w:rPr>
      </w:pPr>
      <w:r w:rsidRPr="00BE7DAD">
        <w:rPr>
          <w:rStyle w:val="FootnoteReference"/>
        </w:rPr>
        <w:footnoteRef/>
      </w:r>
      <w:r w:rsidRPr="00BE7DAD">
        <w:t xml:space="preserve"> </w:t>
      </w:r>
      <w:r w:rsidRPr="00BE7DAD">
        <w:tab/>
      </w:r>
      <w:r>
        <w:t>ibid</w:t>
      </w:r>
    </w:p>
  </w:footnote>
  <w:footnote w:id="19">
    <w:p w:rsidR="008B52D1" w:rsidRPr="00B03DB1" w:rsidRDefault="008B52D1" w:rsidP="0009623B">
      <w:pPr>
        <w:pStyle w:val="FootnoteText"/>
        <w:spacing w:before="0" w:line="240" w:lineRule="auto"/>
        <w:rPr>
          <w:lang w:val="en-GB"/>
        </w:rPr>
      </w:pPr>
      <w:r>
        <w:rPr>
          <w:rStyle w:val="FootnoteReference"/>
        </w:rPr>
        <w:footnoteRef/>
      </w:r>
      <w:r>
        <w:t xml:space="preserve"> </w:t>
      </w:r>
      <w:r>
        <w:tab/>
      </w:r>
      <w:proofErr w:type="spellStart"/>
      <w:r>
        <w:t>O</w:t>
      </w:r>
      <w:r w:rsidRPr="00B03DB1">
        <w:t>dai</w:t>
      </w:r>
      <w:proofErr w:type="spellEnd"/>
      <w:r w:rsidRPr="00B03DB1">
        <w:t xml:space="preserve"> </w:t>
      </w:r>
      <w:proofErr w:type="spellStart"/>
      <w:r w:rsidRPr="00B03DB1">
        <w:t>Mismar</w:t>
      </w:r>
      <w:proofErr w:type="spellEnd"/>
      <w:r w:rsidRPr="00B03DB1">
        <w:t xml:space="preserve">, 'New Amendments to the Jordanian Landlords and Tenants Law' (Al </w:t>
      </w:r>
      <w:proofErr w:type="spellStart"/>
      <w:r w:rsidRPr="00B03DB1">
        <w:t>Tamimi</w:t>
      </w:r>
      <w:proofErr w:type="spellEnd"/>
      <w:r w:rsidRPr="00B03DB1">
        <w:t xml:space="preserve"> &amp; Co, December 2014 / January 2015) </w:t>
      </w:r>
      <w:r>
        <w:t>&lt;</w:t>
      </w:r>
      <w:hyperlink r:id="rId13" w:history="1">
        <w:r>
          <w:rPr>
            <w:rStyle w:val="Hyperlink"/>
          </w:rPr>
          <w:t>https://www.tamimi.com/law-update-articles/new-amendments-to-the-jordanian-landlord-and-tenants-law/</w:t>
        </w:r>
      </w:hyperlink>
      <w:r>
        <w:t>&gt; (accessed 12 July 2019)</w:t>
      </w:r>
    </w:p>
  </w:footnote>
  <w:footnote w:id="20">
    <w:p w:rsidR="008B52D1" w:rsidRPr="00B03DB1" w:rsidRDefault="008B52D1" w:rsidP="0009623B">
      <w:pPr>
        <w:pStyle w:val="FootnoteText"/>
        <w:spacing w:before="0" w:line="240" w:lineRule="auto"/>
        <w:rPr>
          <w:lang w:val="en-GB"/>
        </w:rPr>
      </w:pPr>
      <w:r>
        <w:rPr>
          <w:rStyle w:val="FootnoteReference"/>
        </w:rPr>
        <w:footnoteRef/>
      </w:r>
      <w:r>
        <w:t xml:space="preserve"> </w:t>
      </w:r>
      <w:r>
        <w:tab/>
        <w:t>ibid</w:t>
      </w:r>
    </w:p>
  </w:footnote>
  <w:footnote w:id="21">
    <w:p w:rsidR="008B52D1" w:rsidRPr="00191023" w:rsidRDefault="008B52D1" w:rsidP="0009623B">
      <w:pPr>
        <w:pStyle w:val="FootnoteText"/>
        <w:spacing w:before="0" w:line="240" w:lineRule="auto"/>
        <w:rPr>
          <w:b/>
          <w:lang w:val="en-GB"/>
        </w:rPr>
      </w:pPr>
      <w:r>
        <w:rPr>
          <w:rStyle w:val="FootnoteReference"/>
        </w:rPr>
        <w:footnoteRef/>
      </w:r>
      <w:r>
        <w:t xml:space="preserve"> </w:t>
      </w:r>
      <w:r>
        <w:tab/>
        <w:t xml:space="preserve">Ibid. </w:t>
      </w:r>
      <w:r>
        <w:rPr>
          <w:b/>
        </w:rPr>
        <w:t>[Note: this document references an amendment to the Landlord Tenant law in 2009 but does not disclose the number of the law. We have not found the name or number of this 2009 amendment.]</w:t>
      </w:r>
    </w:p>
  </w:footnote>
  <w:footnote w:id="22">
    <w:p w:rsidR="008B52D1" w:rsidRPr="00551164" w:rsidRDefault="008B52D1" w:rsidP="00A662A8">
      <w:pPr>
        <w:pStyle w:val="FootnoteText"/>
        <w:spacing w:before="0" w:line="240" w:lineRule="auto"/>
        <w:jc w:val="both"/>
        <w:rPr>
          <w:lang w:val="en-GB"/>
        </w:rPr>
      </w:pPr>
      <w:r>
        <w:rPr>
          <w:rStyle w:val="FootnoteReference"/>
        </w:rPr>
        <w:footnoteRef/>
      </w:r>
      <w:r>
        <w:t xml:space="preserve"> </w:t>
      </w:r>
      <w:r>
        <w:tab/>
        <w:t>Article 11 provides that "</w:t>
      </w:r>
      <w:r w:rsidRPr="00A662A8">
        <w:rPr>
          <w:i/>
        </w:rPr>
        <w:t>no property of any person shall be expropriated except for public utility and in consideration of a just compensation as shall be prescribed by law</w:t>
      </w:r>
      <w:r>
        <w:rPr>
          <w:i/>
        </w:rPr>
        <w:t>.</w:t>
      </w:r>
      <w:r w:rsidRPr="00A662A8">
        <w:t>" Article 12 provides that</w:t>
      </w:r>
      <w:r w:rsidRPr="00A662A8">
        <w:rPr>
          <w:i/>
        </w:rPr>
        <w:t xml:space="preserve"> "compulsory loans shall not be imposed and property, movable or immovable, shall not be confiscated except in accordance with the law</w:t>
      </w:r>
      <w:r>
        <w:t>".</w:t>
      </w:r>
    </w:p>
  </w:footnote>
  <w:footnote w:id="23">
    <w:p w:rsidR="008B52D1" w:rsidRPr="00EB180B" w:rsidRDefault="008B52D1" w:rsidP="00B53A2B">
      <w:pPr>
        <w:pStyle w:val="FootnoteText"/>
        <w:spacing w:before="0" w:line="240" w:lineRule="auto"/>
        <w:rPr>
          <w:lang w:val="en-GB"/>
        </w:rPr>
      </w:pPr>
      <w:r>
        <w:rPr>
          <w:rStyle w:val="FootnoteReference"/>
        </w:rPr>
        <w:footnoteRef/>
      </w:r>
      <w:r>
        <w:t xml:space="preserve"> </w:t>
      </w:r>
      <w:r>
        <w:tab/>
        <w:t>HLRN p.4</w:t>
      </w:r>
    </w:p>
  </w:footnote>
  <w:footnote w:id="24">
    <w:p w:rsidR="008B52D1" w:rsidRPr="00F05D23" w:rsidRDefault="008B52D1" w:rsidP="00B53A2B">
      <w:pPr>
        <w:pStyle w:val="FootnoteText"/>
        <w:spacing w:before="0" w:line="240" w:lineRule="auto"/>
        <w:rPr>
          <w:lang w:val="en-GB"/>
        </w:rPr>
      </w:pPr>
      <w:r>
        <w:rPr>
          <w:rStyle w:val="FootnoteReference"/>
        </w:rPr>
        <w:footnoteRef/>
      </w:r>
      <w:r>
        <w:t xml:space="preserve"> </w:t>
      </w:r>
      <w:r>
        <w:tab/>
        <w:t>Encyclopedia.com, 'Land Code of 1858' &lt;</w:t>
      </w:r>
      <w:hyperlink r:id="rId14" w:history="1">
        <w:r w:rsidRPr="00A87FD7">
          <w:rPr>
            <w:rStyle w:val="Hyperlink"/>
          </w:rPr>
          <w:t>https://www.encyclopedia.com/humanities/encyclopedias-almanacs-transcripts-and-maps/land-code-1858</w:t>
        </w:r>
      </w:hyperlink>
      <w:r>
        <w:t xml:space="preserve">&gt; (accessed 7 July 2019); </w:t>
      </w:r>
      <w:proofErr w:type="spellStart"/>
      <w:r>
        <w:t>Madanat</w:t>
      </w:r>
      <w:proofErr w:type="spellEnd"/>
      <w:r>
        <w:t xml:space="preserve"> pp.149-151</w:t>
      </w:r>
    </w:p>
  </w:footnote>
  <w:footnote w:id="25">
    <w:p w:rsidR="008B52D1" w:rsidRPr="007D48FB" w:rsidRDefault="008B52D1" w:rsidP="00B53A2B">
      <w:pPr>
        <w:pStyle w:val="FootnoteText"/>
        <w:spacing w:before="0" w:line="240" w:lineRule="auto"/>
        <w:rPr>
          <w:lang w:val="en-GB"/>
        </w:rPr>
      </w:pPr>
      <w:r>
        <w:rPr>
          <w:rStyle w:val="FootnoteReference"/>
        </w:rPr>
        <w:footnoteRef/>
      </w:r>
      <w:r>
        <w:t xml:space="preserve"> </w:t>
      </w:r>
      <w:r>
        <w:tab/>
      </w:r>
      <w:proofErr w:type="spellStart"/>
      <w:r>
        <w:t>Madanat</w:t>
      </w:r>
      <w:proofErr w:type="spellEnd"/>
      <w:r>
        <w:t xml:space="preserve"> p.148, 151-152</w:t>
      </w:r>
    </w:p>
  </w:footnote>
  <w:footnote w:id="26">
    <w:p w:rsidR="008B52D1" w:rsidRPr="001F1599" w:rsidRDefault="008B52D1" w:rsidP="00B53A2B">
      <w:pPr>
        <w:pStyle w:val="FootnoteText"/>
        <w:spacing w:before="0" w:line="240" w:lineRule="auto"/>
        <w:rPr>
          <w:lang w:val="en-GB"/>
        </w:rPr>
      </w:pPr>
      <w:r>
        <w:rPr>
          <w:rStyle w:val="FootnoteReference"/>
        </w:rPr>
        <w:footnoteRef/>
      </w:r>
      <w:r>
        <w:t xml:space="preserve"> </w:t>
      </w:r>
      <w:r>
        <w:tab/>
      </w:r>
      <w:proofErr w:type="spellStart"/>
      <w:r>
        <w:t>Madanat</w:t>
      </w:r>
      <w:proofErr w:type="spellEnd"/>
      <w:r>
        <w:t xml:space="preserve"> p.154</w:t>
      </w:r>
    </w:p>
  </w:footnote>
  <w:footnote w:id="27">
    <w:p w:rsidR="008B52D1" w:rsidRPr="002D4A1E" w:rsidRDefault="008B52D1" w:rsidP="00B53A2B">
      <w:pPr>
        <w:pStyle w:val="FootnoteText"/>
        <w:spacing w:before="0" w:line="240" w:lineRule="auto"/>
        <w:rPr>
          <w:lang w:val="en-GB"/>
        </w:rPr>
      </w:pPr>
      <w:r>
        <w:rPr>
          <w:rStyle w:val="FootnoteReference"/>
        </w:rPr>
        <w:footnoteRef/>
      </w:r>
      <w:r>
        <w:t xml:space="preserve"> </w:t>
      </w:r>
      <w:r>
        <w:tab/>
      </w:r>
      <w:proofErr w:type="spellStart"/>
      <w:r>
        <w:t>Madanat</w:t>
      </w:r>
      <w:proofErr w:type="spellEnd"/>
      <w:r>
        <w:t xml:space="preserve"> p.154-155</w:t>
      </w:r>
    </w:p>
  </w:footnote>
  <w:footnote w:id="28">
    <w:p w:rsidR="008B52D1" w:rsidRPr="002D4A1E" w:rsidRDefault="008B52D1" w:rsidP="00B53A2B">
      <w:pPr>
        <w:pStyle w:val="FootnoteText"/>
        <w:spacing w:before="0" w:line="240" w:lineRule="auto"/>
        <w:rPr>
          <w:lang w:val="en-GB"/>
        </w:rPr>
      </w:pPr>
      <w:r>
        <w:rPr>
          <w:rStyle w:val="FootnoteReference"/>
        </w:rPr>
        <w:footnoteRef/>
      </w:r>
      <w:r>
        <w:t xml:space="preserve"> </w:t>
      </w:r>
      <w:r>
        <w:tab/>
      </w:r>
      <w:proofErr w:type="spellStart"/>
      <w:r>
        <w:t>Madanat</w:t>
      </w:r>
      <w:proofErr w:type="spellEnd"/>
      <w:r>
        <w:t xml:space="preserve"> p.154-156</w:t>
      </w:r>
    </w:p>
  </w:footnote>
  <w:footnote w:id="29">
    <w:p w:rsidR="008B52D1" w:rsidRPr="002D4A1E" w:rsidRDefault="008B52D1" w:rsidP="00B53A2B">
      <w:pPr>
        <w:pStyle w:val="FootnoteText"/>
        <w:spacing w:before="0" w:line="240" w:lineRule="auto"/>
        <w:rPr>
          <w:lang w:val="en-GB"/>
        </w:rPr>
      </w:pPr>
      <w:r>
        <w:rPr>
          <w:rStyle w:val="FootnoteReference"/>
        </w:rPr>
        <w:footnoteRef/>
      </w:r>
      <w:r>
        <w:t xml:space="preserve"> </w:t>
      </w:r>
      <w:r>
        <w:tab/>
      </w:r>
      <w:proofErr w:type="spellStart"/>
      <w:r>
        <w:t>Madanat</w:t>
      </w:r>
      <w:proofErr w:type="spellEnd"/>
      <w:r>
        <w:t xml:space="preserve"> p.157-158</w:t>
      </w:r>
    </w:p>
  </w:footnote>
  <w:footnote w:id="30">
    <w:p w:rsidR="008B52D1" w:rsidRPr="00F91851" w:rsidRDefault="008B52D1">
      <w:pPr>
        <w:pStyle w:val="FootnoteText"/>
        <w:rPr>
          <w:lang w:val="en-GB"/>
        </w:rPr>
      </w:pPr>
      <w:r>
        <w:rPr>
          <w:rStyle w:val="FootnoteReference"/>
        </w:rPr>
        <w:footnoteRef/>
      </w:r>
      <w:r>
        <w:t xml:space="preserve"> </w:t>
      </w:r>
      <w:r>
        <w:tab/>
      </w:r>
      <w:hyperlink r:id="rId15" w:history="1">
        <w:r>
          <w:rPr>
            <w:rStyle w:val="Hyperlink"/>
          </w:rPr>
          <w:t>https://www.globalpropertyguide.com/Middle-East/Jordan/Buying-Guide</w:t>
        </w:r>
      </w:hyperlink>
    </w:p>
  </w:footnote>
  <w:footnote w:id="31">
    <w:p w:rsidR="008B52D1" w:rsidRDefault="008B52D1" w:rsidP="00B53A2B">
      <w:pPr>
        <w:pStyle w:val="FootnoteText"/>
        <w:spacing w:before="0" w:line="240" w:lineRule="auto"/>
      </w:pPr>
      <w:r>
        <w:rPr>
          <w:rStyle w:val="FootnoteReference"/>
        </w:rPr>
        <w:footnoteRef/>
      </w:r>
      <w:r>
        <w:t xml:space="preserve"> </w:t>
      </w:r>
      <w:r>
        <w:tab/>
      </w:r>
      <w:proofErr w:type="spellStart"/>
      <w:r>
        <w:t>Madanat</w:t>
      </w:r>
      <w:proofErr w:type="spellEnd"/>
      <w:r>
        <w:t xml:space="preserve"> p.155-156</w:t>
      </w:r>
    </w:p>
  </w:footnote>
  <w:footnote w:id="32">
    <w:p w:rsidR="008B52D1" w:rsidRPr="00716451" w:rsidRDefault="008B52D1" w:rsidP="00B53A2B">
      <w:pPr>
        <w:pStyle w:val="FootnoteText"/>
        <w:spacing w:before="0" w:line="240" w:lineRule="auto"/>
        <w:rPr>
          <w:lang w:val="en-GB"/>
        </w:rPr>
      </w:pPr>
      <w:r>
        <w:rPr>
          <w:rStyle w:val="FootnoteReference"/>
        </w:rPr>
        <w:footnoteRef/>
      </w:r>
      <w:r>
        <w:t xml:space="preserve"> </w:t>
      </w:r>
      <w:r>
        <w:tab/>
      </w:r>
      <w:proofErr w:type="spellStart"/>
      <w:r>
        <w:t>Madanat</w:t>
      </w:r>
      <w:proofErr w:type="spellEnd"/>
      <w:r>
        <w:t xml:space="preserve"> p.159; </w:t>
      </w:r>
      <w:proofErr w:type="spellStart"/>
      <w:r>
        <w:t>Badia</w:t>
      </w:r>
      <w:proofErr w:type="spellEnd"/>
      <w:r>
        <w:t xml:space="preserve"> Research Program National </w:t>
      </w:r>
      <w:proofErr w:type="spellStart"/>
      <w:r>
        <w:t>Center</w:t>
      </w:r>
      <w:proofErr w:type="spellEnd"/>
      <w:r>
        <w:t xml:space="preserve"> for Research and Development, 'Securing Rights and Restoring Range Lands for Improved Livelihoods in the </w:t>
      </w:r>
      <w:proofErr w:type="spellStart"/>
      <w:r>
        <w:t>Badia</w:t>
      </w:r>
      <w:proofErr w:type="spellEnd"/>
      <w:r>
        <w:t xml:space="preserve"> of the </w:t>
      </w:r>
      <w:proofErr w:type="spellStart"/>
      <w:r>
        <w:t>Zarqa</w:t>
      </w:r>
      <w:proofErr w:type="spellEnd"/>
      <w:r>
        <w:t xml:space="preserve"> River Basin – Jordan' November 2011 &lt;</w:t>
      </w:r>
      <w:hyperlink r:id="rId16" w:history="1">
        <w:r w:rsidRPr="0061792E">
          <w:rPr>
            <w:rStyle w:val="Hyperlink"/>
          </w:rPr>
          <w:t>https://www.iucn.org/sites/dev/files/import/downloads/baseline_study___securing_rights_and_restoring_land_for_improved_livlihoohs.pdf</w:t>
        </w:r>
      </w:hyperlink>
      <w:r>
        <w:t>&gt; (accessed 8 July 2019) Section 3.2</w:t>
      </w:r>
    </w:p>
  </w:footnote>
  <w:footnote w:id="33">
    <w:p w:rsidR="008B52D1" w:rsidRPr="00716451" w:rsidRDefault="008B52D1" w:rsidP="00B53A2B">
      <w:pPr>
        <w:pStyle w:val="FootnoteText"/>
        <w:spacing w:before="0" w:line="240" w:lineRule="auto"/>
        <w:rPr>
          <w:lang w:val="en-GB"/>
        </w:rPr>
      </w:pPr>
      <w:r>
        <w:rPr>
          <w:rStyle w:val="FootnoteReference"/>
        </w:rPr>
        <w:footnoteRef/>
      </w:r>
      <w:r>
        <w:t xml:space="preserve"> </w:t>
      </w:r>
      <w:r>
        <w:tab/>
      </w:r>
      <w:proofErr w:type="spellStart"/>
      <w:r>
        <w:t>Madanat</w:t>
      </w:r>
      <w:proofErr w:type="spellEnd"/>
      <w:r>
        <w:t xml:space="preserve"> p.159; </w:t>
      </w:r>
      <w:proofErr w:type="spellStart"/>
      <w:r>
        <w:t>Badia</w:t>
      </w:r>
      <w:proofErr w:type="spellEnd"/>
      <w:r>
        <w:t xml:space="preserve"> Research Program Section 3.2</w:t>
      </w:r>
    </w:p>
  </w:footnote>
  <w:footnote w:id="34">
    <w:p w:rsidR="008B52D1" w:rsidRPr="00821C39" w:rsidRDefault="008B52D1" w:rsidP="0009623B">
      <w:pPr>
        <w:pStyle w:val="FootnoteText"/>
        <w:spacing w:before="0" w:line="240" w:lineRule="auto"/>
        <w:rPr>
          <w:lang w:val="en-GB"/>
        </w:rPr>
      </w:pPr>
      <w:r>
        <w:rPr>
          <w:rStyle w:val="FootnoteReference"/>
        </w:rPr>
        <w:footnoteRef/>
      </w:r>
      <w:r>
        <w:t xml:space="preserve"> </w:t>
      </w:r>
      <w:r>
        <w:tab/>
        <w:t>Law No. 32 of 1965 (Management of State Property Law) defines "</w:t>
      </w:r>
      <w:r w:rsidRPr="009724D8">
        <w:rPr>
          <w:i/>
        </w:rPr>
        <w:t>state property</w:t>
      </w:r>
      <w:r>
        <w:t>" as immovable property possessed (</w:t>
      </w:r>
      <w:proofErr w:type="spellStart"/>
      <w:r w:rsidRPr="009724D8">
        <w:rPr>
          <w:i/>
        </w:rPr>
        <w:t>tatasarrafa</w:t>
      </w:r>
      <w:proofErr w:type="spellEnd"/>
      <w:r w:rsidRPr="009724D8">
        <w:rPr>
          <w:i/>
        </w:rPr>
        <w:t>-ha</w:t>
      </w:r>
      <w:r>
        <w:t>) or owned (</w:t>
      </w:r>
      <w:proofErr w:type="spellStart"/>
      <w:r w:rsidRPr="009724D8">
        <w:rPr>
          <w:i/>
        </w:rPr>
        <w:t>tamliku</w:t>
      </w:r>
      <w:proofErr w:type="spellEnd"/>
      <w:r w:rsidRPr="009724D8">
        <w:rPr>
          <w:i/>
        </w:rPr>
        <w:t>-ha</w:t>
      </w:r>
      <w:r>
        <w:t xml:space="preserve">) by the State and recognises a category of immovable property which is possessed but not owned by the State. Prior to vivification of the land, the state only has bare control of the waste land pursuant to the 1921 </w:t>
      </w:r>
      <w:proofErr w:type="spellStart"/>
      <w:r>
        <w:t>Mewat</w:t>
      </w:r>
      <w:proofErr w:type="spellEnd"/>
      <w:r>
        <w:t xml:space="preserve"> Land Ordinance </w:t>
      </w:r>
      <w:proofErr w:type="gramStart"/>
      <w:r>
        <w:t>and  Law</w:t>
      </w:r>
      <w:proofErr w:type="gramEnd"/>
      <w:r>
        <w:t xml:space="preserve"> No. 14 of 1961 (Preservation of State Lands and Properties Law). See </w:t>
      </w:r>
      <w:proofErr w:type="spellStart"/>
      <w:r>
        <w:t>Ya'akov</w:t>
      </w:r>
      <w:proofErr w:type="spellEnd"/>
      <w:r>
        <w:t xml:space="preserve"> </w:t>
      </w:r>
      <w:proofErr w:type="spellStart"/>
      <w:r>
        <w:t>Meron</w:t>
      </w:r>
      <w:proofErr w:type="spellEnd"/>
      <w:r>
        <w:t>, 'Waste Land (</w:t>
      </w:r>
      <w:proofErr w:type="spellStart"/>
      <w:r>
        <w:t>Mewat</w:t>
      </w:r>
      <w:proofErr w:type="spellEnd"/>
      <w:r>
        <w:t>) in Judea and Samaria' 4 Boston College International and Comparative Law Review 1 (1981), p.31 &lt;</w:t>
      </w:r>
      <w:hyperlink r:id="rId17" w:history="1">
        <w:r w:rsidRPr="00A87FD7">
          <w:rPr>
            <w:rStyle w:val="Hyperlink"/>
          </w:rPr>
          <w:t>https://pdfs.semanticscholar.org/f5db/fbeef4aeeb8cda3ceefe5f40f5dd571856dd.pdf</w:t>
        </w:r>
      </w:hyperlink>
      <w:r>
        <w:t>&gt;</w:t>
      </w:r>
    </w:p>
  </w:footnote>
  <w:footnote w:id="35">
    <w:p w:rsidR="008B52D1" w:rsidRPr="00370DEA" w:rsidRDefault="008B52D1" w:rsidP="0009623B">
      <w:pPr>
        <w:pStyle w:val="FootnoteText"/>
        <w:spacing w:before="0" w:line="240" w:lineRule="auto"/>
        <w:rPr>
          <w:lang w:val="en-GB"/>
        </w:rPr>
      </w:pPr>
      <w:r>
        <w:rPr>
          <w:rStyle w:val="FootnoteReference"/>
        </w:rPr>
        <w:footnoteRef/>
      </w:r>
      <w:r>
        <w:t xml:space="preserve"> </w:t>
      </w:r>
      <w:r>
        <w:tab/>
        <w:t xml:space="preserve">Law No. 40 of </w:t>
      </w:r>
      <w:proofErr w:type="gramStart"/>
      <w:r>
        <w:t>1952  (</w:t>
      </w:r>
      <w:proofErr w:type="gramEnd"/>
      <w:r>
        <w:t xml:space="preserve">Lands and Water Settlement Law), s.15; </w:t>
      </w:r>
      <w:proofErr w:type="spellStart"/>
      <w:r>
        <w:t>Meron</w:t>
      </w:r>
      <w:proofErr w:type="spellEnd"/>
      <w:r>
        <w:t xml:space="preserve"> pp.30-31</w:t>
      </w:r>
    </w:p>
  </w:footnote>
  <w:footnote w:id="36">
    <w:p w:rsidR="008B52D1" w:rsidRPr="00B03DB1" w:rsidRDefault="008B52D1" w:rsidP="0009623B">
      <w:pPr>
        <w:pStyle w:val="FootnoteText"/>
        <w:spacing w:before="0" w:line="240" w:lineRule="auto"/>
        <w:rPr>
          <w:lang w:val="en-GB"/>
        </w:rPr>
      </w:pPr>
      <w:r>
        <w:rPr>
          <w:rStyle w:val="FootnoteReference"/>
        </w:rPr>
        <w:footnoteRef/>
      </w:r>
      <w:r>
        <w:t xml:space="preserve"> </w:t>
      </w:r>
      <w:r>
        <w:tab/>
      </w:r>
      <w:proofErr w:type="spellStart"/>
      <w:r>
        <w:t>O</w:t>
      </w:r>
      <w:r w:rsidRPr="00B03DB1">
        <w:t>dai</w:t>
      </w:r>
      <w:proofErr w:type="spellEnd"/>
      <w:r w:rsidRPr="00B03DB1">
        <w:t xml:space="preserve"> </w:t>
      </w:r>
      <w:proofErr w:type="spellStart"/>
      <w:r w:rsidRPr="00B03DB1">
        <w:t>Mismar</w:t>
      </w:r>
      <w:proofErr w:type="spellEnd"/>
      <w:r w:rsidRPr="00B03DB1">
        <w:t xml:space="preserve">, 'New Amendments to the Jordanian Landlords and Tenants Law' (Al </w:t>
      </w:r>
      <w:proofErr w:type="spellStart"/>
      <w:r w:rsidRPr="00B03DB1">
        <w:t>Tamimi</w:t>
      </w:r>
      <w:proofErr w:type="spellEnd"/>
      <w:r w:rsidRPr="00B03DB1">
        <w:t xml:space="preserve"> &amp; Co, December 2014 / January 2015) </w:t>
      </w:r>
      <w:r>
        <w:t>(accessed 12 July 2019)</w:t>
      </w:r>
    </w:p>
  </w:footnote>
  <w:footnote w:id="37">
    <w:p w:rsidR="008B52D1" w:rsidRPr="00B03DB1" w:rsidRDefault="008B52D1" w:rsidP="0009623B">
      <w:pPr>
        <w:pStyle w:val="FootnoteText"/>
        <w:spacing w:before="0" w:line="240" w:lineRule="auto"/>
        <w:rPr>
          <w:lang w:val="en-GB"/>
        </w:rPr>
      </w:pPr>
      <w:r>
        <w:rPr>
          <w:rStyle w:val="FootnoteReference"/>
        </w:rPr>
        <w:footnoteRef/>
      </w:r>
      <w:r>
        <w:t xml:space="preserve"> </w:t>
      </w:r>
      <w:r>
        <w:tab/>
        <w:t>ibid</w:t>
      </w:r>
    </w:p>
  </w:footnote>
  <w:footnote w:id="38">
    <w:p w:rsidR="008B52D1" w:rsidRPr="00191023" w:rsidRDefault="008B52D1" w:rsidP="0009623B">
      <w:pPr>
        <w:pStyle w:val="FootnoteText"/>
        <w:spacing w:before="0" w:line="240" w:lineRule="auto"/>
        <w:rPr>
          <w:b/>
          <w:lang w:val="en-GB"/>
        </w:rPr>
      </w:pPr>
      <w:r>
        <w:rPr>
          <w:rStyle w:val="FootnoteReference"/>
        </w:rPr>
        <w:footnoteRef/>
      </w:r>
      <w:r>
        <w:t xml:space="preserve"> </w:t>
      </w:r>
      <w:r>
        <w:tab/>
        <w:t xml:space="preserve">Ibid. </w:t>
      </w:r>
      <w:r>
        <w:rPr>
          <w:b/>
        </w:rPr>
        <w:t>[Note: this document references an amendment to the Landlord Tenant law in 2009 but does not disclose the number of the law. We have not found the name or number of this 2009 amendment.]</w:t>
      </w:r>
    </w:p>
  </w:footnote>
  <w:footnote w:id="39">
    <w:p w:rsidR="008B52D1" w:rsidRPr="000C68C5" w:rsidRDefault="008B52D1" w:rsidP="0009623B">
      <w:pPr>
        <w:pStyle w:val="FootnoteText"/>
        <w:spacing w:before="0" w:line="240" w:lineRule="auto"/>
        <w:rPr>
          <w:lang w:val="en-GB"/>
        </w:rPr>
      </w:pPr>
      <w:r>
        <w:rPr>
          <w:rStyle w:val="FootnoteReference"/>
        </w:rPr>
        <w:footnoteRef/>
      </w:r>
      <w:r>
        <w:t xml:space="preserve"> </w:t>
      </w:r>
      <w:r>
        <w:tab/>
        <w:t xml:space="preserve">Bashar H </w:t>
      </w:r>
      <w:proofErr w:type="spellStart"/>
      <w:r>
        <w:t>Malkawi</w:t>
      </w:r>
      <w:proofErr w:type="spellEnd"/>
      <w:r>
        <w:t>, '</w:t>
      </w:r>
      <w:r w:rsidRPr="00871F40">
        <w:t>Regulating Tenancy Relationships in Jordan: Pro-La</w:t>
      </w:r>
      <w:r>
        <w:t>ndlord, Neutral, and Pro-Tenant' (2011) 25 ARAB LQ 1, pp.2-4 &lt;</w:t>
      </w:r>
      <w:hyperlink r:id="rId18" w:anchor="page_scan_tab_contents" w:history="1">
        <w:r w:rsidRPr="00A8712E">
          <w:rPr>
            <w:rStyle w:val="Hyperlink"/>
          </w:rPr>
          <w:t>https://www.jstor.org/stable/23025221?seq=1#page_scan_tab_contents</w:t>
        </w:r>
      </w:hyperlink>
      <w:r>
        <w:t>&gt;</w:t>
      </w:r>
    </w:p>
  </w:footnote>
  <w:footnote w:id="40">
    <w:p w:rsidR="008B52D1" w:rsidRPr="000C68C5" w:rsidRDefault="008B52D1" w:rsidP="0009623B">
      <w:pPr>
        <w:pStyle w:val="FootnoteText"/>
        <w:spacing w:before="0" w:line="240" w:lineRule="auto"/>
        <w:rPr>
          <w:lang w:val="en-GB"/>
        </w:rPr>
      </w:pPr>
      <w:r>
        <w:rPr>
          <w:rStyle w:val="FootnoteReference"/>
        </w:rPr>
        <w:footnoteRef/>
      </w:r>
      <w:r>
        <w:t xml:space="preserve"> </w:t>
      </w:r>
      <w:r>
        <w:tab/>
        <w:t>The Landlord-Tenant Law includes a list of exemptions including furnished premises, but the Court of Cassation has ruled that furnished premises are subject to the legislation (Court of Cassation, Case No.28/77, Jordan Bar Assoc. J., 761 (1977))</w:t>
      </w:r>
    </w:p>
  </w:footnote>
  <w:footnote w:id="41">
    <w:p w:rsidR="008B52D1" w:rsidRPr="000C68C5" w:rsidRDefault="008B52D1" w:rsidP="00B53A2B">
      <w:pPr>
        <w:pStyle w:val="FootnoteText"/>
        <w:spacing w:before="0" w:line="240" w:lineRule="auto"/>
        <w:rPr>
          <w:lang w:val="en-GB"/>
        </w:rPr>
      </w:pPr>
      <w:r>
        <w:rPr>
          <w:rStyle w:val="FootnoteReference"/>
        </w:rPr>
        <w:footnoteRef/>
      </w:r>
      <w:r>
        <w:t xml:space="preserve"> </w:t>
      </w:r>
      <w:r>
        <w:tab/>
      </w:r>
      <w:proofErr w:type="spellStart"/>
      <w:r>
        <w:t>Malkawi</w:t>
      </w:r>
      <w:proofErr w:type="spellEnd"/>
      <w:r>
        <w:t xml:space="preserve"> pp.4-5</w:t>
      </w:r>
    </w:p>
  </w:footnote>
  <w:footnote w:id="42">
    <w:p w:rsidR="008B52D1" w:rsidRPr="00CD47B0" w:rsidRDefault="008B52D1" w:rsidP="00623F28">
      <w:pPr>
        <w:pStyle w:val="FootnoteText"/>
        <w:rPr>
          <w:lang w:val="en-GB"/>
        </w:rPr>
      </w:pPr>
      <w:r>
        <w:rPr>
          <w:rStyle w:val="FootnoteReference"/>
        </w:rPr>
        <w:footnoteRef/>
      </w:r>
      <w:r>
        <w:t xml:space="preserve"> </w:t>
      </w:r>
      <w:r>
        <w:tab/>
        <w:t xml:space="preserve">Civil Code Article 669-671; Landlord-Tenant Law No. 30 of 2000 Article 5b; </w:t>
      </w:r>
      <w:proofErr w:type="spellStart"/>
      <w:r>
        <w:t>Malkawi</w:t>
      </w:r>
      <w:proofErr w:type="spellEnd"/>
      <w:r>
        <w:t xml:space="preserve"> p.5</w:t>
      </w:r>
    </w:p>
  </w:footnote>
  <w:footnote w:id="43">
    <w:p w:rsidR="008B52D1" w:rsidRPr="008F3063" w:rsidRDefault="008B52D1" w:rsidP="00B53A2B">
      <w:pPr>
        <w:pStyle w:val="FootnoteText"/>
        <w:rPr>
          <w:lang w:val="en-GB"/>
        </w:rPr>
      </w:pPr>
      <w:r>
        <w:rPr>
          <w:rStyle w:val="FootnoteReference"/>
        </w:rPr>
        <w:footnoteRef/>
      </w:r>
      <w:r>
        <w:t xml:space="preserve"> </w:t>
      </w:r>
      <w:r>
        <w:tab/>
        <w:t xml:space="preserve">Civil Code Article 671; </w:t>
      </w:r>
      <w:proofErr w:type="spellStart"/>
      <w:r>
        <w:t>Malkawi</w:t>
      </w:r>
      <w:proofErr w:type="spellEnd"/>
      <w:r>
        <w:t xml:space="preserve"> p.5</w:t>
      </w:r>
    </w:p>
  </w:footnote>
  <w:footnote w:id="44">
    <w:p w:rsidR="008B52D1" w:rsidRPr="008F3063" w:rsidRDefault="008B52D1" w:rsidP="00B53A2B">
      <w:pPr>
        <w:pStyle w:val="FootnoteText"/>
        <w:spacing w:before="0" w:line="240" w:lineRule="auto"/>
        <w:rPr>
          <w:lang w:val="en-GB"/>
        </w:rPr>
      </w:pPr>
      <w:r>
        <w:rPr>
          <w:rStyle w:val="FootnoteReference"/>
        </w:rPr>
        <w:footnoteRef/>
      </w:r>
      <w:r>
        <w:t xml:space="preserve"> </w:t>
      </w:r>
      <w:r>
        <w:tab/>
        <w:t xml:space="preserve">Civil Code Article 671; </w:t>
      </w:r>
      <w:proofErr w:type="spellStart"/>
      <w:r>
        <w:t>Malkawi</w:t>
      </w:r>
      <w:proofErr w:type="spellEnd"/>
      <w:r>
        <w:t xml:space="preserve"> p.5</w:t>
      </w:r>
    </w:p>
  </w:footnote>
  <w:footnote w:id="45">
    <w:p w:rsidR="008B52D1" w:rsidRPr="008F3063" w:rsidRDefault="008B52D1" w:rsidP="00B53A2B">
      <w:pPr>
        <w:pStyle w:val="FootnoteText"/>
        <w:spacing w:before="0" w:line="240" w:lineRule="auto"/>
        <w:rPr>
          <w:lang w:val="en-GB"/>
        </w:rPr>
      </w:pPr>
      <w:r>
        <w:rPr>
          <w:rStyle w:val="FootnoteReference"/>
        </w:rPr>
        <w:footnoteRef/>
      </w:r>
      <w:r>
        <w:t xml:space="preserve"> </w:t>
      </w:r>
      <w:r>
        <w:tab/>
        <w:t xml:space="preserve">Civil Code Article 677; </w:t>
      </w:r>
      <w:proofErr w:type="spellStart"/>
      <w:r>
        <w:t>Malkawi</w:t>
      </w:r>
      <w:proofErr w:type="spellEnd"/>
      <w:r>
        <w:t xml:space="preserve"> p.6</w:t>
      </w:r>
    </w:p>
  </w:footnote>
  <w:footnote w:id="46">
    <w:p w:rsidR="008B52D1" w:rsidRPr="008F3063" w:rsidRDefault="008B52D1" w:rsidP="00B53A2B">
      <w:pPr>
        <w:pStyle w:val="FootnoteText"/>
        <w:spacing w:before="0" w:line="240" w:lineRule="auto"/>
        <w:rPr>
          <w:lang w:val="en-GB"/>
        </w:rPr>
      </w:pPr>
      <w:r>
        <w:rPr>
          <w:rStyle w:val="FootnoteReference"/>
        </w:rPr>
        <w:footnoteRef/>
      </w:r>
      <w:r>
        <w:t xml:space="preserve"> </w:t>
      </w:r>
      <w:r>
        <w:tab/>
        <w:t xml:space="preserve">Civil Code Article 684; </w:t>
      </w:r>
      <w:proofErr w:type="spellStart"/>
      <w:r>
        <w:t>Malkawi</w:t>
      </w:r>
      <w:proofErr w:type="spellEnd"/>
      <w:r>
        <w:t xml:space="preserve"> p.7</w:t>
      </w:r>
    </w:p>
  </w:footnote>
  <w:footnote w:id="47">
    <w:p w:rsidR="008B52D1" w:rsidRPr="008F3063" w:rsidRDefault="008B52D1" w:rsidP="00B53A2B">
      <w:pPr>
        <w:pStyle w:val="FootnoteText"/>
        <w:spacing w:before="0" w:line="240" w:lineRule="auto"/>
        <w:rPr>
          <w:lang w:val="en-GB"/>
        </w:rPr>
      </w:pPr>
      <w:r>
        <w:rPr>
          <w:rStyle w:val="FootnoteReference"/>
        </w:rPr>
        <w:footnoteRef/>
      </w:r>
      <w:r>
        <w:t xml:space="preserve"> </w:t>
      </w:r>
      <w:r>
        <w:tab/>
        <w:t xml:space="preserve">Civil Code Article 667; </w:t>
      </w:r>
      <w:proofErr w:type="spellStart"/>
      <w:r>
        <w:t>Malkawi</w:t>
      </w:r>
      <w:proofErr w:type="spellEnd"/>
      <w:r>
        <w:t xml:space="preserve"> p.9</w:t>
      </w:r>
    </w:p>
  </w:footnote>
  <w:footnote w:id="48">
    <w:p w:rsidR="008B52D1" w:rsidRPr="008F3063" w:rsidRDefault="008B52D1" w:rsidP="00B53A2B">
      <w:pPr>
        <w:pStyle w:val="FootnoteText"/>
        <w:spacing w:before="0" w:line="240" w:lineRule="auto"/>
        <w:rPr>
          <w:lang w:val="en-GB"/>
        </w:rPr>
      </w:pPr>
      <w:r>
        <w:rPr>
          <w:rStyle w:val="FootnoteReference"/>
        </w:rPr>
        <w:footnoteRef/>
      </w:r>
      <w:r>
        <w:t xml:space="preserve"> </w:t>
      </w:r>
      <w:r>
        <w:tab/>
        <w:t xml:space="preserve">Civil Code Articles 663 and 666; </w:t>
      </w:r>
      <w:proofErr w:type="spellStart"/>
      <w:r>
        <w:t>Malkawi</w:t>
      </w:r>
      <w:proofErr w:type="spellEnd"/>
      <w:r>
        <w:t xml:space="preserve"> pp.9-10</w:t>
      </w:r>
    </w:p>
  </w:footnote>
  <w:footnote w:id="49">
    <w:p w:rsidR="008B52D1" w:rsidRPr="008F3063" w:rsidRDefault="008B52D1" w:rsidP="00B53A2B">
      <w:pPr>
        <w:pStyle w:val="FootnoteText"/>
        <w:spacing w:before="0" w:line="240" w:lineRule="auto"/>
        <w:rPr>
          <w:lang w:val="en-GB"/>
        </w:rPr>
      </w:pPr>
      <w:r>
        <w:rPr>
          <w:rStyle w:val="FootnoteReference"/>
        </w:rPr>
        <w:footnoteRef/>
      </w:r>
      <w:r>
        <w:t xml:space="preserve"> </w:t>
      </w:r>
      <w:r>
        <w:tab/>
        <w:t xml:space="preserve">Civil Code Article 692; </w:t>
      </w:r>
      <w:proofErr w:type="spellStart"/>
      <w:r>
        <w:t>Malkawi</w:t>
      </w:r>
      <w:proofErr w:type="spellEnd"/>
      <w:r>
        <w:t xml:space="preserve"> p.11. For example, a landlord can repair things damaged from ordinary use (e.g. broken plumbing) and hold the tenant liable for damages.</w:t>
      </w:r>
    </w:p>
  </w:footnote>
  <w:footnote w:id="50">
    <w:p w:rsidR="008B52D1" w:rsidRPr="008F3063" w:rsidRDefault="008B52D1" w:rsidP="00B53A2B">
      <w:pPr>
        <w:pStyle w:val="FootnoteText"/>
        <w:spacing w:before="0" w:line="240" w:lineRule="auto"/>
        <w:rPr>
          <w:lang w:val="en-GB"/>
        </w:rPr>
      </w:pPr>
      <w:r>
        <w:rPr>
          <w:rStyle w:val="FootnoteReference"/>
        </w:rPr>
        <w:footnoteRef/>
      </w:r>
      <w:r>
        <w:t xml:space="preserve"> </w:t>
      </w:r>
      <w:r>
        <w:tab/>
        <w:t xml:space="preserve">Civil Code Article 702; </w:t>
      </w:r>
      <w:proofErr w:type="spellStart"/>
      <w:r>
        <w:t>Malkawi</w:t>
      </w:r>
      <w:proofErr w:type="spellEnd"/>
      <w:r>
        <w:t xml:space="preserve"> p.12-13</w:t>
      </w:r>
    </w:p>
  </w:footnote>
  <w:footnote w:id="51">
    <w:p w:rsidR="008B52D1" w:rsidRPr="006B4477" w:rsidRDefault="008B52D1" w:rsidP="00B53A2B">
      <w:pPr>
        <w:pStyle w:val="FootnoteText"/>
        <w:spacing w:before="0" w:line="240" w:lineRule="auto"/>
        <w:rPr>
          <w:lang w:val="en-GB"/>
        </w:rPr>
      </w:pPr>
      <w:r>
        <w:rPr>
          <w:rStyle w:val="FootnoteReference"/>
        </w:rPr>
        <w:footnoteRef/>
      </w:r>
      <w:r>
        <w:t xml:space="preserve"> </w:t>
      </w:r>
      <w:r>
        <w:tab/>
        <w:t xml:space="preserve">Civil Code Article 703; Landlord-Tenant Law Article 5.c(3); </w:t>
      </w:r>
      <w:proofErr w:type="spellStart"/>
      <w:r>
        <w:t>Malkawi</w:t>
      </w:r>
      <w:proofErr w:type="spellEnd"/>
      <w:r>
        <w:t xml:space="preserve"> p.12-13 </w:t>
      </w:r>
    </w:p>
  </w:footnote>
  <w:footnote w:id="52">
    <w:p w:rsidR="008B52D1" w:rsidRPr="00EB180B" w:rsidRDefault="008B52D1" w:rsidP="00B53A2B">
      <w:pPr>
        <w:pStyle w:val="FootnoteText"/>
        <w:spacing w:before="0" w:line="240" w:lineRule="auto"/>
        <w:rPr>
          <w:lang w:val="en-GB"/>
        </w:rPr>
      </w:pPr>
      <w:r>
        <w:rPr>
          <w:rStyle w:val="FootnoteReference"/>
        </w:rPr>
        <w:footnoteRef/>
      </w:r>
      <w:r>
        <w:t xml:space="preserve"> </w:t>
      </w:r>
      <w:r>
        <w:tab/>
        <w:t>HLRN pp.4 and 16</w:t>
      </w:r>
    </w:p>
  </w:footnote>
  <w:footnote w:id="53">
    <w:p w:rsidR="008B52D1" w:rsidRDefault="008B52D1" w:rsidP="00B53A2B">
      <w:pPr>
        <w:pStyle w:val="FootnoteText"/>
        <w:spacing w:before="0" w:line="240" w:lineRule="auto"/>
      </w:pPr>
      <w:r>
        <w:rPr>
          <w:rStyle w:val="FootnoteReference"/>
        </w:rPr>
        <w:footnoteRef/>
      </w:r>
      <w:r>
        <w:t xml:space="preserve"> </w:t>
      </w:r>
      <w:r>
        <w:tab/>
      </w:r>
      <w:proofErr w:type="spellStart"/>
      <w:r>
        <w:t>Madanat</w:t>
      </w:r>
      <w:proofErr w:type="spellEnd"/>
      <w:r>
        <w:t xml:space="preserve"> p.154-155 and 158</w:t>
      </w:r>
    </w:p>
  </w:footnote>
  <w:footnote w:id="54">
    <w:p w:rsidR="008B52D1" w:rsidRDefault="008B52D1" w:rsidP="00B53A2B">
      <w:pPr>
        <w:pStyle w:val="FootnoteText"/>
        <w:spacing w:before="0" w:line="240" w:lineRule="auto"/>
      </w:pPr>
      <w:r>
        <w:rPr>
          <w:rStyle w:val="FootnoteReference"/>
        </w:rPr>
        <w:footnoteRef/>
      </w:r>
      <w:r>
        <w:t xml:space="preserve"> </w:t>
      </w:r>
      <w:r>
        <w:tab/>
      </w:r>
      <w:proofErr w:type="spellStart"/>
      <w:r>
        <w:t>Madanat</w:t>
      </w:r>
      <w:proofErr w:type="spellEnd"/>
      <w:r>
        <w:t xml:space="preserve"> p.154-155</w:t>
      </w:r>
    </w:p>
  </w:footnote>
  <w:footnote w:id="55">
    <w:p w:rsidR="008B52D1" w:rsidRPr="00BE0297" w:rsidRDefault="008B52D1" w:rsidP="00B53A2B">
      <w:pPr>
        <w:pStyle w:val="FootnoteText"/>
        <w:spacing w:before="0" w:line="240" w:lineRule="auto"/>
        <w:rPr>
          <w:lang w:val="en-GB"/>
        </w:rPr>
      </w:pPr>
      <w:r>
        <w:rPr>
          <w:rStyle w:val="FootnoteReference"/>
        </w:rPr>
        <w:footnoteRef/>
      </w:r>
      <w:r>
        <w:t xml:space="preserve"> </w:t>
      </w:r>
      <w:r>
        <w:tab/>
      </w:r>
      <w:r w:rsidRPr="00975DC9">
        <w:t xml:space="preserve">Mohammad Ghazal, '25,000 Property Owners in </w:t>
      </w:r>
      <w:proofErr w:type="spellStart"/>
      <w:r w:rsidRPr="00975DC9">
        <w:t>Jubeiha</w:t>
      </w:r>
      <w:proofErr w:type="spellEnd"/>
      <w:r w:rsidRPr="00975DC9">
        <w:t xml:space="preserve"> Face Loss of Ownership after Ruling' The Jordan Times (Amman, 28 December 2015) &lt;http://jordantimes.com/news/local/25000-property-owners-jubeiha-face-loss-ownership-after-ruling%E2%80%99&gt; (accessed 11 July 2019)</w:t>
      </w:r>
    </w:p>
  </w:footnote>
  <w:footnote w:id="56">
    <w:p w:rsidR="008B52D1" w:rsidRPr="002727AD" w:rsidRDefault="008B52D1">
      <w:pPr>
        <w:pStyle w:val="FootnoteText"/>
        <w:rPr>
          <w:lang w:val="en-GB"/>
        </w:rPr>
      </w:pPr>
      <w:r>
        <w:rPr>
          <w:rStyle w:val="FootnoteReference"/>
        </w:rPr>
        <w:footnoteRef/>
      </w:r>
      <w:r>
        <w:t xml:space="preserve"> </w:t>
      </w:r>
      <w:r>
        <w:tab/>
        <w:t>Civil Code Articles 709.2</w:t>
      </w:r>
    </w:p>
  </w:footnote>
  <w:footnote w:id="57">
    <w:p w:rsidR="008B52D1" w:rsidRPr="006A2A47" w:rsidRDefault="008B52D1" w:rsidP="00B53A2B">
      <w:pPr>
        <w:pStyle w:val="FootnoteText"/>
        <w:rPr>
          <w:lang w:val="en-GB"/>
        </w:rPr>
      </w:pPr>
      <w:r>
        <w:rPr>
          <w:rStyle w:val="FootnoteReference"/>
        </w:rPr>
        <w:footnoteRef/>
      </w:r>
      <w:r>
        <w:t xml:space="preserve"> </w:t>
      </w:r>
      <w:r>
        <w:tab/>
        <w:t>Civil Code Articles 707.1, 709.1-709.2 and 710.2</w:t>
      </w:r>
    </w:p>
  </w:footnote>
  <w:footnote w:id="58">
    <w:p w:rsidR="008B52D1" w:rsidRPr="00456461" w:rsidRDefault="008B52D1" w:rsidP="00B53A2B">
      <w:pPr>
        <w:pStyle w:val="FootnoteText"/>
      </w:pPr>
      <w:r>
        <w:rPr>
          <w:rStyle w:val="FootnoteReference"/>
        </w:rPr>
        <w:footnoteRef/>
      </w:r>
      <w:r>
        <w:t xml:space="preserve"> </w:t>
      </w:r>
      <w:r>
        <w:tab/>
      </w:r>
      <w:proofErr w:type="spellStart"/>
      <w:r>
        <w:t>Malkawi</w:t>
      </w:r>
      <w:proofErr w:type="spellEnd"/>
      <w:r>
        <w:t xml:space="preserve"> pp.18-19; Landlord-Tenant Law Articles 5.c(</w:t>
      </w:r>
      <w:proofErr w:type="gramStart"/>
      <w:r>
        <w:t>3)-(</w:t>
      </w:r>
      <w:proofErr w:type="gramEnd"/>
      <w:r>
        <w:t>8) and 6</w:t>
      </w:r>
    </w:p>
  </w:footnote>
  <w:footnote w:id="59">
    <w:p w:rsidR="008B52D1" w:rsidRDefault="008B52D1" w:rsidP="00B53A2B">
      <w:pPr>
        <w:pStyle w:val="FootnoteText"/>
      </w:pPr>
      <w:r>
        <w:rPr>
          <w:rStyle w:val="FootnoteReference"/>
        </w:rPr>
        <w:footnoteRef/>
      </w:r>
      <w:r>
        <w:t xml:space="preserve"> </w:t>
      </w:r>
      <w:r>
        <w:tab/>
        <w:t xml:space="preserve">Teale </w:t>
      </w:r>
      <w:proofErr w:type="spellStart"/>
      <w:r>
        <w:t>Toweill</w:t>
      </w:r>
      <w:proofErr w:type="spellEnd"/>
      <w:r>
        <w:t>, Hannah Simpson and Ahmad Amara, 'The Jordan Landlords and Tenants Law: The Right to Adequate Housing' Amman Centre for Human Rights Studies (6 May 2008) &lt;</w:t>
      </w:r>
      <w:r w:rsidRPr="00975DC9">
        <w:t>http://www.landpedia.org/landdoc/Analytical_materials/Jordan_Landlord-Tenants_Law_report_en.pdf</w:t>
      </w:r>
      <w:r>
        <w:t xml:space="preserve">&gt; (accessed 11 July 2019); Landlord-Tenant Law Article 5 </w:t>
      </w:r>
    </w:p>
  </w:footnote>
  <w:footnote w:id="60">
    <w:p w:rsidR="008B52D1" w:rsidRDefault="008B52D1" w:rsidP="00B53A2B">
      <w:pPr>
        <w:pStyle w:val="FootnoteText"/>
      </w:pPr>
      <w:r>
        <w:rPr>
          <w:rStyle w:val="FootnoteReference"/>
        </w:rPr>
        <w:footnoteRef/>
      </w:r>
      <w:r>
        <w:t xml:space="preserve"> </w:t>
      </w:r>
      <w:r>
        <w:tab/>
        <w:t>Housing and Land Rights Network, 'Jordan: Parliament Endorses Landlord and Tenants Law Amendments' (23 July 2009)</w:t>
      </w:r>
      <w:r>
        <w:rPr>
          <w:rFonts w:cs="Arial"/>
        </w:rPr>
        <w:t xml:space="preserve"> &lt;</w:t>
      </w:r>
      <w:hyperlink r:id="rId19" w:anchor=".XQuzF2youpI" w:history="1">
        <w:r w:rsidRPr="0061792E">
          <w:rPr>
            <w:rStyle w:val="Hyperlink"/>
            <w:rFonts w:cs="Arial"/>
          </w:rPr>
          <w:t>http://www.hlrn.org/news.php?id=pG1law==#.XQuzF2youpI</w:t>
        </w:r>
      </w:hyperlink>
      <w:r>
        <w:rPr>
          <w:rFonts w:cs="Arial"/>
        </w:rPr>
        <w:t>) (accessed 9 July 2019)</w:t>
      </w:r>
    </w:p>
  </w:footnote>
  <w:footnote w:id="61">
    <w:p w:rsidR="008B52D1" w:rsidRDefault="008B52D1" w:rsidP="00B53A2B">
      <w:pPr>
        <w:pStyle w:val="FootnoteText"/>
      </w:pPr>
      <w:r>
        <w:rPr>
          <w:rStyle w:val="FootnoteReference"/>
        </w:rPr>
        <w:footnoteRef/>
      </w:r>
      <w:r>
        <w:t xml:space="preserve"> </w:t>
      </w:r>
      <w:r>
        <w:tab/>
      </w:r>
      <w:proofErr w:type="spellStart"/>
      <w:r>
        <w:rPr>
          <w:rFonts w:cs="Arial"/>
        </w:rPr>
        <w:t>Odai</w:t>
      </w:r>
      <w:proofErr w:type="spellEnd"/>
      <w:r>
        <w:rPr>
          <w:rFonts w:cs="Arial"/>
        </w:rPr>
        <w:t xml:space="preserve"> </w:t>
      </w:r>
      <w:proofErr w:type="spellStart"/>
      <w:r>
        <w:rPr>
          <w:rFonts w:cs="Arial"/>
        </w:rPr>
        <w:t>Mismar</w:t>
      </w:r>
      <w:proofErr w:type="spellEnd"/>
      <w:r>
        <w:rPr>
          <w:rFonts w:cs="Arial"/>
        </w:rPr>
        <w:t>, 'New Amendments to the Jordanian Landlords and Tenants Law' (</w:t>
      </w:r>
      <w:r>
        <w:rPr>
          <w:rFonts w:cs="Arial"/>
          <w:i/>
        </w:rPr>
        <w:t xml:space="preserve">Al </w:t>
      </w:r>
      <w:proofErr w:type="spellStart"/>
      <w:r>
        <w:rPr>
          <w:rFonts w:cs="Arial"/>
          <w:i/>
        </w:rPr>
        <w:t>Tamimi</w:t>
      </w:r>
      <w:proofErr w:type="spellEnd"/>
      <w:r>
        <w:rPr>
          <w:rFonts w:cs="Arial"/>
          <w:i/>
        </w:rPr>
        <w:t xml:space="preserve"> &amp; Co</w:t>
      </w:r>
      <w:r>
        <w:rPr>
          <w:rFonts w:cs="Arial"/>
        </w:rPr>
        <w:t>, December 2014 / January 2015) &lt;</w:t>
      </w:r>
      <w:hyperlink r:id="rId20" w:history="1">
        <w:r w:rsidRPr="00C849B7">
          <w:rPr>
            <w:rStyle w:val="Hyperlink"/>
          </w:rPr>
          <w:t>https://www.tamimi.com/law-update-articles/new-amendments-to-the-jordanian-landlord-and-tenants-law/</w:t>
        </w:r>
      </w:hyperlink>
      <w:r>
        <w:t>&gt; (accessed 11 July 2019)</w:t>
      </w:r>
    </w:p>
  </w:footnote>
  <w:footnote w:id="62">
    <w:p w:rsidR="008B52D1" w:rsidRPr="001828C3" w:rsidRDefault="008B52D1" w:rsidP="00B53A2B">
      <w:pPr>
        <w:pStyle w:val="FootnoteText"/>
        <w:spacing w:before="0" w:line="240" w:lineRule="auto"/>
        <w:rPr>
          <w:lang w:val="en-GB"/>
        </w:rPr>
      </w:pPr>
      <w:r>
        <w:rPr>
          <w:rStyle w:val="FootnoteReference"/>
        </w:rPr>
        <w:footnoteRef/>
      </w:r>
      <w:r>
        <w:t xml:space="preserve"> </w:t>
      </w:r>
      <w:r>
        <w:tab/>
        <w:t>Settlement Law Article 16; HLRN pp.7-10</w:t>
      </w:r>
    </w:p>
  </w:footnote>
  <w:footnote w:id="63">
    <w:p w:rsidR="008B52D1" w:rsidRPr="00220940" w:rsidRDefault="008B52D1" w:rsidP="00B53A2B">
      <w:pPr>
        <w:pStyle w:val="FootnoteText"/>
        <w:rPr>
          <w:lang w:val="en-GB"/>
        </w:rPr>
      </w:pPr>
      <w:r>
        <w:rPr>
          <w:rStyle w:val="FootnoteReference"/>
        </w:rPr>
        <w:footnoteRef/>
      </w:r>
      <w:r>
        <w:t xml:space="preserve"> </w:t>
      </w:r>
      <w:r>
        <w:tab/>
      </w:r>
      <w:proofErr w:type="spellStart"/>
      <w:r>
        <w:t>Madanat</w:t>
      </w:r>
      <w:proofErr w:type="spellEnd"/>
      <w:r>
        <w:t xml:space="preserve"> p.159; </w:t>
      </w:r>
      <w:proofErr w:type="spellStart"/>
      <w:r>
        <w:t>Badia</w:t>
      </w:r>
      <w:proofErr w:type="spellEnd"/>
      <w:r>
        <w:t xml:space="preserve"> Research Program Section 3.2</w:t>
      </w:r>
    </w:p>
  </w:footnote>
  <w:footnote w:id="64">
    <w:p w:rsidR="008B52D1" w:rsidRPr="00DB47B1" w:rsidRDefault="008B52D1" w:rsidP="005942FC">
      <w:pPr>
        <w:pStyle w:val="FootnoteText"/>
        <w:rPr>
          <w:lang w:val="en-GB"/>
        </w:rPr>
      </w:pPr>
      <w:r>
        <w:rPr>
          <w:rStyle w:val="FootnoteReference"/>
        </w:rPr>
        <w:footnoteRef/>
      </w:r>
      <w:r>
        <w:t xml:space="preserve"> </w:t>
      </w:r>
      <w:r>
        <w:tab/>
        <w:t xml:space="preserve">Financing Housing Transformation in Informal Settlements in Jordan by Jamal Ahmad </w:t>
      </w:r>
      <w:proofErr w:type="spellStart"/>
      <w:r>
        <w:t>Alnsour</w:t>
      </w:r>
      <w:proofErr w:type="spellEnd"/>
      <w:r>
        <w:t xml:space="preserve"> (Journal of Sustainable Development Studies, Vol 8 No. 2, 2015, 317-341), p.326</w:t>
      </w:r>
    </w:p>
  </w:footnote>
  <w:footnote w:id="65">
    <w:p w:rsidR="008B52D1" w:rsidRPr="00742ABD" w:rsidRDefault="008B52D1" w:rsidP="00975FA8">
      <w:pPr>
        <w:pStyle w:val="FootnoteText"/>
        <w:rPr>
          <w:lang w:val="en-GB"/>
        </w:rPr>
      </w:pPr>
      <w:r>
        <w:rPr>
          <w:rStyle w:val="FootnoteReference"/>
        </w:rPr>
        <w:footnoteRef/>
      </w:r>
      <w:r>
        <w:t xml:space="preserve"> </w:t>
      </w:r>
      <w:r>
        <w:tab/>
      </w:r>
      <w:hyperlink r:id="rId21" w:history="1">
        <w:r w:rsidRPr="00742ABD">
          <w:rPr>
            <w:rStyle w:val="Hyperlink"/>
          </w:rPr>
          <w:t>UHCR Operational Update on Jordan dated July 2019</w:t>
        </w:r>
      </w:hyperlink>
    </w:p>
  </w:footnote>
  <w:footnote w:id="66">
    <w:p w:rsidR="008B52D1" w:rsidRPr="001F6A73" w:rsidRDefault="008B52D1" w:rsidP="004C6BE8">
      <w:pPr>
        <w:pStyle w:val="FootnoteText"/>
        <w:rPr>
          <w:lang w:val="en-GB"/>
        </w:rPr>
      </w:pPr>
      <w:r>
        <w:rPr>
          <w:rStyle w:val="FootnoteReference"/>
        </w:rPr>
        <w:footnoteRef/>
      </w:r>
      <w:r>
        <w:t xml:space="preserve"> </w:t>
      </w:r>
      <w:r>
        <w:tab/>
        <w:t xml:space="preserve">3RP Jordan Vulnerability Assessment Framework – Population Study (2019) </w:t>
      </w:r>
      <w:hyperlink r:id="rId22" w:history="1">
        <w:r w:rsidRPr="001334B7">
          <w:rPr>
            <w:rStyle w:val="Hyperlink"/>
          </w:rPr>
          <w:t>https://reliefweb.int/sites/reliefweb.int/files/resources/68856.pdf</w:t>
        </w:r>
      </w:hyperlink>
      <w:r>
        <w:t xml:space="preserve"> (accessed 9 September 2019), p.13</w:t>
      </w:r>
    </w:p>
  </w:footnote>
  <w:footnote w:id="67">
    <w:p w:rsidR="008B52D1" w:rsidRPr="00C96B64" w:rsidRDefault="008B52D1">
      <w:pPr>
        <w:pStyle w:val="FootnoteText"/>
        <w:rPr>
          <w:lang w:val="en-GB"/>
        </w:rPr>
      </w:pPr>
      <w:r>
        <w:rPr>
          <w:rStyle w:val="FootnoteReference"/>
        </w:rPr>
        <w:footnoteRef/>
      </w:r>
      <w:r>
        <w:t xml:space="preserve"> </w:t>
      </w:r>
      <w:r>
        <w:tab/>
        <w:t>The Jordan Response Platform for the Syria Crisis, 'Jordan Response Plan for the Syrian Crisis 2019' &lt;</w:t>
      </w:r>
      <w:hyperlink r:id="rId23" w:history="1">
        <w:r w:rsidRPr="00717417">
          <w:rPr>
            <w:rStyle w:val="Hyperlink"/>
          </w:rPr>
          <w:t>https://static1.squarespace.com/static/522c2552e4b0d3c39ccd1e00/t/5c56a2bd652dead32780dff4/1549181638082/JRP+2019+Update+-+Draft.pdf</w:t>
        </w:r>
      </w:hyperlink>
      <w:r>
        <w:t>&gt; (accessed 19 September 2019</w:t>
      </w:r>
    </w:p>
  </w:footnote>
  <w:footnote w:id="68">
    <w:p w:rsidR="008B52D1" w:rsidRPr="00742ABD" w:rsidRDefault="008B52D1" w:rsidP="005942FC">
      <w:pPr>
        <w:pStyle w:val="FootnoteText"/>
        <w:rPr>
          <w:lang w:val="en-GB"/>
        </w:rPr>
      </w:pPr>
      <w:r>
        <w:rPr>
          <w:rStyle w:val="FootnoteReference"/>
        </w:rPr>
        <w:footnoteRef/>
      </w:r>
      <w:r>
        <w:t xml:space="preserve"> </w:t>
      </w:r>
      <w:r>
        <w:tab/>
      </w:r>
      <w:hyperlink r:id="rId24" w:history="1">
        <w:r w:rsidRPr="00742ABD">
          <w:rPr>
            <w:rStyle w:val="Hyperlink"/>
          </w:rPr>
          <w:t>UHCR Operational Update on Jordan dated July 2019</w:t>
        </w:r>
      </w:hyperlink>
    </w:p>
  </w:footnote>
  <w:footnote w:id="69">
    <w:p w:rsidR="008B52D1" w:rsidRPr="003909C6" w:rsidRDefault="008B52D1" w:rsidP="005942FC">
      <w:pPr>
        <w:pStyle w:val="FootnoteText"/>
        <w:rPr>
          <w:lang w:val="en-GB"/>
        </w:rPr>
      </w:pPr>
      <w:r>
        <w:rPr>
          <w:rStyle w:val="FootnoteReference"/>
        </w:rPr>
        <w:footnoteRef/>
      </w:r>
      <w:r>
        <w:t xml:space="preserve"> </w:t>
      </w:r>
      <w:r>
        <w:tab/>
        <w:t>World Food Program USA – "</w:t>
      </w:r>
      <w:hyperlink r:id="rId25" w:history="1">
        <w:r w:rsidRPr="003909C6">
          <w:rPr>
            <w:rStyle w:val="Hyperlink"/>
          </w:rPr>
          <w:t>10 Facts about the Syrian Refugee Crisis in Jordan" dated 26 December 2018</w:t>
        </w:r>
      </w:hyperlink>
    </w:p>
  </w:footnote>
  <w:footnote w:id="70">
    <w:p w:rsidR="008B52D1" w:rsidRPr="00AB6883" w:rsidRDefault="008B52D1" w:rsidP="005942FC">
      <w:pPr>
        <w:pStyle w:val="FootnoteText"/>
        <w:rPr>
          <w:lang w:val="en-GB"/>
        </w:rPr>
      </w:pPr>
      <w:r>
        <w:rPr>
          <w:rStyle w:val="FootnoteReference"/>
        </w:rPr>
        <w:footnoteRef/>
      </w:r>
      <w:r>
        <w:t xml:space="preserve"> </w:t>
      </w:r>
      <w:r>
        <w:tab/>
      </w:r>
      <w:hyperlink r:id="rId26" w:history="1">
        <w:proofErr w:type="spellStart"/>
        <w:r w:rsidRPr="008E0E33">
          <w:rPr>
            <w:rStyle w:val="Hyperlink"/>
          </w:rPr>
          <w:t>Baq'aa</w:t>
        </w:r>
        <w:proofErr w:type="spellEnd"/>
      </w:hyperlink>
      <w:r>
        <w:t xml:space="preserve">, </w:t>
      </w:r>
      <w:hyperlink r:id="rId27" w:history="1">
        <w:r w:rsidRPr="00AB6883">
          <w:rPr>
            <w:rStyle w:val="Hyperlink"/>
          </w:rPr>
          <w:t>Amman New Camp</w:t>
        </w:r>
      </w:hyperlink>
      <w:r>
        <w:t xml:space="preserve">, </w:t>
      </w:r>
      <w:hyperlink r:id="rId28" w:history="1">
        <w:proofErr w:type="spellStart"/>
        <w:r w:rsidRPr="008E0E33">
          <w:rPr>
            <w:rStyle w:val="Hyperlink"/>
          </w:rPr>
          <w:t>Jerash</w:t>
        </w:r>
        <w:proofErr w:type="spellEnd"/>
      </w:hyperlink>
      <w:r>
        <w:t xml:space="preserve">, </w:t>
      </w:r>
      <w:hyperlink r:id="rId29" w:history="1">
        <w:proofErr w:type="spellStart"/>
        <w:r w:rsidRPr="008E0E33">
          <w:rPr>
            <w:rStyle w:val="Hyperlink"/>
          </w:rPr>
          <w:t>Marka</w:t>
        </w:r>
        <w:proofErr w:type="spellEnd"/>
      </w:hyperlink>
      <w:r>
        <w:t xml:space="preserve">, </w:t>
      </w:r>
      <w:hyperlink r:id="rId30" w:history="1">
        <w:proofErr w:type="spellStart"/>
        <w:r w:rsidRPr="006152D2">
          <w:rPr>
            <w:rStyle w:val="Hyperlink"/>
          </w:rPr>
          <w:t>Husn</w:t>
        </w:r>
        <w:proofErr w:type="spellEnd"/>
      </w:hyperlink>
      <w:r>
        <w:t xml:space="preserve">, </w:t>
      </w:r>
      <w:hyperlink r:id="rId31" w:history="1">
        <w:proofErr w:type="spellStart"/>
        <w:r w:rsidRPr="006152D2">
          <w:rPr>
            <w:rStyle w:val="Hyperlink"/>
          </w:rPr>
          <w:t>Souf</w:t>
        </w:r>
        <w:proofErr w:type="spellEnd"/>
        <w:r w:rsidRPr="006152D2">
          <w:rPr>
            <w:rStyle w:val="Hyperlink"/>
          </w:rPr>
          <w:t xml:space="preserve"> </w:t>
        </w:r>
      </w:hyperlink>
      <w:r>
        <w:t xml:space="preserve">, </w:t>
      </w:r>
      <w:hyperlink r:id="rId32" w:history="1">
        <w:r w:rsidRPr="006152D2">
          <w:rPr>
            <w:rStyle w:val="Hyperlink"/>
          </w:rPr>
          <w:t>Irbid</w:t>
        </w:r>
      </w:hyperlink>
      <w:r>
        <w:t xml:space="preserve">, </w:t>
      </w:r>
      <w:hyperlink r:id="rId33" w:history="1">
        <w:proofErr w:type="spellStart"/>
        <w:r w:rsidRPr="002C2151">
          <w:rPr>
            <w:rStyle w:val="Hyperlink"/>
          </w:rPr>
          <w:t>Talbieh</w:t>
        </w:r>
        <w:proofErr w:type="spellEnd"/>
      </w:hyperlink>
      <w:r>
        <w:t xml:space="preserve">, </w:t>
      </w:r>
      <w:hyperlink r:id="rId34" w:history="1">
        <w:proofErr w:type="spellStart"/>
        <w:r w:rsidRPr="002C2151">
          <w:rPr>
            <w:rStyle w:val="Hyperlink"/>
          </w:rPr>
          <w:t>Jabal</w:t>
        </w:r>
        <w:proofErr w:type="spellEnd"/>
        <w:r w:rsidRPr="002C2151">
          <w:rPr>
            <w:rStyle w:val="Hyperlink"/>
          </w:rPr>
          <w:t xml:space="preserve"> El-Hussein </w:t>
        </w:r>
      </w:hyperlink>
      <w:r>
        <w:t xml:space="preserve">and </w:t>
      </w:r>
      <w:hyperlink r:id="rId35" w:history="1">
        <w:proofErr w:type="spellStart"/>
        <w:r w:rsidRPr="002C2151">
          <w:rPr>
            <w:rStyle w:val="Hyperlink"/>
          </w:rPr>
          <w:t>Zarqa</w:t>
        </w:r>
        <w:proofErr w:type="spellEnd"/>
      </w:hyperlink>
      <w:r>
        <w:t>.</w:t>
      </w:r>
    </w:p>
  </w:footnote>
  <w:footnote w:id="71">
    <w:p w:rsidR="008B52D1" w:rsidRPr="003649BD" w:rsidRDefault="008B52D1" w:rsidP="005942FC">
      <w:pPr>
        <w:pStyle w:val="FootnoteText"/>
        <w:rPr>
          <w:lang w:val="en-GB"/>
        </w:rPr>
      </w:pPr>
      <w:r>
        <w:rPr>
          <w:rStyle w:val="FootnoteReference"/>
        </w:rPr>
        <w:footnoteRef/>
      </w:r>
      <w:r>
        <w:t xml:space="preserve"> </w:t>
      </w:r>
      <w:r>
        <w:tab/>
      </w:r>
      <w:hyperlink r:id="rId36" w:history="1">
        <w:proofErr w:type="spellStart"/>
        <w:r w:rsidRPr="00AB6883">
          <w:rPr>
            <w:rStyle w:val="Hyperlink"/>
          </w:rPr>
          <w:t>Talbieh</w:t>
        </w:r>
        <w:proofErr w:type="spellEnd"/>
      </w:hyperlink>
    </w:p>
  </w:footnote>
  <w:footnote w:id="72">
    <w:p w:rsidR="008B52D1" w:rsidRPr="009E04B0" w:rsidRDefault="008B52D1" w:rsidP="005942FC">
      <w:pPr>
        <w:pStyle w:val="FootnoteText"/>
        <w:rPr>
          <w:lang w:val="en-GB"/>
        </w:rPr>
      </w:pPr>
      <w:r>
        <w:rPr>
          <w:rStyle w:val="FootnoteReference"/>
        </w:rPr>
        <w:footnoteRef/>
      </w:r>
      <w:r>
        <w:t xml:space="preserve"> </w:t>
      </w:r>
      <w:r>
        <w:tab/>
      </w:r>
      <w:hyperlink r:id="rId37" w:history="1">
        <w:proofErr w:type="spellStart"/>
        <w:r w:rsidRPr="008E0E33">
          <w:rPr>
            <w:rStyle w:val="Hyperlink"/>
          </w:rPr>
          <w:t>Baq'aa</w:t>
        </w:r>
        <w:proofErr w:type="spellEnd"/>
      </w:hyperlink>
      <w:r>
        <w:t xml:space="preserve">, </w:t>
      </w:r>
      <w:hyperlink r:id="rId38" w:history="1">
        <w:r w:rsidRPr="00AB6883">
          <w:rPr>
            <w:rStyle w:val="Hyperlink"/>
          </w:rPr>
          <w:t>Amman New Camp</w:t>
        </w:r>
      </w:hyperlink>
      <w:r>
        <w:t xml:space="preserve">, </w:t>
      </w:r>
      <w:hyperlink r:id="rId39" w:history="1">
        <w:proofErr w:type="spellStart"/>
        <w:r w:rsidRPr="008E0E33">
          <w:rPr>
            <w:rStyle w:val="Hyperlink"/>
          </w:rPr>
          <w:t>Jerash</w:t>
        </w:r>
        <w:proofErr w:type="spellEnd"/>
      </w:hyperlink>
      <w:r>
        <w:t xml:space="preserve">, </w:t>
      </w:r>
      <w:hyperlink r:id="rId40" w:history="1">
        <w:proofErr w:type="spellStart"/>
        <w:r w:rsidRPr="008E0E33">
          <w:rPr>
            <w:rStyle w:val="Hyperlink"/>
          </w:rPr>
          <w:t>Marka</w:t>
        </w:r>
        <w:proofErr w:type="spellEnd"/>
      </w:hyperlink>
      <w:r>
        <w:t xml:space="preserve">, </w:t>
      </w:r>
      <w:hyperlink r:id="rId41" w:history="1">
        <w:proofErr w:type="spellStart"/>
        <w:r w:rsidRPr="006152D2">
          <w:rPr>
            <w:rStyle w:val="Hyperlink"/>
          </w:rPr>
          <w:t>Husn</w:t>
        </w:r>
        <w:proofErr w:type="spellEnd"/>
      </w:hyperlink>
      <w:r>
        <w:t xml:space="preserve">, </w:t>
      </w:r>
      <w:hyperlink r:id="rId42" w:history="1">
        <w:proofErr w:type="spellStart"/>
        <w:r w:rsidRPr="006152D2">
          <w:rPr>
            <w:rStyle w:val="Hyperlink"/>
          </w:rPr>
          <w:t>Souf</w:t>
        </w:r>
        <w:proofErr w:type="spellEnd"/>
        <w:r w:rsidRPr="006152D2">
          <w:rPr>
            <w:rStyle w:val="Hyperlink"/>
          </w:rPr>
          <w:t xml:space="preserve"> </w:t>
        </w:r>
      </w:hyperlink>
      <w:r>
        <w:t xml:space="preserve">, </w:t>
      </w:r>
      <w:hyperlink r:id="rId43" w:history="1">
        <w:r w:rsidRPr="006152D2">
          <w:rPr>
            <w:rStyle w:val="Hyperlink"/>
          </w:rPr>
          <w:t>Irbid</w:t>
        </w:r>
      </w:hyperlink>
      <w:r>
        <w:t xml:space="preserve">, </w:t>
      </w:r>
      <w:hyperlink r:id="rId44" w:history="1">
        <w:proofErr w:type="spellStart"/>
        <w:r w:rsidRPr="002C2151">
          <w:rPr>
            <w:rStyle w:val="Hyperlink"/>
          </w:rPr>
          <w:t>Talbieh</w:t>
        </w:r>
        <w:proofErr w:type="spellEnd"/>
      </w:hyperlink>
      <w:r>
        <w:t xml:space="preserve">, </w:t>
      </w:r>
      <w:hyperlink r:id="rId45" w:history="1">
        <w:proofErr w:type="spellStart"/>
        <w:r w:rsidRPr="002C2151">
          <w:rPr>
            <w:rStyle w:val="Hyperlink"/>
          </w:rPr>
          <w:t>Jabal</w:t>
        </w:r>
        <w:proofErr w:type="spellEnd"/>
        <w:r w:rsidRPr="002C2151">
          <w:rPr>
            <w:rStyle w:val="Hyperlink"/>
          </w:rPr>
          <w:t xml:space="preserve"> El-Hussein </w:t>
        </w:r>
      </w:hyperlink>
      <w:r>
        <w:t xml:space="preserve">and </w:t>
      </w:r>
      <w:hyperlink r:id="rId46" w:history="1">
        <w:proofErr w:type="spellStart"/>
        <w:r w:rsidRPr="002C2151">
          <w:rPr>
            <w:rStyle w:val="Hyperlink"/>
          </w:rPr>
          <w:t>Zarqa</w:t>
        </w:r>
        <w:proofErr w:type="spellEnd"/>
      </w:hyperlink>
      <w:r>
        <w:t>.</w:t>
      </w:r>
    </w:p>
  </w:footnote>
  <w:footnote w:id="73">
    <w:p w:rsidR="008B52D1" w:rsidRPr="00AB0731" w:rsidRDefault="008B52D1" w:rsidP="005942FC">
      <w:pPr>
        <w:pStyle w:val="FootnoteText"/>
        <w:rPr>
          <w:lang w:val="en-GB"/>
        </w:rPr>
      </w:pPr>
      <w:r>
        <w:rPr>
          <w:rStyle w:val="FootnoteReference"/>
        </w:rPr>
        <w:footnoteRef/>
      </w:r>
      <w:r>
        <w:t xml:space="preserve"> </w:t>
      </w:r>
      <w:r>
        <w:tab/>
        <w:t>Syrian Refugees Staying in Informal Tented Settlements in Jordan: Multi-Sector Needs Assessment, August 2014</w:t>
      </w:r>
    </w:p>
  </w:footnote>
  <w:footnote w:id="74">
    <w:p w:rsidR="008B52D1" w:rsidRPr="00DB71D9" w:rsidRDefault="008B52D1">
      <w:pPr>
        <w:pStyle w:val="FootnoteText"/>
        <w:rPr>
          <w:lang w:val="en-GB"/>
        </w:rPr>
      </w:pPr>
      <w:r>
        <w:rPr>
          <w:rStyle w:val="FootnoteReference"/>
        </w:rPr>
        <w:footnoteRef/>
      </w:r>
      <w:r>
        <w:t xml:space="preserve"> </w:t>
      </w:r>
      <w:r>
        <w:tab/>
      </w:r>
      <w:r w:rsidRPr="001F6A73">
        <w:t xml:space="preserve">"Syrian Refugees in Jordan - a Multi-Sector Baseline </w:t>
      </w:r>
      <w:proofErr w:type="spellStart"/>
      <w:r w:rsidRPr="001F6A73">
        <w:t>Assesment</w:t>
      </w:r>
      <w:proofErr w:type="spellEnd"/>
      <w:r w:rsidRPr="001F6A73">
        <w:t xml:space="preserve"> (Dec</w:t>
      </w:r>
      <w:r>
        <w:t>ember</w:t>
      </w:r>
      <w:r w:rsidRPr="001F6A73">
        <w:t xml:space="preserve"> 2013)" by UN Children's Fund and REACH Initiative, dated December 2013</w:t>
      </w:r>
      <w:r>
        <w:t>, Executive Summary</w:t>
      </w:r>
      <w:r w:rsidRPr="001F6A73">
        <w:t xml:space="preserve"> &lt;https://www.reachresourcecentre.info/system/files/resource-documents/marie.loeb-28012014-045043-reach_unicef_informal_tented_settlements_in_jordan_-_a_multi-sector_baseline_assessment_dec_2013.pdf&gt; (accessed 9 September 2019)</w:t>
      </w:r>
      <w:r>
        <w:t xml:space="preserve"> </w:t>
      </w:r>
    </w:p>
  </w:footnote>
  <w:footnote w:id="75">
    <w:p w:rsidR="008B52D1" w:rsidRPr="00C242D6" w:rsidRDefault="008B52D1">
      <w:pPr>
        <w:pStyle w:val="FootnoteText"/>
        <w:rPr>
          <w:lang w:val="en-GB"/>
        </w:rPr>
      </w:pPr>
      <w:r>
        <w:rPr>
          <w:rStyle w:val="FootnoteReference"/>
        </w:rPr>
        <w:footnoteRef/>
      </w:r>
      <w:r>
        <w:t xml:space="preserve"> </w:t>
      </w:r>
      <w:r>
        <w:tab/>
        <w:t>Provisional Jord</w:t>
      </w:r>
      <w:r w:rsidRPr="00C242D6">
        <w:t xml:space="preserve">anian Personal Status Law </w:t>
      </w:r>
      <w:r>
        <w:t>(</w:t>
      </w:r>
      <w:r w:rsidRPr="00C242D6">
        <w:t>No. 36</w:t>
      </w:r>
      <w:r>
        <w:t>)</w:t>
      </w:r>
      <w:r w:rsidRPr="00C242D6">
        <w:t xml:space="preserve"> of 2010</w:t>
      </w:r>
    </w:p>
  </w:footnote>
  <w:footnote w:id="76">
    <w:p w:rsidR="008B52D1" w:rsidRPr="00FD2498" w:rsidRDefault="008B52D1">
      <w:pPr>
        <w:pStyle w:val="FootnoteText"/>
        <w:rPr>
          <w:lang w:val="en-GB"/>
        </w:rPr>
      </w:pPr>
      <w:r w:rsidRPr="00FD2498">
        <w:rPr>
          <w:rStyle w:val="FootnoteReference"/>
        </w:rPr>
        <w:footnoteRef/>
      </w:r>
      <w:r w:rsidRPr="00FD2498">
        <w:t xml:space="preserve"> </w:t>
      </w:r>
      <w:r w:rsidRPr="00FD2498">
        <w:tab/>
      </w:r>
      <w:r w:rsidRPr="00FD2498">
        <w:rPr>
          <w:noProof/>
          <w:lang w:val="en-GB" w:eastAsia="en-GB"/>
        </w:rPr>
        <w:t>Provisional Jordanian Personal Status Law (No. 36) of 2010 Article 142</w:t>
      </w:r>
    </w:p>
  </w:footnote>
  <w:footnote w:id="77">
    <w:p w:rsidR="008B52D1" w:rsidRPr="00D105EF" w:rsidRDefault="008B52D1" w:rsidP="00C34A6E">
      <w:pPr>
        <w:pStyle w:val="FootnoteText"/>
        <w:rPr>
          <w:lang w:val="en-GB"/>
        </w:rPr>
      </w:pPr>
      <w:r>
        <w:rPr>
          <w:rStyle w:val="FootnoteReference"/>
        </w:rPr>
        <w:footnoteRef/>
      </w:r>
      <w:r>
        <w:t xml:space="preserve"> </w:t>
      </w:r>
      <w:r>
        <w:tab/>
        <w:t>USAID Profile, p. 7</w:t>
      </w:r>
    </w:p>
  </w:footnote>
  <w:footnote w:id="78">
    <w:p w:rsidR="008B52D1" w:rsidRPr="00D105EF" w:rsidRDefault="008B52D1" w:rsidP="00CB10B5">
      <w:pPr>
        <w:pStyle w:val="FootnoteText"/>
        <w:rPr>
          <w:lang w:val="en-GB"/>
        </w:rPr>
      </w:pPr>
      <w:r>
        <w:rPr>
          <w:rStyle w:val="FootnoteReference"/>
        </w:rPr>
        <w:footnoteRef/>
      </w:r>
      <w:r>
        <w:t xml:space="preserve"> </w:t>
      </w:r>
      <w:r>
        <w:tab/>
        <w:t>USAID Profile, p. 13</w:t>
      </w:r>
    </w:p>
  </w:footnote>
  <w:footnote w:id="79">
    <w:p w:rsidR="008B52D1" w:rsidRPr="005C121A" w:rsidRDefault="008B52D1">
      <w:pPr>
        <w:pStyle w:val="FootnoteText"/>
        <w:rPr>
          <w:lang w:val="en-GB"/>
        </w:rPr>
      </w:pPr>
      <w:r>
        <w:rPr>
          <w:rStyle w:val="FootnoteReference"/>
        </w:rPr>
        <w:footnoteRef/>
      </w:r>
      <w:r>
        <w:t xml:space="preserve"> </w:t>
      </w:r>
      <w:r>
        <w:tab/>
      </w:r>
      <w:proofErr w:type="spellStart"/>
      <w:r>
        <w:t>Englecke</w:t>
      </w:r>
      <w:proofErr w:type="spellEnd"/>
      <w:r>
        <w:t>, ‘</w:t>
      </w:r>
      <w:r w:rsidRPr="005C121A">
        <w:t>Reforming Family Law</w:t>
      </w:r>
      <w:r>
        <w:t xml:space="preserve">: Social and Political change in Jordan and </w:t>
      </w:r>
      <w:proofErr w:type="spellStart"/>
      <w:r>
        <w:t>Morrocco</w:t>
      </w:r>
      <w:proofErr w:type="spellEnd"/>
      <w:r>
        <w:t>’ (2019), 175</w:t>
      </w:r>
    </w:p>
  </w:footnote>
  <w:footnote w:id="80">
    <w:p w:rsidR="008B52D1" w:rsidRPr="005C121A" w:rsidRDefault="008B52D1" w:rsidP="007E4A6E">
      <w:pPr>
        <w:pStyle w:val="FootnoteText"/>
        <w:rPr>
          <w:lang w:val="en-GB"/>
        </w:rPr>
      </w:pPr>
      <w:r>
        <w:rPr>
          <w:rStyle w:val="FootnoteReference"/>
        </w:rPr>
        <w:footnoteRef/>
      </w:r>
      <w:r>
        <w:t xml:space="preserve"> </w:t>
      </w:r>
      <w:r>
        <w:tab/>
      </w:r>
      <w:proofErr w:type="spellStart"/>
      <w:r>
        <w:t>Englecke</w:t>
      </w:r>
      <w:proofErr w:type="spellEnd"/>
      <w:r>
        <w:t>, ‘</w:t>
      </w:r>
      <w:r w:rsidRPr="005C121A">
        <w:t>Reforming Family Law</w:t>
      </w:r>
      <w:r>
        <w:t xml:space="preserve">: Social and Political change in Jordan and </w:t>
      </w:r>
      <w:proofErr w:type="spellStart"/>
      <w:r>
        <w:t>Morrocco</w:t>
      </w:r>
      <w:proofErr w:type="spellEnd"/>
      <w:r>
        <w:t>’ (2019), 175</w:t>
      </w:r>
    </w:p>
  </w:footnote>
  <w:footnote w:id="81">
    <w:p w:rsidR="008B52D1" w:rsidRPr="00D105EF" w:rsidRDefault="008B52D1" w:rsidP="007E4A6E">
      <w:pPr>
        <w:pStyle w:val="FootnoteText"/>
        <w:rPr>
          <w:lang w:val="en-GB"/>
        </w:rPr>
      </w:pPr>
      <w:r>
        <w:rPr>
          <w:rStyle w:val="FootnoteReference"/>
        </w:rPr>
        <w:footnoteRef/>
      </w:r>
      <w:r>
        <w:t xml:space="preserve"> </w:t>
      </w:r>
      <w:r>
        <w:tab/>
        <w:t>USAID Profile, p. 13</w:t>
      </w:r>
    </w:p>
  </w:footnote>
  <w:footnote w:id="82">
    <w:p w:rsidR="008B52D1" w:rsidRPr="00822F2F" w:rsidRDefault="008B52D1">
      <w:pPr>
        <w:pStyle w:val="FootnoteText"/>
        <w:rPr>
          <w:lang w:val="en-GB"/>
        </w:rPr>
      </w:pPr>
      <w:r w:rsidRPr="00FD2498">
        <w:rPr>
          <w:rStyle w:val="FootnoteReference"/>
        </w:rPr>
        <w:footnoteRef/>
      </w:r>
      <w:r w:rsidRPr="00FD2498">
        <w:t xml:space="preserve"> </w:t>
      </w:r>
      <w:r w:rsidRPr="00FD2498">
        <w:tab/>
      </w:r>
      <w:proofErr w:type="spellStart"/>
      <w:r w:rsidRPr="00FD2498">
        <w:t>Nasarat</w:t>
      </w:r>
      <w:proofErr w:type="spellEnd"/>
      <w:r>
        <w:t>,</w:t>
      </w:r>
      <w:r w:rsidRPr="00FD2498">
        <w:t xml:space="preserve"> ‘Jordanian Citizens’ Trends towards Women’s Social, Economic and Political Rights in </w:t>
      </w:r>
      <w:proofErr w:type="spellStart"/>
      <w:r w:rsidRPr="00FD2498">
        <w:t>Karak</w:t>
      </w:r>
      <w:proofErr w:type="spellEnd"/>
      <w:r w:rsidRPr="00FD2498">
        <w:t xml:space="preserve">, </w:t>
      </w:r>
      <w:proofErr w:type="spellStart"/>
      <w:r w:rsidRPr="00FD2498">
        <w:t>Tafieleh</w:t>
      </w:r>
      <w:proofErr w:type="spellEnd"/>
      <w:r w:rsidRPr="00FD2498">
        <w:t xml:space="preserve"> and </w:t>
      </w:r>
      <w:proofErr w:type="spellStart"/>
      <w:r w:rsidRPr="00FD2498">
        <w:t>Maan</w:t>
      </w:r>
      <w:proofErr w:type="spellEnd"/>
      <w:r w:rsidRPr="00FD2498">
        <w:t xml:space="preserve"> G</w:t>
      </w:r>
      <w:r>
        <w:t>overnorates International Journal of Humanities and Social Science Vol. 7, No. 4</w:t>
      </w:r>
    </w:p>
  </w:footnote>
  <w:footnote w:id="83">
    <w:p w:rsidR="008B52D1" w:rsidRPr="00D105EF" w:rsidRDefault="008B52D1">
      <w:pPr>
        <w:pStyle w:val="FootnoteText"/>
        <w:rPr>
          <w:lang w:val="en-GB"/>
        </w:rPr>
      </w:pPr>
      <w:r>
        <w:rPr>
          <w:rStyle w:val="FootnoteReference"/>
        </w:rPr>
        <w:footnoteRef/>
      </w:r>
      <w:r>
        <w:t xml:space="preserve"> </w:t>
      </w:r>
      <w:r>
        <w:tab/>
        <w:t>UNHCR Database Jordan Factsheet (June 2019), p. 1</w:t>
      </w:r>
    </w:p>
  </w:footnote>
  <w:footnote w:id="84">
    <w:p w:rsidR="008B52D1" w:rsidRPr="00D105EF" w:rsidRDefault="008B52D1">
      <w:pPr>
        <w:pStyle w:val="FootnoteText"/>
        <w:rPr>
          <w:lang w:val="en-GB"/>
        </w:rPr>
      </w:pPr>
      <w:r>
        <w:rPr>
          <w:rStyle w:val="FootnoteReference"/>
        </w:rPr>
        <w:footnoteRef/>
      </w:r>
      <w:r>
        <w:t xml:space="preserve"> </w:t>
      </w:r>
      <w:r>
        <w:tab/>
        <w:t xml:space="preserve">Daniel Howden, Hannah </w:t>
      </w:r>
      <w:proofErr w:type="spellStart"/>
      <w:r>
        <w:t>Patchett</w:t>
      </w:r>
      <w:proofErr w:type="spellEnd"/>
      <w:r>
        <w:t xml:space="preserve"> and Charlotte Alfred, 'Can Jordan get a million Syrians into work?' (13 December 2017, Amman) &lt;</w:t>
      </w:r>
      <w:hyperlink r:id="rId47" w:history="1">
        <w:r w:rsidRPr="000919E7">
          <w:rPr>
            <w:rStyle w:val="Hyperlink"/>
          </w:rPr>
          <w:t>https://www.theguardian.com/world/2017/dec/13/can-jordan-get-a-million-syrians-into-work</w:t>
        </w:r>
      </w:hyperlink>
      <w:r>
        <w:t>&gt; (accessed 10 September 2019)</w:t>
      </w:r>
    </w:p>
  </w:footnote>
  <w:footnote w:id="85">
    <w:p w:rsidR="008B52D1" w:rsidRPr="00FD2498" w:rsidRDefault="008B52D1">
      <w:pPr>
        <w:pStyle w:val="FootnoteText"/>
        <w:rPr>
          <w:lang w:val="en-GB"/>
        </w:rPr>
      </w:pPr>
      <w:r w:rsidRPr="00FD2498">
        <w:rPr>
          <w:rStyle w:val="FootnoteReference"/>
        </w:rPr>
        <w:footnoteRef/>
      </w:r>
      <w:r w:rsidRPr="00FD2498">
        <w:t xml:space="preserve"> </w:t>
      </w:r>
      <w:r w:rsidRPr="00FD2498">
        <w:tab/>
        <w:t>USAID Profile, p. 12</w:t>
      </w:r>
    </w:p>
  </w:footnote>
  <w:footnote w:id="86">
    <w:p w:rsidR="008B52D1" w:rsidRPr="00D105EF" w:rsidRDefault="008B52D1">
      <w:pPr>
        <w:pStyle w:val="FootnoteText"/>
        <w:rPr>
          <w:lang w:val="en-GB"/>
        </w:rPr>
      </w:pPr>
      <w:r>
        <w:rPr>
          <w:rStyle w:val="FootnoteReference"/>
        </w:rPr>
        <w:footnoteRef/>
      </w:r>
      <w:r>
        <w:t xml:space="preserve"> </w:t>
      </w:r>
      <w:r>
        <w:tab/>
        <w:t>UNHCR Database Factsheet (June</w:t>
      </w:r>
      <w:r w:rsidRPr="003404EC">
        <w:t xml:space="preserve"> 2019), p. 1</w:t>
      </w:r>
    </w:p>
  </w:footnote>
  <w:footnote w:id="87">
    <w:p w:rsidR="008B52D1" w:rsidRPr="00D105EF" w:rsidRDefault="008B52D1">
      <w:pPr>
        <w:pStyle w:val="FootnoteText"/>
        <w:rPr>
          <w:lang w:val="en-GB"/>
        </w:rPr>
      </w:pPr>
      <w:r>
        <w:rPr>
          <w:rStyle w:val="FootnoteReference"/>
        </w:rPr>
        <w:footnoteRef/>
      </w:r>
      <w:r>
        <w:t xml:space="preserve"> </w:t>
      </w:r>
      <w:r>
        <w:tab/>
      </w:r>
      <w:r w:rsidRPr="00600054">
        <w:t xml:space="preserve">Dina </w:t>
      </w:r>
      <w:proofErr w:type="spellStart"/>
      <w:r w:rsidRPr="00600054">
        <w:t>Baslan</w:t>
      </w:r>
      <w:proofErr w:type="spellEnd"/>
      <w:r w:rsidRPr="00600054">
        <w:t xml:space="preserve">, Anna </w:t>
      </w:r>
      <w:proofErr w:type="spellStart"/>
      <w:r w:rsidRPr="00600054">
        <w:t>Kvittingenm</w:t>
      </w:r>
      <w:proofErr w:type="spellEnd"/>
      <w:r w:rsidRPr="00600054">
        <w:t xml:space="preserve"> and Maya </w:t>
      </w:r>
      <w:proofErr w:type="spellStart"/>
      <w:r w:rsidRPr="00600054">
        <w:t>Perlmann</w:t>
      </w:r>
      <w:proofErr w:type="spellEnd"/>
      <w:r w:rsidRPr="00600054">
        <w:t xml:space="preserve">, ‘Sheltering in </w:t>
      </w:r>
      <w:proofErr w:type="spellStart"/>
      <w:proofErr w:type="gramStart"/>
      <w:r w:rsidRPr="00600054">
        <w:t>Amman:Sudanese</w:t>
      </w:r>
      <w:proofErr w:type="spellEnd"/>
      <w:proofErr w:type="gramEnd"/>
      <w:r w:rsidRPr="00600054">
        <w:t xml:space="preserve"> experiences and practices in a challenging urban environment’ (November 2017)</w:t>
      </w:r>
      <w:r>
        <w:t>, p. 2</w:t>
      </w:r>
    </w:p>
  </w:footnote>
  <w:footnote w:id="88">
    <w:p w:rsidR="008B52D1" w:rsidRPr="00D105EF" w:rsidRDefault="008B52D1">
      <w:pPr>
        <w:pStyle w:val="FootnoteText"/>
        <w:rPr>
          <w:lang w:val="en-GB"/>
        </w:rPr>
      </w:pPr>
      <w:r>
        <w:rPr>
          <w:rStyle w:val="FootnoteReference"/>
        </w:rPr>
        <w:footnoteRef/>
      </w:r>
      <w:r>
        <w:t xml:space="preserve"> </w:t>
      </w:r>
      <w:r>
        <w:tab/>
        <w:t>ibid</w:t>
      </w:r>
    </w:p>
  </w:footnote>
  <w:footnote w:id="89">
    <w:p w:rsidR="008B52D1" w:rsidRPr="00D105EF" w:rsidRDefault="008B52D1">
      <w:pPr>
        <w:pStyle w:val="FootnoteText"/>
        <w:rPr>
          <w:lang w:val="en-GB"/>
        </w:rPr>
      </w:pPr>
      <w:r>
        <w:rPr>
          <w:rStyle w:val="FootnoteReference"/>
        </w:rPr>
        <w:footnoteRef/>
      </w:r>
      <w:r>
        <w:t xml:space="preserve"> </w:t>
      </w:r>
      <w:r>
        <w:tab/>
        <w:t>Ibid, p. 5</w:t>
      </w:r>
    </w:p>
  </w:footnote>
  <w:footnote w:id="90">
    <w:p w:rsidR="008B52D1" w:rsidRPr="00D105EF" w:rsidRDefault="008B52D1">
      <w:pPr>
        <w:pStyle w:val="FootnoteText"/>
        <w:rPr>
          <w:lang w:val="en-GB"/>
        </w:rPr>
      </w:pPr>
      <w:r>
        <w:rPr>
          <w:rStyle w:val="FootnoteReference"/>
        </w:rPr>
        <w:footnoteRef/>
      </w:r>
      <w:r>
        <w:t xml:space="preserve"> </w:t>
      </w:r>
      <w:r>
        <w:tab/>
        <w:t>Palestinian Return Centre, ‘Decades of Resilience: stateless Gazan refugees in Jordan’ (2018) p. 10</w:t>
      </w:r>
    </w:p>
  </w:footnote>
  <w:footnote w:id="91">
    <w:p w:rsidR="008B52D1" w:rsidRPr="00D105EF" w:rsidRDefault="008B52D1">
      <w:pPr>
        <w:pStyle w:val="FootnoteText"/>
        <w:rPr>
          <w:lang w:val="en-GB"/>
        </w:rPr>
      </w:pPr>
      <w:r>
        <w:rPr>
          <w:rStyle w:val="FootnoteReference"/>
        </w:rPr>
        <w:footnoteRef/>
      </w:r>
      <w:r>
        <w:t xml:space="preserve"> </w:t>
      </w:r>
      <w:r>
        <w:tab/>
        <w:t>ibid</w:t>
      </w:r>
    </w:p>
  </w:footnote>
  <w:footnote w:id="92">
    <w:p w:rsidR="008B52D1" w:rsidRPr="00037DFC" w:rsidRDefault="008B52D1" w:rsidP="00832BBB">
      <w:pPr>
        <w:pStyle w:val="FootnoteText"/>
        <w:rPr>
          <w:lang w:val="en-GB"/>
        </w:rPr>
      </w:pPr>
      <w:r w:rsidRPr="00FD2498">
        <w:rPr>
          <w:rStyle w:val="FootnoteReference"/>
        </w:rPr>
        <w:footnoteRef/>
      </w:r>
      <w:r w:rsidRPr="00FD2498">
        <w:t xml:space="preserve"> </w:t>
      </w:r>
      <w:r w:rsidRPr="00FD2498">
        <w:tab/>
        <w:t>Hu</w:t>
      </w:r>
      <w:r>
        <w:t>man Rights Watch</w:t>
      </w:r>
      <w:r w:rsidRPr="00FD2498">
        <w:t xml:space="preserve"> “I just want him to live like other Jordanians</w:t>
      </w:r>
      <w:r>
        <w:t>: Treatment of Non-Citizen Children of Jordanian Mothers</w:t>
      </w:r>
      <w:r w:rsidRPr="00FD2498">
        <w:t>” (April 2018</w:t>
      </w:r>
      <w:r>
        <w:t>, report</w:t>
      </w:r>
      <w:r w:rsidRPr="00FD2498">
        <w:t>)</w:t>
      </w:r>
      <w:r>
        <w:t xml:space="preserve">, </w:t>
      </w:r>
      <w:r w:rsidRPr="00FD2498">
        <w:t>p.</w:t>
      </w:r>
      <w:r>
        <w:t xml:space="preserve"> 49</w:t>
      </w:r>
    </w:p>
  </w:footnote>
  <w:footnote w:id="93">
    <w:p w:rsidR="008B52D1" w:rsidRPr="0030110F" w:rsidRDefault="008B52D1">
      <w:pPr>
        <w:pStyle w:val="FootnoteText"/>
        <w:rPr>
          <w:lang w:val="en-GB"/>
        </w:rPr>
      </w:pPr>
      <w:r w:rsidRPr="00B51DBC">
        <w:rPr>
          <w:rStyle w:val="FootnoteReference"/>
        </w:rPr>
        <w:footnoteRef/>
      </w:r>
      <w:r w:rsidRPr="00B51DBC">
        <w:t xml:space="preserve"> </w:t>
      </w:r>
      <w:r w:rsidRPr="00B51DBC">
        <w:tab/>
        <w:t>Norwegian Refugee Council ‘Integrated Urban Shelter / ICLA Programme Evaluation in Jordan’ (2016)</w:t>
      </w:r>
    </w:p>
  </w:footnote>
  <w:footnote w:id="94">
    <w:p w:rsidR="008B52D1" w:rsidRDefault="008B52D1" w:rsidP="001227A6">
      <w:pPr>
        <w:pStyle w:val="FootnoteText"/>
        <w:rPr>
          <w:lang w:val="en-GB"/>
        </w:rPr>
      </w:pPr>
      <w:r>
        <w:rPr>
          <w:rStyle w:val="FootnoteReference"/>
        </w:rPr>
        <w:footnoteRef/>
      </w:r>
      <w:r>
        <w:t xml:space="preserve"> </w:t>
      </w:r>
      <w:r>
        <w:tab/>
        <w:t>Constitution Article 9(ii)</w:t>
      </w:r>
    </w:p>
  </w:footnote>
  <w:footnote w:id="95">
    <w:p w:rsidR="008B52D1" w:rsidRDefault="008B52D1" w:rsidP="001227A6">
      <w:pPr>
        <w:pStyle w:val="FootnoteText"/>
        <w:rPr>
          <w:lang w:val="en-GB"/>
        </w:rPr>
      </w:pPr>
      <w:r>
        <w:rPr>
          <w:rStyle w:val="FootnoteReference"/>
        </w:rPr>
        <w:footnoteRef/>
      </w:r>
      <w:r>
        <w:t xml:space="preserve"> </w:t>
      </w:r>
      <w:r>
        <w:tab/>
        <w:t>The Landlord-Tenant Law No. 30 of 2000</w:t>
      </w:r>
    </w:p>
  </w:footnote>
  <w:footnote w:id="96">
    <w:p w:rsidR="008B52D1" w:rsidRDefault="008B52D1" w:rsidP="001227A6">
      <w:pPr>
        <w:pStyle w:val="FootnoteText"/>
        <w:rPr>
          <w:lang w:val="en-GB"/>
        </w:rPr>
      </w:pPr>
      <w:r>
        <w:rPr>
          <w:rStyle w:val="FootnoteReference"/>
        </w:rPr>
        <w:footnoteRef/>
      </w:r>
      <w:r>
        <w:t xml:space="preserve"> </w:t>
      </w:r>
      <w:r>
        <w:tab/>
        <w:t>Court of Cassation, Case No. 289/88</w:t>
      </w:r>
    </w:p>
  </w:footnote>
  <w:footnote w:id="97">
    <w:p w:rsidR="008B52D1" w:rsidRDefault="008B52D1" w:rsidP="001227A6">
      <w:pPr>
        <w:pStyle w:val="FootnoteText"/>
        <w:rPr>
          <w:lang w:val="en-GB"/>
        </w:rPr>
      </w:pPr>
      <w:r>
        <w:rPr>
          <w:rStyle w:val="FootnoteReference"/>
        </w:rPr>
        <w:footnoteRef/>
      </w:r>
      <w:r>
        <w:t xml:space="preserve"> </w:t>
      </w:r>
      <w:r>
        <w:tab/>
        <w:t xml:space="preserve">Civil Code Articles 684, 685 and 667; </w:t>
      </w:r>
      <w:proofErr w:type="spellStart"/>
      <w:r>
        <w:t>Malkawi</w:t>
      </w:r>
      <w:proofErr w:type="spellEnd"/>
      <w:r>
        <w:t xml:space="preserve"> p.7</w:t>
      </w:r>
    </w:p>
  </w:footnote>
  <w:footnote w:id="98">
    <w:p w:rsidR="008B52D1" w:rsidRDefault="008B52D1" w:rsidP="001227A6">
      <w:pPr>
        <w:pStyle w:val="FootnoteText"/>
        <w:rPr>
          <w:lang w:val="en-GB"/>
        </w:rPr>
      </w:pPr>
      <w:r>
        <w:rPr>
          <w:rStyle w:val="FootnoteReference"/>
        </w:rPr>
        <w:footnoteRef/>
      </w:r>
      <w:r>
        <w:t xml:space="preserve"> </w:t>
      </w:r>
      <w:r>
        <w:tab/>
        <w:t xml:space="preserve">Civil Code Article 710; </w:t>
      </w:r>
      <w:proofErr w:type="spellStart"/>
      <w:r>
        <w:t>Malkawi</w:t>
      </w:r>
      <w:proofErr w:type="spellEnd"/>
      <w:r>
        <w:t xml:space="preserve"> p.17-18</w:t>
      </w:r>
    </w:p>
  </w:footnote>
  <w:footnote w:id="99">
    <w:p w:rsidR="008B52D1" w:rsidRDefault="008B52D1" w:rsidP="001227A6">
      <w:pPr>
        <w:pStyle w:val="FootnoteText"/>
        <w:rPr>
          <w:lang w:val="en-GB"/>
        </w:rPr>
      </w:pPr>
      <w:r>
        <w:rPr>
          <w:rStyle w:val="FootnoteReference"/>
        </w:rPr>
        <w:footnoteRef/>
      </w:r>
      <w:r>
        <w:t xml:space="preserve"> </w:t>
      </w:r>
      <w:r>
        <w:tab/>
        <w:t xml:space="preserve">Landlord-Tenant Law Articles 5(c)(1) and (2); </w:t>
      </w:r>
      <w:proofErr w:type="spellStart"/>
      <w:r>
        <w:t>Malkawi</w:t>
      </w:r>
      <w:proofErr w:type="spellEnd"/>
      <w:r>
        <w:t xml:space="preserve"> p.18-19</w:t>
      </w:r>
    </w:p>
  </w:footnote>
  <w:footnote w:id="100">
    <w:p w:rsidR="008B52D1" w:rsidRPr="006178EC" w:rsidRDefault="008B52D1" w:rsidP="001227A6">
      <w:pPr>
        <w:pStyle w:val="FootnoteText"/>
        <w:rPr>
          <w:lang w:val="en-GB"/>
        </w:rPr>
      </w:pPr>
      <w:r>
        <w:rPr>
          <w:rStyle w:val="FootnoteReference"/>
        </w:rPr>
        <w:footnoteRef/>
      </w:r>
      <w:r>
        <w:t xml:space="preserve"> </w:t>
      </w:r>
      <w:r>
        <w:tab/>
      </w:r>
      <w:proofErr w:type="spellStart"/>
      <w:r>
        <w:t>Malkawi</w:t>
      </w:r>
      <w:proofErr w:type="spellEnd"/>
      <w:r>
        <w:t xml:space="preserve"> pp.21-22; Simeon </w:t>
      </w:r>
      <w:proofErr w:type="spellStart"/>
      <w:r>
        <w:t>Djankov</w:t>
      </w:r>
      <w:proofErr w:type="spellEnd"/>
      <w:r>
        <w:t>, Rafael La Porta, Florencio Lopez-de-Silanes and Andrei Shleifer, '</w:t>
      </w:r>
      <w:r w:rsidRPr="005543C2">
        <w:t>Courts: The Lex Mundi Project</w:t>
      </w:r>
      <w:r>
        <w:t>' NBER Working Paper No. 8890 (April 2002) &lt;</w:t>
      </w:r>
      <w:hyperlink r:id="rId48" w:history="1">
        <w:r w:rsidRPr="00E47F08">
          <w:rPr>
            <w:rStyle w:val="Hyperlink"/>
          </w:rPr>
          <w:t>https://www.nber.org/papers/w8890.pdf</w:t>
        </w:r>
      </w:hyperlink>
      <w:r>
        <w:t>&gt; (accessed 9 July 2019)</w:t>
      </w:r>
    </w:p>
  </w:footnote>
  <w:footnote w:id="101">
    <w:p w:rsidR="008B52D1" w:rsidRDefault="008B52D1" w:rsidP="001227A6">
      <w:pPr>
        <w:pStyle w:val="FootnoteText"/>
        <w:rPr>
          <w:lang w:val="en-GB"/>
        </w:rPr>
      </w:pPr>
      <w:r>
        <w:rPr>
          <w:rStyle w:val="FootnoteReference"/>
        </w:rPr>
        <w:footnoteRef/>
      </w:r>
      <w:r>
        <w:t xml:space="preserve"> </w:t>
      </w:r>
      <w:r>
        <w:tab/>
      </w:r>
      <w:proofErr w:type="spellStart"/>
      <w:r>
        <w:t>Malkawi</w:t>
      </w:r>
      <w:proofErr w:type="spellEnd"/>
      <w:r>
        <w:t xml:space="preserve"> p.21-22</w:t>
      </w:r>
    </w:p>
  </w:footnote>
  <w:footnote w:id="102">
    <w:p w:rsidR="008B52D1" w:rsidRDefault="008B52D1" w:rsidP="001227A6">
      <w:pPr>
        <w:pStyle w:val="FootnoteText"/>
        <w:rPr>
          <w:lang w:val="en-GB"/>
        </w:rPr>
      </w:pPr>
      <w:r>
        <w:rPr>
          <w:rStyle w:val="FootnoteReference"/>
        </w:rPr>
        <w:footnoteRef/>
      </w:r>
      <w:r>
        <w:t xml:space="preserve"> </w:t>
      </w:r>
      <w:r>
        <w:tab/>
        <w:t>Constitution Article 11</w:t>
      </w:r>
    </w:p>
  </w:footnote>
  <w:footnote w:id="103">
    <w:p w:rsidR="008B52D1" w:rsidRDefault="008B52D1" w:rsidP="001227A6">
      <w:pPr>
        <w:pStyle w:val="FootnoteText"/>
        <w:rPr>
          <w:lang w:val="en-GB"/>
        </w:rPr>
      </w:pPr>
      <w:r>
        <w:rPr>
          <w:rStyle w:val="FootnoteReference"/>
        </w:rPr>
        <w:footnoteRef/>
      </w:r>
      <w:r>
        <w:t xml:space="preserve"> </w:t>
      </w:r>
      <w:r>
        <w:tab/>
        <w:t>USAID Profile p.15</w:t>
      </w:r>
    </w:p>
  </w:footnote>
  <w:footnote w:id="104">
    <w:p w:rsidR="008B52D1" w:rsidRPr="00C63346" w:rsidRDefault="008B52D1">
      <w:pPr>
        <w:pStyle w:val="FootnoteText"/>
        <w:rPr>
          <w:lang w:val="en-GB"/>
        </w:rPr>
      </w:pPr>
      <w:r>
        <w:rPr>
          <w:rStyle w:val="FootnoteReference"/>
        </w:rPr>
        <w:footnoteRef/>
      </w:r>
      <w:r>
        <w:t xml:space="preserve"> </w:t>
      </w:r>
      <w:r>
        <w:tab/>
        <w:t>Constitution Article 11</w:t>
      </w:r>
    </w:p>
  </w:footnote>
  <w:footnote w:id="105">
    <w:p w:rsidR="008B52D1" w:rsidRPr="00D105EF" w:rsidRDefault="008B52D1" w:rsidP="00C30C1A">
      <w:pPr>
        <w:pStyle w:val="FootnoteText"/>
        <w:rPr>
          <w:i/>
          <w:lang w:val="en-GB"/>
        </w:rPr>
      </w:pPr>
      <w:r>
        <w:rPr>
          <w:rStyle w:val="FootnoteReference"/>
        </w:rPr>
        <w:footnoteRef/>
      </w:r>
      <w:r>
        <w:t xml:space="preserve"> </w:t>
      </w:r>
      <w:r>
        <w:tab/>
        <w:t xml:space="preserve">Naomi Johnstone, </w:t>
      </w:r>
      <w:r w:rsidRPr="008A2248">
        <w:t>'</w:t>
      </w:r>
      <w:r w:rsidRPr="00D105EF">
        <w:t>Tribal Dispute Re</w:t>
      </w:r>
      <w:r>
        <w:t>solution and Women's Access to Justice in Jordan' (2015) WANA Institute &lt;</w:t>
      </w:r>
      <w:hyperlink r:id="rId49" w:history="1">
        <w:r w:rsidRPr="00121696">
          <w:rPr>
            <w:rStyle w:val="Hyperlink"/>
          </w:rPr>
          <w:t>http://wanainstitute.org/sites/default/files/publications/Tribal%20Dispute%20Resolution%20and%20Women%E2%80%99s%20Access%20to%20Justice%20in%20Jordan.pdf</w:t>
        </w:r>
      </w:hyperlink>
      <w:r>
        <w:t>&gt; (accessed 9 September 2019), p.6.</w:t>
      </w:r>
    </w:p>
  </w:footnote>
  <w:footnote w:id="106">
    <w:p w:rsidR="008B52D1" w:rsidRPr="00D105EF" w:rsidRDefault="008B52D1" w:rsidP="00C30C1A">
      <w:pPr>
        <w:pStyle w:val="FootnoteText"/>
        <w:rPr>
          <w:lang w:val="en-GB"/>
        </w:rPr>
      </w:pPr>
      <w:r>
        <w:rPr>
          <w:rStyle w:val="FootnoteReference"/>
        </w:rPr>
        <w:footnoteRef/>
      </w:r>
      <w:r>
        <w:t xml:space="preserve"> </w:t>
      </w:r>
      <w:r>
        <w:tab/>
        <w:t xml:space="preserve">Johnstone pp.14-16; Ann </w:t>
      </w:r>
      <w:proofErr w:type="spellStart"/>
      <w:r>
        <w:t>Furr</w:t>
      </w:r>
      <w:proofErr w:type="spellEnd"/>
      <w:r>
        <w:t xml:space="preserve"> and </w:t>
      </w:r>
      <w:proofErr w:type="spellStart"/>
      <w:r>
        <w:t>Muwafaq</w:t>
      </w:r>
      <w:proofErr w:type="spellEnd"/>
      <w:r>
        <w:t xml:space="preserve"> Al-</w:t>
      </w:r>
      <w:proofErr w:type="spellStart"/>
      <w:r>
        <w:t>Serhan</w:t>
      </w:r>
      <w:proofErr w:type="spellEnd"/>
      <w:r>
        <w:t xml:space="preserve">, </w:t>
      </w:r>
      <w:r w:rsidRPr="008A2248">
        <w:t>'Tribal Customary Law in Jordan</w:t>
      </w:r>
      <w:r w:rsidRPr="00D105EF">
        <w:t>'</w:t>
      </w:r>
      <w:r>
        <w:t xml:space="preserve"> (2008) South Carolina Journal of International Law and Business, Vol 3 </w:t>
      </w:r>
      <w:proofErr w:type="spellStart"/>
      <w:r>
        <w:t>Iss</w:t>
      </w:r>
      <w:proofErr w:type="spellEnd"/>
      <w:r>
        <w:t xml:space="preserve"> 2 Article 3, pp.23-26 &lt;</w:t>
      </w:r>
      <w:hyperlink r:id="rId50" w:history="1">
        <w:r w:rsidRPr="00121696">
          <w:rPr>
            <w:rStyle w:val="Hyperlink"/>
          </w:rPr>
          <w:t>https://scholarcommons.sc.edu/cgi/viewcontent.cgi?article=1055&amp;context=scjilb</w:t>
        </w:r>
      </w:hyperlink>
      <w:r>
        <w:t xml:space="preserve">&gt; (accessed 9 September 2019); </w:t>
      </w:r>
    </w:p>
  </w:footnote>
  <w:footnote w:id="107">
    <w:p w:rsidR="008B52D1" w:rsidRPr="00D105EF" w:rsidRDefault="008B52D1" w:rsidP="00C30C1A">
      <w:pPr>
        <w:pStyle w:val="FootnoteText"/>
        <w:rPr>
          <w:lang w:val="en-GB"/>
        </w:rPr>
      </w:pPr>
      <w:r>
        <w:rPr>
          <w:rStyle w:val="FootnoteReference"/>
        </w:rPr>
        <w:footnoteRef/>
      </w:r>
      <w:r>
        <w:t xml:space="preserve"> </w:t>
      </w:r>
      <w:r>
        <w:tab/>
        <w:t xml:space="preserve">Johnstone pp.14-16; </w:t>
      </w:r>
      <w:proofErr w:type="spellStart"/>
      <w:r>
        <w:t>Furr</w:t>
      </w:r>
      <w:proofErr w:type="spellEnd"/>
      <w:r>
        <w:t xml:space="preserve"> and Al-</w:t>
      </w:r>
      <w:proofErr w:type="spellStart"/>
      <w:r>
        <w:t>Serhan</w:t>
      </w:r>
      <w:proofErr w:type="spellEnd"/>
      <w:r>
        <w:t xml:space="preserve"> pp.23-26.</w:t>
      </w:r>
    </w:p>
  </w:footnote>
  <w:footnote w:id="108">
    <w:p w:rsidR="008B52D1" w:rsidRPr="00D105EF" w:rsidRDefault="008B52D1" w:rsidP="00C30C1A">
      <w:pPr>
        <w:pStyle w:val="FootnoteText"/>
        <w:rPr>
          <w:lang w:val="en-GB"/>
        </w:rPr>
      </w:pPr>
      <w:r>
        <w:rPr>
          <w:rStyle w:val="FootnoteReference"/>
        </w:rPr>
        <w:footnoteRef/>
      </w:r>
      <w:r>
        <w:t xml:space="preserve"> </w:t>
      </w:r>
      <w:r>
        <w:tab/>
        <w:t xml:space="preserve">Dana </w:t>
      </w:r>
      <w:proofErr w:type="spellStart"/>
      <w:r>
        <w:t>Gibreel</w:t>
      </w:r>
      <w:proofErr w:type="spellEnd"/>
      <w:r>
        <w:t>, 'Is tribal custom above the law?' for 7iber (16 May 2016) &lt;</w:t>
      </w:r>
      <w:hyperlink r:id="rId51" w:history="1">
        <w:r w:rsidRPr="00121696">
          <w:rPr>
            <w:rStyle w:val="Hyperlink"/>
          </w:rPr>
          <w:t>https://www.7iber.com/society/is-tribal-custom-above-the-law/</w:t>
        </w:r>
      </w:hyperlink>
      <w:r>
        <w:t>&gt; (accessed 9 September 2019)</w:t>
      </w:r>
    </w:p>
  </w:footnote>
  <w:footnote w:id="109">
    <w:p w:rsidR="008B52D1" w:rsidRPr="00A11C3A" w:rsidRDefault="008B52D1">
      <w:pPr>
        <w:pStyle w:val="FootnoteText"/>
        <w:rPr>
          <w:lang w:val="en-GB"/>
        </w:rPr>
      </w:pPr>
      <w:r>
        <w:rPr>
          <w:rStyle w:val="FootnoteReference"/>
        </w:rPr>
        <w:footnoteRef/>
      </w:r>
      <w:r>
        <w:t xml:space="preserve"> </w:t>
      </w:r>
      <w:r>
        <w:tab/>
        <w:t xml:space="preserve">Mohammed Ghazal and Laila </w:t>
      </w:r>
      <w:proofErr w:type="spellStart"/>
      <w:r>
        <w:t>Azzeh</w:t>
      </w:r>
      <w:proofErr w:type="spellEnd"/>
      <w:r>
        <w:t>, '</w:t>
      </w:r>
      <w:r>
        <w:rPr>
          <w:i/>
        </w:rPr>
        <w:t>Collapse of Amman buildings blamed on unlicensed extra floors, 'soak pits'</w:t>
      </w:r>
      <w:r>
        <w:t>' The Jordan Times (Amman, 22 January 2017 &lt;</w:t>
      </w:r>
      <w:hyperlink r:id="rId52" w:history="1">
        <w:r w:rsidRPr="00717417">
          <w:rPr>
            <w:rStyle w:val="Hyperlink"/>
          </w:rPr>
          <w:t>http://www.jordantimes.com/news/local/collapse-amman-buildings-blamed-unlicensed-extra-floors-soak-pits%E2%80%99</w:t>
        </w:r>
      </w:hyperlink>
      <w:r>
        <w:t>&gt; (accessed 19 September 2019)</w:t>
      </w:r>
    </w:p>
  </w:footnote>
  <w:footnote w:id="110">
    <w:p w:rsidR="008B52D1" w:rsidRPr="00DC3C1C" w:rsidRDefault="008B52D1">
      <w:pPr>
        <w:pStyle w:val="FootnoteText"/>
        <w:rPr>
          <w:lang w:val="en-GB"/>
        </w:rPr>
      </w:pPr>
      <w:r>
        <w:rPr>
          <w:rStyle w:val="FootnoteReference"/>
        </w:rPr>
        <w:footnoteRef/>
      </w:r>
      <w:r>
        <w:t xml:space="preserve"> </w:t>
      </w:r>
      <w:r>
        <w:tab/>
        <w:t xml:space="preserve">Civil Code Articles 684, 685 and 667; </w:t>
      </w:r>
      <w:proofErr w:type="spellStart"/>
      <w:r>
        <w:t>Malkawi</w:t>
      </w:r>
      <w:proofErr w:type="spellEnd"/>
      <w:r>
        <w:t xml:space="preserve"> p.7</w:t>
      </w:r>
    </w:p>
  </w:footnote>
  <w:footnote w:id="111">
    <w:p w:rsidR="008B52D1" w:rsidRPr="005753EA" w:rsidRDefault="008B52D1" w:rsidP="00F3657D">
      <w:pPr>
        <w:pStyle w:val="FootnoteText"/>
        <w:rPr>
          <w:lang w:val="en-GB"/>
        </w:rPr>
      </w:pPr>
      <w:r>
        <w:rPr>
          <w:rStyle w:val="FootnoteReference"/>
        </w:rPr>
        <w:footnoteRef/>
      </w:r>
      <w:r>
        <w:t xml:space="preserve"> </w:t>
      </w:r>
      <w:r>
        <w:tab/>
        <w:t>Global Shelter Cluster, infographic on active shelter clusters &lt;</w:t>
      </w:r>
      <w:hyperlink r:id="rId53" w:history="1">
        <w:r w:rsidRPr="00E47F08">
          <w:rPr>
            <w:rStyle w:val="Hyperlink"/>
          </w:rPr>
          <w:t>https://www.sheltercluster.org/</w:t>
        </w:r>
      </w:hyperlink>
      <w:r>
        <w:t xml:space="preserve">&gt; (accessed 9  July 2019) </w:t>
      </w:r>
    </w:p>
  </w:footnote>
  <w:footnote w:id="112">
    <w:p w:rsidR="008B52D1" w:rsidRPr="004F5CAA" w:rsidRDefault="008B52D1">
      <w:pPr>
        <w:pStyle w:val="FootnoteText"/>
        <w:rPr>
          <w:lang w:val="en-GB"/>
        </w:rPr>
      </w:pPr>
      <w:r>
        <w:rPr>
          <w:rStyle w:val="FootnoteReference"/>
        </w:rPr>
        <w:footnoteRef/>
      </w:r>
      <w:r>
        <w:t xml:space="preserve"> </w:t>
      </w:r>
      <w:r>
        <w:tab/>
        <w:t>Constitution Article 124</w:t>
      </w:r>
    </w:p>
  </w:footnote>
  <w:footnote w:id="113">
    <w:p w:rsidR="008B52D1" w:rsidRPr="004F5CAA" w:rsidRDefault="008B52D1">
      <w:pPr>
        <w:pStyle w:val="FootnoteText"/>
        <w:rPr>
          <w:lang w:val="en-GB"/>
        </w:rPr>
      </w:pPr>
      <w:r>
        <w:rPr>
          <w:rStyle w:val="FootnoteReference"/>
        </w:rPr>
        <w:footnoteRef/>
      </w:r>
      <w:r>
        <w:t xml:space="preserve"> </w:t>
      </w:r>
      <w:r>
        <w:tab/>
        <w:t>General Directorate on Civil Defence, ‘Analytical Study on Legislations Effective in the Hashemite Kingdom of Jordan Related to Disasters &amp; Disaster Management’ &lt;</w:t>
      </w:r>
      <w:hyperlink r:id="rId54" w:history="1">
        <w:r w:rsidRPr="00B125F0">
          <w:rPr>
            <w:rStyle w:val="Hyperlink"/>
          </w:rPr>
          <w:t>https://www.preventionweb.net/files/31204_legislativerevision28englishedition.pdf</w:t>
        </w:r>
      </w:hyperlink>
      <w:r>
        <w:t xml:space="preserve">&gt; (accessed 7 August 2019); Jordan </w:t>
      </w:r>
      <w:r w:rsidRPr="0097271B">
        <w:t>National Natural Disaster Risk Reduction Strategy 2019-22</w:t>
      </w:r>
      <w:r>
        <w:t xml:space="preserve"> &lt;</w:t>
      </w:r>
      <w:hyperlink r:id="rId55" w:history="1">
        <w:r w:rsidRPr="00B125F0">
          <w:rPr>
            <w:rStyle w:val="Hyperlink"/>
          </w:rPr>
          <w:t>http://www.jo.undp.org/content/jordan/en/home/library/NationalNaturalDisasterRiskReductionStrategy.html</w:t>
        </w:r>
      </w:hyperlink>
      <w:r>
        <w:t>&gt; (accessed 7 August 2019)</w:t>
      </w:r>
    </w:p>
  </w:footnote>
  <w:footnote w:id="114">
    <w:p w:rsidR="008B52D1" w:rsidRPr="00C4771C" w:rsidRDefault="008B52D1">
      <w:pPr>
        <w:pStyle w:val="FootnoteText"/>
        <w:rPr>
          <w:lang w:val="en-GB"/>
        </w:rPr>
      </w:pPr>
      <w:r>
        <w:rPr>
          <w:rStyle w:val="FootnoteReference"/>
        </w:rPr>
        <w:footnoteRef/>
      </w:r>
      <w:r>
        <w:t xml:space="preserve"> </w:t>
      </w:r>
      <w:r>
        <w:tab/>
        <w:t>Constitution Article 125</w:t>
      </w:r>
    </w:p>
  </w:footnote>
  <w:footnote w:id="115">
    <w:p w:rsidR="008B52D1" w:rsidRPr="00C4771C" w:rsidRDefault="008B52D1">
      <w:pPr>
        <w:pStyle w:val="FootnoteText"/>
        <w:rPr>
          <w:lang w:val="en-GB"/>
        </w:rPr>
      </w:pPr>
      <w:r>
        <w:rPr>
          <w:rStyle w:val="FootnoteReference"/>
        </w:rPr>
        <w:footnoteRef/>
      </w:r>
      <w:r>
        <w:t xml:space="preserve"> </w:t>
      </w:r>
      <w:r>
        <w:tab/>
        <w:t>GDCD Disaster Management study; Jordan Disaster Strategy 2019-22</w:t>
      </w:r>
    </w:p>
  </w:footnote>
  <w:footnote w:id="116">
    <w:p w:rsidR="008B52D1" w:rsidRPr="00C918F6" w:rsidRDefault="008B52D1">
      <w:pPr>
        <w:pStyle w:val="FootnoteText"/>
        <w:rPr>
          <w:lang w:val="en-GB"/>
        </w:rPr>
      </w:pPr>
      <w:r>
        <w:rPr>
          <w:rStyle w:val="FootnoteReference"/>
        </w:rPr>
        <w:footnoteRef/>
      </w:r>
      <w:r>
        <w:t xml:space="preserve"> </w:t>
      </w:r>
      <w:r>
        <w:tab/>
        <w:t>GDCD Disaster Management study; Jordan Disaster Strategy 2019-22</w:t>
      </w:r>
    </w:p>
  </w:footnote>
  <w:footnote w:id="117">
    <w:p w:rsidR="008B52D1" w:rsidRPr="00C4771C" w:rsidRDefault="008B52D1">
      <w:pPr>
        <w:pStyle w:val="FootnoteText"/>
        <w:rPr>
          <w:lang w:val="en-GB"/>
        </w:rPr>
      </w:pPr>
      <w:r>
        <w:rPr>
          <w:rStyle w:val="FootnoteReference"/>
        </w:rPr>
        <w:footnoteRef/>
      </w:r>
      <w:r>
        <w:t xml:space="preserve"> </w:t>
      </w:r>
      <w:r>
        <w:tab/>
        <w:t>Jordan Disaster Strategy 2019-22</w:t>
      </w:r>
    </w:p>
  </w:footnote>
  <w:footnote w:id="118">
    <w:p w:rsidR="008B52D1" w:rsidRPr="00850B5E" w:rsidRDefault="008B52D1">
      <w:pPr>
        <w:pStyle w:val="FootnoteText"/>
        <w:rPr>
          <w:lang w:val="en-GB"/>
        </w:rPr>
      </w:pPr>
      <w:r>
        <w:rPr>
          <w:rStyle w:val="FootnoteReference"/>
        </w:rPr>
        <w:footnoteRef/>
      </w:r>
      <w:r>
        <w:t xml:space="preserve"> </w:t>
      </w:r>
      <w:r>
        <w:tab/>
        <w:t>Shelter Projects, ‘Shelter Projects 2013 – 2014’ (2014) &lt;</w:t>
      </w:r>
      <w:hyperlink r:id="rId56" w:history="1">
        <w:r w:rsidRPr="00B125F0">
          <w:rPr>
            <w:rStyle w:val="Hyperlink"/>
          </w:rPr>
          <w:t>http://shelterprojects.org/shelterprojects2013-2014/Shelterprojects_2013-14_Lowres_WEB.pdf</w:t>
        </w:r>
      </w:hyperlink>
      <w:r>
        <w:t>&gt; (accessed 7 August 2019) page 39</w:t>
      </w:r>
    </w:p>
  </w:footnote>
  <w:footnote w:id="119">
    <w:p w:rsidR="008B52D1" w:rsidRPr="00645741" w:rsidRDefault="008B52D1">
      <w:pPr>
        <w:pStyle w:val="FootnoteText"/>
        <w:rPr>
          <w:lang w:val="en-GB"/>
        </w:rPr>
      </w:pPr>
      <w:r>
        <w:rPr>
          <w:rStyle w:val="FootnoteReference"/>
        </w:rPr>
        <w:footnoteRef/>
      </w:r>
      <w:r>
        <w:t xml:space="preserve"> </w:t>
      </w:r>
      <w:r>
        <w:tab/>
        <w:t>Housing and Urban Development Corporation website &lt;</w:t>
      </w:r>
      <w:hyperlink r:id="rId57" w:history="1">
        <w:r w:rsidRPr="00B125F0">
          <w:rPr>
            <w:rStyle w:val="Hyperlink"/>
          </w:rPr>
          <w:t>https://jordan.gov.jo/wps/portal/Home/GovernmentEntities/Ministries/Ministry/Ministry%20of%20Public%20Works%20and%20Housing/Housing%20and%20Urban%20Development%20Corporation?current=true&amp;nameEntity=Housing%20and%20Urban%20Development%20Corporation&amp;entityType=sub</w:t>
        </w:r>
      </w:hyperlink>
      <w:r>
        <w:t xml:space="preserve">&gt; (accessed 6 August 2019) </w:t>
      </w:r>
    </w:p>
  </w:footnote>
  <w:footnote w:id="120">
    <w:p w:rsidR="008B52D1" w:rsidRPr="00645741" w:rsidRDefault="008B52D1">
      <w:pPr>
        <w:pStyle w:val="FootnoteText"/>
        <w:rPr>
          <w:lang w:val="en-GB"/>
        </w:rPr>
      </w:pPr>
      <w:r>
        <w:rPr>
          <w:rStyle w:val="FootnoteReference"/>
        </w:rPr>
        <w:footnoteRef/>
      </w:r>
      <w:r>
        <w:t xml:space="preserve"> </w:t>
      </w:r>
      <w:r>
        <w:tab/>
        <w:t>Ministry of Public Works and Housing website &lt;</w:t>
      </w:r>
      <w:hyperlink r:id="rId58" w:history="1">
        <w:r w:rsidRPr="00B125F0">
          <w:rPr>
            <w:rStyle w:val="Hyperlink"/>
          </w:rPr>
          <w:t>https://jordan.gov.jo/wps/portal/Home/GovernmentEntities/Ministries/Ministry/Ministry%20of%20Public%20Works%20and%20Housing?nameEntity=Ministry%20of%20Public%20Works%20and%20Housing&amp;entityType=ministry</w:t>
        </w:r>
      </w:hyperlink>
      <w:r>
        <w:t>&gt; (accessed 6 August 2019)</w:t>
      </w:r>
      <w:r w:rsidRPr="00645741">
        <w:rPr>
          <w:lang w:val="en-GB"/>
        </w:rPr>
        <w:t xml:space="preserve"> </w:t>
      </w:r>
    </w:p>
  </w:footnote>
  <w:footnote w:id="121">
    <w:p w:rsidR="008B52D1" w:rsidRPr="00DE666B" w:rsidRDefault="008B52D1">
      <w:pPr>
        <w:pStyle w:val="FootnoteText"/>
        <w:rPr>
          <w:lang w:val="en-GB"/>
        </w:rPr>
      </w:pPr>
      <w:r>
        <w:rPr>
          <w:rStyle w:val="FootnoteReference"/>
        </w:rPr>
        <w:footnoteRef/>
      </w:r>
      <w:r>
        <w:t xml:space="preserve"> </w:t>
      </w:r>
      <w:r>
        <w:tab/>
        <w:t>Jordan Disaster Strategy 2019-2</w:t>
      </w:r>
      <w:r w:rsidRPr="00271127">
        <w:t>2; Urban Humanitarian Response, ‘A</w:t>
      </w:r>
      <w:r>
        <w:t>mman, Jordan: Disaster Risk Management Profile’ (July 2006) &lt;</w:t>
      </w:r>
      <w:hyperlink r:id="rId59" w:history="1">
        <w:r w:rsidRPr="000A5749">
          <w:rPr>
            <w:rStyle w:val="Hyperlink"/>
          </w:rPr>
          <w:t>https://www.urban-response.org/system/files/content/resource/files/main/cp-amman-july2006.pdf</w:t>
        </w:r>
      </w:hyperlink>
      <w:r>
        <w:t>&gt; (accessed 9 August 2019)</w:t>
      </w:r>
      <w:r w:rsidRPr="00DE666B">
        <w:rPr>
          <w:lang w:val="en-GB"/>
        </w:rPr>
        <w:t xml:space="preserve"> </w:t>
      </w:r>
    </w:p>
  </w:footnote>
  <w:footnote w:id="122">
    <w:p w:rsidR="008B52D1" w:rsidRPr="00DE666B" w:rsidRDefault="008B52D1">
      <w:pPr>
        <w:pStyle w:val="FootnoteText"/>
        <w:rPr>
          <w:lang w:val="en-GB"/>
        </w:rPr>
      </w:pPr>
      <w:r>
        <w:rPr>
          <w:rStyle w:val="FootnoteReference"/>
        </w:rPr>
        <w:footnoteRef/>
      </w:r>
      <w:r>
        <w:t xml:space="preserve"> </w:t>
      </w:r>
      <w:r>
        <w:tab/>
        <w:t>Jordan Disaster Strategy 2019-2</w:t>
      </w:r>
      <w:r w:rsidRPr="00271127">
        <w:t>2</w:t>
      </w:r>
    </w:p>
  </w:footnote>
  <w:footnote w:id="123">
    <w:p w:rsidR="008B52D1" w:rsidRPr="00DE666B" w:rsidRDefault="008B52D1">
      <w:pPr>
        <w:pStyle w:val="FootnoteText"/>
        <w:rPr>
          <w:lang w:val="en-GB"/>
        </w:rPr>
      </w:pPr>
      <w:r>
        <w:rPr>
          <w:rStyle w:val="FootnoteReference"/>
        </w:rPr>
        <w:footnoteRef/>
      </w:r>
      <w:r>
        <w:t xml:space="preserve"> </w:t>
      </w:r>
      <w:r>
        <w:tab/>
      </w:r>
      <w:r w:rsidRPr="00271127">
        <w:t>Shelter Projects report pp.35-6, 39</w:t>
      </w:r>
    </w:p>
  </w:footnote>
  <w:footnote w:id="124">
    <w:p w:rsidR="008B52D1" w:rsidRPr="009263AE" w:rsidRDefault="008B52D1">
      <w:pPr>
        <w:pStyle w:val="FootnoteText"/>
        <w:rPr>
          <w:lang w:val="en-GB"/>
        </w:rPr>
      </w:pPr>
      <w:r>
        <w:rPr>
          <w:rStyle w:val="FootnoteReference"/>
        </w:rPr>
        <w:footnoteRef/>
      </w:r>
      <w:r>
        <w:t xml:space="preserve"> </w:t>
      </w:r>
      <w:r>
        <w:tab/>
        <w:t>General Directorate of the Civil Defence, ‘</w:t>
      </w:r>
      <w:r w:rsidRPr="009263AE">
        <w:t>National Comprehensive Plan</w:t>
      </w:r>
      <w:r>
        <w:t xml:space="preserve"> for Encountering Emergencies &amp; Disasters for the Year of 2003’ (2003) &lt;</w:t>
      </w:r>
      <w:hyperlink r:id="rId60" w:history="1">
        <w:r w:rsidRPr="000A5749">
          <w:rPr>
            <w:rStyle w:val="Hyperlink"/>
          </w:rPr>
          <w:t>https://www.preventionweb.net/files/21867_jordan.pdf</w:t>
        </w:r>
      </w:hyperlink>
      <w:r>
        <w:t>&gt; (accessed 9 August 2019)</w:t>
      </w:r>
    </w:p>
  </w:footnote>
  <w:footnote w:id="125">
    <w:p w:rsidR="008B52D1" w:rsidRPr="00D105EF" w:rsidRDefault="008B52D1">
      <w:pPr>
        <w:pStyle w:val="FootnoteText"/>
        <w:rPr>
          <w:lang w:val="en-GB"/>
        </w:rPr>
      </w:pPr>
      <w:r>
        <w:rPr>
          <w:rStyle w:val="FootnoteReference"/>
        </w:rPr>
        <w:footnoteRef/>
      </w:r>
      <w:r>
        <w:t xml:space="preserve"> </w:t>
      </w:r>
      <w:r>
        <w:tab/>
        <w:t>National Centre for Human Rights, 'Care and Protection Homes of the Ministry of Social Development' &lt;</w:t>
      </w:r>
      <w:hyperlink r:id="rId61" w:history="1">
        <w:r w:rsidRPr="00121696">
          <w:rPr>
            <w:rStyle w:val="Hyperlink"/>
          </w:rPr>
          <w:t>http://www.nchr.org.jo/User_Site/Site/View_Article.aspx?type=2&amp;ID=1663</w:t>
        </w:r>
      </w:hyperlink>
      <w:r>
        <w:t>&gt; (accessed 9 September 2019)</w:t>
      </w:r>
    </w:p>
  </w:footnote>
  <w:footnote w:id="126">
    <w:p w:rsidR="008B52D1" w:rsidRPr="009263AE" w:rsidRDefault="008B52D1" w:rsidP="00271127">
      <w:pPr>
        <w:pStyle w:val="FootnoteText"/>
        <w:rPr>
          <w:lang w:val="en-GB"/>
        </w:rPr>
      </w:pPr>
      <w:r>
        <w:rPr>
          <w:rStyle w:val="FootnoteReference"/>
        </w:rPr>
        <w:footnoteRef/>
      </w:r>
      <w:r>
        <w:t xml:space="preserve"> </w:t>
      </w:r>
      <w:r>
        <w:tab/>
        <w:t>International Federation of the Red Crescent, ‘Jordan National Red Crescent Society’ &lt;</w:t>
      </w:r>
      <w:hyperlink r:id="rId62" w:history="1">
        <w:r w:rsidRPr="000A5749">
          <w:rPr>
            <w:rStyle w:val="Hyperlink"/>
          </w:rPr>
          <w:t>https://www.ifrc.org/en/what-we-do/where-we-work/middle-east-and-north-africa/jordan-national-red-crescent-society/</w:t>
        </w:r>
      </w:hyperlink>
      <w:r>
        <w:t>&gt; (accessed 9 August 2019)</w:t>
      </w:r>
    </w:p>
  </w:footnote>
  <w:footnote w:id="127">
    <w:p w:rsidR="008B52D1" w:rsidRPr="009263AE" w:rsidRDefault="008B52D1">
      <w:pPr>
        <w:pStyle w:val="FootnoteText"/>
        <w:rPr>
          <w:lang w:val="en-GB"/>
        </w:rPr>
      </w:pPr>
      <w:r>
        <w:rPr>
          <w:rStyle w:val="FootnoteReference"/>
        </w:rPr>
        <w:footnoteRef/>
      </w:r>
      <w:r>
        <w:t xml:space="preserve"> </w:t>
      </w:r>
      <w:r>
        <w:tab/>
        <w:t>International Federation of the Red Crescent, ‘First Displaced People Arrive in Red Crescent Camp in Jordan from Iraq’ (20 March 2003) &lt;</w:t>
      </w:r>
      <w:hyperlink r:id="rId63" w:history="1">
        <w:r w:rsidRPr="000A5749">
          <w:rPr>
            <w:rStyle w:val="Hyperlink"/>
          </w:rPr>
          <w:t>https://www.ifrc.org/en/news-and-media/press-releases/middle-east-and-north-africa/jordan/first-displaced-people-arrive-at-red-crescent-camp-in-jordan-from-iraq/</w:t>
        </w:r>
      </w:hyperlink>
      <w:r>
        <w:t>&gt; (accessed 9 August 2019); International Federation of the Red Crescent, ‘Red Crescent Cash Support Offers Lifeline to Syrian Refugees in Jordan’ (29 September 2016) &lt;</w:t>
      </w:r>
      <w:hyperlink r:id="rId64" w:history="1">
        <w:r w:rsidRPr="000A5749">
          <w:rPr>
            <w:rStyle w:val="Hyperlink"/>
          </w:rPr>
          <w:t>https://www.ifrc.org/en/news-and-media/news-stories/middle-east-and-north-africa/jordan/red-crescent-cash-support-offers-lifeline-to-syrian-refugee-families-in-jordan-72558/</w:t>
        </w:r>
      </w:hyperlink>
      <w:r>
        <w:t>&gt; (accessed 9 August 2019)</w:t>
      </w:r>
    </w:p>
  </w:footnote>
  <w:footnote w:id="128">
    <w:p w:rsidR="008B52D1" w:rsidRPr="00D105EF" w:rsidRDefault="008B52D1">
      <w:pPr>
        <w:pStyle w:val="FootnoteText"/>
        <w:rPr>
          <w:lang w:val="en-GB"/>
        </w:rPr>
      </w:pPr>
      <w:r>
        <w:rPr>
          <w:rStyle w:val="FootnoteReference"/>
        </w:rPr>
        <w:footnoteRef/>
      </w:r>
      <w:r>
        <w:t xml:space="preserve"> </w:t>
      </w:r>
      <w:r>
        <w:tab/>
        <w:t>Extract of Jordanian government statistics from 2015 Census: Distribution of Occupied Housing Units by Private or Collective Households by Type of Tenure, Type of Housing Unit, Urban/ Rural and Governorate &lt;</w:t>
      </w:r>
      <w:hyperlink r:id="rId65" w:history="1">
        <w:r>
          <w:rPr>
            <w:rStyle w:val="Hyperlink"/>
          </w:rPr>
          <w:t>http://dosweb.dos.gov.jo/censuses/population_housing/census2015/census2015_tables/</w:t>
        </w:r>
      </w:hyperlink>
      <w:r>
        <w:rPr>
          <w:rStyle w:val="Hyperlink"/>
        </w:rPr>
        <w:t>&gt; (accessed on 9 September 2019)</w:t>
      </w:r>
    </w:p>
  </w:footnote>
  <w:footnote w:id="129">
    <w:p w:rsidR="008B52D1" w:rsidRPr="00AC699D" w:rsidRDefault="008B52D1">
      <w:pPr>
        <w:pStyle w:val="FootnoteText"/>
        <w:rPr>
          <w:lang w:val="en-GB"/>
        </w:rPr>
      </w:pPr>
      <w:r>
        <w:rPr>
          <w:rStyle w:val="FootnoteReference"/>
        </w:rPr>
        <w:footnoteRef/>
      </w:r>
      <w:r>
        <w:t xml:space="preserve"> </w:t>
      </w:r>
      <w:r>
        <w:tab/>
        <w:t xml:space="preserve">CIA </w:t>
      </w:r>
      <w:proofErr w:type="spellStart"/>
      <w:r>
        <w:t>Factbook</w:t>
      </w:r>
      <w:proofErr w:type="spellEnd"/>
    </w:p>
  </w:footnote>
  <w:footnote w:id="130">
    <w:p w:rsidR="008B52D1" w:rsidRPr="00FA1F90" w:rsidRDefault="008B52D1" w:rsidP="00A906CD">
      <w:pPr>
        <w:pStyle w:val="FootnoteText"/>
        <w:rPr>
          <w:lang w:val="en-GB"/>
        </w:rPr>
      </w:pPr>
      <w:r>
        <w:rPr>
          <w:rStyle w:val="FootnoteReference"/>
        </w:rPr>
        <w:footnoteRef/>
      </w:r>
      <w:r>
        <w:t xml:space="preserve"> </w:t>
      </w:r>
      <w:r>
        <w:tab/>
        <w:t>Norwegian Refugee Council, ‘NRC in Jordan’ &lt;</w:t>
      </w:r>
      <w:hyperlink r:id="rId66" w:history="1">
        <w:r w:rsidRPr="000A5749">
          <w:rPr>
            <w:rStyle w:val="Hyperlink"/>
          </w:rPr>
          <w:t>https://www.nrc.no/countries/middle-east/jordan/</w:t>
        </w:r>
      </w:hyperlink>
      <w:r>
        <w:t>&gt; (accessed 8 August 2019); Shelter Working Group, ‘Jordan’ &lt;</w:t>
      </w:r>
      <w:hyperlink r:id="rId67" w:history="1">
        <w:r w:rsidRPr="000A5749">
          <w:rPr>
            <w:rStyle w:val="Hyperlink"/>
          </w:rPr>
          <w:t>https://data2.unhcr.org/en/working-group/52</w:t>
        </w:r>
      </w:hyperlink>
      <w:r>
        <w:t>&gt; and &lt;</w:t>
      </w:r>
      <w:hyperlink r:id="rId68" w:history="1">
        <w:r w:rsidRPr="000A5749">
          <w:rPr>
            <w:rStyle w:val="Hyperlink"/>
          </w:rPr>
          <w:t>https://reliefweb.int/report/jordan/seeking-shelter-jordan-s-cities-housing-security-and-urban-humanitarianism-syria</w:t>
        </w:r>
      </w:hyperlink>
      <w:r>
        <w:t xml:space="preserve">&gt;  (both accessed 8 August 2019) </w:t>
      </w:r>
    </w:p>
  </w:footnote>
  <w:footnote w:id="131">
    <w:p w:rsidR="008B52D1" w:rsidRPr="00AB2F29" w:rsidRDefault="008B52D1" w:rsidP="005E3054">
      <w:pPr>
        <w:pStyle w:val="FootnoteText"/>
        <w:rPr>
          <w:lang w:val="en-GB"/>
        </w:rPr>
      </w:pPr>
      <w:r>
        <w:rPr>
          <w:rStyle w:val="FootnoteReference"/>
        </w:rPr>
        <w:footnoteRef/>
      </w:r>
      <w:r>
        <w:t xml:space="preserve"> </w:t>
      </w:r>
      <w:r>
        <w:tab/>
        <w:t>NRC; World Habitat Award, ‘</w:t>
      </w:r>
      <w:r w:rsidRPr="00696DCC">
        <w:t>Urban Shelter Project</w:t>
      </w:r>
      <w:r>
        <w:t>’ (2016) &lt;</w:t>
      </w:r>
      <w:hyperlink r:id="rId69" w:anchor="award-content" w:history="1">
        <w:r w:rsidRPr="000A5749">
          <w:rPr>
            <w:rStyle w:val="Hyperlink"/>
          </w:rPr>
          <w:t>https://www.world-habitat.org/world-habitat-awards/winners-and-finalists/urban-shelter-project/#award-content</w:t>
        </w:r>
      </w:hyperlink>
      <w:r>
        <w:t>&gt; (accessed 8 August 2019)</w:t>
      </w:r>
    </w:p>
  </w:footnote>
  <w:footnote w:id="132">
    <w:p w:rsidR="008B52D1" w:rsidRPr="00474E7B" w:rsidRDefault="008B52D1" w:rsidP="00474E7B">
      <w:pPr>
        <w:pStyle w:val="FootnoteText"/>
      </w:pPr>
      <w:r>
        <w:rPr>
          <w:rStyle w:val="FootnoteReference"/>
        </w:rPr>
        <w:footnoteRef/>
      </w:r>
      <w:r>
        <w:t xml:space="preserve"> </w:t>
      </w:r>
      <w:r>
        <w:tab/>
        <w:t>International Catholic Migration Commission &lt;</w:t>
      </w:r>
      <w:hyperlink r:id="rId70" w:history="1">
        <w:r w:rsidRPr="000A5749">
          <w:rPr>
            <w:rStyle w:val="Hyperlink"/>
          </w:rPr>
          <w:t>https://www.icmc.net/programs/humanitarian-assistance-to-syrian-refugees-and-host-communities-in-jordan</w:t>
        </w:r>
      </w:hyperlink>
      <w:r>
        <w:t>&gt; (accessed 8 August 2019); Caritas Jordan &lt;</w:t>
      </w:r>
      <w:hyperlink r:id="rId71" w:history="1">
        <w:r w:rsidRPr="000A5749">
          <w:rPr>
            <w:rStyle w:val="Hyperlink"/>
          </w:rPr>
          <w:t>https://www.caritas.org/where-caritas-work/middle-east-and-north-africa/jordan/</w:t>
        </w:r>
      </w:hyperlink>
      <w:r>
        <w:t>&gt; and &lt;</w:t>
      </w:r>
      <w:hyperlink r:id="rId72" w:history="1">
        <w:r w:rsidRPr="000A5749">
          <w:rPr>
            <w:rStyle w:val="Hyperlink"/>
          </w:rPr>
          <w:t>https://reliefweb.int/report/jordan/seeking-shelter-jordan-s-cities-housing-security-and-urban-humanitarianism-syria</w:t>
        </w:r>
      </w:hyperlink>
      <w:r>
        <w:t xml:space="preserve">&gt; (both accessed 8 August 2019); Première </w:t>
      </w:r>
      <w:proofErr w:type="spellStart"/>
      <w:r>
        <w:t>Urgence</w:t>
      </w:r>
      <w:proofErr w:type="spellEnd"/>
      <w:r>
        <w:t xml:space="preserve"> Internationale – Jordan &lt;</w:t>
      </w:r>
      <w:hyperlink r:id="rId73" w:history="1">
        <w:r w:rsidRPr="000A5749">
          <w:rPr>
            <w:rStyle w:val="Hyperlink"/>
          </w:rPr>
          <w:t>https://www.premiere-urgence.org/en/mission/jordan/</w:t>
        </w:r>
      </w:hyperlink>
      <w:r>
        <w:t xml:space="preserve">&gt; (accessed 8 August 2019); </w:t>
      </w:r>
      <w:proofErr w:type="spellStart"/>
      <w:r>
        <w:t>Medair</w:t>
      </w:r>
      <w:proofErr w:type="spellEnd"/>
      <w:r>
        <w:t xml:space="preserve"> Jordan &lt;</w:t>
      </w:r>
      <w:hyperlink r:id="rId74" w:history="1">
        <w:r w:rsidRPr="000A5749">
          <w:rPr>
            <w:rStyle w:val="Hyperlink"/>
          </w:rPr>
          <w:t>https://www.medair.org/jordan/</w:t>
        </w:r>
      </w:hyperlink>
      <w:r>
        <w:t>&gt; (accessed 8 August 2019); International Orthodox Christian Charities – Jordan &lt;</w:t>
      </w:r>
      <w:hyperlink r:id="rId75" w:history="1">
        <w:r w:rsidRPr="00121696">
          <w:rPr>
            <w:rStyle w:val="Hyperlink"/>
          </w:rPr>
          <w:t>https://iocc.org/where-we-work/jordan</w:t>
        </w:r>
      </w:hyperlink>
      <w:r>
        <w:t xml:space="preserve">&gt; (accessed 9 September 2019; and </w:t>
      </w:r>
      <w:proofErr w:type="spellStart"/>
      <w:r>
        <w:t>Intersos</w:t>
      </w:r>
      <w:proofErr w:type="spellEnd"/>
      <w:r>
        <w:t xml:space="preserve"> &lt;</w:t>
      </w:r>
      <w:hyperlink r:id="rId76" w:history="1">
        <w:r w:rsidRPr="00121696">
          <w:rPr>
            <w:rStyle w:val="Hyperlink"/>
          </w:rPr>
          <w:t>https://www.intersos.org/en/what-we-do/jordan/</w:t>
        </w:r>
      </w:hyperlink>
      <w:r>
        <w:t>&gt; (accessed 9 September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2D1" w:rsidRDefault="008B5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2D1" w:rsidRDefault="008B5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2D1" w:rsidRDefault="008B52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2D1" w:rsidRDefault="008B52D1" w:rsidP="00E80A1D">
    <w:pPr>
      <w:pStyle w:val="Header"/>
      <w:jc w:val="center"/>
    </w:pPr>
    <w:r>
      <w:t xml:space="preserve">- </w:t>
    </w:r>
    <w:r>
      <w:fldChar w:fldCharType="begin"/>
    </w:r>
    <w:r>
      <w:instrText xml:space="preserve"> PAGE  \* MERGEFORMAT </w:instrText>
    </w:r>
    <w:r>
      <w:fldChar w:fldCharType="separate"/>
    </w:r>
    <w:r w:rsidR="00C14302">
      <w:rPr>
        <w:noProof/>
      </w:rPr>
      <w:t>21</w:t>
    </w:r>
    <w:r>
      <w:fldChar w:fldCharType="end"/>
    </w:r>
    <w:r>
      <w:t xml:space="preserve"> -</w:t>
    </w:r>
  </w:p>
  <w:p w:rsidR="008B52D1" w:rsidRDefault="008B52D1" w:rsidP="00E80A1D">
    <w:pPr>
      <w:pStyle w:val="Header"/>
    </w:pPr>
  </w:p>
  <w:p w:rsidR="008B52D1" w:rsidRDefault="008B5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4F7D"/>
    <w:multiLevelType w:val="multilevel"/>
    <w:tmpl w:val="21D65680"/>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73B5547"/>
    <w:multiLevelType w:val="hybridMultilevel"/>
    <w:tmpl w:val="A888E40E"/>
    <w:lvl w:ilvl="0" w:tplc="4E42B04C">
      <w:start w:val="1"/>
      <w:numFmt w:val="upperLetter"/>
      <w:pStyle w:val="Recitals"/>
      <w:lvlText w:val="(%1)"/>
      <w:lvlJc w:val="left"/>
      <w:pPr>
        <w:tabs>
          <w:tab w:val="num" w:pos="709"/>
        </w:tabs>
        <w:ind w:left="709" w:hanging="709"/>
      </w:pPr>
      <w:rPr>
        <w:rFonts w:hint="default"/>
      </w:rPr>
    </w:lvl>
    <w:lvl w:ilvl="1" w:tplc="D5DE5F8E" w:tentative="1">
      <w:start w:val="1"/>
      <w:numFmt w:val="lowerLetter"/>
      <w:lvlText w:val="%2."/>
      <w:lvlJc w:val="left"/>
      <w:pPr>
        <w:tabs>
          <w:tab w:val="num" w:pos="1440"/>
        </w:tabs>
        <w:ind w:left="1440" w:hanging="360"/>
      </w:pPr>
    </w:lvl>
    <w:lvl w:ilvl="2" w:tplc="3BCC4BA6" w:tentative="1">
      <w:start w:val="1"/>
      <w:numFmt w:val="lowerRoman"/>
      <w:lvlText w:val="%3."/>
      <w:lvlJc w:val="right"/>
      <w:pPr>
        <w:tabs>
          <w:tab w:val="num" w:pos="2160"/>
        </w:tabs>
        <w:ind w:left="2160" w:hanging="180"/>
      </w:pPr>
    </w:lvl>
    <w:lvl w:ilvl="3" w:tplc="A3D819CA" w:tentative="1">
      <w:start w:val="1"/>
      <w:numFmt w:val="decimal"/>
      <w:lvlText w:val="%4."/>
      <w:lvlJc w:val="left"/>
      <w:pPr>
        <w:tabs>
          <w:tab w:val="num" w:pos="2880"/>
        </w:tabs>
        <w:ind w:left="2880" w:hanging="360"/>
      </w:pPr>
    </w:lvl>
    <w:lvl w:ilvl="4" w:tplc="AC1EA050" w:tentative="1">
      <w:start w:val="1"/>
      <w:numFmt w:val="lowerLetter"/>
      <w:lvlText w:val="%5."/>
      <w:lvlJc w:val="left"/>
      <w:pPr>
        <w:tabs>
          <w:tab w:val="num" w:pos="3600"/>
        </w:tabs>
        <w:ind w:left="3600" w:hanging="360"/>
      </w:pPr>
    </w:lvl>
    <w:lvl w:ilvl="5" w:tplc="C742A9BC" w:tentative="1">
      <w:start w:val="1"/>
      <w:numFmt w:val="lowerRoman"/>
      <w:lvlText w:val="%6."/>
      <w:lvlJc w:val="right"/>
      <w:pPr>
        <w:tabs>
          <w:tab w:val="num" w:pos="4320"/>
        </w:tabs>
        <w:ind w:left="4320" w:hanging="180"/>
      </w:pPr>
    </w:lvl>
    <w:lvl w:ilvl="6" w:tplc="03148D74" w:tentative="1">
      <w:start w:val="1"/>
      <w:numFmt w:val="decimal"/>
      <w:lvlText w:val="%7."/>
      <w:lvlJc w:val="left"/>
      <w:pPr>
        <w:tabs>
          <w:tab w:val="num" w:pos="5040"/>
        </w:tabs>
        <w:ind w:left="5040" w:hanging="360"/>
      </w:pPr>
    </w:lvl>
    <w:lvl w:ilvl="7" w:tplc="1F86D76A" w:tentative="1">
      <w:start w:val="1"/>
      <w:numFmt w:val="lowerLetter"/>
      <w:lvlText w:val="%8."/>
      <w:lvlJc w:val="left"/>
      <w:pPr>
        <w:tabs>
          <w:tab w:val="num" w:pos="5760"/>
        </w:tabs>
        <w:ind w:left="5760" w:hanging="360"/>
      </w:pPr>
    </w:lvl>
    <w:lvl w:ilvl="8" w:tplc="827A1EAA" w:tentative="1">
      <w:start w:val="1"/>
      <w:numFmt w:val="lowerRoman"/>
      <w:lvlText w:val="%9."/>
      <w:lvlJc w:val="right"/>
      <w:pPr>
        <w:tabs>
          <w:tab w:val="num" w:pos="6480"/>
        </w:tabs>
        <w:ind w:left="6480" w:hanging="180"/>
      </w:pPr>
    </w:lvl>
  </w:abstractNum>
  <w:abstractNum w:abstractNumId="2" w15:restartNumberingAfterBreak="0">
    <w:nsid w:val="1998034E"/>
    <w:multiLevelType w:val="hybridMultilevel"/>
    <w:tmpl w:val="B78E76CA"/>
    <w:lvl w:ilvl="0" w:tplc="5BC0601C">
      <w:start w:val="1"/>
      <w:numFmt w:val="decimal"/>
      <w:pStyle w:val="TOC4"/>
      <w:lvlText w:val="%1."/>
      <w:lvlJc w:val="left"/>
      <w:pPr>
        <w:ind w:left="360" w:hanging="360"/>
      </w:pPr>
      <w:rPr>
        <w:rFonts w:ascii="Arial Bold" w:hAnsi="Arial Bold" w:hint="default"/>
        <w:b/>
        <w:i w:val="0"/>
        <w:sz w:val="21"/>
      </w:rPr>
    </w:lvl>
    <w:lvl w:ilvl="1" w:tplc="7B1C6862" w:tentative="1">
      <w:start w:val="1"/>
      <w:numFmt w:val="lowerLetter"/>
      <w:lvlText w:val="%2."/>
      <w:lvlJc w:val="left"/>
      <w:pPr>
        <w:ind w:left="3566" w:hanging="360"/>
      </w:pPr>
    </w:lvl>
    <w:lvl w:ilvl="2" w:tplc="0C94D86C" w:tentative="1">
      <w:start w:val="1"/>
      <w:numFmt w:val="lowerRoman"/>
      <w:lvlText w:val="%3."/>
      <w:lvlJc w:val="right"/>
      <w:pPr>
        <w:ind w:left="4286" w:hanging="180"/>
      </w:pPr>
    </w:lvl>
    <w:lvl w:ilvl="3" w:tplc="69369BFC" w:tentative="1">
      <w:start w:val="1"/>
      <w:numFmt w:val="decimal"/>
      <w:lvlText w:val="%4."/>
      <w:lvlJc w:val="left"/>
      <w:pPr>
        <w:ind w:left="5006" w:hanging="360"/>
      </w:pPr>
    </w:lvl>
    <w:lvl w:ilvl="4" w:tplc="B902FB2C" w:tentative="1">
      <w:start w:val="1"/>
      <w:numFmt w:val="lowerLetter"/>
      <w:lvlText w:val="%5."/>
      <w:lvlJc w:val="left"/>
      <w:pPr>
        <w:ind w:left="5726" w:hanging="360"/>
      </w:pPr>
    </w:lvl>
    <w:lvl w:ilvl="5" w:tplc="934EB922" w:tentative="1">
      <w:start w:val="1"/>
      <w:numFmt w:val="lowerRoman"/>
      <w:lvlText w:val="%6."/>
      <w:lvlJc w:val="right"/>
      <w:pPr>
        <w:ind w:left="6446" w:hanging="180"/>
      </w:pPr>
    </w:lvl>
    <w:lvl w:ilvl="6" w:tplc="004849DA" w:tentative="1">
      <w:start w:val="1"/>
      <w:numFmt w:val="decimal"/>
      <w:lvlText w:val="%7."/>
      <w:lvlJc w:val="left"/>
      <w:pPr>
        <w:ind w:left="7166" w:hanging="360"/>
      </w:pPr>
    </w:lvl>
    <w:lvl w:ilvl="7" w:tplc="968E6730" w:tentative="1">
      <w:start w:val="1"/>
      <w:numFmt w:val="lowerLetter"/>
      <w:lvlText w:val="%8."/>
      <w:lvlJc w:val="left"/>
      <w:pPr>
        <w:ind w:left="7886" w:hanging="360"/>
      </w:pPr>
    </w:lvl>
    <w:lvl w:ilvl="8" w:tplc="2AF8C306" w:tentative="1">
      <w:start w:val="1"/>
      <w:numFmt w:val="lowerRoman"/>
      <w:lvlText w:val="%9."/>
      <w:lvlJc w:val="right"/>
      <w:pPr>
        <w:ind w:left="8606" w:hanging="180"/>
      </w:pPr>
    </w:lvl>
  </w:abstractNum>
  <w:abstractNum w:abstractNumId="3"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74407F0"/>
    <w:multiLevelType w:val="hybridMultilevel"/>
    <w:tmpl w:val="B83C4AE8"/>
    <w:lvl w:ilvl="0" w:tplc="311A07E2">
      <w:start w:val="1"/>
      <w:numFmt w:val="decimal"/>
      <w:lvlText w:val="%1."/>
      <w:lvlJc w:val="left"/>
      <w:pPr>
        <w:ind w:left="394" w:hanging="360"/>
      </w:pPr>
    </w:lvl>
    <w:lvl w:ilvl="1" w:tplc="DCF68634" w:tentative="1">
      <w:start w:val="1"/>
      <w:numFmt w:val="lowerLetter"/>
      <w:lvlText w:val="%2."/>
      <w:lvlJc w:val="left"/>
      <w:pPr>
        <w:ind w:left="1114" w:hanging="360"/>
      </w:pPr>
    </w:lvl>
    <w:lvl w:ilvl="2" w:tplc="E5C2CF2E" w:tentative="1">
      <w:start w:val="1"/>
      <w:numFmt w:val="lowerRoman"/>
      <w:lvlText w:val="%3."/>
      <w:lvlJc w:val="right"/>
      <w:pPr>
        <w:ind w:left="1834" w:hanging="180"/>
      </w:pPr>
    </w:lvl>
    <w:lvl w:ilvl="3" w:tplc="AAA298A2" w:tentative="1">
      <w:start w:val="1"/>
      <w:numFmt w:val="decimal"/>
      <w:lvlText w:val="%4."/>
      <w:lvlJc w:val="left"/>
      <w:pPr>
        <w:ind w:left="2554" w:hanging="360"/>
      </w:pPr>
    </w:lvl>
    <w:lvl w:ilvl="4" w:tplc="2B7C869E" w:tentative="1">
      <w:start w:val="1"/>
      <w:numFmt w:val="lowerLetter"/>
      <w:lvlText w:val="%5."/>
      <w:lvlJc w:val="left"/>
      <w:pPr>
        <w:ind w:left="3274" w:hanging="360"/>
      </w:pPr>
    </w:lvl>
    <w:lvl w:ilvl="5" w:tplc="FE8A9DEA" w:tentative="1">
      <w:start w:val="1"/>
      <w:numFmt w:val="lowerRoman"/>
      <w:lvlText w:val="%6."/>
      <w:lvlJc w:val="right"/>
      <w:pPr>
        <w:ind w:left="3994" w:hanging="180"/>
      </w:pPr>
    </w:lvl>
    <w:lvl w:ilvl="6" w:tplc="B35EAEC2" w:tentative="1">
      <w:start w:val="1"/>
      <w:numFmt w:val="decimal"/>
      <w:lvlText w:val="%7."/>
      <w:lvlJc w:val="left"/>
      <w:pPr>
        <w:ind w:left="4714" w:hanging="360"/>
      </w:pPr>
    </w:lvl>
    <w:lvl w:ilvl="7" w:tplc="E110A0F6" w:tentative="1">
      <w:start w:val="1"/>
      <w:numFmt w:val="lowerLetter"/>
      <w:lvlText w:val="%8."/>
      <w:lvlJc w:val="left"/>
      <w:pPr>
        <w:ind w:left="5434" w:hanging="360"/>
      </w:pPr>
    </w:lvl>
    <w:lvl w:ilvl="8" w:tplc="9AA8A4BE" w:tentative="1">
      <w:start w:val="1"/>
      <w:numFmt w:val="lowerRoman"/>
      <w:lvlText w:val="%9."/>
      <w:lvlJc w:val="right"/>
      <w:pPr>
        <w:ind w:left="6154" w:hanging="180"/>
      </w:pPr>
    </w:lvl>
  </w:abstractNum>
  <w:abstractNum w:abstractNumId="5" w15:restartNumberingAfterBreak="0">
    <w:nsid w:val="28881D65"/>
    <w:multiLevelType w:val="hybridMultilevel"/>
    <w:tmpl w:val="CF6E5826"/>
    <w:lvl w:ilvl="0" w:tplc="4D867BFE">
      <w:start w:val="1"/>
      <w:numFmt w:val="bullet"/>
      <w:lvlText w:val=""/>
      <w:lvlJc w:val="left"/>
      <w:pPr>
        <w:ind w:left="720" w:hanging="360"/>
      </w:pPr>
      <w:rPr>
        <w:rFonts w:ascii="Wingdings" w:hAnsi="Wingdings" w:hint="default"/>
      </w:rPr>
    </w:lvl>
    <w:lvl w:ilvl="1" w:tplc="458C607E" w:tentative="1">
      <w:start w:val="1"/>
      <w:numFmt w:val="bullet"/>
      <w:lvlText w:val="o"/>
      <w:lvlJc w:val="left"/>
      <w:pPr>
        <w:ind w:left="1440" w:hanging="360"/>
      </w:pPr>
      <w:rPr>
        <w:rFonts w:ascii="Courier New" w:hAnsi="Courier New" w:cs="Courier New" w:hint="default"/>
      </w:rPr>
    </w:lvl>
    <w:lvl w:ilvl="2" w:tplc="4584395E" w:tentative="1">
      <w:start w:val="1"/>
      <w:numFmt w:val="bullet"/>
      <w:lvlText w:val=""/>
      <w:lvlJc w:val="left"/>
      <w:pPr>
        <w:ind w:left="2160" w:hanging="360"/>
      </w:pPr>
      <w:rPr>
        <w:rFonts w:ascii="Wingdings" w:hAnsi="Wingdings" w:hint="default"/>
      </w:rPr>
    </w:lvl>
    <w:lvl w:ilvl="3" w:tplc="3872F0A6" w:tentative="1">
      <w:start w:val="1"/>
      <w:numFmt w:val="bullet"/>
      <w:lvlText w:val=""/>
      <w:lvlJc w:val="left"/>
      <w:pPr>
        <w:ind w:left="2880" w:hanging="360"/>
      </w:pPr>
      <w:rPr>
        <w:rFonts w:ascii="Symbol" w:hAnsi="Symbol" w:hint="default"/>
      </w:rPr>
    </w:lvl>
    <w:lvl w:ilvl="4" w:tplc="B73AE470" w:tentative="1">
      <w:start w:val="1"/>
      <w:numFmt w:val="bullet"/>
      <w:lvlText w:val="o"/>
      <w:lvlJc w:val="left"/>
      <w:pPr>
        <w:ind w:left="3600" w:hanging="360"/>
      </w:pPr>
      <w:rPr>
        <w:rFonts w:ascii="Courier New" w:hAnsi="Courier New" w:cs="Courier New" w:hint="default"/>
      </w:rPr>
    </w:lvl>
    <w:lvl w:ilvl="5" w:tplc="25FA43F0" w:tentative="1">
      <w:start w:val="1"/>
      <w:numFmt w:val="bullet"/>
      <w:lvlText w:val=""/>
      <w:lvlJc w:val="left"/>
      <w:pPr>
        <w:ind w:left="4320" w:hanging="360"/>
      </w:pPr>
      <w:rPr>
        <w:rFonts w:ascii="Wingdings" w:hAnsi="Wingdings" w:hint="default"/>
      </w:rPr>
    </w:lvl>
    <w:lvl w:ilvl="6" w:tplc="CFDA983A" w:tentative="1">
      <w:start w:val="1"/>
      <w:numFmt w:val="bullet"/>
      <w:lvlText w:val=""/>
      <w:lvlJc w:val="left"/>
      <w:pPr>
        <w:ind w:left="5040" w:hanging="360"/>
      </w:pPr>
      <w:rPr>
        <w:rFonts w:ascii="Symbol" w:hAnsi="Symbol" w:hint="default"/>
      </w:rPr>
    </w:lvl>
    <w:lvl w:ilvl="7" w:tplc="67886A3C" w:tentative="1">
      <w:start w:val="1"/>
      <w:numFmt w:val="bullet"/>
      <w:lvlText w:val="o"/>
      <w:lvlJc w:val="left"/>
      <w:pPr>
        <w:ind w:left="5760" w:hanging="360"/>
      </w:pPr>
      <w:rPr>
        <w:rFonts w:ascii="Courier New" w:hAnsi="Courier New" w:cs="Courier New" w:hint="default"/>
      </w:rPr>
    </w:lvl>
    <w:lvl w:ilvl="8" w:tplc="0186EAA8" w:tentative="1">
      <w:start w:val="1"/>
      <w:numFmt w:val="bullet"/>
      <w:lvlText w:val=""/>
      <w:lvlJc w:val="left"/>
      <w:pPr>
        <w:ind w:left="6480" w:hanging="360"/>
      </w:pPr>
      <w:rPr>
        <w:rFonts w:ascii="Wingdings" w:hAnsi="Wingdings" w:hint="default"/>
      </w:rPr>
    </w:lvl>
  </w:abstractNum>
  <w:abstractNum w:abstractNumId="6" w15:restartNumberingAfterBreak="0">
    <w:nsid w:val="2BFF084C"/>
    <w:multiLevelType w:val="hybridMultilevel"/>
    <w:tmpl w:val="B83C4AE8"/>
    <w:lvl w:ilvl="0" w:tplc="AAF29720">
      <w:start w:val="1"/>
      <w:numFmt w:val="decimal"/>
      <w:lvlText w:val="%1."/>
      <w:lvlJc w:val="left"/>
      <w:pPr>
        <w:ind w:left="394" w:hanging="360"/>
      </w:pPr>
    </w:lvl>
    <w:lvl w:ilvl="1" w:tplc="3AE4BAD2" w:tentative="1">
      <w:start w:val="1"/>
      <w:numFmt w:val="lowerLetter"/>
      <w:lvlText w:val="%2."/>
      <w:lvlJc w:val="left"/>
      <w:pPr>
        <w:ind w:left="1114" w:hanging="360"/>
      </w:pPr>
    </w:lvl>
    <w:lvl w:ilvl="2" w:tplc="9C607980" w:tentative="1">
      <w:start w:val="1"/>
      <w:numFmt w:val="lowerRoman"/>
      <w:lvlText w:val="%3."/>
      <w:lvlJc w:val="right"/>
      <w:pPr>
        <w:ind w:left="1834" w:hanging="180"/>
      </w:pPr>
    </w:lvl>
    <w:lvl w:ilvl="3" w:tplc="A182AB46" w:tentative="1">
      <w:start w:val="1"/>
      <w:numFmt w:val="decimal"/>
      <w:lvlText w:val="%4."/>
      <w:lvlJc w:val="left"/>
      <w:pPr>
        <w:ind w:left="2554" w:hanging="360"/>
      </w:pPr>
    </w:lvl>
    <w:lvl w:ilvl="4" w:tplc="14FC65E8" w:tentative="1">
      <w:start w:val="1"/>
      <w:numFmt w:val="lowerLetter"/>
      <w:lvlText w:val="%5."/>
      <w:lvlJc w:val="left"/>
      <w:pPr>
        <w:ind w:left="3274" w:hanging="360"/>
      </w:pPr>
    </w:lvl>
    <w:lvl w:ilvl="5" w:tplc="0C822A06" w:tentative="1">
      <w:start w:val="1"/>
      <w:numFmt w:val="lowerRoman"/>
      <w:lvlText w:val="%6."/>
      <w:lvlJc w:val="right"/>
      <w:pPr>
        <w:ind w:left="3994" w:hanging="180"/>
      </w:pPr>
    </w:lvl>
    <w:lvl w:ilvl="6" w:tplc="AC6AE330" w:tentative="1">
      <w:start w:val="1"/>
      <w:numFmt w:val="decimal"/>
      <w:lvlText w:val="%7."/>
      <w:lvlJc w:val="left"/>
      <w:pPr>
        <w:ind w:left="4714" w:hanging="360"/>
      </w:pPr>
    </w:lvl>
    <w:lvl w:ilvl="7" w:tplc="54C2EAB0" w:tentative="1">
      <w:start w:val="1"/>
      <w:numFmt w:val="lowerLetter"/>
      <w:lvlText w:val="%8."/>
      <w:lvlJc w:val="left"/>
      <w:pPr>
        <w:ind w:left="5434" w:hanging="360"/>
      </w:pPr>
    </w:lvl>
    <w:lvl w:ilvl="8" w:tplc="FBC2E1B8" w:tentative="1">
      <w:start w:val="1"/>
      <w:numFmt w:val="lowerRoman"/>
      <w:lvlText w:val="%9."/>
      <w:lvlJc w:val="right"/>
      <w:pPr>
        <w:ind w:left="6154" w:hanging="180"/>
      </w:pPr>
    </w:lvl>
  </w:abstractNum>
  <w:abstractNum w:abstractNumId="7"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8" w15:restartNumberingAfterBreak="0">
    <w:nsid w:val="32232053"/>
    <w:multiLevelType w:val="hybridMultilevel"/>
    <w:tmpl w:val="88EA0D14"/>
    <w:lvl w:ilvl="0" w:tplc="690C82CE">
      <w:start w:val="1"/>
      <w:numFmt w:val="bullet"/>
      <w:lvlText w:val=""/>
      <w:lvlJc w:val="left"/>
      <w:pPr>
        <w:ind w:left="720" w:hanging="360"/>
      </w:pPr>
      <w:rPr>
        <w:rFonts w:ascii="Wingdings" w:hAnsi="Wingdings" w:hint="default"/>
      </w:rPr>
    </w:lvl>
    <w:lvl w:ilvl="1" w:tplc="BE6A7648" w:tentative="1">
      <w:start w:val="1"/>
      <w:numFmt w:val="bullet"/>
      <w:lvlText w:val="o"/>
      <w:lvlJc w:val="left"/>
      <w:pPr>
        <w:ind w:left="1440" w:hanging="360"/>
      </w:pPr>
      <w:rPr>
        <w:rFonts w:ascii="Courier New" w:hAnsi="Courier New" w:cs="Courier New" w:hint="default"/>
      </w:rPr>
    </w:lvl>
    <w:lvl w:ilvl="2" w:tplc="24543090" w:tentative="1">
      <w:start w:val="1"/>
      <w:numFmt w:val="bullet"/>
      <w:lvlText w:val=""/>
      <w:lvlJc w:val="left"/>
      <w:pPr>
        <w:ind w:left="2160" w:hanging="360"/>
      </w:pPr>
      <w:rPr>
        <w:rFonts w:ascii="Wingdings" w:hAnsi="Wingdings" w:hint="default"/>
      </w:rPr>
    </w:lvl>
    <w:lvl w:ilvl="3" w:tplc="6964BCC4" w:tentative="1">
      <w:start w:val="1"/>
      <w:numFmt w:val="bullet"/>
      <w:lvlText w:val=""/>
      <w:lvlJc w:val="left"/>
      <w:pPr>
        <w:ind w:left="2880" w:hanging="360"/>
      </w:pPr>
      <w:rPr>
        <w:rFonts w:ascii="Symbol" w:hAnsi="Symbol" w:hint="default"/>
      </w:rPr>
    </w:lvl>
    <w:lvl w:ilvl="4" w:tplc="28245D6A" w:tentative="1">
      <w:start w:val="1"/>
      <w:numFmt w:val="bullet"/>
      <w:lvlText w:val="o"/>
      <w:lvlJc w:val="left"/>
      <w:pPr>
        <w:ind w:left="3600" w:hanging="360"/>
      </w:pPr>
      <w:rPr>
        <w:rFonts w:ascii="Courier New" w:hAnsi="Courier New" w:cs="Courier New" w:hint="default"/>
      </w:rPr>
    </w:lvl>
    <w:lvl w:ilvl="5" w:tplc="04628A88" w:tentative="1">
      <w:start w:val="1"/>
      <w:numFmt w:val="bullet"/>
      <w:lvlText w:val=""/>
      <w:lvlJc w:val="left"/>
      <w:pPr>
        <w:ind w:left="4320" w:hanging="360"/>
      </w:pPr>
      <w:rPr>
        <w:rFonts w:ascii="Wingdings" w:hAnsi="Wingdings" w:hint="default"/>
      </w:rPr>
    </w:lvl>
    <w:lvl w:ilvl="6" w:tplc="E83E25E4" w:tentative="1">
      <w:start w:val="1"/>
      <w:numFmt w:val="bullet"/>
      <w:lvlText w:val=""/>
      <w:lvlJc w:val="left"/>
      <w:pPr>
        <w:ind w:left="5040" w:hanging="360"/>
      </w:pPr>
      <w:rPr>
        <w:rFonts w:ascii="Symbol" w:hAnsi="Symbol" w:hint="default"/>
      </w:rPr>
    </w:lvl>
    <w:lvl w:ilvl="7" w:tplc="1ADCC97A" w:tentative="1">
      <w:start w:val="1"/>
      <w:numFmt w:val="bullet"/>
      <w:lvlText w:val="o"/>
      <w:lvlJc w:val="left"/>
      <w:pPr>
        <w:ind w:left="5760" w:hanging="360"/>
      </w:pPr>
      <w:rPr>
        <w:rFonts w:ascii="Courier New" w:hAnsi="Courier New" w:cs="Courier New" w:hint="default"/>
      </w:rPr>
    </w:lvl>
    <w:lvl w:ilvl="8" w:tplc="F790F806" w:tentative="1">
      <w:start w:val="1"/>
      <w:numFmt w:val="bullet"/>
      <w:lvlText w:val=""/>
      <w:lvlJc w:val="left"/>
      <w:pPr>
        <w:ind w:left="6480" w:hanging="360"/>
      </w:pPr>
      <w:rPr>
        <w:rFonts w:ascii="Wingdings" w:hAnsi="Wingdings" w:hint="default"/>
      </w:rPr>
    </w:lvl>
  </w:abstractNum>
  <w:abstractNum w:abstractNumId="9"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027A7F"/>
    <w:multiLevelType w:val="hybridMultilevel"/>
    <w:tmpl w:val="4A0CFEB2"/>
    <w:lvl w:ilvl="0" w:tplc="961C5572">
      <w:start w:val="1"/>
      <w:numFmt w:val="bullet"/>
      <w:lvlText w:val=""/>
      <w:lvlJc w:val="left"/>
      <w:pPr>
        <w:ind w:left="1429" w:hanging="360"/>
      </w:pPr>
      <w:rPr>
        <w:rFonts w:ascii="Symbol" w:hAnsi="Symbol" w:hint="default"/>
      </w:rPr>
    </w:lvl>
    <w:lvl w:ilvl="1" w:tplc="6F28BD5C" w:tentative="1">
      <w:start w:val="1"/>
      <w:numFmt w:val="bullet"/>
      <w:lvlText w:val="o"/>
      <w:lvlJc w:val="left"/>
      <w:pPr>
        <w:ind w:left="2149" w:hanging="360"/>
      </w:pPr>
      <w:rPr>
        <w:rFonts w:ascii="Courier New" w:hAnsi="Courier New" w:cs="Courier New" w:hint="default"/>
      </w:rPr>
    </w:lvl>
    <w:lvl w:ilvl="2" w:tplc="E50E0CAE" w:tentative="1">
      <w:start w:val="1"/>
      <w:numFmt w:val="bullet"/>
      <w:lvlText w:val=""/>
      <w:lvlJc w:val="left"/>
      <w:pPr>
        <w:ind w:left="2869" w:hanging="360"/>
      </w:pPr>
      <w:rPr>
        <w:rFonts w:ascii="Wingdings" w:hAnsi="Wingdings" w:hint="default"/>
      </w:rPr>
    </w:lvl>
    <w:lvl w:ilvl="3" w:tplc="BD866672" w:tentative="1">
      <w:start w:val="1"/>
      <w:numFmt w:val="bullet"/>
      <w:lvlText w:val=""/>
      <w:lvlJc w:val="left"/>
      <w:pPr>
        <w:ind w:left="3589" w:hanging="360"/>
      </w:pPr>
      <w:rPr>
        <w:rFonts w:ascii="Symbol" w:hAnsi="Symbol" w:hint="default"/>
      </w:rPr>
    </w:lvl>
    <w:lvl w:ilvl="4" w:tplc="8D36DE4C" w:tentative="1">
      <w:start w:val="1"/>
      <w:numFmt w:val="bullet"/>
      <w:lvlText w:val="o"/>
      <w:lvlJc w:val="left"/>
      <w:pPr>
        <w:ind w:left="4309" w:hanging="360"/>
      </w:pPr>
      <w:rPr>
        <w:rFonts w:ascii="Courier New" w:hAnsi="Courier New" w:cs="Courier New" w:hint="default"/>
      </w:rPr>
    </w:lvl>
    <w:lvl w:ilvl="5" w:tplc="8B04B8E6" w:tentative="1">
      <w:start w:val="1"/>
      <w:numFmt w:val="bullet"/>
      <w:lvlText w:val=""/>
      <w:lvlJc w:val="left"/>
      <w:pPr>
        <w:ind w:left="5029" w:hanging="360"/>
      </w:pPr>
      <w:rPr>
        <w:rFonts w:ascii="Wingdings" w:hAnsi="Wingdings" w:hint="default"/>
      </w:rPr>
    </w:lvl>
    <w:lvl w:ilvl="6" w:tplc="ED5EDABC" w:tentative="1">
      <w:start w:val="1"/>
      <w:numFmt w:val="bullet"/>
      <w:lvlText w:val=""/>
      <w:lvlJc w:val="left"/>
      <w:pPr>
        <w:ind w:left="5749" w:hanging="360"/>
      </w:pPr>
      <w:rPr>
        <w:rFonts w:ascii="Symbol" w:hAnsi="Symbol" w:hint="default"/>
      </w:rPr>
    </w:lvl>
    <w:lvl w:ilvl="7" w:tplc="0804F0AE" w:tentative="1">
      <w:start w:val="1"/>
      <w:numFmt w:val="bullet"/>
      <w:lvlText w:val="o"/>
      <w:lvlJc w:val="left"/>
      <w:pPr>
        <w:ind w:left="6469" w:hanging="360"/>
      </w:pPr>
      <w:rPr>
        <w:rFonts w:ascii="Courier New" w:hAnsi="Courier New" w:cs="Courier New" w:hint="default"/>
      </w:rPr>
    </w:lvl>
    <w:lvl w:ilvl="8" w:tplc="CBA64B00" w:tentative="1">
      <w:start w:val="1"/>
      <w:numFmt w:val="bullet"/>
      <w:lvlText w:val=""/>
      <w:lvlJc w:val="left"/>
      <w:pPr>
        <w:ind w:left="7189" w:hanging="360"/>
      </w:pPr>
      <w:rPr>
        <w:rFonts w:ascii="Wingdings" w:hAnsi="Wingdings" w:hint="default"/>
      </w:rPr>
    </w:lvl>
  </w:abstractNum>
  <w:abstractNum w:abstractNumId="11" w15:restartNumberingAfterBreak="0">
    <w:nsid w:val="394E1FEA"/>
    <w:multiLevelType w:val="hybridMultilevel"/>
    <w:tmpl w:val="B83C4AE8"/>
    <w:lvl w:ilvl="0" w:tplc="0CDC9C86">
      <w:start w:val="1"/>
      <w:numFmt w:val="decimal"/>
      <w:lvlText w:val="%1."/>
      <w:lvlJc w:val="left"/>
      <w:pPr>
        <w:ind w:left="394" w:hanging="360"/>
      </w:pPr>
    </w:lvl>
    <w:lvl w:ilvl="1" w:tplc="40A42044" w:tentative="1">
      <w:start w:val="1"/>
      <w:numFmt w:val="lowerLetter"/>
      <w:lvlText w:val="%2."/>
      <w:lvlJc w:val="left"/>
      <w:pPr>
        <w:ind w:left="1114" w:hanging="360"/>
      </w:pPr>
    </w:lvl>
    <w:lvl w:ilvl="2" w:tplc="3A345484" w:tentative="1">
      <w:start w:val="1"/>
      <w:numFmt w:val="lowerRoman"/>
      <w:lvlText w:val="%3."/>
      <w:lvlJc w:val="right"/>
      <w:pPr>
        <w:ind w:left="1834" w:hanging="180"/>
      </w:pPr>
    </w:lvl>
    <w:lvl w:ilvl="3" w:tplc="B70856F4" w:tentative="1">
      <w:start w:val="1"/>
      <w:numFmt w:val="decimal"/>
      <w:lvlText w:val="%4."/>
      <w:lvlJc w:val="left"/>
      <w:pPr>
        <w:ind w:left="2554" w:hanging="360"/>
      </w:pPr>
    </w:lvl>
    <w:lvl w:ilvl="4" w:tplc="38BE36FE" w:tentative="1">
      <w:start w:val="1"/>
      <w:numFmt w:val="lowerLetter"/>
      <w:lvlText w:val="%5."/>
      <w:lvlJc w:val="left"/>
      <w:pPr>
        <w:ind w:left="3274" w:hanging="360"/>
      </w:pPr>
    </w:lvl>
    <w:lvl w:ilvl="5" w:tplc="19041E80" w:tentative="1">
      <w:start w:val="1"/>
      <w:numFmt w:val="lowerRoman"/>
      <w:lvlText w:val="%6."/>
      <w:lvlJc w:val="right"/>
      <w:pPr>
        <w:ind w:left="3994" w:hanging="180"/>
      </w:pPr>
    </w:lvl>
    <w:lvl w:ilvl="6" w:tplc="7E9A5BAC" w:tentative="1">
      <w:start w:val="1"/>
      <w:numFmt w:val="decimal"/>
      <w:lvlText w:val="%7."/>
      <w:lvlJc w:val="left"/>
      <w:pPr>
        <w:ind w:left="4714" w:hanging="360"/>
      </w:pPr>
    </w:lvl>
    <w:lvl w:ilvl="7" w:tplc="36AE34B2" w:tentative="1">
      <w:start w:val="1"/>
      <w:numFmt w:val="lowerLetter"/>
      <w:lvlText w:val="%8."/>
      <w:lvlJc w:val="left"/>
      <w:pPr>
        <w:ind w:left="5434" w:hanging="360"/>
      </w:pPr>
    </w:lvl>
    <w:lvl w:ilvl="8" w:tplc="0C56B3CC" w:tentative="1">
      <w:start w:val="1"/>
      <w:numFmt w:val="lowerRoman"/>
      <w:lvlText w:val="%9."/>
      <w:lvlJc w:val="right"/>
      <w:pPr>
        <w:ind w:left="6154" w:hanging="180"/>
      </w:pPr>
    </w:lvl>
  </w:abstractNum>
  <w:abstractNum w:abstractNumId="12" w15:restartNumberingAfterBreak="0">
    <w:nsid w:val="39733166"/>
    <w:multiLevelType w:val="hybridMultilevel"/>
    <w:tmpl w:val="3C865FF6"/>
    <w:lvl w:ilvl="0" w:tplc="DCBCB2A8">
      <w:start w:val="1"/>
      <w:numFmt w:val="decimal"/>
      <w:pStyle w:val="Parties"/>
      <w:lvlText w:val="(%1)"/>
      <w:lvlJc w:val="left"/>
      <w:pPr>
        <w:tabs>
          <w:tab w:val="num" w:pos="709"/>
        </w:tabs>
        <w:ind w:left="709" w:hanging="709"/>
      </w:pPr>
      <w:rPr>
        <w:rFonts w:hint="default"/>
      </w:rPr>
    </w:lvl>
    <w:lvl w:ilvl="1" w:tplc="4C9A0B72" w:tentative="1">
      <w:start w:val="1"/>
      <w:numFmt w:val="lowerLetter"/>
      <w:lvlText w:val="%2."/>
      <w:lvlJc w:val="left"/>
      <w:pPr>
        <w:tabs>
          <w:tab w:val="num" w:pos="1440"/>
        </w:tabs>
        <w:ind w:left="1440" w:hanging="360"/>
      </w:pPr>
    </w:lvl>
    <w:lvl w:ilvl="2" w:tplc="606C8ACC" w:tentative="1">
      <w:start w:val="1"/>
      <w:numFmt w:val="lowerRoman"/>
      <w:lvlText w:val="%3."/>
      <w:lvlJc w:val="right"/>
      <w:pPr>
        <w:tabs>
          <w:tab w:val="num" w:pos="2160"/>
        </w:tabs>
        <w:ind w:left="2160" w:hanging="180"/>
      </w:pPr>
    </w:lvl>
    <w:lvl w:ilvl="3" w:tplc="18F6FA66" w:tentative="1">
      <w:start w:val="1"/>
      <w:numFmt w:val="decimal"/>
      <w:lvlText w:val="%4."/>
      <w:lvlJc w:val="left"/>
      <w:pPr>
        <w:tabs>
          <w:tab w:val="num" w:pos="2880"/>
        </w:tabs>
        <w:ind w:left="2880" w:hanging="360"/>
      </w:pPr>
    </w:lvl>
    <w:lvl w:ilvl="4" w:tplc="AD4CC7F4" w:tentative="1">
      <w:start w:val="1"/>
      <w:numFmt w:val="lowerLetter"/>
      <w:lvlText w:val="%5."/>
      <w:lvlJc w:val="left"/>
      <w:pPr>
        <w:tabs>
          <w:tab w:val="num" w:pos="3600"/>
        </w:tabs>
        <w:ind w:left="3600" w:hanging="360"/>
      </w:pPr>
    </w:lvl>
    <w:lvl w:ilvl="5" w:tplc="62D031B0" w:tentative="1">
      <w:start w:val="1"/>
      <w:numFmt w:val="lowerRoman"/>
      <w:lvlText w:val="%6."/>
      <w:lvlJc w:val="right"/>
      <w:pPr>
        <w:tabs>
          <w:tab w:val="num" w:pos="4320"/>
        </w:tabs>
        <w:ind w:left="4320" w:hanging="180"/>
      </w:pPr>
    </w:lvl>
    <w:lvl w:ilvl="6" w:tplc="9288043A" w:tentative="1">
      <w:start w:val="1"/>
      <w:numFmt w:val="decimal"/>
      <w:lvlText w:val="%7."/>
      <w:lvlJc w:val="left"/>
      <w:pPr>
        <w:tabs>
          <w:tab w:val="num" w:pos="5040"/>
        </w:tabs>
        <w:ind w:left="5040" w:hanging="360"/>
      </w:pPr>
    </w:lvl>
    <w:lvl w:ilvl="7" w:tplc="90385CF4" w:tentative="1">
      <w:start w:val="1"/>
      <w:numFmt w:val="lowerLetter"/>
      <w:lvlText w:val="%8."/>
      <w:lvlJc w:val="left"/>
      <w:pPr>
        <w:tabs>
          <w:tab w:val="num" w:pos="5760"/>
        </w:tabs>
        <w:ind w:left="5760" w:hanging="360"/>
      </w:pPr>
    </w:lvl>
    <w:lvl w:ilvl="8" w:tplc="7812B89E" w:tentative="1">
      <w:start w:val="1"/>
      <w:numFmt w:val="lowerRoman"/>
      <w:lvlText w:val="%9."/>
      <w:lvlJc w:val="right"/>
      <w:pPr>
        <w:tabs>
          <w:tab w:val="num" w:pos="6480"/>
        </w:tabs>
        <w:ind w:left="6480" w:hanging="180"/>
      </w:pPr>
    </w:lvl>
  </w:abstractNum>
  <w:abstractNum w:abstractNumId="13" w15:restartNumberingAfterBreak="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14" w15:restartNumberingAfterBreak="0">
    <w:nsid w:val="3D5A7286"/>
    <w:multiLevelType w:val="multilevel"/>
    <w:tmpl w:val="87BA6D9C"/>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b w:val="0"/>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FDB6889"/>
    <w:multiLevelType w:val="hybridMultilevel"/>
    <w:tmpl w:val="37EE1E5C"/>
    <w:lvl w:ilvl="0" w:tplc="35E869DC">
      <w:start w:val="1"/>
      <w:numFmt w:val="bullet"/>
      <w:lvlText w:val=""/>
      <w:lvlJc w:val="left"/>
      <w:pPr>
        <w:ind w:left="720" w:hanging="360"/>
      </w:pPr>
      <w:rPr>
        <w:rFonts w:ascii="Symbol" w:hAnsi="Symbol" w:hint="default"/>
      </w:rPr>
    </w:lvl>
    <w:lvl w:ilvl="1" w:tplc="7D884A30" w:tentative="1">
      <w:start w:val="1"/>
      <w:numFmt w:val="bullet"/>
      <w:lvlText w:val="o"/>
      <w:lvlJc w:val="left"/>
      <w:pPr>
        <w:ind w:left="1440" w:hanging="360"/>
      </w:pPr>
      <w:rPr>
        <w:rFonts w:ascii="Courier New" w:hAnsi="Courier New" w:cs="Courier New" w:hint="default"/>
      </w:rPr>
    </w:lvl>
    <w:lvl w:ilvl="2" w:tplc="7E76D5F6" w:tentative="1">
      <w:start w:val="1"/>
      <w:numFmt w:val="bullet"/>
      <w:lvlText w:val=""/>
      <w:lvlJc w:val="left"/>
      <w:pPr>
        <w:ind w:left="2160" w:hanging="360"/>
      </w:pPr>
      <w:rPr>
        <w:rFonts w:ascii="Wingdings" w:hAnsi="Wingdings" w:hint="default"/>
      </w:rPr>
    </w:lvl>
    <w:lvl w:ilvl="3" w:tplc="DE34338A" w:tentative="1">
      <w:start w:val="1"/>
      <w:numFmt w:val="bullet"/>
      <w:lvlText w:val=""/>
      <w:lvlJc w:val="left"/>
      <w:pPr>
        <w:ind w:left="2880" w:hanging="360"/>
      </w:pPr>
      <w:rPr>
        <w:rFonts w:ascii="Symbol" w:hAnsi="Symbol" w:hint="default"/>
      </w:rPr>
    </w:lvl>
    <w:lvl w:ilvl="4" w:tplc="7B0039B2" w:tentative="1">
      <w:start w:val="1"/>
      <w:numFmt w:val="bullet"/>
      <w:lvlText w:val="o"/>
      <w:lvlJc w:val="left"/>
      <w:pPr>
        <w:ind w:left="3600" w:hanging="360"/>
      </w:pPr>
      <w:rPr>
        <w:rFonts w:ascii="Courier New" w:hAnsi="Courier New" w:cs="Courier New" w:hint="default"/>
      </w:rPr>
    </w:lvl>
    <w:lvl w:ilvl="5" w:tplc="C9BA6A32" w:tentative="1">
      <w:start w:val="1"/>
      <w:numFmt w:val="bullet"/>
      <w:lvlText w:val=""/>
      <w:lvlJc w:val="left"/>
      <w:pPr>
        <w:ind w:left="4320" w:hanging="360"/>
      </w:pPr>
      <w:rPr>
        <w:rFonts w:ascii="Wingdings" w:hAnsi="Wingdings" w:hint="default"/>
      </w:rPr>
    </w:lvl>
    <w:lvl w:ilvl="6" w:tplc="763C4330" w:tentative="1">
      <w:start w:val="1"/>
      <w:numFmt w:val="bullet"/>
      <w:lvlText w:val=""/>
      <w:lvlJc w:val="left"/>
      <w:pPr>
        <w:ind w:left="5040" w:hanging="360"/>
      </w:pPr>
      <w:rPr>
        <w:rFonts w:ascii="Symbol" w:hAnsi="Symbol" w:hint="default"/>
      </w:rPr>
    </w:lvl>
    <w:lvl w:ilvl="7" w:tplc="E910B234" w:tentative="1">
      <w:start w:val="1"/>
      <w:numFmt w:val="bullet"/>
      <w:lvlText w:val="o"/>
      <w:lvlJc w:val="left"/>
      <w:pPr>
        <w:ind w:left="5760" w:hanging="360"/>
      </w:pPr>
      <w:rPr>
        <w:rFonts w:ascii="Courier New" w:hAnsi="Courier New" w:cs="Courier New" w:hint="default"/>
      </w:rPr>
    </w:lvl>
    <w:lvl w:ilvl="8" w:tplc="E25C930E" w:tentative="1">
      <w:start w:val="1"/>
      <w:numFmt w:val="bullet"/>
      <w:lvlText w:val=""/>
      <w:lvlJc w:val="left"/>
      <w:pPr>
        <w:ind w:left="6480" w:hanging="360"/>
      </w:pPr>
      <w:rPr>
        <w:rFonts w:ascii="Wingdings" w:hAnsi="Wingdings" w:hint="default"/>
      </w:rPr>
    </w:lvl>
  </w:abstractNum>
  <w:abstractNum w:abstractNumId="16" w15:restartNumberingAfterBreak="0">
    <w:nsid w:val="45EE007E"/>
    <w:multiLevelType w:val="hybridMultilevel"/>
    <w:tmpl w:val="10223B22"/>
    <w:lvl w:ilvl="0" w:tplc="93B03F92">
      <w:start w:val="17"/>
      <w:numFmt w:val="bullet"/>
      <w:lvlText w:val="-"/>
      <w:lvlJc w:val="left"/>
      <w:pPr>
        <w:ind w:left="720" w:hanging="360"/>
      </w:pPr>
      <w:rPr>
        <w:rFonts w:ascii="Arial" w:eastAsia="Times New Roman" w:hAnsi="Arial" w:cs="Arial" w:hint="default"/>
      </w:rPr>
    </w:lvl>
    <w:lvl w:ilvl="1" w:tplc="0E32DA6A" w:tentative="1">
      <w:start w:val="1"/>
      <w:numFmt w:val="bullet"/>
      <w:lvlText w:val="o"/>
      <w:lvlJc w:val="left"/>
      <w:pPr>
        <w:ind w:left="1440" w:hanging="360"/>
      </w:pPr>
      <w:rPr>
        <w:rFonts w:ascii="Courier New" w:hAnsi="Courier New" w:cs="Courier New" w:hint="default"/>
      </w:rPr>
    </w:lvl>
    <w:lvl w:ilvl="2" w:tplc="B3AC4FB0" w:tentative="1">
      <w:start w:val="1"/>
      <w:numFmt w:val="bullet"/>
      <w:lvlText w:val=""/>
      <w:lvlJc w:val="left"/>
      <w:pPr>
        <w:ind w:left="2160" w:hanging="360"/>
      </w:pPr>
      <w:rPr>
        <w:rFonts w:ascii="Wingdings" w:hAnsi="Wingdings" w:hint="default"/>
      </w:rPr>
    </w:lvl>
    <w:lvl w:ilvl="3" w:tplc="A65494E2" w:tentative="1">
      <w:start w:val="1"/>
      <w:numFmt w:val="bullet"/>
      <w:lvlText w:val=""/>
      <w:lvlJc w:val="left"/>
      <w:pPr>
        <w:ind w:left="2880" w:hanging="360"/>
      </w:pPr>
      <w:rPr>
        <w:rFonts w:ascii="Symbol" w:hAnsi="Symbol" w:hint="default"/>
      </w:rPr>
    </w:lvl>
    <w:lvl w:ilvl="4" w:tplc="41DC23F6" w:tentative="1">
      <w:start w:val="1"/>
      <w:numFmt w:val="bullet"/>
      <w:lvlText w:val="o"/>
      <w:lvlJc w:val="left"/>
      <w:pPr>
        <w:ind w:left="3600" w:hanging="360"/>
      </w:pPr>
      <w:rPr>
        <w:rFonts w:ascii="Courier New" w:hAnsi="Courier New" w:cs="Courier New" w:hint="default"/>
      </w:rPr>
    </w:lvl>
    <w:lvl w:ilvl="5" w:tplc="FA868098" w:tentative="1">
      <w:start w:val="1"/>
      <w:numFmt w:val="bullet"/>
      <w:lvlText w:val=""/>
      <w:lvlJc w:val="left"/>
      <w:pPr>
        <w:ind w:left="4320" w:hanging="360"/>
      </w:pPr>
      <w:rPr>
        <w:rFonts w:ascii="Wingdings" w:hAnsi="Wingdings" w:hint="default"/>
      </w:rPr>
    </w:lvl>
    <w:lvl w:ilvl="6" w:tplc="C200FCF6" w:tentative="1">
      <w:start w:val="1"/>
      <w:numFmt w:val="bullet"/>
      <w:lvlText w:val=""/>
      <w:lvlJc w:val="left"/>
      <w:pPr>
        <w:ind w:left="5040" w:hanging="360"/>
      </w:pPr>
      <w:rPr>
        <w:rFonts w:ascii="Symbol" w:hAnsi="Symbol" w:hint="default"/>
      </w:rPr>
    </w:lvl>
    <w:lvl w:ilvl="7" w:tplc="0B90D9DA" w:tentative="1">
      <w:start w:val="1"/>
      <w:numFmt w:val="bullet"/>
      <w:lvlText w:val="o"/>
      <w:lvlJc w:val="left"/>
      <w:pPr>
        <w:ind w:left="5760" w:hanging="360"/>
      </w:pPr>
      <w:rPr>
        <w:rFonts w:ascii="Courier New" w:hAnsi="Courier New" w:cs="Courier New" w:hint="default"/>
      </w:rPr>
    </w:lvl>
    <w:lvl w:ilvl="8" w:tplc="F932A510" w:tentative="1">
      <w:start w:val="1"/>
      <w:numFmt w:val="bullet"/>
      <w:lvlText w:val=""/>
      <w:lvlJc w:val="left"/>
      <w:pPr>
        <w:ind w:left="6480" w:hanging="360"/>
      </w:pPr>
      <w:rPr>
        <w:rFonts w:ascii="Wingdings" w:hAnsi="Wingdings" w:hint="default"/>
      </w:rPr>
    </w:lvl>
  </w:abstractNum>
  <w:abstractNum w:abstractNumId="17" w15:restartNumberingAfterBreak="0">
    <w:nsid w:val="4F360455"/>
    <w:multiLevelType w:val="hybridMultilevel"/>
    <w:tmpl w:val="B83C4AE8"/>
    <w:lvl w:ilvl="0" w:tplc="A8184E94">
      <w:start w:val="1"/>
      <w:numFmt w:val="decimal"/>
      <w:lvlText w:val="%1."/>
      <w:lvlJc w:val="left"/>
      <w:pPr>
        <w:ind w:left="394" w:hanging="360"/>
      </w:pPr>
    </w:lvl>
    <w:lvl w:ilvl="1" w:tplc="1BE22FF8" w:tentative="1">
      <w:start w:val="1"/>
      <w:numFmt w:val="lowerLetter"/>
      <w:lvlText w:val="%2."/>
      <w:lvlJc w:val="left"/>
      <w:pPr>
        <w:ind w:left="1114" w:hanging="360"/>
      </w:pPr>
    </w:lvl>
    <w:lvl w:ilvl="2" w:tplc="C3A40446" w:tentative="1">
      <w:start w:val="1"/>
      <w:numFmt w:val="lowerRoman"/>
      <w:lvlText w:val="%3."/>
      <w:lvlJc w:val="right"/>
      <w:pPr>
        <w:ind w:left="1834" w:hanging="180"/>
      </w:pPr>
    </w:lvl>
    <w:lvl w:ilvl="3" w:tplc="2B4425AE" w:tentative="1">
      <w:start w:val="1"/>
      <w:numFmt w:val="decimal"/>
      <w:lvlText w:val="%4."/>
      <w:lvlJc w:val="left"/>
      <w:pPr>
        <w:ind w:left="2554" w:hanging="360"/>
      </w:pPr>
    </w:lvl>
    <w:lvl w:ilvl="4" w:tplc="FD0C72E8" w:tentative="1">
      <w:start w:val="1"/>
      <w:numFmt w:val="lowerLetter"/>
      <w:lvlText w:val="%5."/>
      <w:lvlJc w:val="left"/>
      <w:pPr>
        <w:ind w:left="3274" w:hanging="360"/>
      </w:pPr>
    </w:lvl>
    <w:lvl w:ilvl="5" w:tplc="89E45AC0" w:tentative="1">
      <w:start w:val="1"/>
      <w:numFmt w:val="lowerRoman"/>
      <w:lvlText w:val="%6."/>
      <w:lvlJc w:val="right"/>
      <w:pPr>
        <w:ind w:left="3994" w:hanging="180"/>
      </w:pPr>
    </w:lvl>
    <w:lvl w:ilvl="6" w:tplc="F482B0EC" w:tentative="1">
      <w:start w:val="1"/>
      <w:numFmt w:val="decimal"/>
      <w:lvlText w:val="%7."/>
      <w:lvlJc w:val="left"/>
      <w:pPr>
        <w:ind w:left="4714" w:hanging="360"/>
      </w:pPr>
    </w:lvl>
    <w:lvl w:ilvl="7" w:tplc="EF4A6CD0" w:tentative="1">
      <w:start w:val="1"/>
      <w:numFmt w:val="lowerLetter"/>
      <w:lvlText w:val="%8."/>
      <w:lvlJc w:val="left"/>
      <w:pPr>
        <w:ind w:left="5434" w:hanging="360"/>
      </w:pPr>
    </w:lvl>
    <w:lvl w:ilvl="8" w:tplc="EDD23A42" w:tentative="1">
      <w:start w:val="1"/>
      <w:numFmt w:val="lowerRoman"/>
      <w:lvlText w:val="%9."/>
      <w:lvlJc w:val="right"/>
      <w:pPr>
        <w:ind w:left="6154" w:hanging="180"/>
      </w:pPr>
    </w:lvl>
  </w:abstractNum>
  <w:abstractNum w:abstractNumId="18" w15:restartNumberingAfterBreak="0">
    <w:nsid w:val="57082425"/>
    <w:multiLevelType w:val="hybridMultilevel"/>
    <w:tmpl w:val="8B140796"/>
    <w:lvl w:ilvl="0" w:tplc="B83A274A">
      <w:start w:val="1"/>
      <w:numFmt w:val="decimal"/>
      <w:lvlText w:val="%1."/>
      <w:lvlJc w:val="left"/>
      <w:pPr>
        <w:ind w:left="1569" w:hanging="360"/>
      </w:pPr>
    </w:lvl>
    <w:lvl w:ilvl="1" w:tplc="A9FCB40E" w:tentative="1">
      <w:start w:val="1"/>
      <w:numFmt w:val="lowerLetter"/>
      <w:lvlText w:val="%2."/>
      <w:lvlJc w:val="left"/>
      <w:pPr>
        <w:ind w:left="2289" w:hanging="360"/>
      </w:pPr>
    </w:lvl>
    <w:lvl w:ilvl="2" w:tplc="FBCC4F54" w:tentative="1">
      <w:start w:val="1"/>
      <w:numFmt w:val="lowerRoman"/>
      <w:lvlText w:val="%3."/>
      <w:lvlJc w:val="right"/>
      <w:pPr>
        <w:ind w:left="3009" w:hanging="180"/>
      </w:pPr>
    </w:lvl>
    <w:lvl w:ilvl="3" w:tplc="AE081748" w:tentative="1">
      <w:start w:val="1"/>
      <w:numFmt w:val="decimal"/>
      <w:lvlText w:val="%4."/>
      <w:lvlJc w:val="left"/>
      <w:pPr>
        <w:ind w:left="3729" w:hanging="360"/>
      </w:pPr>
    </w:lvl>
    <w:lvl w:ilvl="4" w:tplc="9640A864" w:tentative="1">
      <w:start w:val="1"/>
      <w:numFmt w:val="lowerLetter"/>
      <w:lvlText w:val="%5."/>
      <w:lvlJc w:val="left"/>
      <w:pPr>
        <w:ind w:left="4449" w:hanging="360"/>
      </w:pPr>
    </w:lvl>
    <w:lvl w:ilvl="5" w:tplc="9C90BB9C" w:tentative="1">
      <w:start w:val="1"/>
      <w:numFmt w:val="lowerRoman"/>
      <w:lvlText w:val="%6."/>
      <w:lvlJc w:val="right"/>
      <w:pPr>
        <w:ind w:left="5169" w:hanging="180"/>
      </w:pPr>
    </w:lvl>
    <w:lvl w:ilvl="6" w:tplc="EBBAD8B0" w:tentative="1">
      <w:start w:val="1"/>
      <w:numFmt w:val="decimal"/>
      <w:lvlText w:val="%7."/>
      <w:lvlJc w:val="left"/>
      <w:pPr>
        <w:ind w:left="5889" w:hanging="360"/>
      </w:pPr>
    </w:lvl>
    <w:lvl w:ilvl="7" w:tplc="7772CD72" w:tentative="1">
      <w:start w:val="1"/>
      <w:numFmt w:val="lowerLetter"/>
      <w:lvlText w:val="%8."/>
      <w:lvlJc w:val="left"/>
      <w:pPr>
        <w:ind w:left="6609" w:hanging="360"/>
      </w:pPr>
    </w:lvl>
    <w:lvl w:ilvl="8" w:tplc="08B2DF4A" w:tentative="1">
      <w:start w:val="1"/>
      <w:numFmt w:val="lowerRoman"/>
      <w:lvlText w:val="%9."/>
      <w:lvlJc w:val="right"/>
      <w:pPr>
        <w:ind w:left="7329" w:hanging="180"/>
      </w:pPr>
    </w:lvl>
  </w:abstractNum>
  <w:abstractNum w:abstractNumId="19" w15:restartNumberingAfterBreak="0">
    <w:nsid w:val="5ADB44CC"/>
    <w:multiLevelType w:val="hybridMultilevel"/>
    <w:tmpl w:val="2E828218"/>
    <w:lvl w:ilvl="0" w:tplc="35988092">
      <w:start w:val="1"/>
      <w:numFmt w:val="bullet"/>
      <w:lvlText w:val=""/>
      <w:lvlJc w:val="left"/>
      <w:pPr>
        <w:ind w:left="3109" w:hanging="360"/>
      </w:pPr>
      <w:rPr>
        <w:rFonts w:ascii="Symbol" w:hAnsi="Symbol" w:hint="default"/>
      </w:rPr>
    </w:lvl>
    <w:lvl w:ilvl="1" w:tplc="C3308602" w:tentative="1">
      <w:start w:val="1"/>
      <w:numFmt w:val="bullet"/>
      <w:lvlText w:val="o"/>
      <w:lvlJc w:val="left"/>
      <w:pPr>
        <w:ind w:left="3829" w:hanging="360"/>
      </w:pPr>
      <w:rPr>
        <w:rFonts w:ascii="Courier New" w:hAnsi="Courier New" w:cs="Courier New" w:hint="default"/>
      </w:rPr>
    </w:lvl>
    <w:lvl w:ilvl="2" w:tplc="8E4EAAD6" w:tentative="1">
      <w:start w:val="1"/>
      <w:numFmt w:val="bullet"/>
      <w:lvlText w:val=""/>
      <w:lvlJc w:val="left"/>
      <w:pPr>
        <w:ind w:left="4549" w:hanging="360"/>
      </w:pPr>
      <w:rPr>
        <w:rFonts w:ascii="Wingdings" w:hAnsi="Wingdings" w:hint="default"/>
      </w:rPr>
    </w:lvl>
    <w:lvl w:ilvl="3" w:tplc="62D63BF6" w:tentative="1">
      <w:start w:val="1"/>
      <w:numFmt w:val="bullet"/>
      <w:lvlText w:val=""/>
      <w:lvlJc w:val="left"/>
      <w:pPr>
        <w:ind w:left="5269" w:hanging="360"/>
      </w:pPr>
      <w:rPr>
        <w:rFonts w:ascii="Symbol" w:hAnsi="Symbol" w:hint="default"/>
      </w:rPr>
    </w:lvl>
    <w:lvl w:ilvl="4" w:tplc="B42C8970" w:tentative="1">
      <w:start w:val="1"/>
      <w:numFmt w:val="bullet"/>
      <w:lvlText w:val="o"/>
      <w:lvlJc w:val="left"/>
      <w:pPr>
        <w:ind w:left="5989" w:hanging="360"/>
      </w:pPr>
      <w:rPr>
        <w:rFonts w:ascii="Courier New" w:hAnsi="Courier New" w:cs="Courier New" w:hint="default"/>
      </w:rPr>
    </w:lvl>
    <w:lvl w:ilvl="5" w:tplc="36245AB0" w:tentative="1">
      <w:start w:val="1"/>
      <w:numFmt w:val="bullet"/>
      <w:lvlText w:val=""/>
      <w:lvlJc w:val="left"/>
      <w:pPr>
        <w:ind w:left="6709" w:hanging="360"/>
      </w:pPr>
      <w:rPr>
        <w:rFonts w:ascii="Wingdings" w:hAnsi="Wingdings" w:hint="default"/>
      </w:rPr>
    </w:lvl>
    <w:lvl w:ilvl="6" w:tplc="8886F562" w:tentative="1">
      <w:start w:val="1"/>
      <w:numFmt w:val="bullet"/>
      <w:lvlText w:val=""/>
      <w:lvlJc w:val="left"/>
      <w:pPr>
        <w:ind w:left="7429" w:hanging="360"/>
      </w:pPr>
      <w:rPr>
        <w:rFonts w:ascii="Symbol" w:hAnsi="Symbol" w:hint="default"/>
      </w:rPr>
    </w:lvl>
    <w:lvl w:ilvl="7" w:tplc="767CD0E8" w:tentative="1">
      <w:start w:val="1"/>
      <w:numFmt w:val="bullet"/>
      <w:lvlText w:val="o"/>
      <w:lvlJc w:val="left"/>
      <w:pPr>
        <w:ind w:left="8149" w:hanging="360"/>
      </w:pPr>
      <w:rPr>
        <w:rFonts w:ascii="Courier New" w:hAnsi="Courier New" w:cs="Courier New" w:hint="default"/>
      </w:rPr>
    </w:lvl>
    <w:lvl w:ilvl="8" w:tplc="F3E8BFDE" w:tentative="1">
      <w:start w:val="1"/>
      <w:numFmt w:val="bullet"/>
      <w:lvlText w:val=""/>
      <w:lvlJc w:val="left"/>
      <w:pPr>
        <w:ind w:left="8869" w:hanging="360"/>
      </w:pPr>
      <w:rPr>
        <w:rFonts w:ascii="Wingdings" w:hAnsi="Wingdings" w:hint="default"/>
      </w:rPr>
    </w:lvl>
  </w:abstractNum>
  <w:abstractNum w:abstractNumId="20"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num w:numId="1">
    <w:abstractNumId w:val="0"/>
  </w:num>
  <w:num w:numId="2">
    <w:abstractNumId w:val="3"/>
  </w:num>
  <w:num w:numId="3">
    <w:abstractNumId w:val="12"/>
  </w:num>
  <w:num w:numId="4">
    <w:abstractNumId w:val="1"/>
  </w:num>
  <w:num w:numId="5">
    <w:abstractNumId w:val="7"/>
  </w:num>
  <w:num w:numId="6">
    <w:abstractNumId w:val="2"/>
  </w:num>
  <w:num w:numId="7">
    <w:abstractNumId w:val="14"/>
  </w:num>
  <w:num w:numId="8">
    <w:abstractNumId w:val="20"/>
  </w:num>
  <w:num w:numId="9">
    <w:abstractNumId w:val="13"/>
  </w:num>
  <w:num w:numId="10">
    <w:abstractNumId w:val="14"/>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1">
    <w:abstractNumId w:val="14"/>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2">
    <w:abstractNumId w:val="10"/>
  </w:num>
  <w:num w:numId="13">
    <w:abstractNumId w:val="17"/>
  </w:num>
  <w:num w:numId="14">
    <w:abstractNumId w:val="6"/>
  </w:num>
  <w:num w:numId="15">
    <w:abstractNumId w:val="4"/>
  </w:num>
  <w:num w:numId="16">
    <w:abstractNumId w:val="11"/>
  </w:num>
  <w:num w:numId="17">
    <w:abstractNumId w:val="18"/>
  </w:num>
  <w:num w:numId="18">
    <w:abstractNumId w:val="1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5"/>
  </w:num>
  <w:num w:numId="24">
    <w:abstractNumId w:val="8"/>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A6"/>
    <w:rsid w:val="00001DA7"/>
    <w:rsid w:val="00001EFF"/>
    <w:rsid w:val="00002F65"/>
    <w:rsid w:val="000032E1"/>
    <w:rsid w:val="00005365"/>
    <w:rsid w:val="00016166"/>
    <w:rsid w:val="00016BD4"/>
    <w:rsid w:val="0002092A"/>
    <w:rsid w:val="0002182F"/>
    <w:rsid w:val="00023CD3"/>
    <w:rsid w:val="000319D3"/>
    <w:rsid w:val="00033B95"/>
    <w:rsid w:val="00037DFC"/>
    <w:rsid w:val="00040E28"/>
    <w:rsid w:val="00041450"/>
    <w:rsid w:val="000414D2"/>
    <w:rsid w:val="0004544B"/>
    <w:rsid w:val="00046428"/>
    <w:rsid w:val="0005662F"/>
    <w:rsid w:val="00060A19"/>
    <w:rsid w:val="000664C4"/>
    <w:rsid w:val="00066567"/>
    <w:rsid w:val="000718D8"/>
    <w:rsid w:val="00071E3B"/>
    <w:rsid w:val="00081489"/>
    <w:rsid w:val="00087402"/>
    <w:rsid w:val="00087563"/>
    <w:rsid w:val="000903CA"/>
    <w:rsid w:val="000907A1"/>
    <w:rsid w:val="00090F40"/>
    <w:rsid w:val="00091813"/>
    <w:rsid w:val="000919E7"/>
    <w:rsid w:val="00093909"/>
    <w:rsid w:val="0009623B"/>
    <w:rsid w:val="00096576"/>
    <w:rsid w:val="000A0CFD"/>
    <w:rsid w:val="000A5749"/>
    <w:rsid w:val="000A6825"/>
    <w:rsid w:val="000A7590"/>
    <w:rsid w:val="000A7C11"/>
    <w:rsid w:val="000B0A89"/>
    <w:rsid w:val="000B679B"/>
    <w:rsid w:val="000C1635"/>
    <w:rsid w:val="000C1974"/>
    <w:rsid w:val="000C3424"/>
    <w:rsid w:val="000C3F2F"/>
    <w:rsid w:val="000C52C7"/>
    <w:rsid w:val="000C68C5"/>
    <w:rsid w:val="000C72BD"/>
    <w:rsid w:val="000D0071"/>
    <w:rsid w:val="000D2646"/>
    <w:rsid w:val="000D5DF4"/>
    <w:rsid w:val="000D77B5"/>
    <w:rsid w:val="000D7A8E"/>
    <w:rsid w:val="000E048B"/>
    <w:rsid w:val="000E29E7"/>
    <w:rsid w:val="000E471A"/>
    <w:rsid w:val="000E4D60"/>
    <w:rsid w:val="000E5AE0"/>
    <w:rsid w:val="000F2DE8"/>
    <w:rsid w:val="000F462A"/>
    <w:rsid w:val="000F75B7"/>
    <w:rsid w:val="00101A53"/>
    <w:rsid w:val="00104B97"/>
    <w:rsid w:val="00106AD4"/>
    <w:rsid w:val="0010701F"/>
    <w:rsid w:val="0011271D"/>
    <w:rsid w:val="0011634C"/>
    <w:rsid w:val="001213C6"/>
    <w:rsid w:val="00121696"/>
    <w:rsid w:val="001227A6"/>
    <w:rsid w:val="0012311A"/>
    <w:rsid w:val="0012494F"/>
    <w:rsid w:val="00127092"/>
    <w:rsid w:val="00127653"/>
    <w:rsid w:val="00130707"/>
    <w:rsid w:val="00130F12"/>
    <w:rsid w:val="001310EF"/>
    <w:rsid w:val="00131B33"/>
    <w:rsid w:val="001334B7"/>
    <w:rsid w:val="00134AE3"/>
    <w:rsid w:val="0013596D"/>
    <w:rsid w:val="0014158C"/>
    <w:rsid w:val="00151278"/>
    <w:rsid w:val="00152179"/>
    <w:rsid w:val="00161174"/>
    <w:rsid w:val="0016198E"/>
    <w:rsid w:val="00164A05"/>
    <w:rsid w:val="00164CCD"/>
    <w:rsid w:val="001665CE"/>
    <w:rsid w:val="00167432"/>
    <w:rsid w:val="00171D60"/>
    <w:rsid w:val="00177BE1"/>
    <w:rsid w:val="001828C3"/>
    <w:rsid w:val="00191023"/>
    <w:rsid w:val="001913C1"/>
    <w:rsid w:val="001A0D1A"/>
    <w:rsid w:val="001A0F41"/>
    <w:rsid w:val="001A64DF"/>
    <w:rsid w:val="001B0D31"/>
    <w:rsid w:val="001B4715"/>
    <w:rsid w:val="001B47CB"/>
    <w:rsid w:val="001B4F9F"/>
    <w:rsid w:val="001C009C"/>
    <w:rsid w:val="001C2235"/>
    <w:rsid w:val="001C243E"/>
    <w:rsid w:val="001C3695"/>
    <w:rsid w:val="001C49B6"/>
    <w:rsid w:val="001D6A9C"/>
    <w:rsid w:val="001E3B57"/>
    <w:rsid w:val="001F1599"/>
    <w:rsid w:val="001F230C"/>
    <w:rsid w:val="001F3C15"/>
    <w:rsid w:val="001F6A73"/>
    <w:rsid w:val="0020156B"/>
    <w:rsid w:val="00201B0D"/>
    <w:rsid w:val="00205DA0"/>
    <w:rsid w:val="0021118A"/>
    <w:rsid w:val="00212A6A"/>
    <w:rsid w:val="00220940"/>
    <w:rsid w:val="00220EC3"/>
    <w:rsid w:val="00225252"/>
    <w:rsid w:val="00225EFE"/>
    <w:rsid w:val="00226173"/>
    <w:rsid w:val="00231EA3"/>
    <w:rsid w:val="00234C54"/>
    <w:rsid w:val="0023588F"/>
    <w:rsid w:val="00236208"/>
    <w:rsid w:val="00240CCF"/>
    <w:rsid w:val="002413E7"/>
    <w:rsid w:val="0024254C"/>
    <w:rsid w:val="0024376E"/>
    <w:rsid w:val="002466E6"/>
    <w:rsid w:val="00247DC5"/>
    <w:rsid w:val="00247E76"/>
    <w:rsid w:val="0025196A"/>
    <w:rsid w:val="00253EFD"/>
    <w:rsid w:val="00254762"/>
    <w:rsid w:val="00256F42"/>
    <w:rsid w:val="00261553"/>
    <w:rsid w:val="0027059F"/>
    <w:rsid w:val="00271127"/>
    <w:rsid w:val="00271731"/>
    <w:rsid w:val="002727AD"/>
    <w:rsid w:val="00280B4B"/>
    <w:rsid w:val="00284AD6"/>
    <w:rsid w:val="00284B7B"/>
    <w:rsid w:val="00284E38"/>
    <w:rsid w:val="00284EA4"/>
    <w:rsid w:val="0028534F"/>
    <w:rsid w:val="002860CD"/>
    <w:rsid w:val="00287FBB"/>
    <w:rsid w:val="0029600D"/>
    <w:rsid w:val="00296DBD"/>
    <w:rsid w:val="002A6A3C"/>
    <w:rsid w:val="002B097E"/>
    <w:rsid w:val="002B50AC"/>
    <w:rsid w:val="002B5A8B"/>
    <w:rsid w:val="002B6BDD"/>
    <w:rsid w:val="002C0B79"/>
    <w:rsid w:val="002C17D3"/>
    <w:rsid w:val="002C2151"/>
    <w:rsid w:val="002C4867"/>
    <w:rsid w:val="002C6598"/>
    <w:rsid w:val="002C7787"/>
    <w:rsid w:val="002D0C36"/>
    <w:rsid w:val="002D4889"/>
    <w:rsid w:val="002D4A1E"/>
    <w:rsid w:val="002D59A3"/>
    <w:rsid w:val="002D6180"/>
    <w:rsid w:val="002E0233"/>
    <w:rsid w:val="002E2D02"/>
    <w:rsid w:val="002E3F70"/>
    <w:rsid w:val="002F1169"/>
    <w:rsid w:val="002F43C3"/>
    <w:rsid w:val="002F5798"/>
    <w:rsid w:val="002F6503"/>
    <w:rsid w:val="002F7D6B"/>
    <w:rsid w:val="0030110F"/>
    <w:rsid w:val="00303CB9"/>
    <w:rsid w:val="003052EE"/>
    <w:rsid w:val="00315CE9"/>
    <w:rsid w:val="0031667C"/>
    <w:rsid w:val="00317500"/>
    <w:rsid w:val="003175CB"/>
    <w:rsid w:val="0032210B"/>
    <w:rsid w:val="0032445E"/>
    <w:rsid w:val="00325085"/>
    <w:rsid w:val="00325E49"/>
    <w:rsid w:val="003311EA"/>
    <w:rsid w:val="00332C40"/>
    <w:rsid w:val="00333216"/>
    <w:rsid w:val="0033351F"/>
    <w:rsid w:val="0033594E"/>
    <w:rsid w:val="00336429"/>
    <w:rsid w:val="00337E19"/>
    <w:rsid w:val="003404EC"/>
    <w:rsid w:val="003406B5"/>
    <w:rsid w:val="00345FBE"/>
    <w:rsid w:val="00346797"/>
    <w:rsid w:val="00354458"/>
    <w:rsid w:val="00356E25"/>
    <w:rsid w:val="00360C1A"/>
    <w:rsid w:val="00362567"/>
    <w:rsid w:val="00362D12"/>
    <w:rsid w:val="003649BD"/>
    <w:rsid w:val="00367DF0"/>
    <w:rsid w:val="00367F28"/>
    <w:rsid w:val="00370DEA"/>
    <w:rsid w:val="0037422B"/>
    <w:rsid w:val="00381B0C"/>
    <w:rsid w:val="003841AC"/>
    <w:rsid w:val="003909C6"/>
    <w:rsid w:val="00390A83"/>
    <w:rsid w:val="00393EB4"/>
    <w:rsid w:val="00396F50"/>
    <w:rsid w:val="003B04A9"/>
    <w:rsid w:val="003B4B77"/>
    <w:rsid w:val="003B535F"/>
    <w:rsid w:val="003C04BE"/>
    <w:rsid w:val="003C4640"/>
    <w:rsid w:val="003D00D2"/>
    <w:rsid w:val="003D19AA"/>
    <w:rsid w:val="003D32FE"/>
    <w:rsid w:val="003D599E"/>
    <w:rsid w:val="003E3207"/>
    <w:rsid w:val="003E4347"/>
    <w:rsid w:val="003E505C"/>
    <w:rsid w:val="003E518D"/>
    <w:rsid w:val="003E530F"/>
    <w:rsid w:val="003F6DCC"/>
    <w:rsid w:val="00402AE6"/>
    <w:rsid w:val="00416CD1"/>
    <w:rsid w:val="00417DE3"/>
    <w:rsid w:val="0042192A"/>
    <w:rsid w:val="004225D8"/>
    <w:rsid w:val="00423E8D"/>
    <w:rsid w:val="004318BF"/>
    <w:rsid w:val="004332F7"/>
    <w:rsid w:val="00434493"/>
    <w:rsid w:val="00434B61"/>
    <w:rsid w:val="00434C3A"/>
    <w:rsid w:val="00436B0E"/>
    <w:rsid w:val="00437252"/>
    <w:rsid w:val="004409F4"/>
    <w:rsid w:val="00441257"/>
    <w:rsid w:val="00443C4F"/>
    <w:rsid w:val="00445492"/>
    <w:rsid w:val="004462D5"/>
    <w:rsid w:val="004560EB"/>
    <w:rsid w:val="00456461"/>
    <w:rsid w:val="00460539"/>
    <w:rsid w:val="00474065"/>
    <w:rsid w:val="00474E7B"/>
    <w:rsid w:val="00482B0D"/>
    <w:rsid w:val="00483BEA"/>
    <w:rsid w:val="00483EAB"/>
    <w:rsid w:val="00486920"/>
    <w:rsid w:val="00490B34"/>
    <w:rsid w:val="004964BB"/>
    <w:rsid w:val="004A0F69"/>
    <w:rsid w:val="004A2E0C"/>
    <w:rsid w:val="004A5539"/>
    <w:rsid w:val="004A5D9C"/>
    <w:rsid w:val="004A6740"/>
    <w:rsid w:val="004A6BBB"/>
    <w:rsid w:val="004B05D7"/>
    <w:rsid w:val="004B4A3C"/>
    <w:rsid w:val="004B6B68"/>
    <w:rsid w:val="004C1F77"/>
    <w:rsid w:val="004C31FF"/>
    <w:rsid w:val="004C6BE8"/>
    <w:rsid w:val="004C7CC3"/>
    <w:rsid w:val="004D68B1"/>
    <w:rsid w:val="004E41C6"/>
    <w:rsid w:val="004E4875"/>
    <w:rsid w:val="004E71A3"/>
    <w:rsid w:val="004F0E00"/>
    <w:rsid w:val="004F4D2D"/>
    <w:rsid w:val="004F5CAA"/>
    <w:rsid w:val="00502C81"/>
    <w:rsid w:val="005045A9"/>
    <w:rsid w:val="00504BB3"/>
    <w:rsid w:val="005065C9"/>
    <w:rsid w:val="00510054"/>
    <w:rsid w:val="005109D8"/>
    <w:rsid w:val="00511650"/>
    <w:rsid w:val="00511773"/>
    <w:rsid w:val="0051201F"/>
    <w:rsid w:val="005138CC"/>
    <w:rsid w:val="0051492C"/>
    <w:rsid w:val="00514F6B"/>
    <w:rsid w:val="00521D74"/>
    <w:rsid w:val="00522F5D"/>
    <w:rsid w:val="005232A1"/>
    <w:rsid w:val="00527565"/>
    <w:rsid w:val="005356A2"/>
    <w:rsid w:val="005427ED"/>
    <w:rsid w:val="005465C7"/>
    <w:rsid w:val="00546A5B"/>
    <w:rsid w:val="00547D7B"/>
    <w:rsid w:val="00551164"/>
    <w:rsid w:val="00552AA8"/>
    <w:rsid w:val="005543C2"/>
    <w:rsid w:val="0055780B"/>
    <w:rsid w:val="00563D29"/>
    <w:rsid w:val="00571E53"/>
    <w:rsid w:val="00571E80"/>
    <w:rsid w:val="00572FF9"/>
    <w:rsid w:val="00573500"/>
    <w:rsid w:val="005753EA"/>
    <w:rsid w:val="00580388"/>
    <w:rsid w:val="005827D8"/>
    <w:rsid w:val="00582FE9"/>
    <w:rsid w:val="00584654"/>
    <w:rsid w:val="00584D57"/>
    <w:rsid w:val="00585F9A"/>
    <w:rsid w:val="00586325"/>
    <w:rsid w:val="00587FFD"/>
    <w:rsid w:val="005942FC"/>
    <w:rsid w:val="005977E7"/>
    <w:rsid w:val="005A2820"/>
    <w:rsid w:val="005B453A"/>
    <w:rsid w:val="005C121A"/>
    <w:rsid w:val="005C58DF"/>
    <w:rsid w:val="005C6D66"/>
    <w:rsid w:val="005D7A96"/>
    <w:rsid w:val="005E0007"/>
    <w:rsid w:val="005E0755"/>
    <w:rsid w:val="005E3054"/>
    <w:rsid w:val="005E5665"/>
    <w:rsid w:val="005E65B7"/>
    <w:rsid w:val="005E79C6"/>
    <w:rsid w:val="005F30A9"/>
    <w:rsid w:val="005F6AC7"/>
    <w:rsid w:val="00600054"/>
    <w:rsid w:val="00606285"/>
    <w:rsid w:val="006114B7"/>
    <w:rsid w:val="00611F80"/>
    <w:rsid w:val="00612EB9"/>
    <w:rsid w:val="006152D2"/>
    <w:rsid w:val="00615756"/>
    <w:rsid w:val="00615A95"/>
    <w:rsid w:val="00615D9D"/>
    <w:rsid w:val="006178EC"/>
    <w:rsid w:val="0061792E"/>
    <w:rsid w:val="00620D55"/>
    <w:rsid w:val="00622400"/>
    <w:rsid w:val="00622DC1"/>
    <w:rsid w:val="00623F28"/>
    <w:rsid w:val="006308F9"/>
    <w:rsid w:val="00631605"/>
    <w:rsid w:val="00632A4F"/>
    <w:rsid w:val="006360BB"/>
    <w:rsid w:val="00637AB8"/>
    <w:rsid w:val="00637CE7"/>
    <w:rsid w:val="00640A8F"/>
    <w:rsid w:val="00641981"/>
    <w:rsid w:val="00645741"/>
    <w:rsid w:val="00652782"/>
    <w:rsid w:val="00654515"/>
    <w:rsid w:val="00660478"/>
    <w:rsid w:val="0066099D"/>
    <w:rsid w:val="00664EC6"/>
    <w:rsid w:val="00665A5B"/>
    <w:rsid w:val="00671861"/>
    <w:rsid w:val="00683E15"/>
    <w:rsid w:val="00686987"/>
    <w:rsid w:val="00687DC0"/>
    <w:rsid w:val="006908C5"/>
    <w:rsid w:val="00696DCC"/>
    <w:rsid w:val="006A01F5"/>
    <w:rsid w:val="006A16E1"/>
    <w:rsid w:val="006A29CA"/>
    <w:rsid w:val="006A2A47"/>
    <w:rsid w:val="006A76A1"/>
    <w:rsid w:val="006B4477"/>
    <w:rsid w:val="006B7783"/>
    <w:rsid w:val="006C2480"/>
    <w:rsid w:val="006C442E"/>
    <w:rsid w:val="006C510E"/>
    <w:rsid w:val="006D0A9D"/>
    <w:rsid w:val="006D4BDE"/>
    <w:rsid w:val="006E06C6"/>
    <w:rsid w:val="006E0841"/>
    <w:rsid w:val="006E15A2"/>
    <w:rsid w:val="006E1E44"/>
    <w:rsid w:val="006E1EA1"/>
    <w:rsid w:val="006F1A67"/>
    <w:rsid w:val="006F440F"/>
    <w:rsid w:val="006F5076"/>
    <w:rsid w:val="00702ACD"/>
    <w:rsid w:val="007146D8"/>
    <w:rsid w:val="00716451"/>
    <w:rsid w:val="00717417"/>
    <w:rsid w:val="00717633"/>
    <w:rsid w:val="00742ABD"/>
    <w:rsid w:val="00742FA2"/>
    <w:rsid w:val="007468D3"/>
    <w:rsid w:val="00752F22"/>
    <w:rsid w:val="007560AC"/>
    <w:rsid w:val="00757731"/>
    <w:rsid w:val="00761667"/>
    <w:rsid w:val="007628EA"/>
    <w:rsid w:val="00773CE5"/>
    <w:rsid w:val="007848BF"/>
    <w:rsid w:val="00784FFF"/>
    <w:rsid w:val="00785277"/>
    <w:rsid w:val="007853D2"/>
    <w:rsid w:val="00785A36"/>
    <w:rsid w:val="007874FA"/>
    <w:rsid w:val="00790859"/>
    <w:rsid w:val="0079307E"/>
    <w:rsid w:val="0079381E"/>
    <w:rsid w:val="00796626"/>
    <w:rsid w:val="007A072C"/>
    <w:rsid w:val="007A1DA0"/>
    <w:rsid w:val="007A4937"/>
    <w:rsid w:val="007B006B"/>
    <w:rsid w:val="007B0A2C"/>
    <w:rsid w:val="007B159D"/>
    <w:rsid w:val="007B372F"/>
    <w:rsid w:val="007B6C91"/>
    <w:rsid w:val="007B75C0"/>
    <w:rsid w:val="007C5524"/>
    <w:rsid w:val="007D10E8"/>
    <w:rsid w:val="007D4683"/>
    <w:rsid w:val="007D48FB"/>
    <w:rsid w:val="007E16C9"/>
    <w:rsid w:val="007E4A6E"/>
    <w:rsid w:val="007F05A4"/>
    <w:rsid w:val="007F1081"/>
    <w:rsid w:val="007F251D"/>
    <w:rsid w:val="007F7F66"/>
    <w:rsid w:val="008019FB"/>
    <w:rsid w:val="00802F8E"/>
    <w:rsid w:val="008060A0"/>
    <w:rsid w:val="0081072A"/>
    <w:rsid w:val="00811025"/>
    <w:rsid w:val="0082033E"/>
    <w:rsid w:val="00821A85"/>
    <w:rsid w:val="00821C39"/>
    <w:rsid w:val="00822317"/>
    <w:rsid w:val="00822F2F"/>
    <w:rsid w:val="00825B64"/>
    <w:rsid w:val="00826150"/>
    <w:rsid w:val="0082786F"/>
    <w:rsid w:val="008305D6"/>
    <w:rsid w:val="00832BBB"/>
    <w:rsid w:val="00850B5E"/>
    <w:rsid w:val="00852A8D"/>
    <w:rsid w:val="00855588"/>
    <w:rsid w:val="00857781"/>
    <w:rsid w:val="00862913"/>
    <w:rsid w:val="00863526"/>
    <w:rsid w:val="00863DFF"/>
    <w:rsid w:val="008640EA"/>
    <w:rsid w:val="00866CD1"/>
    <w:rsid w:val="00867B52"/>
    <w:rsid w:val="00871F40"/>
    <w:rsid w:val="00874D47"/>
    <w:rsid w:val="00876524"/>
    <w:rsid w:val="00876EF2"/>
    <w:rsid w:val="00880442"/>
    <w:rsid w:val="00880D61"/>
    <w:rsid w:val="00886000"/>
    <w:rsid w:val="00894747"/>
    <w:rsid w:val="008A07A5"/>
    <w:rsid w:val="008A1FDC"/>
    <w:rsid w:val="008A2248"/>
    <w:rsid w:val="008A525C"/>
    <w:rsid w:val="008A5821"/>
    <w:rsid w:val="008A6556"/>
    <w:rsid w:val="008A7178"/>
    <w:rsid w:val="008B1D1A"/>
    <w:rsid w:val="008B2806"/>
    <w:rsid w:val="008B4BDB"/>
    <w:rsid w:val="008B52D1"/>
    <w:rsid w:val="008C15DB"/>
    <w:rsid w:val="008C6176"/>
    <w:rsid w:val="008C77D5"/>
    <w:rsid w:val="008E0E33"/>
    <w:rsid w:val="008E2A4C"/>
    <w:rsid w:val="008E5D6D"/>
    <w:rsid w:val="008F2776"/>
    <w:rsid w:val="008F3063"/>
    <w:rsid w:val="008F46A5"/>
    <w:rsid w:val="008F60B6"/>
    <w:rsid w:val="0090152E"/>
    <w:rsid w:val="00903DC8"/>
    <w:rsid w:val="00907D20"/>
    <w:rsid w:val="00911B48"/>
    <w:rsid w:val="0091206E"/>
    <w:rsid w:val="00914074"/>
    <w:rsid w:val="009146C7"/>
    <w:rsid w:val="00914E4A"/>
    <w:rsid w:val="00922936"/>
    <w:rsid w:val="00923D37"/>
    <w:rsid w:val="0092432A"/>
    <w:rsid w:val="009263AE"/>
    <w:rsid w:val="00930976"/>
    <w:rsid w:val="00931106"/>
    <w:rsid w:val="0095078C"/>
    <w:rsid w:val="009514D4"/>
    <w:rsid w:val="0095152E"/>
    <w:rsid w:val="009515B0"/>
    <w:rsid w:val="00953757"/>
    <w:rsid w:val="00957028"/>
    <w:rsid w:val="00963C19"/>
    <w:rsid w:val="00965235"/>
    <w:rsid w:val="00966A7F"/>
    <w:rsid w:val="0096706F"/>
    <w:rsid w:val="00967608"/>
    <w:rsid w:val="00967D5C"/>
    <w:rsid w:val="009724D8"/>
    <w:rsid w:val="0097271B"/>
    <w:rsid w:val="00975DC9"/>
    <w:rsid w:val="00975FA8"/>
    <w:rsid w:val="00982E5A"/>
    <w:rsid w:val="009830B7"/>
    <w:rsid w:val="00984F66"/>
    <w:rsid w:val="00995C67"/>
    <w:rsid w:val="009A1F3C"/>
    <w:rsid w:val="009A6546"/>
    <w:rsid w:val="009A7588"/>
    <w:rsid w:val="009B0ABC"/>
    <w:rsid w:val="009B2F07"/>
    <w:rsid w:val="009B7FC4"/>
    <w:rsid w:val="009C104E"/>
    <w:rsid w:val="009C7A97"/>
    <w:rsid w:val="009D24F1"/>
    <w:rsid w:val="009D455E"/>
    <w:rsid w:val="009E0208"/>
    <w:rsid w:val="009E04B0"/>
    <w:rsid w:val="009E27BC"/>
    <w:rsid w:val="009E5624"/>
    <w:rsid w:val="009E579F"/>
    <w:rsid w:val="009E6C6A"/>
    <w:rsid w:val="009F13FD"/>
    <w:rsid w:val="009F3AA9"/>
    <w:rsid w:val="009F407B"/>
    <w:rsid w:val="009F5BAB"/>
    <w:rsid w:val="009F5E0D"/>
    <w:rsid w:val="009F7495"/>
    <w:rsid w:val="00A0008D"/>
    <w:rsid w:val="00A04954"/>
    <w:rsid w:val="00A04C46"/>
    <w:rsid w:val="00A10484"/>
    <w:rsid w:val="00A11298"/>
    <w:rsid w:val="00A11C3A"/>
    <w:rsid w:val="00A1306F"/>
    <w:rsid w:val="00A222EB"/>
    <w:rsid w:val="00A23128"/>
    <w:rsid w:val="00A241AF"/>
    <w:rsid w:val="00A316B6"/>
    <w:rsid w:val="00A444E3"/>
    <w:rsid w:val="00A44A6D"/>
    <w:rsid w:val="00A45917"/>
    <w:rsid w:val="00A47C60"/>
    <w:rsid w:val="00A54CE4"/>
    <w:rsid w:val="00A54CED"/>
    <w:rsid w:val="00A65775"/>
    <w:rsid w:val="00A662A8"/>
    <w:rsid w:val="00A66FBF"/>
    <w:rsid w:val="00A747FE"/>
    <w:rsid w:val="00A83C98"/>
    <w:rsid w:val="00A8687F"/>
    <w:rsid w:val="00A8712E"/>
    <w:rsid w:val="00A87FD7"/>
    <w:rsid w:val="00A906CD"/>
    <w:rsid w:val="00A96028"/>
    <w:rsid w:val="00AA395B"/>
    <w:rsid w:val="00AA422A"/>
    <w:rsid w:val="00AA4B1C"/>
    <w:rsid w:val="00AA5C0B"/>
    <w:rsid w:val="00AB0208"/>
    <w:rsid w:val="00AB0731"/>
    <w:rsid w:val="00AB27C3"/>
    <w:rsid w:val="00AB2AD9"/>
    <w:rsid w:val="00AB2BC5"/>
    <w:rsid w:val="00AB2F29"/>
    <w:rsid w:val="00AB6883"/>
    <w:rsid w:val="00AB75EB"/>
    <w:rsid w:val="00AC215F"/>
    <w:rsid w:val="00AC34EA"/>
    <w:rsid w:val="00AC67C2"/>
    <w:rsid w:val="00AC699D"/>
    <w:rsid w:val="00AD0B44"/>
    <w:rsid w:val="00AD2028"/>
    <w:rsid w:val="00AD2466"/>
    <w:rsid w:val="00AD3A91"/>
    <w:rsid w:val="00AD4910"/>
    <w:rsid w:val="00AD50D0"/>
    <w:rsid w:val="00AD7408"/>
    <w:rsid w:val="00AE1C4C"/>
    <w:rsid w:val="00AE6229"/>
    <w:rsid w:val="00AE7D29"/>
    <w:rsid w:val="00AF1BEB"/>
    <w:rsid w:val="00AF4E83"/>
    <w:rsid w:val="00B03DB1"/>
    <w:rsid w:val="00B06D7D"/>
    <w:rsid w:val="00B0703D"/>
    <w:rsid w:val="00B11AA1"/>
    <w:rsid w:val="00B125F0"/>
    <w:rsid w:val="00B220A5"/>
    <w:rsid w:val="00B26E75"/>
    <w:rsid w:val="00B30720"/>
    <w:rsid w:val="00B313C4"/>
    <w:rsid w:val="00B34E81"/>
    <w:rsid w:val="00B40872"/>
    <w:rsid w:val="00B44B72"/>
    <w:rsid w:val="00B472BE"/>
    <w:rsid w:val="00B50270"/>
    <w:rsid w:val="00B511F7"/>
    <w:rsid w:val="00B51DBC"/>
    <w:rsid w:val="00B53A2B"/>
    <w:rsid w:val="00B544F0"/>
    <w:rsid w:val="00B6149C"/>
    <w:rsid w:val="00B75254"/>
    <w:rsid w:val="00B763AA"/>
    <w:rsid w:val="00B8022E"/>
    <w:rsid w:val="00B8026E"/>
    <w:rsid w:val="00B85AF6"/>
    <w:rsid w:val="00B86B30"/>
    <w:rsid w:val="00B931E7"/>
    <w:rsid w:val="00B9457B"/>
    <w:rsid w:val="00BA24E2"/>
    <w:rsid w:val="00BA69D1"/>
    <w:rsid w:val="00BA6D90"/>
    <w:rsid w:val="00BA710D"/>
    <w:rsid w:val="00BB0CB9"/>
    <w:rsid w:val="00BB666F"/>
    <w:rsid w:val="00BC202A"/>
    <w:rsid w:val="00BC3975"/>
    <w:rsid w:val="00BC6105"/>
    <w:rsid w:val="00BD1AEC"/>
    <w:rsid w:val="00BD5318"/>
    <w:rsid w:val="00BD59E2"/>
    <w:rsid w:val="00BD7845"/>
    <w:rsid w:val="00BD7949"/>
    <w:rsid w:val="00BE0297"/>
    <w:rsid w:val="00BE4DC3"/>
    <w:rsid w:val="00BE6FAA"/>
    <w:rsid w:val="00BE7DAD"/>
    <w:rsid w:val="00BE7F58"/>
    <w:rsid w:val="00BF5269"/>
    <w:rsid w:val="00C00DC2"/>
    <w:rsid w:val="00C011D4"/>
    <w:rsid w:val="00C0449E"/>
    <w:rsid w:val="00C05BB4"/>
    <w:rsid w:val="00C10D16"/>
    <w:rsid w:val="00C11A35"/>
    <w:rsid w:val="00C11DD9"/>
    <w:rsid w:val="00C1247B"/>
    <w:rsid w:val="00C1263D"/>
    <w:rsid w:val="00C14302"/>
    <w:rsid w:val="00C144C4"/>
    <w:rsid w:val="00C208A0"/>
    <w:rsid w:val="00C242D6"/>
    <w:rsid w:val="00C25254"/>
    <w:rsid w:val="00C265D4"/>
    <w:rsid w:val="00C266C0"/>
    <w:rsid w:val="00C30C1A"/>
    <w:rsid w:val="00C334A8"/>
    <w:rsid w:val="00C34A6E"/>
    <w:rsid w:val="00C372A1"/>
    <w:rsid w:val="00C40C31"/>
    <w:rsid w:val="00C43E27"/>
    <w:rsid w:val="00C45C10"/>
    <w:rsid w:val="00C4771C"/>
    <w:rsid w:val="00C50F8F"/>
    <w:rsid w:val="00C51C22"/>
    <w:rsid w:val="00C554EA"/>
    <w:rsid w:val="00C56871"/>
    <w:rsid w:val="00C63346"/>
    <w:rsid w:val="00C70795"/>
    <w:rsid w:val="00C723D6"/>
    <w:rsid w:val="00C731A6"/>
    <w:rsid w:val="00C77C6E"/>
    <w:rsid w:val="00C8006E"/>
    <w:rsid w:val="00C849B7"/>
    <w:rsid w:val="00C918F6"/>
    <w:rsid w:val="00C92AF9"/>
    <w:rsid w:val="00C958F2"/>
    <w:rsid w:val="00C96286"/>
    <w:rsid w:val="00C96B64"/>
    <w:rsid w:val="00C97513"/>
    <w:rsid w:val="00CA23AE"/>
    <w:rsid w:val="00CA2C23"/>
    <w:rsid w:val="00CA3A6F"/>
    <w:rsid w:val="00CA526A"/>
    <w:rsid w:val="00CA5CD1"/>
    <w:rsid w:val="00CA66B3"/>
    <w:rsid w:val="00CB10B5"/>
    <w:rsid w:val="00CB240A"/>
    <w:rsid w:val="00CB431E"/>
    <w:rsid w:val="00CC10E7"/>
    <w:rsid w:val="00CC3D0C"/>
    <w:rsid w:val="00CC45F5"/>
    <w:rsid w:val="00CD1BF3"/>
    <w:rsid w:val="00CD3C44"/>
    <w:rsid w:val="00CD47B0"/>
    <w:rsid w:val="00CD6902"/>
    <w:rsid w:val="00CE2D50"/>
    <w:rsid w:val="00CE59BD"/>
    <w:rsid w:val="00CE5F9C"/>
    <w:rsid w:val="00CE7735"/>
    <w:rsid w:val="00CF1D8E"/>
    <w:rsid w:val="00CF2D78"/>
    <w:rsid w:val="00D03D1D"/>
    <w:rsid w:val="00D05431"/>
    <w:rsid w:val="00D07DEF"/>
    <w:rsid w:val="00D105EF"/>
    <w:rsid w:val="00D12290"/>
    <w:rsid w:val="00D12927"/>
    <w:rsid w:val="00D12B49"/>
    <w:rsid w:val="00D1354B"/>
    <w:rsid w:val="00D17870"/>
    <w:rsid w:val="00D23D8E"/>
    <w:rsid w:val="00D2538C"/>
    <w:rsid w:val="00D25E01"/>
    <w:rsid w:val="00D304E8"/>
    <w:rsid w:val="00D310C4"/>
    <w:rsid w:val="00D33A00"/>
    <w:rsid w:val="00D4285A"/>
    <w:rsid w:val="00D503D3"/>
    <w:rsid w:val="00D52502"/>
    <w:rsid w:val="00D53222"/>
    <w:rsid w:val="00D61DA2"/>
    <w:rsid w:val="00D63050"/>
    <w:rsid w:val="00D63BE4"/>
    <w:rsid w:val="00D67411"/>
    <w:rsid w:val="00D706A6"/>
    <w:rsid w:val="00D75D5C"/>
    <w:rsid w:val="00D83D70"/>
    <w:rsid w:val="00D86CC0"/>
    <w:rsid w:val="00D91974"/>
    <w:rsid w:val="00D93BE1"/>
    <w:rsid w:val="00D94534"/>
    <w:rsid w:val="00DA3C63"/>
    <w:rsid w:val="00DA6735"/>
    <w:rsid w:val="00DA79D9"/>
    <w:rsid w:val="00DB17D4"/>
    <w:rsid w:val="00DB35DE"/>
    <w:rsid w:val="00DB4683"/>
    <w:rsid w:val="00DB47B1"/>
    <w:rsid w:val="00DB60B0"/>
    <w:rsid w:val="00DB67AD"/>
    <w:rsid w:val="00DB71D9"/>
    <w:rsid w:val="00DC11C1"/>
    <w:rsid w:val="00DC3314"/>
    <w:rsid w:val="00DC3C1C"/>
    <w:rsid w:val="00DD16DD"/>
    <w:rsid w:val="00DD3DD5"/>
    <w:rsid w:val="00DE129D"/>
    <w:rsid w:val="00DE2EF2"/>
    <w:rsid w:val="00DE3288"/>
    <w:rsid w:val="00DE3A4D"/>
    <w:rsid w:val="00DE666B"/>
    <w:rsid w:val="00DF0E09"/>
    <w:rsid w:val="00DF3386"/>
    <w:rsid w:val="00DF35DD"/>
    <w:rsid w:val="00DF582C"/>
    <w:rsid w:val="00DF6D5B"/>
    <w:rsid w:val="00E00A50"/>
    <w:rsid w:val="00E02D7E"/>
    <w:rsid w:val="00E20BD9"/>
    <w:rsid w:val="00E22ABB"/>
    <w:rsid w:val="00E24FD5"/>
    <w:rsid w:val="00E27D08"/>
    <w:rsid w:val="00E309BD"/>
    <w:rsid w:val="00E41A52"/>
    <w:rsid w:val="00E42F53"/>
    <w:rsid w:val="00E45680"/>
    <w:rsid w:val="00E47055"/>
    <w:rsid w:val="00E47972"/>
    <w:rsid w:val="00E47F08"/>
    <w:rsid w:val="00E54B44"/>
    <w:rsid w:val="00E6089F"/>
    <w:rsid w:val="00E60E5F"/>
    <w:rsid w:val="00E61F2A"/>
    <w:rsid w:val="00E6384F"/>
    <w:rsid w:val="00E65743"/>
    <w:rsid w:val="00E6777C"/>
    <w:rsid w:val="00E70766"/>
    <w:rsid w:val="00E70C85"/>
    <w:rsid w:val="00E74933"/>
    <w:rsid w:val="00E80A1D"/>
    <w:rsid w:val="00E82022"/>
    <w:rsid w:val="00E822D4"/>
    <w:rsid w:val="00E858DA"/>
    <w:rsid w:val="00E85A45"/>
    <w:rsid w:val="00E871E3"/>
    <w:rsid w:val="00E87533"/>
    <w:rsid w:val="00E87571"/>
    <w:rsid w:val="00E9015E"/>
    <w:rsid w:val="00EA305E"/>
    <w:rsid w:val="00EA769B"/>
    <w:rsid w:val="00EA7E94"/>
    <w:rsid w:val="00EB0584"/>
    <w:rsid w:val="00EB180B"/>
    <w:rsid w:val="00EB4020"/>
    <w:rsid w:val="00EB5FA4"/>
    <w:rsid w:val="00EB636D"/>
    <w:rsid w:val="00EB77ED"/>
    <w:rsid w:val="00EC1C4C"/>
    <w:rsid w:val="00EC34F7"/>
    <w:rsid w:val="00EC421F"/>
    <w:rsid w:val="00ED01DC"/>
    <w:rsid w:val="00ED03AF"/>
    <w:rsid w:val="00ED08A9"/>
    <w:rsid w:val="00ED74DE"/>
    <w:rsid w:val="00EE0FC0"/>
    <w:rsid w:val="00EE208A"/>
    <w:rsid w:val="00EE5E05"/>
    <w:rsid w:val="00EE6BF1"/>
    <w:rsid w:val="00EF2FF2"/>
    <w:rsid w:val="00EF5753"/>
    <w:rsid w:val="00EF67EB"/>
    <w:rsid w:val="00F007DA"/>
    <w:rsid w:val="00F05385"/>
    <w:rsid w:val="00F05D23"/>
    <w:rsid w:val="00F06942"/>
    <w:rsid w:val="00F07BE4"/>
    <w:rsid w:val="00F102C2"/>
    <w:rsid w:val="00F164AB"/>
    <w:rsid w:val="00F236CB"/>
    <w:rsid w:val="00F353EC"/>
    <w:rsid w:val="00F3657D"/>
    <w:rsid w:val="00F439AF"/>
    <w:rsid w:val="00F46678"/>
    <w:rsid w:val="00F51DC7"/>
    <w:rsid w:val="00F526B6"/>
    <w:rsid w:val="00F601D3"/>
    <w:rsid w:val="00F615B0"/>
    <w:rsid w:val="00F66DFF"/>
    <w:rsid w:val="00F70CE8"/>
    <w:rsid w:val="00F728EF"/>
    <w:rsid w:val="00F730BA"/>
    <w:rsid w:val="00F8091E"/>
    <w:rsid w:val="00F82CC8"/>
    <w:rsid w:val="00F839CF"/>
    <w:rsid w:val="00F8748B"/>
    <w:rsid w:val="00F903F3"/>
    <w:rsid w:val="00F91851"/>
    <w:rsid w:val="00F94E67"/>
    <w:rsid w:val="00F95418"/>
    <w:rsid w:val="00F95754"/>
    <w:rsid w:val="00F95964"/>
    <w:rsid w:val="00F96ACC"/>
    <w:rsid w:val="00FA1F90"/>
    <w:rsid w:val="00FA207E"/>
    <w:rsid w:val="00FA340D"/>
    <w:rsid w:val="00FA7ADF"/>
    <w:rsid w:val="00FB05BB"/>
    <w:rsid w:val="00FB1498"/>
    <w:rsid w:val="00FB2B42"/>
    <w:rsid w:val="00FC3332"/>
    <w:rsid w:val="00FC3540"/>
    <w:rsid w:val="00FC42C5"/>
    <w:rsid w:val="00FC4900"/>
    <w:rsid w:val="00FC4E64"/>
    <w:rsid w:val="00FC53E2"/>
    <w:rsid w:val="00FC5454"/>
    <w:rsid w:val="00FD2498"/>
    <w:rsid w:val="00FD7EB1"/>
    <w:rsid w:val="00FE0E9A"/>
    <w:rsid w:val="00FE1786"/>
    <w:rsid w:val="00FE3AC7"/>
    <w:rsid w:val="00FE482D"/>
    <w:rsid w:val="00FE50D0"/>
    <w:rsid w:val="00FE59B0"/>
    <w:rsid w:val="00FE5DA8"/>
    <w:rsid w:val="00FE79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E3E85"/>
  <w15:docId w15:val="{7FE94162-7712-4B55-83E5-A26BCE0D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1">
    <w:lsdException w:name="Normal" w:uiPriority="7"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17" w:unhideWhenUsed="1"/>
    <w:lsdException w:name="annotation text" w:semiHidden="1" w:uiPriority="17" w:unhideWhenUsed="1"/>
    <w:lsdException w:name="header" w:semiHidden="1" w:uiPriority="13" w:unhideWhenUsed="1"/>
    <w:lsdException w:name="footer" w:semiHidden="1" w:uiPriority="13"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lsdException w:name="annotation reference" w:semiHidden="1" w:uiPriority="17"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9" w:unhideWhenUsed="1"/>
    <w:lsdException w:name="List Bullet" w:semiHidden="1" w:uiPriority="29" w:unhideWhenUsed="1"/>
    <w:lsdException w:name="List Number" w:uiPriority="29"/>
    <w:lsdException w:name="List 2" w:semiHidden="1" w:uiPriority="29" w:unhideWhenUsed="1"/>
    <w:lsdException w:name="List 3" w:semiHidden="1" w:uiPriority="29" w:unhideWhenUsed="1"/>
    <w:lsdException w:name="List 4" w:uiPriority="29"/>
    <w:lsdException w:name="List 5" w:uiPriority="29"/>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29" w:unhideWhenUsed="1"/>
    <w:lsdException w:name="List Continue 2" w:semiHidden="1" w:uiPriority="29" w:unhideWhenUsed="1"/>
    <w:lsdException w:name="List Continue 3" w:semiHidden="1" w:uiPriority="29" w:unhideWhenUsed="1"/>
    <w:lsdException w:name="List Continue 4" w:semiHidden="1" w:uiPriority="29" w:unhideWhenUsed="1"/>
    <w:lsdException w:name="List Continue 5" w:semiHidden="1" w:uiPriority="29"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34"/>
    <w:lsdException w:name="Intense Emphasis" w:uiPriority="59"/>
    <w:lsdException w:name="Subtle Reference" w:uiPriority="41" w:qFormat="1"/>
    <w:lsdException w:name="Intense Reference"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1227A6"/>
    <w:pPr>
      <w:spacing w:before="100" w:line="288" w:lineRule="auto"/>
      <w:jc w:val="left"/>
    </w:pPr>
    <w:rPr>
      <w:sz w:val="20"/>
      <w:szCs w:val="20"/>
      <w:lang w:val="en-AU" w:eastAsia="en-AU"/>
    </w:rPr>
  </w:style>
  <w:style w:type="paragraph" w:styleId="Heading1">
    <w:name w:val="heading 1"/>
    <w:basedOn w:val="Level1"/>
    <w:next w:val="Body2"/>
    <w:link w:val="Heading1Char"/>
    <w:uiPriority w:val="4"/>
    <w:qFormat/>
    <w:rsid w:val="00002F65"/>
    <w:pPr>
      <w:keepNext/>
    </w:pPr>
    <w:rPr>
      <w:b/>
      <w:smallCaps/>
    </w:rPr>
  </w:style>
  <w:style w:type="paragraph" w:styleId="Heading2">
    <w:name w:val="heading 2"/>
    <w:basedOn w:val="Level2"/>
    <w:next w:val="Body2"/>
    <w:link w:val="Heading2Char"/>
    <w:uiPriority w:val="4"/>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rPr>
      <w:sz w:val="22"/>
    </w:rPr>
  </w:style>
  <w:style w:type="paragraph" w:styleId="Heading6">
    <w:name w:val="heading 6"/>
    <w:basedOn w:val="Normal"/>
    <w:next w:val="Normal"/>
    <w:uiPriority w:val="16"/>
    <w:semiHidden/>
    <w:qFormat/>
    <w:pPr>
      <w:spacing w:before="240" w:after="60"/>
      <w:outlineLvl w:val="5"/>
    </w:pPr>
    <w:rPr>
      <w:rFonts w:ascii="Times New Roman" w:hAnsi="Times New Roman"/>
      <w:i/>
      <w:sz w:val="22"/>
    </w:rPr>
  </w:style>
  <w:style w:type="paragraph" w:styleId="Heading7">
    <w:name w:val="heading 7"/>
    <w:basedOn w:val="Normal"/>
    <w:next w:val="Normal"/>
    <w:uiPriority w:val="16"/>
    <w:semiHidden/>
    <w:qFormat/>
    <w:pPr>
      <w:spacing w:before="240" w:after="60"/>
      <w:outlineLvl w:val="6"/>
    </w:pPr>
  </w:style>
  <w:style w:type="paragraph" w:styleId="Heading8">
    <w:name w:val="heading 8"/>
    <w:basedOn w:val="Normal"/>
    <w:next w:val="Normal"/>
    <w:uiPriority w:val="16"/>
    <w:semiHidden/>
    <w:qFormat/>
    <w:pPr>
      <w:spacing w:before="240" w:after="60"/>
      <w:outlineLvl w:val="7"/>
    </w:pPr>
    <w:rPr>
      <w:i/>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13"/>
    <w:unhideWhenUsed/>
    <w:pPr>
      <w:tabs>
        <w:tab w:val="center" w:pos="4536"/>
        <w:tab w:val="right" w:pos="9072"/>
      </w:tabs>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link w:val="FootnoteTextChar"/>
    <w:uiPriority w:val="17"/>
    <w:unhideWhenUsed/>
    <w:pPr>
      <w:tabs>
        <w:tab w:val="left" w:pos="720"/>
      </w:tabs>
      <w:ind w:left="720" w:hanging="720"/>
    </w:pPr>
    <w:rPr>
      <w:sz w:val="16"/>
    </w:rPr>
  </w:style>
  <w:style w:type="paragraph" w:styleId="Header">
    <w:name w:val="header"/>
    <w:basedOn w:val="Normal"/>
    <w:link w:val="HeaderChar"/>
    <w:uiPriority w:val="13"/>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qFormat/>
    <w:rsid w:val="00CD1BF3"/>
    <w:pPr>
      <w:tabs>
        <w:tab w:val="left" w:pos="709"/>
        <w:tab w:val="right" w:pos="9072"/>
      </w:tabs>
      <w:spacing w:after="120"/>
      <w:ind w:left="709" w:right="425" w:hanging="709"/>
    </w:pPr>
    <w:rPr>
      <w:b/>
      <w:smallCaps/>
    </w:rPr>
  </w:style>
  <w:style w:type="paragraph" w:styleId="TOC2">
    <w:name w:val="toc 2"/>
    <w:basedOn w:val="TOC1"/>
    <w:uiPriority w:val="39"/>
    <w:qFormat/>
    <w:rsid w:val="00547D7B"/>
    <w:pPr>
      <w:tabs>
        <w:tab w:val="left" w:pos="1418"/>
      </w:tabs>
      <w:ind w:left="1418"/>
    </w:pPr>
    <w:rPr>
      <w:smallCaps w:val="0"/>
    </w:rPr>
  </w:style>
  <w:style w:type="paragraph" w:styleId="TOC3">
    <w:name w:val="toc 3"/>
    <w:basedOn w:val="TOC2"/>
    <w:uiPriority w:val="39"/>
    <w:rsid w:val="009B2F07"/>
    <w:pPr>
      <w:ind w:left="2127"/>
    </w:pPr>
  </w:style>
  <w:style w:type="paragraph" w:styleId="TOC4">
    <w:name w:val="toc 4"/>
    <w:basedOn w:val="Normal"/>
    <w:next w:val="Normal"/>
    <w:uiPriority w:val="39"/>
    <w:semiHidden/>
    <w:rsid w:val="008C77D5"/>
    <w:pPr>
      <w:numPr>
        <w:numId w:val="6"/>
      </w:numPr>
      <w:tabs>
        <w:tab w:val="left" w:pos="0"/>
        <w:tab w:val="left" w:pos="709"/>
        <w:tab w:val="right" w:pos="9072"/>
      </w:tabs>
      <w:spacing w:after="120"/>
      <w:ind w:left="709" w:hanging="709"/>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link w:val="BodyTextChar"/>
    <w:qFormat/>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qFormat/>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lang w:eastAsia="en-US"/>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13"/>
    <w:rsid w:val="00ED08A9"/>
    <w:rPr>
      <w:sz w:val="16"/>
    </w:rPr>
  </w:style>
  <w:style w:type="character" w:customStyle="1" w:styleId="HeaderChar">
    <w:name w:val="Header Char"/>
    <w:basedOn w:val="DefaultParagraphFont"/>
    <w:link w:val="Header"/>
    <w:uiPriority w:val="13"/>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4D5357" w:themeColor="text1"/>
    </w:rPr>
  </w:style>
  <w:style w:type="character" w:customStyle="1" w:styleId="QuoteChar">
    <w:name w:val="Quote Char"/>
    <w:basedOn w:val="DefaultParagraphFont"/>
    <w:link w:val="Quote"/>
    <w:uiPriority w:val="39"/>
    <w:semiHidden/>
    <w:rsid w:val="00ED08A9"/>
    <w:rPr>
      <w:i/>
      <w:iCs/>
      <w:color w:val="4D5357" w:themeColor="text1"/>
    </w:rPr>
  </w:style>
  <w:style w:type="paragraph" w:styleId="ListParagraph">
    <w:name w:val="List Paragraph"/>
    <w:basedOn w:val="Normal"/>
    <w:uiPriority w:val="34"/>
    <w:qFormat/>
    <w:rsid w:val="00D25E01"/>
    <w:pPr>
      <w:ind w:left="720"/>
      <w:contextualSpacing/>
    </w:pPr>
  </w:style>
  <w:style w:type="paragraph" w:styleId="Title">
    <w:name w:val="Title"/>
    <w:basedOn w:val="Body"/>
    <w:next w:val="Body1"/>
    <w:link w:val="TitleChar"/>
    <w:qFormat/>
    <w:rsid w:val="00615756"/>
    <w:rPr>
      <w:rFonts w:eastAsiaTheme="majorEastAsia" w:cstheme="majorBidi"/>
      <w:b/>
      <w:smallCaps/>
      <w:spacing w:val="5"/>
      <w:kern w:val="28"/>
      <w:szCs w:val="52"/>
    </w:rPr>
  </w:style>
  <w:style w:type="character" w:customStyle="1" w:styleId="TitleChar">
    <w:name w:val="Title Char"/>
    <w:basedOn w:val="DefaultParagraphFont"/>
    <w:link w:val="Title"/>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rPr>
      <w:sz w:val="20"/>
      <w:szCs w:val="20"/>
      <w:lang w:val="en-AU" w:eastAsia="en-AU"/>
    </w:rPr>
  </w:style>
  <w:style w:type="character" w:customStyle="1" w:styleId="Heading2Char">
    <w:name w:val="Heading 2 Char"/>
    <w:basedOn w:val="Level2Char"/>
    <w:link w:val="Heading2"/>
    <w:uiPriority w:val="4"/>
    <w:rsid w:val="00ED08A9"/>
    <w:rPr>
      <w:b/>
      <w:sz w:val="20"/>
      <w:szCs w:val="20"/>
      <w:lang w:val="en-AU" w:eastAsia="en-AU"/>
    </w:rPr>
  </w:style>
  <w:style w:type="character" w:customStyle="1" w:styleId="Heading2RestartChar">
    <w:name w:val="Heading 2 Restart Char"/>
    <w:basedOn w:val="Heading2Char"/>
    <w:link w:val="Heading2Restart"/>
    <w:uiPriority w:val="13"/>
    <w:semiHidden/>
    <w:rsid w:val="00ED08A9"/>
    <w:rPr>
      <w:rFonts w:eastAsia="Arial Unicode MS"/>
      <w:b/>
      <w:sz w:val="20"/>
      <w:szCs w:val="20"/>
      <w:lang w:val="en-AU" w:eastAsia="en-AU"/>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rPr>
      <w:sz w:val="20"/>
      <w:szCs w:val="20"/>
      <w:lang w:val="en-AU" w:eastAsia="en-AU"/>
    </w:rPr>
  </w:style>
  <w:style w:type="character" w:customStyle="1" w:styleId="Heading1Char">
    <w:name w:val="Heading 1 Char"/>
    <w:basedOn w:val="Level1Char"/>
    <w:link w:val="Heading1"/>
    <w:uiPriority w:val="4"/>
    <w:rsid w:val="00ED08A9"/>
    <w:rPr>
      <w:b/>
      <w:smallCaps/>
      <w:sz w:val="20"/>
      <w:szCs w:val="20"/>
      <w:lang w:val="en-AU" w:eastAsia="en-AU"/>
    </w:rPr>
  </w:style>
  <w:style w:type="character" w:customStyle="1" w:styleId="Level3Char">
    <w:name w:val="Level 3 Char"/>
    <w:basedOn w:val="Body3Char"/>
    <w:link w:val="Level3"/>
    <w:uiPriority w:val="6"/>
    <w:rsid w:val="00ED08A9"/>
    <w:rPr>
      <w:sz w:val="20"/>
      <w:szCs w:val="20"/>
      <w:lang w:val="en-AU" w:eastAsia="en-AU"/>
    </w:rPr>
  </w:style>
  <w:style w:type="character" w:customStyle="1" w:styleId="Heading3Char">
    <w:name w:val="Heading 3 Char"/>
    <w:basedOn w:val="Level3Char"/>
    <w:link w:val="Heading3"/>
    <w:uiPriority w:val="4"/>
    <w:rsid w:val="00ED08A9"/>
    <w:rPr>
      <w:b/>
      <w:sz w:val="20"/>
      <w:szCs w:val="20"/>
      <w:lang w:val="en-AU" w:eastAsia="en-AU"/>
    </w:rPr>
  </w:style>
  <w:style w:type="character" w:customStyle="1" w:styleId="Level4Char">
    <w:name w:val="Level 4 Char"/>
    <w:basedOn w:val="Body4Char"/>
    <w:link w:val="Level4"/>
    <w:uiPriority w:val="6"/>
    <w:rsid w:val="00ED08A9"/>
    <w:rPr>
      <w:sz w:val="20"/>
      <w:szCs w:val="20"/>
      <w:lang w:val="en-AU" w:eastAsia="en-AU"/>
    </w:rPr>
  </w:style>
  <w:style w:type="character" w:customStyle="1" w:styleId="Heading4Char">
    <w:name w:val="Heading 4 Char"/>
    <w:basedOn w:val="Level4Char"/>
    <w:link w:val="Heading4"/>
    <w:uiPriority w:val="5"/>
    <w:semiHidden/>
    <w:rsid w:val="00ED08A9"/>
    <w:rPr>
      <w:rFonts w:ascii="Arial Bold" w:hAnsi="Arial Bold"/>
      <w:b/>
      <w:sz w:val="20"/>
      <w:szCs w:val="20"/>
      <w:lang w:val="en-AU" w:eastAsia="en-AU"/>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rPr>
      <w:sz w:val="20"/>
      <w:szCs w:val="20"/>
      <w:lang w:val="en-AU" w:eastAsia="en-AU"/>
    </w:rPr>
  </w:style>
  <w:style w:type="character" w:customStyle="1" w:styleId="SchNumber1Char">
    <w:name w:val="Sch Number 1 Char"/>
    <w:basedOn w:val="Level1Char"/>
    <w:link w:val="SchNumber1"/>
    <w:uiPriority w:val="12"/>
    <w:rsid w:val="00ED08A9"/>
    <w:rPr>
      <w:sz w:val="20"/>
      <w:szCs w:val="20"/>
      <w:lang w:val="en-AU" w:eastAsia="en-AU"/>
    </w:rPr>
  </w:style>
  <w:style w:type="character" w:customStyle="1" w:styleId="SchHeading1Char">
    <w:name w:val="Sch Heading 1 Char"/>
    <w:basedOn w:val="SchNumber1Char"/>
    <w:link w:val="SchHeading1"/>
    <w:uiPriority w:val="12"/>
    <w:rsid w:val="00665A5B"/>
    <w:rPr>
      <w:b/>
      <w:smallCaps/>
      <w:sz w:val="20"/>
      <w:szCs w:val="20"/>
      <w:lang w:val="en-AU" w:eastAsia="en-AU"/>
    </w:rPr>
  </w:style>
  <w:style w:type="character" w:customStyle="1" w:styleId="SchNumber2Char">
    <w:name w:val="Sch Number 2 Char"/>
    <w:basedOn w:val="Level2Char"/>
    <w:link w:val="SchNumber2"/>
    <w:uiPriority w:val="12"/>
    <w:rsid w:val="00ED08A9"/>
    <w:rPr>
      <w:sz w:val="20"/>
      <w:szCs w:val="20"/>
      <w:lang w:val="en-AU" w:eastAsia="en-AU"/>
    </w:rPr>
  </w:style>
  <w:style w:type="character" w:customStyle="1" w:styleId="SchHeading2Char">
    <w:name w:val="Sch Heading 2 Char"/>
    <w:basedOn w:val="SchNumber2Char"/>
    <w:link w:val="SchHeading2"/>
    <w:uiPriority w:val="12"/>
    <w:rsid w:val="00665A5B"/>
    <w:rPr>
      <w:b/>
      <w:sz w:val="20"/>
      <w:szCs w:val="20"/>
      <w:lang w:val="en-AU" w:eastAsia="en-AU"/>
    </w:rPr>
  </w:style>
  <w:style w:type="character" w:customStyle="1" w:styleId="SchNumber3Char">
    <w:name w:val="Sch Number 3 Char"/>
    <w:basedOn w:val="Level3Char"/>
    <w:link w:val="SchNumber3"/>
    <w:uiPriority w:val="12"/>
    <w:rsid w:val="00ED08A9"/>
    <w:rPr>
      <w:sz w:val="20"/>
      <w:szCs w:val="20"/>
      <w:lang w:val="en-AU" w:eastAsia="en-AU"/>
    </w:rPr>
  </w:style>
  <w:style w:type="character" w:customStyle="1" w:styleId="SchNumber4Char">
    <w:name w:val="Sch Number 4 Char"/>
    <w:basedOn w:val="Level4Char"/>
    <w:link w:val="SchNumber4"/>
    <w:uiPriority w:val="12"/>
    <w:rsid w:val="00ED08A9"/>
    <w:rPr>
      <w:sz w:val="20"/>
      <w:szCs w:val="20"/>
      <w:lang w:val="en-AU" w:eastAsia="en-AU"/>
    </w:rPr>
  </w:style>
  <w:style w:type="character" w:customStyle="1" w:styleId="SchNumber5Char">
    <w:name w:val="Sch Number 5 Char"/>
    <w:basedOn w:val="Level5Char"/>
    <w:link w:val="SchNumber5"/>
    <w:uiPriority w:val="12"/>
    <w:rsid w:val="00ED08A9"/>
    <w:rPr>
      <w:sz w:val="20"/>
      <w:szCs w:val="20"/>
      <w:lang w:val="en-AU" w:eastAsia="en-AU"/>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b/>
      <w:sz w:val="20"/>
      <w:szCs w:val="20"/>
      <w:lang w:val="en-AU" w:eastAsia="en-AU"/>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sz w:val="14"/>
    </w:rPr>
  </w:style>
  <w:style w:type="paragraph" w:customStyle="1" w:styleId="address3">
    <w:name w:val="address 3"/>
    <w:basedOn w:val="Address2"/>
    <w:uiPriority w:val="17"/>
    <w:rsid w:val="00D67411"/>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sz w:val="20"/>
      <w:szCs w:val="20"/>
      <w:lang w:val="en-AU" w:eastAsia="en-AU"/>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sz w:val="20"/>
      <w:szCs w:val="20"/>
      <w:lang w:val="en-AU" w:eastAsia="en-AU"/>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sz w:val="20"/>
      <w:szCs w:val="20"/>
      <w:lang w:val="en-AU" w:eastAsia="en-AU"/>
    </w:rPr>
  </w:style>
  <w:style w:type="paragraph" w:customStyle="1" w:styleId="CentredHeadingCover">
    <w:name w:val="Centred Heading Cover"/>
    <w:basedOn w:val="CentredHeading"/>
    <w:uiPriority w:val="13"/>
    <w:semiHidden/>
    <w:unhideWhenUsed/>
    <w:rsid w:val="005045A9"/>
  </w:style>
  <w:style w:type="character" w:customStyle="1" w:styleId="FootnoteTextChar">
    <w:name w:val="Footnote Text Char"/>
    <w:basedOn w:val="DefaultParagraphFont"/>
    <w:link w:val="FootnoteText"/>
    <w:rsid w:val="001227A6"/>
    <w:rPr>
      <w:rFonts w:eastAsia="Arial Unicode MS"/>
      <w:sz w:val="16"/>
    </w:rPr>
  </w:style>
  <w:style w:type="character" w:customStyle="1" w:styleId="BodyTextChar">
    <w:name w:val="Body Text Char"/>
    <w:basedOn w:val="DefaultParagraphFont"/>
    <w:link w:val="BodyText"/>
    <w:rsid w:val="001227A6"/>
    <w:rPr>
      <w:rFonts w:eastAsia="Arial Unicode MS"/>
    </w:rPr>
  </w:style>
  <w:style w:type="paragraph" w:customStyle="1" w:styleId="AllensHeading2">
    <w:name w:val="Allens Heading 2"/>
    <w:basedOn w:val="Normal"/>
    <w:next w:val="NormalIndent"/>
    <w:qFormat/>
    <w:rsid w:val="001227A6"/>
    <w:pPr>
      <w:keepNext/>
      <w:numPr>
        <w:ilvl w:val="1"/>
        <w:numId w:val="7"/>
      </w:numPr>
      <w:spacing w:before="160"/>
      <w:outlineLvl w:val="1"/>
    </w:pPr>
    <w:rPr>
      <w:b/>
      <w:sz w:val="21"/>
    </w:rPr>
  </w:style>
  <w:style w:type="paragraph" w:customStyle="1" w:styleId="AllensHeading1">
    <w:name w:val="Allens Heading 1"/>
    <w:basedOn w:val="Normal"/>
    <w:next w:val="AllensHeading2"/>
    <w:qFormat/>
    <w:rsid w:val="001227A6"/>
    <w:pPr>
      <w:keepNext/>
      <w:numPr>
        <w:numId w:val="7"/>
      </w:numPr>
      <w:spacing w:before="200"/>
      <w:outlineLvl w:val="0"/>
    </w:pPr>
    <w:rPr>
      <w:b/>
      <w:sz w:val="22"/>
    </w:rPr>
  </w:style>
  <w:style w:type="paragraph" w:customStyle="1" w:styleId="AllensHeading3">
    <w:name w:val="Allens Heading 3"/>
    <w:basedOn w:val="Normal"/>
    <w:qFormat/>
    <w:rsid w:val="001227A6"/>
    <w:pPr>
      <w:numPr>
        <w:ilvl w:val="2"/>
        <w:numId w:val="7"/>
      </w:numPr>
    </w:pPr>
  </w:style>
  <w:style w:type="paragraph" w:customStyle="1" w:styleId="AllensHeading4">
    <w:name w:val="Allens Heading 4"/>
    <w:basedOn w:val="Normal"/>
    <w:qFormat/>
    <w:rsid w:val="001227A6"/>
    <w:pPr>
      <w:numPr>
        <w:ilvl w:val="3"/>
        <w:numId w:val="7"/>
      </w:numPr>
    </w:pPr>
  </w:style>
  <w:style w:type="paragraph" w:customStyle="1" w:styleId="AllensHeading5">
    <w:name w:val="Allens Heading 5"/>
    <w:basedOn w:val="Normal"/>
    <w:qFormat/>
    <w:rsid w:val="001227A6"/>
    <w:pPr>
      <w:numPr>
        <w:ilvl w:val="4"/>
        <w:numId w:val="7"/>
      </w:numPr>
    </w:pPr>
  </w:style>
  <w:style w:type="paragraph" w:customStyle="1" w:styleId="AllensHeading6">
    <w:name w:val="Allens Heading 6"/>
    <w:basedOn w:val="Normal"/>
    <w:qFormat/>
    <w:rsid w:val="001227A6"/>
    <w:pPr>
      <w:numPr>
        <w:ilvl w:val="5"/>
        <w:numId w:val="7"/>
      </w:numPr>
    </w:pPr>
  </w:style>
  <w:style w:type="paragraph" w:customStyle="1" w:styleId="Bullet1">
    <w:name w:val="Bullet 1"/>
    <w:basedOn w:val="Normal"/>
    <w:qFormat/>
    <w:rsid w:val="001227A6"/>
    <w:pPr>
      <w:numPr>
        <w:numId w:val="8"/>
      </w:numPr>
    </w:pPr>
  </w:style>
  <w:style w:type="paragraph" w:customStyle="1" w:styleId="Bullet2">
    <w:name w:val="Bullet 2"/>
    <w:basedOn w:val="Normal"/>
    <w:qFormat/>
    <w:rsid w:val="001227A6"/>
    <w:pPr>
      <w:numPr>
        <w:numId w:val="9"/>
      </w:numPr>
    </w:pPr>
  </w:style>
  <w:style w:type="paragraph" w:customStyle="1" w:styleId="ContentsHeading">
    <w:name w:val="Contents Heading"/>
    <w:basedOn w:val="Normal"/>
    <w:next w:val="Normal"/>
    <w:qFormat/>
    <w:rsid w:val="001227A6"/>
    <w:pPr>
      <w:spacing w:before="0"/>
    </w:pPr>
    <w:rPr>
      <w:b/>
      <w:sz w:val="22"/>
    </w:rPr>
  </w:style>
  <w:style w:type="paragraph" w:customStyle="1" w:styleId="GeneralHeading1">
    <w:name w:val="General Heading 1"/>
    <w:basedOn w:val="Normal"/>
    <w:next w:val="Normal"/>
    <w:qFormat/>
    <w:rsid w:val="001227A6"/>
    <w:pPr>
      <w:keepNext/>
      <w:spacing w:before="200"/>
    </w:pPr>
    <w:rPr>
      <w:b/>
      <w:sz w:val="22"/>
    </w:rPr>
  </w:style>
  <w:style w:type="table" w:styleId="TableGrid">
    <w:name w:val="Table Grid"/>
    <w:basedOn w:val="TableNormal"/>
    <w:rsid w:val="001227A6"/>
    <w:pPr>
      <w:spacing w:line="240" w:lineRule="auto"/>
      <w:jc w:val="left"/>
    </w:pPr>
    <w:rPr>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1227A6"/>
    <w:pPr>
      <w:spacing w:line="240" w:lineRule="auto"/>
      <w:jc w:val="left"/>
    </w:pPr>
    <w:rPr>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17"/>
    <w:semiHidden/>
    <w:unhideWhenUsed/>
    <w:rsid w:val="00315CE9"/>
    <w:pPr>
      <w:spacing w:line="240" w:lineRule="auto"/>
    </w:pPr>
    <w:rPr>
      <w:b/>
      <w:bCs/>
    </w:rPr>
  </w:style>
  <w:style w:type="character" w:customStyle="1" w:styleId="CommentSubjectChar">
    <w:name w:val="Comment Subject Char"/>
    <w:basedOn w:val="CommentTextChar"/>
    <w:link w:val="CommentSubject"/>
    <w:uiPriority w:val="17"/>
    <w:semiHidden/>
    <w:rsid w:val="00315CE9"/>
    <w:rPr>
      <w:b/>
      <w:bCs/>
      <w:sz w:val="20"/>
      <w:szCs w:val="20"/>
      <w:lang w:val="en-AU" w:eastAsia="en-AU"/>
    </w:rPr>
  </w:style>
  <w:style w:type="paragraph" w:customStyle="1" w:styleId="Default">
    <w:name w:val="Default"/>
    <w:rsid w:val="0029600D"/>
    <w:pPr>
      <w:autoSpaceDE w:val="0"/>
      <w:autoSpaceDN w:val="0"/>
      <w:adjustRightInd w:val="0"/>
      <w:spacing w:line="240" w:lineRule="auto"/>
      <w:jc w:val="left"/>
    </w:pPr>
    <w:rPr>
      <w:rFonts w:ascii="Calibri" w:eastAsiaTheme="minorHAns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domresearchcenter.com/journal/18/jordan8.html" TargetMode="External"/><Relationship Id="rId39" Type="http://schemas.openxmlformats.org/officeDocument/2006/relationships/hyperlink" Target="https://pdfs.semanticscholar.org/f5db/fbeef4aeeb8cda3ceefe5f40f5dd571856dd.pdf" TargetMode="External"/><Relationship Id="rId21" Type="http://schemas.openxmlformats.org/officeDocument/2006/relationships/hyperlink" Target="http://www.kinghussein.gov.jo/const_ch1-3.html" TargetMode="External"/><Relationship Id="rId34" Type="http://schemas.openxmlformats.org/officeDocument/2006/relationships/hyperlink" Target="http://www.hlrn.org/img/documents/property%20rights%20english.pdf" TargetMode="External"/><Relationship Id="rId42" Type="http://schemas.openxmlformats.org/officeDocument/2006/relationships/hyperlink" Target="http://www.landpedia.org/landdoc/Analytical_materials/Jordan_Landlord-Tenants_Law_report_en.pdf" TargetMode="External"/><Relationship Id="rId47" Type="http://schemas.openxmlformats.org/officeDocument/2006/relationships/hyperlink" Target="https://static1.squarespace.com/static/522c2552e4b0d3c39ccd1e00/t/5c56a2bd652dead32780dff4/1549181638082/JRP+2019+Update+-+Draft.pdf" TargetMode="External"/><Relationship Id="rId50" Type="http://schemas.openxmlformats.org/officeDocument/2006/relationships/hyperlink" Target="https://www.unrwa.org/where-we-work/jordan/amman-new-camp" TargetMode="External"/><Relationship Id="rId55" Type="http://schemas.openxmlformats.org/officeDocument/2006/relationships/hyperlink" Target="https://www.unrwa.org/where-we-work/jordan/irbid-camp" TargetMode="External"/><Relationship Id="rId63" Type="http://schemas.openxmlformats.org/officeDocument/2006/relationships/hyperlink" Target="http://wanainstitute.org/sites/default/files/publications/Tribal%20Dispute%20Resolution%20and%20Women%E2%80%99s%20Access%20to%20Justice%20in%20Jordan.pdf" TargetMode="External"/><Relationship Id="rId68" Type="http://schemas.openxmlformats.org/officeDocument/2006/relationships/hyperlink" Target="https://www.preventionweb.net/files/31204_legislativerevision28englishedition.pdf" TargetMode="External"/><Relationship Id="rId76" Type="http://schemas.openxmlformats.org/officeDocument/2006/relationships/hyperlink" Target="https://www.ifrc.org/en/what-we-do/where-we-work/middle-east-and-north-africa/jordan-national-red-crescent-society/" TargetMode="External"/><Relationship Id="rId84" Type="http://schemas.openxmlformats.org/officeDocument/2006/relationships/hyperlink" Target="https://www.icmc.net/programs/humanitarian-assistance-to-syrian-refugees-and-host-communities-in-jordan" TargetMode="External"/><Relationship Id="rId89" Type="http://schemas.openxmlformats.org/officeDocument/2006/relationships/hyperlink" Target="https://www.medair.org/jordan/" TargetMode="External"/><Relationship Id="rId7" Type="http://schemas.openxmlformats.org/officeDocument/2006/relationships/footnotes" Target="footnotes.xml"/><Relationship Id="rId71" Type="http://schemas.openxmlformats.org/officeDocument/2006/relationships/hyperlink" Target="https://jordan.gov.jo/wps/portal/Home/GovernmentEntities/Ministries/Ministry/Ministry%20of%20Public%20Works%20and%20Housing/Housing%20and%20Urban%20Development%20Corporation?current=true&amp;nameEntity=Housing%20and%20Urban%20Development%20Corporation&amp;entityType=sub" TargetMode="External"/><Relationship Id="rId92"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jorinfo.dos.gov.jo/PXWeb2014R2/Selection.aspx?px_path=Population%20and%20Housing__Demographic%20Statistics&amp;px_tableid=Table%201.px&amp;px_language=en&amp;px_db=Population%20and%20Housing&amp;rxid=d8467649-5faf-4b4c-8c29-f629d95a188e" TargetMode="External"/><Relationship Id="rId11" Type="http://schemas.openxmlformats.org/officeDocument/2006/relationships/hyperlink" Target="file:///C:\Users\1077087\Downloads\LWDLIB03-" TargetMode="External"/><Relationship Id="rId24" Type="http://schemas.openxmlformats.org/officeDocument/2006/relationships/hyperlink" Target="https://www.cia.gov/library/publications/the-world-factbook/geos/jo.html" TargetMode="External"/><Relationship Id="rId32" Type="http://schemas.openxmlformats.org/officeDocument/2006/relationships/hyperlink" Target="https://www.gov.uk/foreign-travel-advice/jordan" TargetMode="External"/><Relationship Id="rId37" Type="http://schemas.openxmlformats.org/officeDocument/2006/relationships/hyperlink" Target="https://www.globalpropertyguide.com/Middle-East/Jordan/Buying-Guide" TargetMode="External"/><Relationship Id="rId40" Type="http://schemas.openxmlformats.org/officeDocument/2006/relationships/hyperlink" Target="https://www.jstor.org/stable/23025221?seq=1" TargetMode="External"/><Relationship Id="rId45" Type="http://schemas.openxmlformats.org/officeDocument/2006/relationships/hyperlink" Target="https://data2.unhcr.org/en/documents/download/70664" TargetMode="External"/><Relationship Id="rId53" Type="http://schemas.openxmlformats.org/officeDocument/2006/relationships/hyperlink" Target="https://www.unrwa.org/where-we-work/jordan/husn-camp" TargetMode="External"/><Relationship Id="rId58" Type="http://schemas.openxmlformats.org/officeDocument/2006/relationships/hyperlink" Target="https://www.unrwa.org/where-we-work/jordan/zarqa-camp" TargetMode="External"/><Relationship Id="rId66" Type="http://schemas.openxmlformats.org/officeDocument/2006/relationships/hyperlink" Target="http://www.jordantimes.com/news/local/collapse-amman-buildings-blamed-unlicensed-extra-floors-soak-pits%E2%80%99" TargetMode="External"/><Relationship Id="rId74" Type="http://schemas.openxmlformats.org/officeDocument/2006/relationships/hyperlink" Target="https://www.preventionweb.net/files/21867_jordan.pdf" TargetMode="External"/><Relationship Id="rId79" Type="http://schemas.openxmlformats.org/officeDocument/2006/relationships/hyperlink" Target="http://dosweb.dos.gov.jo/censuses/population_housing/census2015/census2015_tables/" TargetMode="External"/><Relationship Id="rId87" Type="http://schemas.openxmlformats.org/officeDocument/2006/relationships/hyperlink" Target="https://reliefweb.int/report/jordan/seeking-shelter-jordan-s-cities-housing-security-and-urban-humanitarianism-syria" TargetMode="External"/><Relationship Id="rId5" Type="http://schemas.openxmlformats.org/officeDocument/2006/relationships/settings" Target="settings.xml"/><Relationship Id="rId61" Type="http://schemas.openxmlformats.org/officeDocument/2006/relationships/hyperlink" Target="https://www.theguardian.com/world/2017/dec/13/can-jordan-get-a-million-syrians-into-work" TargetMode="External"/><Relationship Id="rId82" Type="http://schemas.openxmlformats.org/officeDocument/2006/relationships/hyperlink" Target="https://reliefweb.int/report/jordan/seeking-shelter-jordan-s-cities-housing-security-and-urban-humanitarianism-syria" TargetMode="External"/><Relationship Id="rId90" Type="http://schemas.openxmlformats.org/officeDocument/2006/relationships/hyperlink" Target="https://iocc.org/where-we-work/jordan" TargetMode="External"/><Relationship Id="rId95" Type="http://schemas.openxmlformats.org/officeDocument/2006/relationships/fontTable" Target="fontTable.xml"/><Relationship Id="rId1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www.constituteproject.org/constitution/Jordan_2016.pdf?lang=en" TargetMode="External"/><Relationship Id="rId27" Type="http://schemas.openxmlformats.org/officeDocument/2006/relationships/hyperlink" Target="https://reliefweb.int/sites/reliefweb.int/files/resources/Pages%20from%20REACH_UNICEF_ITS_MS_AUGUST2014_FINAL-10_0.pdf" TargetMode="External"/><Relationship Id="rId30" Type="http://schemas.openxmlformats.org/officeDocument/2006/relationships/hyperlink" Target="https://www.britannica.com/place/Jordan/History" TargetMode="External"/><Relationship Id="rId35" Type="http://schemas.openxmlformats.org/officeDocument/2006/relationships/hyperlink" Target="https://www.tamimi.com/law-update-articles/new-amendments-to-the-jordanian-landlord-and-tenants-law/" TargetMode="External"/><Relationship Id="rId43" Type="http://schemas.openxmlformats.org/officeDocument/2006/relationships/hyperlink" Target="http://www.hlrn.org/news.php?id=pG1law==" TargetMode="External"/><Relationship Id="rId48" Type="http://schemas.openxmlformats.org/officeDocument/2006/relationships/hyperlink" Target="https://www.wfpusa.org/stories/10-facts-about-the-syrian-refugee-crisis-in-jordan/" TargetMode="External"/><Relationship Id="rId56" Type="http://schemas.openxmlformats.org/officeDocument/2006/relationships/hyperlink" Target="https://www.unrwa.org/where-we-work/jordan/talbieh-camp" TargetMode="External"/><Relationship Id="rId64" Type="http://schemas.openxmlformats.org/officeDocument/2006/relationships/hyperlink" Target="https://scholarcommons.sc.edu/cgi/viewcontent.cgi?article=1055&amp;context=scjilb" TargetMode="External"/><Relationship Id="rId69" Type="http://schemas.openxmlformats.org/officeDocument/2006/relationships/hyperlink" Target="http://www.jo.undp.org/content/jordan/en/home/library/NationalNaturalDisasterRiskReductionStrategy.html" TargetMode="External"/><Relationship Id="rId77" Type="http://schemas.openxmlformats.org/officeDocument/2006/relationships/hyperlink" Target="https://www.ifrc.org/en/news-and-media/press-releases/middle-east-and-north-africa/jordan/first-displaced-people-arrive-at-red-crescent-camp-in-jordan-from-iraq/" TargetMode="External"/><Relationship Id="rId8" Type="http://schemas.openxmlformats.org/officeDocument/2006/relationships/endnotes" Target="endnotes.xml"/><Relationship Id="rId51" Type="http://schemas.openxmlformats.org/officeDocument/2006/relationships/hyperlink" Target="https://www.unrwa.org/where-we-work/jordan/jerash-camp" TargetMode="External"/><Relationship Id="rId72" Type="http://schemas.openxmlformats.org/officeDocument/2006/relationships/hyperlink" Target="https://jordan.gov.jo/wps/portal/Home/GovernmentEntities/Ministries/Ministry/Ministry%20of%20Public%20Works%20and%20Housing?nameEntity=Ministry%20of%20Public%20Works%20and%20Housing&amp;entityType=ministry" TargetMode="External"/><Relationship Id="rId80" Type="http://schemas.openxmlformats.org/officeDocument/2006/relationships/hyperlink" Target="https://www.nrc.no/countries/middle-east/jordan/" TargetMode="External"/><Relationship Id="rId85" Type="http://schemas.openxmlformats.org/officeDocument/2006/relationships/hyperlink" Target="https://data2.unhcr.org/en/working-group/52" TargetMode="External"/><Relationship Id="rId93" Type="http://schemas.openxmlformats.org/officeDocument/2006/relationships/footer" Target="footer4.xml"/><Relationship Id="rId3" Type="http://schemas.openxmlformats.org/officeDocument/2006/relationships/numbering" Target="numbering.xml"/><Relationship Id="rId12" Type="http://schemas.openxmlformats.org/officeDocument/2006/relationships/hyperlink" Target="file:///C:\Users\1077087\Downloads\LWDLIB03-" TargetMode="External"/><Relationship Id="rId17" Type="http://schemas.openxmlformats.org/officeDocument/2006/relationships/header" Target="header3.xml"/><Relationship Id="rId25" Type="http://schemas.openxmlformats.org/officeDocument/2006/relationships/hyperlink" Target="https://www.land-links.org/wp-content/uploads/2018/06/USAID_Land_Tenure_Profile_Jordan.pdf" TargetMode="External"/><Relationship Id="rId33" Type="http://schemas.openxmlformats.org/officeDocument/2006/relationships/hyperlink" Target="http://www.fao.org/tenure/resources/results/card/en/c/05b817f3-bfee-5f2c-89dd-6afbc2010a16" TargetMode="External"/><Relationship Id="rId38" Type="http://schemas.openxmlformats.org/officeDocument/2006/relationships/hyperlink" Target="https://www.iucn.org/sites/dev/files/import/downloads/baseline_study___securing_rights_and_restoring_land_for_improved_livlihoohs.pdf" TargetMode="External"/><Relationship Id="rId46" Type="http://schemas.openxmlformats.org/officeDocument/2006/relationships/hyperlink" Target="https://reliefweb.int/sites/reliefweb.int/files/resources/68856.pdf" TargetMode="External"/><Relationship Id="rId59" Type="http://schemas.openxmlformats.org/officeDocument/2006/relationships/hyperlink" Target="https://reliefweb.int/report/jordan/syrian-refugees-staying-informal-tented-settlements-jordan-multi-sector-needs" TargetMode="External"/><Relationship Id="rId67" Type="http://schemas.openxmlformats.org/officeDocument/2006/relationships/hyperlink" Target="https://www.sheltercluster.org/" TargetMode="External"/><Relationship Id="rId20" Type="http://schemas.openxmlformats.org/officeDocument/2006/relationships/hyperlink" Target="http://www.dls.gov.jo" TargetMode="External"/><Relationship Id="rId41" Type="http://schemas.openxmlformats.org/officeDocument/2006/relationships/hyperlink" Target="http://jordantimes.com/news/local/25000-property-owners-jubeiha-face-loss-ownership-after-ruling%E2%80%99" TargetMode="External"/><Relationship Id="rId54" Type="http://schemas.openxmlformats.org/officeDocument/2006/relationships/hyperlink" Target="https://www.unrwa.org/where-we-work/jordan/souf-camp" TargetMode="External"/><Relationship Id="rId62" Type="http://schemas.openxmlformats.org/officeDocument/2006/relationships/hyperlink" Target="https://www.nber.org/papers/w8890.pdf" TargetMode="External"/><Relationship Id="rId70" Type="http://schemas.openxmlformats.org/officeDocument/2006/relationships/hyperlink" Target="http://shelterprojects.org/shelterprojects2013-2014/Shelterprojects_2013-14_Lowres_WEB.pdf" TargetMode="External"/><Relationship Id="rId75" Type="http://schemas.openxmlformats.org/officeDocument/2006/relationships/hyperlink" Target="http://www.nchr.org.jo/User_Site/Site/View_Article.aspx?type=2&amp;ID=1663" TargetMode="External"/><Relationship Id="rId83" Type="http://schemas.openxmlformats.org/officeDocument/2006/relationships/hyperlink" Target="https://www.world-habitat.org/world-habitat-awards/winners-and-finalists/urban-shelter-project/" TargetMode="External"/><Relationship Id="rId88" Type="http://schemas.openxmlformats.org/officeDocument/2006/relationships/hyperlink" Target="https://www.premiere-urgence.org/en/mission/jordan/" TargetMode="External"/><Relationship Id="rId91" Type="http://schemas.openxmlformats.org/officeDocument/2006/relationships/hyperlink" Target="https://www.intersos.org/en/what-we-do/jordan/"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google.com/url?sa=t&amp;rct=j&amp;q=&amp;esrc=s&amp;source=web&amp;cd=1&amp;ved=2ahUKEwjRp-bp8aXjAhVTa8AKHdAgAQYQFjAAegQIABAC&amp;url=http%3A%2F%2Fwww.lexmundi.com%2FDocument.asp%3FDocID%3D1729&amp;usg=AOvVaw0JACD7QLuuicc8mNWW8wR2" TargetMode="External"/><Relationship Id="rId28" Type="http://schemas.openxmlformats.org/officeDocument/2006/relationships/hyperlink" Target="http://worldpopulationreview.com/countries/jordan-population/cities/" TargetMode="External"/><Relationship Id="rId36" Type="http://schemas.openxmlformats.org/officeDocument/2006/relationships/hyperlink" Target="https://www.encyclopedia.com/humanities/encyclopedias-almanacs-transcripts-and-maps/land-code-1858" TargetMode="External"/><Relationship Id="rId49" Type="http://schemas.openxmlformats.org/officeDocument/2006/relationships/hyperlink" Target="https://www.unrwa.org/where-we-work/jordan/baqaa-camp" TargetMode="External"/><Relationship Id="rId57" Type="http://schemas.openxmlformats.org/officeDocument/2006/relationships/hyperlink" Target="https://www.unrwa.org/where-we-work/jordan/jabal-el-hussein-camp" TargetMode="External"/><Relationship Id="rId10" Type="http://schemas.openxmlformats.org/officeDocument/2006/relationships/hyperlink" Target="file:///C:\Users\1077087\Downloads\LWDLIB03-" TargetMode="External"/><Relationship Id="rId31" Type="http://schemas.openxmlformats.org/officeDocument/2006/relationships/hyperlink" Target="https://static1.squarespace.com/static/599720dc59cc68c3683049bc/t/5d52c54b18d85e0001b20f88/1565705548232/RIT+Report+Amman+Jordan.pdf" TargetMode="External"/><Relationship Id="rId44" Type="http://schemas.openxmlformats.org/officeDocument/2006/relationships/hyperlink" Target="https://pdfs.semanticscholar.org/be29/e566372086160cb92ac9b4e86659eab6b75c.pdf" TargetMode="External"/><Relationship Id="rId52" Type="http://schemas.openxmlformats.org/officeDocument/2006/relationships/hyperlink" Target="https://www.unrwa.org/where-we-work/jordan/marka-camp" TargetMode="External"/><Relationship Id="rId60" Type="http://schemas.openxmlformats.org/officeDocument/2006/relationships/hyperlink" Target="https://www.ijhssnet.com/journals/Vol_7_No_4_April_2017/8.pdf" TargetMode="External"/><Relationship Id="rId65" Type="http://schemas.openxmlformats.org/officeDocument/2006/relationships/hyperlink" Target="https://www.7iber.com/society/is-tribal-custom-above-the-law/" TargetMode="External"/><Relationship Id="rId73" Type="http://schemas.openxmlformats.org/officeDocument/2006/relationships/hyperlink" Target="https://www.urban-response.org/system/files/content/resource/files/main/cp-amman-july2006.pdf" TargetMode="External"/><Relationship Id="rId78" Type="http://schemas.openxmlformats.org/officeDocument/2006/relationships/hyperlink" Target="https://www.ifrc.org/en/news-and-media/news-stories/middle-east-and-north-africa/jordan/red-crescent-cash-support-offers-lifeline-to-syrian-refugee-families-in-jordan-72558/" TargetMode="External"/><Relationship Id="rId81" Type="http://schemas.openxmlformats.org/officeDocument/2006/relationships/hyperlink" Target="https://data2.unhcr.org/en/working-group/52" TargetMode="External"/><Relationship Id="rId86" Type="http://schemas.openxmlformats.org/officeDocument/2006/relationships/hyperlink" Target="https://www.caritas.org/where-caritas-work/middle-east-and-north-africa/jordan/" TargetMode="External"/><Relationship Id="rId94"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Haiselden@careinternational.org"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tamimi.com/law-update-articles/new-amendments-to-the-jordanian-landlord-and-tenants-law/" TargetMode="External"/><Relationship Id="rId18" Type="http://schemas.openxmlformats.org/officeDocument/2006/relationships/hyperlink" Target="https://www.jstor.org/stable/23025221?seq=1" TargetMode="External"/><Relationship Id="rId26" Type="http://schemas.openxmlformats.org/officeDocument/2006/relationships/hyperlink" Target="https://www.unrwa.org/where-we-work/jordan/baqaa-camp" TargetMode="External"/><Relationship Id="rId39" Type="http://schemas.openxmlformats.org/officeDocument/2006/relationships/hyperlink" Target="https://www.unrwa.org/where-we-work/jordan/jerash-camp" TargetMode="External"/><Relationship Id="rId21" Type="http://schemas.openxmlformats.org/officeDocument/2006/relationships/hyperlink" Target="https://data2.unhcr.org/en/documents/download/70664" TargetMode="External"/><Relationship Id="rId34" Type="http://schemas.openxmlformats.org/officeDocument/2006/relationships/hyperlink" Target="https://www.unrwa.org/where-we-work/jordan/jabal-el-hussein-camp" TargetMode="External"/><Relationship Id="rId42" Type="http://schemas.openxmlformats.org/officeDocument/2006/relationships/hyperlink" Target="https://www.unrwa.org/where-we-work/jordan/souf-camp" TargetMode="External"/><Relationship Id="rId47" Type="http://schemas.openxmlformats.org/officeDocument/2006/relationships/hyperlink" Target="https://www.theguardian.com/world/2017/dec/13/can-jordan-get-a-million-syrians-into-work" TargetMode="External"/><Relationship Id="rId50" Type="http://schemas.openxmlformats.org/officeDocument/2006/relationships/hyperlink" Target="https://scholarcommons.sc.edu/cgi/viewcontent.cgi?article=1055&amp;context=scjilb" TargetMode="External"/><Relationship Id="rId55" Type="http://schemas.openxmlformats.org/officeDocument/2006/relationships/hyperlink" Target="http://www.jo.undp.org/content/jordan/en/home/library/NationalNaturalDisasterRiskReductionStrategy.html" TargetMode="External"/><Relationship Id="rId63" Type="http://schemas.openxmlformats.org/officeDocument/2006/relationships/hyperlink" Target="https://www.ifrc.org/en/news-and-media/press-releases/middle-east-and-north-africa/jordan/first-displaced-people-arrive-at-red-crescent-camp-in-jordan-from-iraq/" TargetMode="External"/><Relationship Id="rId68" Type="http://schemas.openxmlformats.org/officeDocument/2006/relationships/hyperlink" Target="https://reliefweb.int/report/jordan/seeking-shelter-jordan-s-cities-housing-security-and-urban-humanitarianism-syria" TargetMode="External"/><Relationship Id="rId76" Type="http://schemas.openxmlformats.org/officeDocument/2006/relationships/hyperlink" Target="https://www.intersos.org/en/what-we-do/jordan/" TargetMode="External"/><Relationship Id="rId7" Type="http://schemas.openxmlformats.org/officeDocument/2006/relationships/hyperlink" Target="https://www.britannica.com/place/Jordan/History" TargetMode="External"/><Relationship Id="rId71" Type="http://schemas.openxmlformats.org/officeDocument/2006/relationships/hyperlink" Target="https://www.caritas.org/where-caritas-work/middle-east-and-north-africa/jordan/" TargetMode="External"/><Relationship Id="rId2" Type="http://schemas.openxmlformats.org/officeDocument/2006/relationships/hyperlink" Target="https://www.land-links.org/wp-content/uploads/2018/06/USAID_Land_Tenure_Profile_Jordan.pdf" TargetMode="External"/><Relationship Id="rId16" Type="http://schemas.openxmlformats.org/officeDocument/2006/relationships/hyperlink" Target="https://www.iucn.org/sites/dev/files/import/downloads/baseline_study___securing_rights_and_restoring_land_for_improved_livlihoohs.pdf" TargetMode="External"/><Relationship Id="rId29" Type="http://schemas.openxmlformats.org/officeDocument/2006/relationships/hyperlink" Target="https://www.unrwa.org/where-we-work/jordan/marka-camp" TargetMode="External"/><Relationship Id="rId11" Type="http://schemas.openxmlformats.org/officeDocument/2006/relationships/hyperlink" Target="http://www.fao.org/tenure/resources/results/card/en/c/05b817f3-bfee-5f2c-89dd-6afbc2010a16" TargetMode="External"/><Relationship Id="rId24" Type="http://schemas.openxmlformats.org/officeDocument/2006/relationships/hyperlink" Target="https://data2.unhcr.org/en/documents/download/70664" TargetMode="External"/><Relationship Id="rId32" Type="http://schemas.openxmlformats.org/officeDocument/2006/relationships/hyperlink" Target="https://www.unrwa.org/where-we-work/jordan/irbid-camp" TargetMode="External"/><Relationship Id="rId37" Type="http://schemas.openxmlformats.org/officeDocument/2006/relationships/hyperlink" Target="https://www.unrwa.org/where-we-work/jordan/baqaa-camp" TargetMode="External"/><Relationship Id="rId40" Type="http://schemas.openxmlformats.org/officeDocument/2006/relationships/hyperlink" Target="https://www.unrwa.org/where-we-work/jordan/marka-camp" TargetMode="External"/><Relationship Id="rId45" Type="http://schemas.openxmlformats.org/officeDocument/2006/relationships/hyperlink" Target="https://www.unrwa.org/where-we-work/jordan/jabal-el-hussein-camp" TargetMode="External"/><Relationship Id="rId53" Type="http://schemas.openxmlformats.org/officeDocument/2006/relationships/hyperlink" Target="https://www.sheltercluster.org/" TargetMode="External"/><Relationship Id="rId58" Type="http://schemas.openxmlformats.org/officeDocument/2006/relationships/hyperlink" Target="https://jordan.gov.jo/wps/portal/Home/GovernmentEntities/Ministries/Ministry/Ministry%20of%20Public%20Works%20and%20Housing?nameEntity=Ministry%20of%20Public%20Works%20and%20Housing&amp;entityType=ministry" TargetMode="External"/><Relationship Id="rId66" Type="http://schemas.openxmlformats.org/officeDocument/2006/relationships/hyperlink" Target="https://www.nrc.no/countries/middle-east/jordan/" TargetMode="External"/><Relationship Id="rId74" Type="http://schemas.openxmlformats.org/officeDocument/2006/relationships/hyperlink" Target="https://www.medair.org/jordan/" TargetMode="External"/><Relationship Id="rId5" Type="http://schemas.openxmlformats.org/officeDocument/2006/relationships/hyperlink" Target="http://worldpopulationreview.com/countries/jordan-population/cities/" TargetMode="External"/><Relationship Id="rId15" Type="http://schemas.openxmlformats.org/officeDocument/2006/relationships/hyperlink" Target="https://www.globalpropertyguide.com/Middle-East/Jordan/Buying-Guide" TargetMode="External"/><Relationship Id="rId23" Type="http://schemas.openxmlformats.org/officeDocument/2006/relationships/hyperlink" Target="https://static1.squarespace.com/static/522c2552e4b0d3c39ccd1e00/t/5c56a2bd652dead32780dff4/1549181638082/JRP+2019+Update+-+Draft.pdf" TargetMode="External"/><Relationship Id="rId28" Type="http://schemas.openxmlformats.org/officeDocument/2006/relationships/hyperlink" Target="https://www.unrwa.org/where-we-work/jordan/jerash-camp" TargetMode="External"/><Relationship Id="rId36" Type="http://schemas.openxmlformats.org/officeDocument/2006/relationships/hyperlink" Target="https://www.unrwa.org/where-we-work/jordan/talbieh-camp" TargetMode="External"/><Relationship Id="rId49" Type="http://schemas.openxmlformats.org/officeDocument/2006/relationships/hyperlink" Target="http://wanainstitute.org/sites/default/files/publications/Tribal%20Dispute%20Resolution%20and%20Women%E2%80%99s%20Access%20to%20Justice%20in%20Jordan.pdf" TargetMode="External"/><Relationship Id="rId57" Type="http://schemas.openxmlformats.org/officeDocument/2006/relationships/hyperlink" Target="https://jordan.gov.jo/wps/portal/Home/GovernmentEntities/Ministries/Ministry/Ministry%20of%20Public%20Works%20and%20Housing/Housing%20and%20Urban%20Development%20Corporation?current=true&amp;nameEntity=Housing%20and%20Urban%20Development%20Corporation&amp;entityType=sub" TargetMode="External"/><Relationship Id="rId61" Type="http://schemas.openxmlformats.org/officeDocument/2006/relationships/hyperlink" Target="http://www.nchr.org.jo/User_Site/Site/View_Article.aspx?type=2&amp;ID=1663" TargetMode="External"/><Relationship Id="rId10" Type="http://schemas.openxmlformats.org/officeDocument/2006/relationships/hyperlink" Target="http://www.kinghussein.gov.jo/const_ch1-3.html" TargetMode="External"/><Relationship Id="rId19" Type="http://schemas.openxmlformats.org/officeDocument/2006/relationships/hyperlink" Target="http://www.hlrn.org/news.php?id=pG1law==" TargetMode="External"/><Relationship Id="rId31" Type="http://schemas.openxmlformats.org/officeDocument/2006/relationships/hyperlink" Target="https://www.unrwa.org/where-we-work/jordan/souf-camp" TargetMode="External"/><Relationship Id="rId44" Type="http://schemas.openxmlformats.org/officeDocument/2006/relationships/hyperlink" Target="https://www.unrwa.org/where-we-work/jordan/talbieh-camp" TargetMode="External"/><Relationship Id="rId52" Type="http://schemas.openxmlformats.org/officeDocument/2006/relationships/hyperlink" Target="http://www.jordantimes.com/news/local/collapse-amman-buildings-blamed-unlicensed-extra-floors-soak-pits%E2%80%99" TargetMode="External"/><Relationship Id="rId60" Type="http://schemas.openxmlformats.org/officeDocument/2006/relationships/hyperlink" Target="https://www.preventionweb.net/files/21867_jordan.pdf" TargetMode="External"/><Relationship Id="rId65" Type="http://schemas.openxmlformats.org/officeDocument/2006/relationships/hyperlink" Target="http://dosweb.dos.gov.jo/censuses/population_housing/census2015/census2015_tables/" TargetMode="External"/><Relationship Id="rId73" Type="http://schemas.openxmlformats.org/officeDocument/2006/relationships/hyperlink" Target="https://www.premiere-urgence.org/en/mission/jordan/" TargetMode="External"/><Relationship Id="rId4" Type="http://schemas.openxmlformats.org/officeDocument/2006/relationships/hyperlink" Target="https://reliefweb.int/sites/reliefweb.int/files/resources/Pages%20from%20REACH_UNICEF_ITS_MS_AUGUST2014_FINAL-10_0.pdf" TargetMode="External"/><Relationship Id="rId9" Type="http://schemas.openxmlformats.org/officeDocument/2006/relationships/hyperlink" Target="https://www.gov.uk/foreign-travel-advice/jordan" TargetMode="External"/><Relationship Id="rId14" Type="http://schemas.openxmlformats.org/officeDocument/2006/relationships/hyperlink" Target="https://www.encyclopedia.com/humanities/encyclopedias-almanacs-transcripts-and-maps/land-code-1858" TargetMode="External"/><Relationship Id="rId22" Type="http://schemas.openxmlformats.org/officeDocument/2006/relationships/hyperlink" Target="https://reliefweb.int/sites/reliefweb.int/files/resources/68856.pdf" TargetMode="External"/><Relationship Id="rId27" Type="http://schemas.openxmlformats.org/officeDocument/2006/relationships/hyperlink" Target="https://www.unrwa.org/where-we-work/jordan/amman-new-camp" TargetMode="External"/><Relationship Id="rId30" Type="http://schemas.openxmlformats.org/officeDocument/2006/relationships/hyperlink" Target="https://www.unrwa.org/where-we-work/jordan/husn-camp" TargetMode="External"/><Relationship Id="rId35" Type="http://schemas.openxmlformats.org/officeDocument/2006/relationships/hyperlink" Target="https://www.unrwa.org/where-we-work/jordan/zarqa-camp" TargetMode="External"/><Relationship Id="rId43" Type="http://schemas.openxmlformats.org/officeDocument/2006/relationships/hyperlink" Target="https://www.unrwa.org/where-we-work/jordan/irbid-camp" TargetMode="External"/><Relationship Id="rId48" Type="http://schemas.openxmlformats.org/officeDocument/2006/relationships/hyperlink" Target="https://www.nber.org/papers/w8890.pdf" TargetMode="External"/><Relationship Id="rId56" Type="http://schemas.openxmlformats.org/officeDocument/2006/relationships/hyperlink" Target="http://shelterprojects.org/shelterprojects2013-2014/Shelterprojects_2013-14_Lowres_WEB.pdf" TargetMode="External"/><Relationship Id="rId64" Type="http://schemas.openxmlformats.org/officeDocument/2006/relationships/hyperlink" Target="https://www.ifrc.org/en/news-and-media/news-stories/middle-east-and-north-africa/jordan/red-crescent-cash-support-offers-lifeline-to-syrian-refugee-families-in-jordan-72558/" TargetMode="External"/><Relationship Id="rId69" Type="http://schemas.openxmlformats.org/officeDocument/2006/relationships/hyperlink" Target="https://www.world-habitat.org/world-habitat-awards/winners-and-finalists/urban-shelter-project/" TargetMode="External"/><Relationship Id="rId8" Type="http://schemas.openxmlformats.org/officeDocument/2006/relationships/hyperlink" Target="https://static1.squarespace.com/static/599720dc59cc68c3683049bc/t/5d52c54b18d85e0001b20f88/1565705548232/RIT+Report+Amman+Jordan.pdf" TargetMode="External"/><Relationship Id="rId51" Type="http://schemas.openxmlformats.org/officeDocument/2006/relationships/hyperlink" Target="https://www.7iber.com/society/is-tribal-custom-above-the-law/" TargetMode="External"/><Relationship Id="rId72" Type="http://schemas.openxmlformats.org/officeDocument/2006/relationships/hyperlink" Target="https://reliefweb.int/report/jordan/seeking-shelter-jordan-s-cities-housing-security-and-urban-humanitarianism-syria" TargetMode="External"/><Relationship Id="rId3" Type="http://schemas.openxmlformats.org/officeDocument/2006/relationships/hyperlink" Target="http://www.domresearchcenter.com/journal/18/jordan8.html" TargetMode="External"/><Relationship Id="rId12" Type="http://schemas.openxmlformats.org/officeDocument/2006/relationships/hyperlink" Target="http://www.hlrn.org/img/documents/property%20rights%20english.pdf" TargetMode="External"/><Relationship Id="rId17" Type="http://schemas.openxmlformats.org/officeDocument/2006/relationships/hyperlink" Target="https://pdfs.semanticscholar.org/f5db/fbeef4aeeb8cda3ceefe5f40f5dd571856dd.pdf" TargetMode="External"/><Relationship Id="rId25" Type="http://schemas.openxmlformats.org/officeDocument/2006/relationships/hyperlink" Target="https://www.wfpusa.org/stories/10-facts-about-the-syrian-refugee-crisis-in-jordan/" TargetMode="External"/><Relationship Id="rId33" Type="http://schemas.openxmlformats.org/officeDocument/2006/relationships/hyperlink" Target="https://www.unrwa.org/where-we-work/jordan/talbieh-camp" TargetMode="External"/><Relationship Id="rId38" Type="http://schemas.openxmlformats.org/officeDocument/2006/relationships/hyperlink" Target="https://www.unrwa.org/where-we-work/jordan/amman-new-camp" TargetMode="External"/><Relationship Id="rId46" Type="http://schemas.openxmlformats.org/officeDocument/2006/relationships/hyperlink" Target="https://www.unrwa.org/where-we-work/jordan/zarqa-camp" TargetMode="External"/><Relationship Id="rId59" Type="http://schemas.openxmlformats.org/officeDocument/2006/relationships/hyperlink" Target="https://www.urban-response.org/system/files/content/resource/files/main/cp-amman-july2006.pdf" TargetMode="External"/><Relationship Id="rId67" Type="http://schemas.openxmlformats.org/officeDocument/2006/relationships/hyperlink" Target="https://data2.unhcr.org/en/working-group/52" TargetMode="External"/><Relationship Id="rId20" Type="http://schemas.openxmlformats.org/officeDocument/2006/relationships/hyperlink" Target="https://www.tamimi.com/law-update-articles/new-amendments-to-the-jordanian-landlord-and-tenants-law/" TargetMode="External"/><Relationship Id="rId41" Type="http://schemas.openxmlformats.org/officeDocument/2006/relationships/hyperlink" Target="https://www.unrwa.org/where-we-work/jordan/husn-camp" TargetMode="External"/><Relationship Id="rId54" Type="http://schemas.openxmlformats.org/officeDocument/2006/relationships/hyperlink" Target="https://www.preventionweb.net/files/31204_legislativerevision28englishedition.pdf" TargetMode="External"/><Relationship Id="rId62" Type="http://schemas.openxmlformats.org/officeDocument/2006/relationships/hyperlink" Target="https://www.ifrc.org/en/what-we-do/where-we-work/middle-east-and-north-africa/jordan-national-red-crescent-society/" TargetMode="External"/><Relationship Id="rId70" Type="http://schemas.openxmlformats.org/officeDocument/2006/relationships/hyperlink" Target="https://www.icmc.net/programs/humanitarian-assistance-to-syrian-refugees-and-host-communities-in-jordan" TargetMode="External"/><Relationship Id="rId75" Type="http://schemas.openxmlformats.org/officeDocument/2006/relationships/hyperlink" Target="https://iocc.org/where-we-work/jordan" TargetMode="External"/><Relationship Id="rId1" Type="http://schemas.openxmlformats.org/officeDocument/2006/relationships/hyperlink" Target="https://www.cia.gov/library/publications/the-world-factbook/geos/jo.html" TargetMode="External"/><Relationship Id="rId6" Type="http://schemas.openxmlformats.org/officeDocument/2006/relationships/hyperlink" Target="http://jorinfo.dos.gov.jo/PXWeb2014R2/Selection.aspx?px_path=Population%20and%20Housing__Demographic%20Statistics&amp;px_tableid=Table%201.px&amp;px_language=en&amp;px_db=Population%20and%20Housing&amp;rxid=d8467649-5faf-4b4c-8c29-f629d95a188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HoganLovells">
  <a:themeElements>
    <a:clrScheme name="HL_Colours">
      <a:dk1>
        <a:srgbClr val="4D5357"/>
      </a:dk1>
      <a:lt1>
        <a:srgbClr val="FFFFFF"/>
      </a:lt1>
      <a:dk2>
        <a:srgbClr val="2C5E4F"/>
      </a:dk2>
      <a:lt2>
        <a:srgbClr val="BED600"/>
      </a:lt2>
      <a:accent1>
        <a:srgbClr val="557630"/>
      </a:accent1>
      <a:accent2>
        <a:srgbClr val="AAA38E"/>
      </a:accent2>
      <a:accent3>
        <a:srgbClr val="4B2942"/>
      </a:accent3>
      <a:accent4>
        <a:srgbClr val="5482AB"/>
      </a:accent4>
      <a:accent5>
        <a:srgbClr val="BEC5C2"/>
      </a:accent5>
      <a:accent6>
        <a:srgbClr val="58A618"/>
      </a:accent6>
      <a:hlink>
        <a:srgbClr val="C50084"/>
      </a:hlink>
      <a:folHlink>
        <a:srgbClr val="FFA100"/>
      </a:folHlink>
    </a:clrScheme>
    <a:fontScheme name="HL_Theme">
      <a:majorFont>
        <a:latin typeface="Calibri"/>
        <a:ea typeface="Arial"/>
        <a:cs typeface="Arial"/>
      </a:majorFont>
      <a:minorFont>
        <a:latin typeface="Georgia"/>
        <a:ea typeface="Georgia"/>
        <a:cs typeface="Georgia"/>
      </a:minorFont>
    </a:fontScheme>
    <a:fmtScheme name="New Theme">
      <a: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fillStyleLst>
      <a:lnStyleLst>
        <a:ln w="12700" cap="rnd" cmpd="sng" algn="ctr">
          <a:solidFill>
            <a:schemeClr val="phClr"/>
          </a:solidFill>
          <a:prstDash val="solid"/>
        </a:ln>
        <a:ln w="12700" cap="rnd" cmpd="sng" algn="ctr">
          <a:solidFill>
            <a:schemeClr val="phClr"/>
          </a:solidFill>
          <a:prstDash val="solid"/>
        </a:ln>
        <a:ln w="12700" cap="rnd" cmpd="sng" algn="ctr">
          <a:solidFill>
            <a:schemeClr val="phClr"/>
          </a:solidFill>
          <a:prstDash val="solid"/>
        </a:ln>
      </a:lnStyleLst>
      <a:effectStyleLst>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Lst>
      <a:bg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HUMPHREO</field>
    <field id="AuthorName" dmfield="" type="string"/>
    <field id="ClientNumber" dmfield="CLIENT_ID" type="string">153354</field>
    <field id="MatterNumber" dmfield="MATTER_ID" type="string">000019</field>
    <field id="DocumentType" dmfield="TYPE_ID" type="string">OTH</field>
    <field id="DocumentTitle" dmfield="DOCNAME" type="string"/>
    <field id="DocumentNumber" dmfield="DOCNUM" type="string">7527901</field>
    <field id="Library" dmfield="" type="string">LWDLIB03</field>
    <field id="Version" dmfield="" type="string">14</field>
    <field id="Language" dmfield="" type="string"/>
    <field id="Office" dmfield="" type="string"/>
    <field id="PaperTypeFirst" dmfield="" type="string"/>
    <field id="PaperTypeCont" dmfield="" type="string"/>
    <field id="ExcludeFooterUpdate" dmfield="" type="string">False</field>
    <field id="LtrDocNo" dmfield="" type="">7527901</field>
    <field id="FirstPageHeaded" dmfield="" type="">False</field>
    <field id="ContPage" dmfield="" type="">False</field>
    <field id="DraftSpacing" dmfield="" type="">False</field>
    <field id="DocID" dmfield="" type="">LIB03/HUMPHREO/7527901.14</field>
    <field id="FirmName" dmfield="" type="">Hogan Lovells</field>
    <field id="FooterType" dmfield="" type="">Continuation Page Footer</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C5E458F3-0725-4E7E-B7AB-23CA88FA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Document.dotm</Template>
  <TotalTime>4</TotalTime>
  <Pages>40</Pages>
  <Words>14223</Words>
  <Characters>81075</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Leeanne</dc:creator>
  <cp:lastModifiedBy>Marshall, Leeanne</cp:lastModifiedBy>
  <cp:revision>4</cp:revision>
  <dcterms:created xsi:type="dcterms:W3CDTF">2020-02-19T05:49:00Z</dcterms:created>
  <dcterms:modified xsi:type="dcterms:W3CDTF">2020-02-19T05:53:00Z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