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78E" w:rsidRPr="00DA0F97" w:rsidRDefault="0046778E" w:rsidP="00022069">
      <w:pPr>
        <w:contextualSpacing/>
        <w:jc w:val="center"/>
        <w:rPr>
          <w:rFonts w:cstheme="minorHAnsi"/>
          <w:b/>
          <w:sz w:val="21"/>
          <w:szCs w:val="21"/>
        </w:rPr>
      </w:pPr>
    </w:p>
    <w:p w:rsidR="00022069" w:rsidRPr="00DA0F97" w:rsidRDefault="00022069" w:rsidP="00022069">
      <w:pPr>
        <w:contextualSpacing/>
        <w:jc w:val="center"/>
        <w:rPr>
          <w:rFonts w:cstheme="minorHAnsi"/>
          <w:b/>
          <w:sz w:val="21"/>
          <w:szCs w:val="21"/>
        </w:rPr>
      </w:pPr>
      <w:r w:rsidRPr="00DA0F97">
        <w:rPr>
          <w:rFonts w:cstheme="minorHAnsi"/>
          <w:b/>
          <w:sz w:val="21"/>
          <w:szCs w:val="21"/>
        </w:rPr>
        <w:t>KEY HLP PRINCIPLES FOR SHELTER PARTNERS</w:t>
      </w:r>
    </w:p>
    <w:p w:rsidR="002706B7" w:rsidRPr="00DA0F97" w:rsidRDefault="000C6D71" w:rsidP="00022069">
      <w:pPr>
        <w:contextualSpacing/>
        <w:jc w:val="center"/>
        <w:rPr>
          <w:rFonts w:cstheme="minorHAnsi"/>
          <w:b/>
          <w:sz w:val="21"/>
          <w:szCs w:val="21"/>
        </w:rPr>
      </w:pPr>
      <w:r>
        <w:rPr>
          <w:rFonts w:cstheme="minorHAnsi"/>
          <w:b/>
          <w:sz w:val="21"/>
          <w:szCs w:val="21"/>
        </w:rPr>
        <w:t>March 2015</w:t>
      </w:r>
    </w:p>
    <w:p w:rsidR="00022069" w:rsidRPr="00DA0F97" w:rsidRDefault="00022069" w:rsidP="00022069">
      <w:pPr>
        <w:rPr>
          <w:rFonts w:cstheme="minorHAnsi"/>
          <w:sz w:val="21"/>
          <w:szCs w:val="21"/>
        </w:rPr>
      </w:pPr>
    </w:p>
    <w:p w:rsidR="00022069" w:rsidRPr="00DA0F97" w:rsidRDefault="00022069" w:rsidP="0046778E">
      <w:pPr>
        <w:spacing w:after="120" w:line="276" w:lineRule="auto"/>
        <w:contextualSpacing/>
        <w:jc w:val="both"/>
        <w:rPr>
          <w:rFonts w:cstheme="minorHAnsi"/>
          <w:sz w:val="21"/>
          <w:szCs w:val="21"/>
        </w:rPr>
      </w:pPr>
      <w:r w:rsidRPr="00DA0F97">
        <w:rPr>
          <w:rFonts w:cstheme="minorHAnsi"/>
          <w:sz w:val="21"/>
          <w:szCs w:val="21"/>
        </w:rPr>
        <w:t>Human rights, including housing, land and property (HLP) rights, must be integrated as a key component in any humanitarian response to disasters.</w:t>
      </w:r>
      <w:r w:rsidRPr="00DA0F97">
        <w:rPr>
          <w:rStyle w:val="FootnoteReference"/>
          <w:rFonts w:cstheme="minorHAnsi"/>
          <w:sz w:val="21"/>
          <w:szCs w:val="21"/>
        </w:rPr>
        <w:footnoteReference w:id="1"/>
      </w:r>
    </w:p>
    <w:p w:rsidR="00022069" w:rsidRPr="00DA0F97" w:rsidRDefault="00022069" w:rsidP="0046778E">
      <w:pPr>
        <w:spacing w:after="120" w:line="276" w:lineRule="auto"/>
        <w:contextualSpacing/>
        <w:jc w:val="both"/>
        <w:rPr>
          <w:rFonts w:cstheme="minorHAnsi"/>
          <w:sz w:val="21"/>
          <w:szCs w:val="21"/>
        </w:rPr>
      </w:pPr>
    </w:p>
    <w:p w:rsidR="002706B7" w:rsidRPr="00DA0F97" w:rsidRDefault="002706B7" w:rsidP="002706B7">
      <w:pPr>
        <w:pBdr>
          <w:top w:val="single" w:sz="4" w:space="1" w:color="auto"/>
          <w:left w:val="single" w:sz="4" w:space="4" w:color="auto"/>
          <w:bottom w:val="single" w:sz="4" w:space="1" w:color="auto"/>
          <w:right w:val="single" w:sz="4" w:space="4" w:color="auto"/>
        </w:pBdr>
        <w:spacing w:after="120" w:line="276" w:lineRule="auto"/>
        <w:jc w:val="center"/>
        <w:rPr>
          <w:rFonts w:cstheme="minorHAnsi"/>
          <w:b/>
          <w:sz w:val="21"/>
          <w:szCs w:val="21"/>
        </w:rPr>
      </w:pPr>
    </w:p>
    <w:p w:rsidR="00022069" w:rsidRPr="00DA0F97" w:rsidRDefault="00022069" w:rsidP="002706B7">
      <w:pPr>
        <w:pBdr>
          <w:top w:val="single" w:sz="4" w:space="1" w:color="auto"/>
          <w:left w:val="single" w:sz="4" w:space="4" w:color="auto"/>
          <w:bottom w:val="single" w:sz="4" w:space="1" w:color="auto"/>
          <w:right w:val="single" w:sz="4" w:space="4" w:color="auto"/>
        </w:pBdr>
        <w:spacing w:after="120" w:line="276" w:lineRule="auto"/>
        <w:jc w:val="center"/>
        <w:rPr>
          <w:rFonts w:cstheme="minorHAnsi"/>
          <w:b/>
          <w:sz w:val="21"/>
          <w:szCs w:val="21"/>
        </w:rPr>
      </w:pPr>
      <w:r w:rsidRPr="00DA0F97">
        <w:rPr>
          <w:rFonts w:cstheme="minorHAnsi"/>
          <w:b/>
          <w:sz w:val="21"/>
          <w:szCs w:val="21"/>
        </w:rPr>
        <w:t>WHAT ARE HLP RIGHTS?</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jc w:val="both"/>
        <w:rPr>
          <w:rFonts w:cstheme="minorHAnsi"/>
          <w:sz w:val="21"/>
          <w:szCs w:val="21"/>
        </w:rPr>
      </w:pPr>
      <w:r w:rsidRPr="00DA0F97">
        <w:rPr>
          <w:rFonts w:cstheme="minorHAnsi"/>
          <w:sz w:val="21"/>
          <w:szCs w:val="21"/>
        </w:rPr>
        <w:t xml:space="preserve">HLP rights are the collective bundle of human rights laws, standards and principles that have a direct bearing upon the residential conditions in which people live and the rights they possess as dwellers. </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jc w:val="both"/>
        <w:rPr>
          <w:rFonts w:cstheme="minorHAnsi"/>
          <w:sz w:val="21"/>
          <w:szCs w:val="21"/>
        </w:rPr>
      </w:pPr>
      <w:r w:rsidRPr="00DA0F97">
        <w:rPr>
          <w:rFonts w:cstheme="minorHAnsi"/>
          <w:sz w:val="21"/>
          <w:szCs w:val="21"/>
        </w:rPr>
        <w:t>HLP rights are applicable at all times, whether in peace, conflict, disaster or development.</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jc w:val="both"/>
        <w:rPr>
          <w:rFonts w:cstheme="minorHAnsi"/>
          <w:sz w:val="21"/>
          <w:szCs w:val="21"/>
        </w:rPr>
      </w:pPr>
      <w:r w:rsidRPr="00DA0F97">
        <w:rPr>
          <w:rFonts w:cstheme="minorHAnsi"/>
          <w:sz w:val="21"/>
          <w:szCs w:val="21"/>
        </w:rPr>
        <w:t>HLP rights provide the legal basis for the rights that individuals possess as rights-holders as well as the obligations that Governments have as duty-bearers to respect, protect and fulfill these rights.</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jc w:val="both"/>
        <w:rPr>
          <w:rFonts w:cstheme="minorHAnsi"/>
          <w:sz w:val="21"/>
          <w:szCs w:val="21"/>
        </w:rPr>
      </w:pPr>
      <w:r w:rsidRPr="00DA0F97">
        <w:rPr>
          <w:rFonts w:cstheme="minorHAnsi"/>
          <w:sz w:val="21"/>
          <w:szCs w:val="21"/>
        </w:rPr>
        <w:t>HLP rights in a post-disaster context include:</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ind w:firstLine="720"/>
        <w:jc w:val="both"/>
        <w:rPr>
          <w:rFonts w:cstheme="minorHAnsi"/>
          <w:sz w:val="21"/>
          <w:szCs w:val="21"/>
        </w:rPr>
      </w:pPr>
      <w:r w:rsidRPr="00DA0F97">
        <w:rPr>
          <w:rFonts w:cstheme="minorHAnsi"/>
          <w:sz w:val="21"/>
          <w:szCs w:val="21"/>
        </w:rPr>
        <w:t>- The right to adequate housing;</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ind w:firstLine="720"/>
        <w:jc w:val="both"/>
        <w:rPr>
          <w:rFonts w:cstheme="minorHAnsi"/>
          <w:sz w:val="21"/>
          <w:szCs w:val="21"/>
        </w:rPr>
      </w:pPr>
      <w:r w:rsidRPr="00DA0F97">
        <w:rPr>
          <w:rFonts w:cstheme="minorHAnsi"/>
          <w:sz w:val="21"/>
          <w:szCs w:val="21"/>
        </w:rPr>
        <w:t>- The right to non-discrimination in the HLP sector;</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ind w:firstLine="720"/>
        <w:jc w:val="both"/>
        <w:rPr>
          <w:rFonts w:cstheme="minorHAnsi"/>
          <w:sz w:val="21"/>
          <w:szCs w:val="21"/>
        </w:rPr>
      </w:pPr>
      <w:r w:rsidRPr="00DA0F97">
        <w:rPr>
          <w:rFonts w:cstheme="minorHAnsi"/>
          <w:sz w:val="21"/>
          <w:szCs w:val="21"/>
        </w:rPr>
        <w:t>- The right to security of tenure;</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ind w:firstLine="720"/>
        <w:jc w:val="both"/>
        <w:rPr>
          <w:rFonts w:cstheme="minorHAnsi"/>
          <w:sz w:val="21"/>
          <w:szCs w:val="21"/>
        </w:rPr>
      </w:pPr>
      <w:r w:rsidRPr="00DA0F97">
        <w:rPr>
          <w:rFonts w:cstheme="minorHAnsi"/>
          <w:sz w:val="21"/>
          <w:szCs w:val="21"/>
        </w:rPr>
        <w:t>- Protection against forced eviction;</w:t>
      </w:r>
    </w:p>
    <w:p w:rsidR="00022069" w:rsidRPr="00DA0F97" w:rsidRDefault="00022069" w:rsidP="0046778E">
      <w:pPr>
        <w:pBdr>
          <w:top w:val="single" w:sz="4" w:space="1" w:color="auto"/>
          <w:left w:val="single" w:sz="4" w:space="4" w:color="auto"/>
          <w:bottom w:val="single" w:sz="4" w:space="1" w:color="auto"/>
          <w:right w:val="single" w:sz="4" w:space="4" w:color="auto"/>
        </w:pBdr>
        <w:spacing w:after="120" w:line="276" w:lineRule="auto"/>
        <w:ind w:firstLine="720"/>
        <w:jc w:val="both"/>
        <w:rPr>
          <w:rFonts w:cstheme="minorHAnsi"/>
          <w:sz w:val="21"/>
          <w:szCs w:val="21"/>
        </w:rPr>
      </w:pPr>
      <w:r w:rsidRPr="00DA0F97">
        <w:rPr>
          <w:rFonts w:cstheme="minorHAnsi"/>
          <w:sz w:val="21"/>
          <w:szCs w:val="21"/>
        </w:rPr>
        <w:t>- Protection of the most vulnerable and marginalized persons.</w:t>
      </w:r>
    </w:p>
    <w:p w:rsidR="002706B7" w:rsidRPr="00DA0F97" w:rsidRDefault="002706B7" w:rsidP="0046778E">
      <w:pPr>
        <w:pBdr>
          <w:top w:val="single" w:sz="4" w:space="1" w:color="auto"/>
          <w:left w:val="single" w:sz="4" w:space="4" w:color="auto"/>
          <w:bottom w:val="single" w:sz="4" w:space="1" w:color="auto"/>
          <w:right w:val="single" w:sz="4" w:space="4" w:color="auto"/>
        </w:pBdr>
        <w:spacing w:after="120" w:line="276" w:lineRule="auto"/>
        <w:ind w:firstLine="720"/>
        <w:jc w:val="both"/>
        <w:rPr>
          <w:rFonts w:cstheme="minorHAnsi"/>
          <w:sz w:val="21"/>
          <w:szCs w:val="21"/>
        </w:rPr>
      </w:pPr>
    </w:p>
    <w:p w:rsidR="002706B7" w:rsidRPr="00DA0F97" w:rsidRDefault="002706B7" w:rsidP="0046778E">
      <w:pPr>
        <w:spacing w:after="120" w:line="276" w:lineRule="auto"/>
        <w:jc w:val="both"/>
        <w:rPr>
          <w:rFonts w:cstheme="minorHAnsi"/>
          <w:b/>
          <w:sz w:val="21"/>
          <w:szCs w:val="21"/>
        </w:rPr>
      </w:pPr>
    </w:p>
    <w:p w:rsidR="00022069" w:rsidRPr="00DA0F97" w:rsidRDefault="00022069" w:rsidP="000C6D71">
      <w:pPr>
        <w:spacing w:after="120" w:line="276" w:lineRule="auto"/>
        <w:jc w:val="both"/>
        <w:rPr>
          <w:rFonts w:cstheme="minorHAnsi"/>
          <w:b/>
          <w:sz w:val="21"/>
          <w:szCs w:val="21"/>
        </w:rPr>
      </w:pPr>
      <w:r w:rsidRPr="00DA0F97">
        <w:rPr>
          <w:rFonts w:cstheme="minorHAnsi"/>
          <w:b/>
          <w:sz w:val="21"/>
          <w:szCs w:val="21"/>
        </w:rPr>
        <w:t xml:space="preserve">THE LEGAL </w:t>
      </w:r>
      <w:r w:rsidR="000C6D71">
        <w:rPr>
          <w:rFonts w:cstheme="minorHAnsi"/>
          <w:b/>
          <w:sz w:val="21"/>
          <w:szCs w:val="21"/>
        </w:rPr>
        <w:t>FRAMEWORK FOR HLP RIGHTS IN VANUATU</w:t>
      </w:r>
    </w:p>
    <w:p w:rsidR="00022069" w:rsidRPr="00DA0F97" w:rsidRDefault="00022069" w:rsidP="000C6D71">
      <w:pPr>
        <w:spacing w:after="120" w:line="276" w:lineRule="auto"/>
        <w:jc w:val="both"/>
        <w:rPr>
          <w:rFonts w:cstheme="minorHAnsi"/>
          <w:sz w:val="21"/>
          <w:szCs w:val="21"/>
        </w:rPr>
      </w:pPr>
      <w:r w:rsidRPr="00DA0F97">
        <w:rPr>
          <w:rFonts w:cstheme="minorHAnsi"/>
          <w:sz w:val="21"/>
          <w:szCs w:val="21"/>
        </w:rPr>
        <w:t xml:space="preserve">The Government of </w:t>
      </w:r>
      <w:r w:rsidR="000C6D71">
        <w:rPr>
          <w:rFonts w:cstheme="minorHAnsi"/>
          <w:sz w:val="21"/>
          <w:szCs w:val="21"/>
        </w:rPr>
        <w:t>Vanuatu</w:t>
      </w:r>
      <w:r w:rsidRPr="00DA0F97">
        <w:rPr>
          <w:rFonts w:cstheme="minorHAnsi"/>
          <w:sz w:val="21"/>
          <w:szCs w:val="21"/>
        </w:rPr>
        <w:t xml:space="preserve"> has the responsibility to respect, protect and fulfill a broad range of HLP rights, based on:</w:t>
      </w:r>
    </w:p>
    <w:p w:rsidR="00AD5C9E" w:rsidRDefault="00022069" w:rsidP="004A27B9">
      <w:pPr>
        <w:spacing w:after="120" w:line="276" w:lineRule="auto"/>
        <w:ind w:left="720"/>
        <w:jc w:val="both"/>
        <w:rPr>
          <w:rFonts w:cstheme="minorHAnsi"/>
          <w:sz w:val="21"/>
          <w:szCs w:val="21"/>
          <w:lang w:val="en-GB"/>
        </w:rPr>
      </w:pPr>
      <w:r w:rsidRPr="00DA0F97">
        <w:rPr>
          <w:rFonts w:cstheme="minorHAnsi"/>
          <w:sz w:val="21"/>
          <w:szCs w:val="21"/>
        </w:rPr>
        <w:t xml:space="preserve">- </w:t>
      </w:r>
      <w:r w:rsidRPr="00DA0F97">
        <w:rPr>
          <w:rFonts w:cstheme="minorHAnsi"/>
          <w:i/>
          <w:sz w:val="21"/>
          <w:szCs w:val="21"/>
        </w:rPr>
        <w:t>International Commitments</w:t>
      </w:r>
      <w:r w:rsidRPr="00DA0F97">
        <w:rPr>
          <w:rFonts w:cstheme="minorHAnsi"/>
          <w:sz w:val="21"/>
          <w:szCs w:val="21"/>
        </w:rPr>
        <w:t xml:space="preserve">: including: </w:t>
      </w:r>
      <w:r w:rsidRPr="00DA0F97">
        <w:rPr>
          <w:rFonts w:cstheme="minorHAnsi"/>
          <w:sz w:val="21"/>
          <w:szCs w:val="21"/>
          <w:lang w:val="en-GB"/>
        </w:rPr>
        <w:t>the Universal Declaration of Human Rights;</w:t>
      </w:r>
      <w:r w:rsidRPr="00DA0F97">
        <w:rPr>
          <w:rStyle w:val="FootnoteReference"/>
          <w:rFonts w:cstheme="minorHAnsi"/>
          <w:sz w:val="21"/>
          <w:szCs w:val="21"/>
          <w:lang w:val="en-GB"/>
        </w:rPr>
        <w:footnoteReference w:id="2"/>
      </w:r>
      <w:r w:rsidRPr="00DA0F97">
        <w:rPr>
          <w:rFonts w:cstheme="minorHAnsi"/>
          <w:sz w:val="21"/>
          <w:szCs w:val="21"/>
          <w:lang w:val="en-GB"/>
        </w:rPr>
        <w:t xml:space="preserve"> the Convention on the Elimination of All Forms of Discrimination against Women;</w:t>
      </w:r>
      <w:r w:rsidRPr="00DA0F97">
        <w:rPr>
          <w:rStyle w:val="FootnoteReference"/>
          <w:rFonts w:cstheme="minorHAnsi"/>
          <w:sz w:val="21"/>
          <w:szCs w:val="21"/>
          <w:lang w:val="en-GB"/>
        </w:rPr>
        <w:footnoteReference w:id="3"/>
      </w:r>
      <w:r w:rsidRPr="00DA0F97">
        <w:rPr>
          <w:rFonts w:cstheme="minorHAnsi"/>
          <w:sz w:val="21"/>
          <w:szCs w:val="21"/>
          <w:lang w:val="en-GB"/>
        </w:rPr>
        <w:t xml:space="preserve"> the Convention on the Rights of the Child;</w:t>
      </w:r>
      <w:r w:rsidRPr="00DA0F97">
        <w:rPr>
          <w:rStyle w:val="FootnoteReference"/>
          <w:rFonts w:cstheme="minorHAnsi"/>
          <w:sz w:val="21"/>
          <w:szCs w:val="21"/>
          <w:lang w:val="en-GB"/>
        </w:rPr>
        <w:footnoteReference w:id="4"/>
      </w:r>
      <w:r w:rsidRPr="00DA0F97">
        <w:rPr>
          <w:rFonts w:cstheme="minorHAnsi"/>
          <w:sz w:val="21"/>
          <w:szCs w:val="21"/>
          <w:lang w:val="en-GB"/>
        </w:rPr>
        <w:t xml:space="preserve"> </w:t>
      </w:r>
      <w:r w:rsidR="004A27B9">
        <w:rPr>
          <w:rFonts w:cstheme="minorHAnsi"/>
          <w:sz w:val="21"/>
          <w:szCs w:val="21"/>
          <w:lang w:val="en-GB"/>
        </w:rPr>
        <w:t xml:space="preserve">and </w:t>
      </w:r>
      <w:r w:rsidRPr="00DA0F97">
        <w:rPr>
          <w:rFonts w:cstheme="minorHAnsi"/>
          <w:sz w:val="21"/>
          <w:szCs w:val="21"/>
          <w:lang w:val="en-GB"/>
        </w:rPr>
        <w:t>the Convention on the Rights of Persons with Disabilities</w:t>
      </w:r>
      <w:r w:rsidR="004A27B9">
        <w:rPr>
          <w:rFonts w:cstheme="minorHAnsi"/>
          <w:sz w:val="21"/>
          <w:szCs w:val="21"/>
          <w:lang w:val="en-GB"/>
        </w:rPr>
        <w:t>.</w:t>
      </w:r>
      <w:r w:rsidRPr="00DA0F97">
        <w:rPr>
          <w:rStyle w:val="FootnoteReference"/>
          <w:rFonts w:cstheme="minorHAnsi"/>
          <w:sz w:val="21"/>
          <w:szCs w:val="21"/>
          <w:lang w:val="en-GB"/>
        </w:rPr>
        <w:footnoteReference w:id="5"/>
      </w:r>
      <w:r w:rsidRPr="00DA0F97">
        <w:rPr>
          <w:rFonts w:cstheme="minorHAnsi"/>
          <w:sz w:val="21"/>
          <w:szCs w:val="21"/>
          <w:lang w:val="en-GB"/>
        </w:rPr>
        <w:t xml:space="preserve"> </w:t>
      </w:r>
    </w:p>
    <w:p w:rsidR="00022069" w:rsidRPr="00DA0F97" w:rsidRDefault="004A27B9" w:rsidP="004A27B9">
      <w:pPr>
        <w:spacing w:after="120" w:line="276" w:lineRule="auto"/>
        <w:ind w:left="720"/>
        <w:jc w:val="both"/>
        <w:rPr>
          <w:rFonts w:cstheme="minorHAnsi"/>
          <w:sz w:val="21"/>
          <w:szCs w:val="21"/>
        </w:rPr>
      </w:pPr>
      <w:r>
        <w:rPr>
          <w:rFonts w:cstheme="minorHAnsi"/>
          <w:sz w:val="21"/>
          <w:szCs w:val="21"/>
          <w:lang w:val="en-GB"/>
        </w:rPr>
        <w:t xml:space="preserve">Please note that </w:t>
      </w:r>
      <w:r w:rsidR="003367A5">
        <w:rPr>
          <w:rFonts w:cstheme="minorHAnsi"/>
          <w:sz w:val="21"/>
          <w:szCs w:val="21"/>
          <w:lang w:val="en-GB"/>
        </w:rPr>
        <w:t xml:space="preserve">the Republic of </w:t>
      </w:r>
      <w:r>
        <w:rPr>
          <w:rFonts w:cstheme="minorHAnsi"/>
          <w:sz w:val="21"/>
          <w:szCs w:val="21"/>
          <w:lang w:val="en-GB"/>
        </w:rPr>
        <w:t>Vanuatu has not committed to the International Covenant on Economic, Social and Cultural Rights, more specifically Article 11 which promotes the right to an adequate standard of living including adequ</w:t>
      </w:r>
      <w:r w:rsidR="003367A5">
        <w:rPr>
          <w:rFonts w:cstheme="minorHAnsi"/>
          <w:sz w:val="21"/>
          <w:szCs w:val="21"/>
          <w:lang w:val="en-GB"/>
        </w:rPr>
        <w:t>ate food, clothing and housing.</w:t>
      </w:r>
    </w:p>
    <w:p w:rsidR="00022069" w:rsidRPr="00DA0F97" w:rsidRDefault="00022069" w:rsidP="004A27B9">
      <w:pPr>
        <w:spacing w:after="120" w:line="276" w:lineRule="auto"/>
        <w:ind w:left="720"/>
        <w:jc w:val="both"/>
        <w:rPr>
          <w:rFonts w:cstheme="minorHAnsi"/>
          <w:sz w:val="21"/>
          <w:szCs w:val="21"/>
          <w:lang w:val="en-GB"/>
        </w:rPr>
      </w:pPr>
      <w:r w:rsidRPr="00DA0F97">
        <w:rPr>
          <w:rFonts w:cstheme="minorHAnsi"/>
          <w:sz w:val="21"/>
          <w:szCs w:val="21"/>
          <w:lang w:val="en-GB"/>
        </w:rPr>
        <w:t xml:space="preserve">- </w:t>
      </w:r>
      <w:r w:rsidR="004A27B9">
        <w:rPr>
          <w:rFonts w:cstheme="minorHAnsi"/>
          <w:i/>
          <w:sz w:val="21"/>
          <w:szCs w:val="21"/>
          <w:lang w:val="en-GB"/>
        </w:rPr>
        <w:t>The National Law of Vanuatu</w:t>
      </w:r>
      <w:r w:rsidRPr="00DA0F97">
        <w:rPr>
          <w:rFonts w:cstheme="minorHAnsi"/>
          <w:sz w:val="21"/>
          <w:szCs w:val="21"/>
          <w:lang w:val="en-GB"/>
        </w:rPr>
        <w:t xml:space="preserve">: the </w:t>
      </w:r>
      <w:r w:rsidR="004A27B9">
        <w:rPr>
          <w:rFonts w:cstheme="minorHAnsi"/>
          <w:sz w:val="21"/>
          <w:szCs w:val="21"/>
          <w:lang w:val="en-GB"/>
        </w:rPr>
        <w:t>1988</w:t>
      </w:r>
      <w:r w:rsidRPr="00DA0F97">
        <w:rPr>
          <w:rFonts w:cstheme="minorHAnsi"/>
          <w:sz w:val="21"/>
          <w:szCs w:val="21"/>
          <w:lang w:val="en-GB"/>
        </w:rPr>
        <w:t xml:space="preserve"> Constitution of the </w:t>
      </w:r>
      <w:r w:rsidR="004A27B9">
        <w:rPr>
          <w:rFonts w:cstheme="minorHAnsi"/>
          <w:sz w:val="21"/>
          <w:szCs w:val="21"/>
          <w:lang w:val="en-GB"/>
        </w:rPr>
        <w:t xml:space="preserve">Republic of Vanuatu (Chapter 2, Article 5 (1)(j)) </w:t>
      </w:r>
      <w:r w:rsidR="00AD5C9E">
        <w:rPr>
          <w:rFonts w:cstheme="minorHAnsi"/>
          <w:sz w:val="21"/>
          <w:szCs w:val="21"/>
          <w:lang w:val="en-GB"/>
        </w:rPr>
        <w:t xml:space="preserve">states </w:t>
      </w:r>
      <w:r w:rsidR="004A27B9">
        <w:rPr>
          <w:rFonts w:cstheme="minorHAnsi"/>
          <w:sz w:val="21"/>
          <w:szCs w:val="21"/>
          <w:lang w:val="en-GB"/>
        </w:rPr>
        <w:t>that all persons are entitled to … “protection for the privacy of the home and other property and from unjust deprivation of property”</w:t>
      </w:r>
      <w:r w:rsidR="004A27B9">
        <w:rPr>
          <w:rStyle w:val="FootnoteReference"/>
          <w:rFonts w:cstheme="minorHAnsi"/>
          <w:sz w:val="21"/>
          <w:szCs w:val="21"/>
          <w:lang w:val="en-GB"/>
        </w:rPr>
        <w:footnoteReference w:id="6"/>
      </w:r>
      <w:r w:rsidRPr="00DA0F97">
        <w:rPr>
          <w:rFonts w:cstheme="minorHAnsi"/>
          <w:sz w:val="21"/>
          <w:szCs w:val="21"/>
          <w:lang w:val="en-GB"/>
        </w:rPr>
        <w:t xml:space="preserve">; </w:t>
      </w:r>
    </w:p>
    <w:p w:rsidR="00022069" w:rsidRPr="00DA0F97" w:rsidRDefault="00022069" w:rsidP="0046778E">
      <w:pPr>
        <w:spacing w:after="120" w:line="276" w:lineRule="auto"/>
        <w:ind w:left="720"/>
        <w:jc w:val="both"/>
        <w:rPr>
          <w:rFonts w:cstheme="minorHAnsi"/>
          <w:sz w:val="21"/>
          <w:szCs w:val="21"/>
          <w:lang w:val="en-GB"/>
        </w:rPr>
      </w:pPr>
      <w:r w:rsidRPr="00DA0F97">
        <w:rPr>
          <w:rFonts w:cstheme="minorHAnsi"/>
          <w:sz w:val="21"/>
          <w:szCs w:val="21"/>
          <w:lang w:val="en-GB"/>
        </w:rPr>
        <w:lastRenderedPageBreak/>
        <w:t xml:space="preserve">- </w:t>
      </w:r>
      <w:r w:rsidRPr="00DA0F97">
        <w:rPr>
          <w:rFonts w:cstheme="minorHAnsi"/>
          <w:i/>
          <w:sz w:val="21"/>
          <w:szCs w:val="21"/>
          <w:lang w:val="en-GB"/>
        </w:rPr>
        <w:t>International Principles</w:t>
      </w:r>
      <w:r w:rsidRPr="00DA0F97">
        <w:rPr>
          <w:rFonts w:cstheme="minorHAnsi"/>
          <w:sz w:val="21"/>
          <w:szCs w:val="21"/>
          <w:lang w:val="en-GB"/>
        </w:rPr>
        <w:t>: including the United Nations Guiding Principles on Internal Displacement</w:t>
      </w:r>
      <w:r w:rsidRPr="00DA0F97">
        <w:rPr>
          <w:rStyle w:val="FootnoteReference"/>
          <w:rFonts w:cstheme="minorHAnsi"/>
          <w:sz w:val="21"/>
          <w:szCs w:val="21"/>
          <w:lang w:val="en-GB"/>
        </w:rPr>
        <w:footnoteReference w:id="7"/>
      </w:r>
      <w:r w:rsidRPr="00DA0F97">
        <w:rPr>
          <w:rFonts w:cstheme="minorHAnsi"/>
          <w:sz w:val="21"/>
          <w:szCs w:val="21"/>
          <w:lang w:val="en-GB"/>
        </w:rPr>
        <w:t xml:space="preserve"> and the United Nations Principles on Housing and Property Restitution for Refugees and Displaced Persons (</w:t>
      </w:r>
      <w:proofErr w:type="spellStart"/>
      <w:r w:rsidRPr="00DA0F97">
        <w:rPr>
          <w:rFonts w:cstheme="minorHAnsi"/>
          <w:sz w:val="21"/>
          <w:szCs w:val="21"/>
          <w:lang w:val="en-GB"/>
        </w:rPr>
        <w:t>Pinheiro</w:t>
      </w:r>
      <w:proofErr w:type="spellEnd"/>
      <w:r w:rsidRPr="00DA0F97">
        <w:rPr>
          <w:rFonts w:cstheme="minorHAnsi"/>
          <w:sz w:val="21"/>
          <w:szCs w:val="21"/>
          <w:lang w:val="en-GB"/>
        </w:rPr>
        <w:t xml:space="preserve"> Principles).</w:t>
      </w:r>
      <w:r w:rsidRPr="00DA0F97">
        <w:rPr>
          <w:rStyle w:val="FootnoteReference"/>
          <w:rFonts w:cstheme="minorHAnsi"/>
          <w:sz w:val="21"/>
          <w:szCs w:val="21"/>
          <w:lang w:val="en-GB"/>
        </w:rPr>
        <w:footnoteReference w:id="8"/>
      </w:r>
    </w:p>
    <w:p w:rsidR="00022069" w:rsidRPr="00DA0F97" w:rsidRDefault="00022069" w:rsidP="003367A5">
      <w:pPr>
        <w:spacing w:after="120" w:line="276" w:lineRule="auto"/>
        <w:jc w:val="both"/>
        <w:rPr>
          <w:rFonts w:cstheme="minorHAnsi"/>
          <w:sz w:val="21"/>
          <w:szCs w:val="21"/>
          <w:lang w:val="en-GB"/>
        </w:rPr>
      </w:pPr>
      <w:r w:rsidRPr="00DA0F97">
        <w:rPr>
          <w:rFonts w:cstheme="minorHAnsi"/>
          <w:sz w:val="21"/>
          <w:szCs w:val="21"/>
        </w:rPr>
        <w:t xml:space="preserve">In practice, the </w:t>
      </w:r>
      <w:r w:rsidRPr="00DA0F97">
        <w:rPr>
          <w:rFonts w:cstheme="minorHAnsi"/>
          <w:sz w:val="21"/>
          <w:szCs w:val="21"/>
          <w:lang w:val="en-GB"/>
        </w:rPr>
        <w:t xml:space="preserve">national authorities of </w:t>
      </w:r>
      <w:r w:rsidR="00AD5C9E">
        <w:rPr>
          <w:rFonts w:cstheme="minorHAnsi"/>
          <w:sz w:val="21"/>
          <w:szCs w:val="21"/>
          <w:lang w:val="en-GB"/>
        </w:rPr>
        <w:t>Vanuatu</w:t>
      </w:r>
      <w:r w:rsidRPr="00DA0F97">
        <w:rPr>
          <w:rFonts w:cstheme="minorHAnsi"/>
          <w:sz w:val="21"/>
          <w:szCs w:val="21"/>
          <w:lang w:val="en-GB"/>
        </w:rPr>
        <w:t xml:space="preserve"> have the primary responsibility to protect </w:t>
      </w:r>
      <w:r w:rsidR="003367A5">
        <w:rPr>
          <w:rFonts w:cstheme="minorHAnsi"/>
          <w:sz w:val="21"/>
          <w:szCs w:val="21"/>
          <w:lang w:val="en-GB"/>
        </w:rPr>
        <w:t>human</w:t>
      </w:r>
      <w:r w:rsidRPr="00DA0F97">
        <w:rPr>
          <w:rFonts w:cstheme="minorHAnsi"/>
          <w:sz w:val="21"/>
          <w:szCs w:val="21"/>
          <w:lang w:val="en-GB"/>
        </w:rPr>
        <w:t xml:space="preserve"> rights in t</w:t>
      </w:r>
      <w:r w:rsidR="00AD5C9E">
        <w:rPr>
          <w:rFonts w:cstheme="minorHAnsi"/>
          <w:sz w:val="21"/>
          <w:szCs w:val="21"/>
          <w:lang w:val="en-GB"/>
        </w:rPr>
        <w:t>he context of disaster response.</w:t>
      </w:r>
      <w:r w:rsidRPr="00DA0F97">
        <w:rPr>
          <w:rStyle w:val="FootnoteReference"/>
          <w:rFonts w:cstheme="minorHAnsi"/>
          <w:sz w:val="21"/>
          <w:szCs w:val="21"/>
          <w:lang w:val="en-GB"/>
        </w:rPr>
        <w:footnoteReference w:id="9"/>
      </w:r>
      <w:r w:rsidRPr="00DA0F97">
        <w:rPr>
          <w:rFonts w:cstheme="minorHAnsi"/>
          <w:sz w:val="21"/>
          <w:szCs w:val="21"/>
          <w:lang w:val="en-GB"/>
        </w:rPr>
        <w:t xml:space="preserve"> </w:t>
      </w:r>
    </w:p>
    <w:p w:rsidR="00022069" w:rsidRPr="00DA0F97" w:rsidRDefault="00022069" w:rsidP="0046778E">
      <w:pPr>
        <w:spacing w:after="120" w:line="276" w:lineRule="auto"/>
        <w:jc w:val="both"/>
        <w:rPr>
          <w:rFonts w:cstheme="minorHAnsi"/>
          <w:b/>
          <w:sz w:val="21"/>
          <w:szCs w:val="21"/>
          <w:lang w:val="en-GB"/>
        </w:rPr>
      </w:pPr>
      <w:r w:rsidRPr="00DA0F97">
        <w:rPr>
          <w:rFonts w:cstheme="minorHAnsi"/>
          <w:b/>
          <w:sz w:val="21"/>
          <w:szCs w:val="21"/>
          <w:lang w:val="en-GB"/>
        </w:rPr>
        <w:t>HUMANITARIAN AGENCIES AND HLP RIGHTS</w:t>
      </w:r>
    </w:p>
    <w:p w:rsidR="00022069" w:rsidRPr="00DA0F97" w:rsidRDefault="00022069" w:rsidP="0046778E">
      <w:pPr>
        <w:suppressAutoHyphens/>
        <w:spacing w:after="120" w:line="276" w:lineRule="auto"/>
        <w:jc w:val="both"/>
        <w:rPr>
          <w:rFonts w:cstheme="minorHAnsi"/>
          <w:sz w:val="21"/>
          <w:szCs w:val="21"/>
        </w:rPr>
      </w:pPr>
      <w:r w:rsidRPr="00DA0F97">
        <w:rPr>
          <w:rFonts w:cstheme="minorHAnsi"/>
          <w:sz w:val="21"/>
          <w:szCs w:val="21"/>
        </w:rPr>
        <w:t>Organizations providing protection and assistance to persons affected by natural disasters should respect the human rights -</w:t>
      </w:r>
      <w:r w:rsidR="00DA0F97">
        <w:rPr>
          <w:rFonts w:cstheme="minorHAnsi"/>
          <w:sz w:val="21"/>
          <w:szCs w:val="21"/>
        </w:rPr>
        <w:t xml:space="preserve"> </w:t>
      </w:r>
      <w:r w:rsidRPr="00DA0F97">
        <w:rPr>
          <w:rFonts w:cstheme="minorHAnsi"/>
          <w:sz w:val="21"/>
          <w:szCs w:val="21"/>
        </w:rPr>
        <w:t>including HLP rights - of persons affected by disasters at all times and advocate for their promotion and protection to the fullest extent.</w:t>
      </w:r>
      <w:r w:rsidRPr="00DA0F97">
        <w:rPr>
          <w:rStyle w:val="FootnoteReference"/>
          <w:rFonts w:cstheme="minorHAnsi"/>
          <w:sz w:val="21"/>
          <w:szCs w:val="21"/>
        </w:rPr>
        <w:footnoteReference w:id="10"/>
      </w:r>
    </w:p>
    <w:p w:rsidR="00022069" w:rsidRPr="00DA0F97" w:rsidRDefault="00022069" w:rsidP="0046778E">
      <w:pPr>
        <w:suppressAutoHyphens/>
        <w:spacing w:after="120" w:line="276" w:lineRule="auto"/>
        <w:jc w:val="both"/>
        <w:rPr>
          <w:rFonts w:cstheme="minorHAnsi"/>
          <w:sz w:val="21"/>
          <w:szCs w:val="21"/>
        </w:rPr>
      </w:pPr>
      <w:r w:rsidRPr="00DA0F97">
        <w:rPr>
          <w:rFonts w:cstheme="minorHAnsi"/>
          <w:sz w:val="21"/>
          <w:szCs w:val="21"/>
        </w:rPr>
        <w:t>Humanitarian organizations should not promote, actively participate in, or in any other manner contribute to, or endorse policies or activities, which do or can lead to HLP rights violations by States.</w:t>
      </w:r>
      <w:r w:rsidRPr="00DA0F97">
        <w:rPr>
          <w:rStyle w:val="FootnoteReference"/>
          <w:rFonts w:cstheme="minorHAnsi"/>
          <w:sz w:val="21"/>
          <w:szCs w:val="21"/>
        </w:rPr>
        <w:footnoteReference w:id="11"/>
      </w:r>
      <w:r w:rsidRPr="00DA0F97">
        <w:rPr>
          <w:rFonts w:cstheme="minorHAnsi"/>
          <w:sz w:val="21"/>
          <w:szCs w:val="21"/>
        </w:rPr>
        <w:t xml:space="preserve"> </w:t>
      </w:r>
    </w:p>
    <w:p w:rsidR="00022069" w:rsidRPr="00DA0F97" w:rsidRDefault="00022069" w:rsidP="0046778E">
      <w:pPr>
        <w:spacing w:after="120" w:line="276" w:lineRule="auto"/>
        <w:jc w:val="both"/>
        <w:rPr>
          <w:rFonts w:cstheme="minorHAnsi"/>
          <w:b/>
          <w:sz w:val="21"/>
          <w:szCs w:val="21"/>
        </w:rPr>
      </w:pPr>
      <w:r w:rsidRPr="00DA0F97">
        <w:rPr>
          <w:rFonts w:cstheme="minorHAnsi"/>
          <w:b/>
          <w:sz w:val="21"/>
          <w:szCs w:val="21"/>
        </w:rPr>
        <w:t>KEY HLP PRINCIPLES FOR SHELTER PARTNERS</w:t>
      </w:r>
    </w:p>
    <w:p w:rsidR="00022069" w:rsidRPr="00DA0F97" w:rsidRDefault="00022069" w:rsidP="0046778E">
      <w:pPr>
        <w:pStyle w:val="ListParagraph"/>
        <w:numPr>
          <w:ilvl w:val="0"/>
          <w:numId w:val="11"/>
        </w:numPr>
        <w:spacing w:after="120" w:line="276" w:lineRule="auto"/>
        <w:jc w:val="both"/>
        <w:rPr>
          <w:rFonts w:cstheme="minorHAnsi"/>
          <w:b/>
          <w:sz w:val="21"/>
          <w:szCs w:val="21"/>
        </w:rPr>
      </w:pPr>
      <w:r w:rsidRPr="00DA0F97">
        <w:rPr>
          <w:rFonts w:cstheme="minorHAnsi"/>
          <w:b/>
          <w:sz w:val="21"/>
          <w:szCs w:val="21"/>
        </w:rPr>
        <w:t>EVERYONE HAS THE RIGHT TO AN ADEQUATE STANDARD OF HOUSING</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In all phases of disaster response the right to adequate housing should be respected and protected.</w:t>
      </w:r>
      <w:r w:rsidRPr="00DA0F97">
        <w:rPr>
          <w:rStyle w:val="FootnoteReference"/>
          <w:rFonts w:cstheme="minorHAnsi"/>
          <w:sz w:val="21"/>
          <w:szCs w:val="21"/>
        </w:rPr>
        <w:t xml:space="preserve"> </w:t>
      </w:r>
      <w:r w:rsidRPr="00DA0F97">
        <w:rPr>
          <w:rFonts w:cstheme="minorHAnsi"/>
          <w:sz w:val="21"/>
          <w:szCs w:val="21"/>
        </w:rPr>
        <w:t>The right to adequate housing is much more than a shelter commodity, it is the right to live somewhere in security, peace and dignity.</w:t>
      </w:r>
      <w:r w:rsidRPr="00DA0F97">
        <w:rPr>
          <w:rStyle w:val="FootnoteReference"/>
          <w:rFonts w:cstheme="minorHAnsi"/>
          <w:sz w:val="21"/>
          <w:szCs w:val="21"/>
        </w:rPr>
        <w:footnoteReference w:id="12"/>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The criteria for an adequate standard of housing includes</w:t>
      </w:r>
      <w:r w:rsidRPr="00DA0F97">
        <w:rPr>
          <w:rFonts w:cstheme="minorHAnsi"/>
          <w:i/>
          <w:sz w:val="21"/>
          <w:szCs w:val="21"/>
        </w:rPr>
        <w:t xml:space="preserve"> Security of tenure; Cultural adequacy</w:t>
      </w:r>
      <w:r w:rsidRPr="00DA0F97">
        <w:rPr>
          <w:rFonts w:cstheme="minorHAnsi"/>
          <w:sz w:val="21"/>
          <w:szCs w:val="21"/>
        </w:rPr>
        <w:t xml:space="preserve">; </w:t>
      </w:r>
      <w:r w:rsidRPr="00DA0F97">
        <w:rPr>
          <w:rFonts w:cstheme="minorHAnsi"/>
          <w:i/>
          <w:sz w:val="21"/>
          <w:szCs w:val="21"/>
        </w:rPr>
        <w:t>Affordability</w:t>
      </w:r>
      <w:r w:rsidRPr="00DA0F97">
        <w:rPr>
          <w:rFonts w:cstheme="minorHAnsi"/>
          <w:sz w:val="21"/>
          <w:szCs w:val="21"/>
        </w:rPr>
        <w:t xml:space="preserve">; </w:t>
      </w:r>
      <w:r w:rsidRPr="00DA0F97">
        <w:rPr>
          <w:rFonts w:cstheme="minorHAnsi"/>
          <w:i/>
          <w:sz w:val="21"/>
          <w:szCs w:val="21"/>
        </w:rPr>
        <w:t xml:space="preserve">Availability of services, materials, facilities and infrastructure; Habitability; Accessibility </w:t>
      </w:r>
      <w:r w:rsidRPr="00DA0F97">
        <w:rPr>
          <w:rFonts w:cstheme="minorHAnsi"/>
          <w:sz w:val="21"/>
          <w:szCs w:val="21"/>
        </w:rPr>
        <w:t xml:space="preserve">and </w:t>
      </w:r>
      <w:r w:rsidRPr="00DA0F97">
        <w:rPr>
          <w:rFonts w:cstheme="minorHAnsi"/>
          <w:i/>
          <w:sz w:val="21"/>
          <w:szCs w:val="21"/>
        </w:rPr>
        <w:t>Location.</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u w:val="single"/>
        </w:rPr>
        <w:t>Security of tenure</w:t>
      </w:r>
    </w:p>
    <w:p w:rsidR="00022069" w:rsidRDefault="00022069" w:rsidP="008F34F9">
      <w:pPr>
        <w:spacing w:after="120" w:line="276" w:lineRule="auto"/>
        <w:jc w:val="both"/>
        <w:rPr>
          <w:rFonts w:cstheme="minorHAnsi"/>
          <w:sz w:val="21"/>
          <w:szCs w:val="21"/>
        </w:rPr>
      </w:pPr>
      <w:r w:rsidRPr="00DA0F97">
        <w:rPr>
          <w:rFonts w:cstheme="minorHAnsi"/>
          <w:sz w:val="21"/>
          <w:szCs w:val="21"/>
        </w:rPr>
        <w:t xml:space="preserve">There is a multiplicity of legitimate tenure arrangements besides private ownership, such as public or private rental accommodation, cooperative housing, lease, </w:t>
      </w:r>
      <w:r w:rsidR="00AA03AC" w:rsidRPr="00DA0F97">
        <w:rPr>
          <w:rFonts w:cstheme="minorHAnsi"/>
          <w:sz w:val="21"/>
          <w:szCs w:val="21"/>
        </w:rPr>
        <w:t xml:space="preserve">emergency housing, </w:t>
      </w:r>
      <w:r w:rsidRPr="00DA0F97">
        <w:rPr>
          <w:rFonts w:cstheme="minorHAnsi"/>
          <w:sz w:val="21"/>
          <w:szCs w:val="21"/>
        </w:rPr>
        <w:t>occupation/rent of land or property in informal settlements,</w:t>
      </w:r>
      <w:r w:rsidR="00AA03AC" w:rsidRPr="00DA0F97">
        <w:rPr>
          <w:rFonts w:cstheme="minorHAnsi"/>
          <w:sz w:val="21"/>
          <w:szCs w:val="21"/>
        </w:rPr>
        <w:t xml:space="preserve"> </w:t>
      </w:r>
      <w:r w:rsidRPr="00DA0F97">
        <w:rPr>
          <w:rFonts w:cstheme="minorHAnsi"/>
          <w:sz w:val="21"/>
          <w:szCs w:val="21"/>
        </w:rPr>
        <w:t xml:space="preserve">and other user or occupancy rights through </w:t>
      </w:r>
      <w:r w:rsidR="006210C2" w:rsidRPr="00DA0F97">
        <w:rPr>
          <w:rFonts w:cstheme="minorHAnsi"/>
          <w:sz w:val="21"/>
          <w:szCs w:val="21"/>
        </w:rPr>
        <w:t xml:space="preserve">statutory, </w:t>
      </w:r>
      <w:r w:rsidRPr="00DA0F97">
        <w:rPr>
          <w:rFonts w:cstheme="minorHAnsi"/>
          <w:sz w:val="21"/>
          <w:szCs w:val="21"/>
        </w:rPr>
        <w:t>customary</w:t>
      </w:r>
      <w:r w:rsidR="006210C2" w:rsidRPr="00DA0F97">
        <w:rPr>
          <w:rFonts w:cstheme="minorHAnsi"/>
          <w:sz w:val="21"/>
          <w:szCs w:val="21"/>
        </w:rPr>
        <w:t>, religious or hybrid</w:t>
      </w:r>
      <w:r w:rsidRPr="00DA0F97">
        <w:rPr>
          <w:rFonts w:cstheme="minorHAnsi"/>
          <w:sz w:val="21"/>
          <w:szCs w:val="21"/>
        </w:rPr>
        <w:t xml:space="preserve"> arrangements all with varying degrees of formality. Notwithstanding the type of tenure, all persons should possess a degree of security of tenure which guarantees legal protection against forced eviction, harassment and other threats.</w:t>
      </w:r>
    </w:p>
    <w:p w:rsidR="00022069" w:rsidRPr="00DA0F97" w:rsidRDefault="00022069" w:rsidP="0046778E">
      <w:pPr>
        <w:spacing w:after="120" w:line="276" w:lineRule="auto"/>
        <w:jc w:val="both"/>
        <w:rPr>
          <w:rFonts w:cstheme="minorHAnsi"/>
          <w:sz w:val="21"/>
          <w:szCs w:val="21"/>
          <w:u w:val="single"/>
        </w:rPr>
      </w:pPr>
      <w:r w:rsidRPr="00DA0F97">
        <w:rPr>
          <w:rFonts w:cstheme="minorHAnsi"/>
          <w:sz w:val="21"/>
          <w:szCs w:val="21"/>
          <w:u w:val="single"/>
        </w:rPr>
        <w:t>Cultural adequacy</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Adequate housing should respect and take into account the expression of cultural identity and ways of life.</w:t>
      </w:r>
    </w:p>
    <w:p w:rsidR="00022069" w:rsidRPr="00DA0F97" w:rsidRDefault="00022069" w:rsidP="0046778E">
      <w:pPr>
        <w:spacing w:after="120" w:line="276" w:lineRule="auto"/>
        <w:jc w:val="both"/>
        <w:rPr>
          <w:rFonts w:cstheme="minorHAnsi"/>
          <w:sz w:val="21"/>
          <w:szCs w:val="21"/>
          <w:u w:val="single"/>
        </w:rPr>
      </w:pPr>
      <w:r w:rsidRPr="00DA0F97">
        <w:rPr>
          <w:rFonts w:cstheme="minorHAnsi"/>
          <w:sz w:val="21"/>
          <w:szCs w:val="21"/>
          <w:u w:val="single"/>
        </w:rPr>
        <w:t>Affordability</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Personal or household financial costs associated with housing should not threaten or compromise the attainment and satisfaction of other basic needs (for example, food, education and access to health care).</w:t>
      </w:r>
    </w:p>
    <w:p w:rsidR="00022069" w:rsidRPr="00DA0F97" w:rsidRDefault="00022069" w:rsidP="0046778E">
      <w:pPr>
        <w:spacing w:after="120" w:line="276" w:lineRule="auto"/>
        <w:jc w:val="both"/>
        <w:rPr>
          <w:rFonts w:cstheme="minorHAnsi"/>
          <w:sz w:val="21"/>
          <w:szCs w:val="21"/>
          <w:u w:val="single"/>
        </w:rPr>
      </w:pPr>
      <w:r w:rsidRPr="00DA0F97">
        <w:rPr>
          <w:rFonts w:cstheme="minorHAnsi"/>
          <w:sz w:val="21"/>
          <w:szCs w:val="21"/>
          <w:u w:val="single"/>
        </w:rPr>
        <w:lastRenderedPageBreak/>
        <w:t>Availability of services, materials, facilities and infrastructure</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An adequate house must contain certain facilities essential for health, security, comfort and nutrition. All persons should have sustainable access to natural and common resources, safe drinking water, energy for cooking, heating and lighting, adequate sanitation and washing facilities, means of food storage, refuse disposal, site drainage and emergency services.</w:t>
      </w:r>
    </w:p>
    <w:p w:rsidR="00022069" w:rsidRPr="00DA0F97" w:rsidRDefault="00022069" w:rsidP="0046778E">
      <w:pPr>
        <w:spacing w:after="120" w:line="276" w:lineRule="auto"/>
        <w:jc w:val="both"/>
        <w:rPr>
          <w:rFonts w:cstheme="minorHAnsi"/>
          <w:sz w:val="21"/>
          <w:szCs w:val="21"/>
          <w:u w:val="single"/>
        </w:rPr>
      </w:pPr>
      <w:r w:rsidRPr="00DA0F97">
        <w:rPr>
          <w:rFonts w:cstheme="minorHAnsi"/>
          <w:sz w:val="21"/>
          <w:szCs w:val="21"/>
          <w:u w:val="single"/>
        </w:rPr>
        <w:t>Habitability</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Adequate housing must be habitable, in terms of providing the inhabitants with adequate space and protecting them from cold, damp, heat, rain, wind or other threats to health, structural hazards, and disease vectors. The physical safety of occupants must be guaranteed as well. This means that there must be respect for safety standards aimed at reducing damage in cases of future disasters.</w:t>
      </w:r>
      <w:r w:rsidRPr="00DA0F97">
        <w:rPr>
          <w:rStyle w:val="FootnoteReference"/>
          <w:rFonts w:cstheme="minorHAnsi"/>
          <w:sz w:val="21"/>
          <w:szCs w:val="21"/>
        </w:rPr>
        <w:footnoteReference w:id="13"/>
      </w:r>
    </w:p>
    <w:p w:rsidR="00022069" w:rsidRPr="00DA0F97" w:rsidRDefault="00022069" w:rsidP="0046778E">
      <w:pPr>
        <w:spacing w:after="120" w:line="276" w:lineRule="auto"/>
        <w:jc w:val="both"/>
        <w:rPr>
          <w:rFonts w:cstheme="minorHAnsi"/>
          <w:sz w:val="21"/>
          <w:szCs w:val="21"/>
          <w:u w:val="single"/>
        </w:rPr>
      </w:pPr>
      <w:r w:rsidRPr="00DA0F97">
        <w:rPr>
          <w:rFonts w:cstheme="minorHAnsi"/>
          <w:sz w:val="21"/>
          <w:szCs w:val="21"/>
          <w:u w:val="single"/>
        </w:rPr>
        <w:t>Accessibility</w:t>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Adequate housing must take into account the specific needs of disadvantaged and marginalized groups, including the poor, the elderly, children, the physically disabled, the terminally ill, HIV-positive individuals, persons with persistent medical problems and the mentally ill.</w:t>
      </w:r>
    </w:p>
    <w:p w:rsidR="00022069" w:rsidRPr="00DA0F97" w:rsidRDefault="00022069" w:rsidP="0046778E">
      <w:pPr>
        <w:spacing w:after="120" w:line="276" w:lineRule="auto"/>
        <w:jc w:val="both"/>
        <w:rPr>
          <w:rFonts w:cstheme="minorHAnsi"/>
          <w:sz w:val="21"/>
          <w:szCs w:val="21"/>
          <w:u w:val="single"/>
        </w:rPr>
      </w:pPr>
      <w:r w:rsidRPr="00DA0F97">
        <w:rPr>
          <w:rFonts w:cstheme="minorHAnsi"/>
          <w:sz w:val="21"/>
          <w:szCs w:val="21"/>
          <w:u w:val="single"/>
        </w:rPr>
        <w:t>Location</w:t>
      </w:r>
    </w:p>
    <w:p w:rsidR="00022069" w:rsidRDefault="00022069" w:rsidP="0046778E">
      <w:pPr>
        <w:spacing w:after="120" w:line="276" w:lineRule="auto"/>
        <w:jc w:val="both"/>
        <w:rPr>
          <w:rFonts w:cstheme="minorHAnsi"/>
          <w:sz w:val="21"/>
          <w:szCs w:val="21"/>
        </w:rPr>
      </w:pPr>
      <w:r w:rsidRPr="00DA0F97">
        <w:rPr>
          <w:rFonts w:cstheme="minorHAnsi"/>
          <w:sz w:val="21"/>
          <w:szCs w:val="21"/>
        </w:rPr>
        <w:t xml:space="preserve">Adequate housing must be in a location which allows access to employment options, health-care services, schools, child-care </w:t>
      </w:r>
      <w:proofErr w:type="spellStart"/>
      <w:r w:rsidRPr="00DA0F97">
        <w:rPr>
          <w:rFonts w:cstheme="minorHAnsi"/>
          <w:sz w:val="21"/>
          <w:szCs w:val="21"/>
        </w:rPr>
        <w:t>centres</w:t>
      </w:r>
      <w:proofErr w:type="spellEnd"/>
      <w:r w:rsidRPr="00DA0F97">
        <w:rPr>
          <w:rFonts w:cstheme="minorHAnsi"/>
          <w:sz w:val="21"/>
          <w:szCs w:val="21"/>
        </w:rPr>
        <w:t xml:space="preserve"> and other social facilities. Housing should not be built on polluted sites nor in immediate proximity to pollution sources.</w:t>
      </w:r>
    </w:p>
    <w:p w:rsidR="003367A5" w:rsidRPr="003367A5" w:rsidRDefault="003367A5" w:rsidP="003367A5">
      <w:pPr>
        <w:spacing w:after="120" w:line="276" w:lineRule="auto"/>
        <w:ind w:left="720" w:hanging="720"/>
        <w:jc w:val="both"/>
        <w:rPr>
          <w:rFonts w:cstheme="minorHAnsi"/>
          <w:b/>
          <w:sz w:val="21"/>
          <w:szCs w:val="21"/>
        </w:rPr>
      </w:pPr>
      <w:r>
        <w:rPr>
          <w:rFonts w:cstheme="minorHAnsi"/>
          <w:b/>
          <w:sz w:val="21"/>
          <w:szCs w:val="21"/>
        </w:rPr>
        <w:t>2.</w:t>
      </w:r>
      <w:r>
        <w:rPr>
          <w:rFonts w:cstheme="minorHAnsi"/>
          <w:b/>
          <w:sz w:val="21"/>
          <w:szCs w:val="21"/>
        </w:rPr>
        <w:tab/>
      </w:r>
      <w:r w:rsidRPr="003367A5">
        <w:rPr>
          <w:rFonts w:cstheme="minorHAnsi"/>
          <w:b/>
          <w:sz w:val="21"/>
          <w:szCs w:val="21"/>
        </w:rPr>
        <w:t>THE SHELTER RESPONSE SHOULD BE FREE FROM HLP DISCRIMINATION AND SHOULD ENSURE THE RIGHTS OF THE MOST VULNERABLE</w:t>
      </w:r>
    </w:p>
    <w:p w:rsidR="003367A5" w:rsidRPr="00DA0F97" w:rsidRDefault="003367A5" w:rsidP="003367A5">
      <w:pPr>
        <w:spacing w:after="120" w:line="276" w:lineRule="auto"/>
        <w:jc w:val="both"/>
        <w:rPr>
          <w:rFonts w:cstheme="minorHAnsi"/>
          <w:sz w:val="21"/>
          <w:szCs w:val="21"/>
        </w:rPr>
      </w:pPr>
      <w:r w:rsidRPr="00DA0F97">
        <w:rPr>
          <w:rFonts w:cstheme="minorHAnsi"/>
          <w:sz w:val="21"/>
          <w:szCs w:val="21"/>
        </w:rPr>
        <w:t xml:space="preserve">HLP rights must be enjoyed without discrimination of any kind on the basis of gender, race, </w:t>
      </w:r>
      <w:proofErr w:type="spellStart"/>
      <w:r w:rsidRPr="00DA0F97">
        <w:rPr>
          <w:rFonts w:cstheme="minorHAnsi"/>
          <w:sz w:val="21"/>
          <w:szCs w:val="21"/>
        </w:rPr>
        <w:t>colour</w:t>
      </w:r>
      <w:proofErr w:type="spellEnd"/>
      <w:r w:rsidRPr="00DA0F97">
        <w:rPr>
          <w:rFonts w:cstheme="minorHAnsi"/>
          <w:sz w:val="21"/>
          <w:szCs w:val="21"/>
        </w:rPr>
        <w:t xml:space="preserve">, sex, sexual orientation, language, religion or belief, political or other opinion, national, ethnic or social origin, legal or social status, age, disability, property, birth or other status. </w:t>
      </w:r>
    </w:p>
    <w:p w:rsidR="003367A5" w:rsidRPr="00DA0F97" w:rsidRDefault="003367A5" w:rsidP="003367A5">
      <w:pPr>
        <w:spacing w:after="120" w:line="276" w:lineRule="auto"/>
        <w:jc w:val="both"/>
        <w:rPr>
          <w:rFonts w:cstheme="minorHAnsi"/>
          <w:sz w:val="21"/>
          <w:szCs w:val="21"/>
        </w:rPr>
      </w:pPr>
      <w:r w:rsidRPr="00DA0F97">
        <w:rPr>
          <w:rFonts w:cstheme="minorHAnsi"/>
          <w:sz w:val="21"/>
          <w:szCs w:val="21"/>
        </w:rPr>
        <w:t xml:space="preserve">This includes the need to eliminate the common bias in </w:t>
      </w:r>
      <w:proofErr w:type="spellStart"/>
      <w:r w:rsidRPr="00DA0F97">
        <w:rPr>
          <w:rFonts w:cstheme="minorHAnsi"/>
          <w:sz w:val="21"/>
          <w:szCs w:val="21"/>
        </w:rPr>
        <w:t>favour</w:t>
      </w:r>
      <w:proofErr w:type="spellEnd"/>
      <w:r w:rsidRPr="00DA0F97">
        <w:rPr>
          <w:rFonts w:cstheme="minorHAnsi"/>
          <w:sz w:val="21"/>
          <w:szCs w:val="21"/>
        </w:rPr>
        <w:t xml:space="preserve"> of persons holding formal property title over other forms of tenure. </w:t>
      </w:r>
    </w:p>
    <w:p w:rsidR="003367A5" w:rsidRPr="00DA0F97" w:rsidRDefault="003367A5" w:rsidP="003367A5">
      <w:pPr>
        <w:spacing w:after="120" w:line="276" w:lineRule="auto"/>
        <w:jc w:val="both"/>
        <w:rPr>
          <w:rFonts w:cstheme="minorHAnsi"/>
          <w:sz w:val="21"/>
          <w:szCs w:val="21"/>
        </w:rPr>
      </w:pPr>
      <w:r w:rsidRPr="00DA0F97">
        <w:rPr>
          <w:rFonts w:cstheme="minorHAnsi"/>
          <w:sz w:val="21"/>
          <w:szCs w:val="21"/>
        </w:rPr>
        <w:t xml:space="preserve">Taking a human rights approach to the humanitarian response means that efforts should be targeted towards the most vulnerable and marginalized groups, </w:t>
      </w:r>
      <w:r w:rsidRPr="00DA0F97">
        <w:rPr>
          <w:rFonts w:cstheme="minorHAnsi"/>
          <w:sz w:val="21"/>
          <w:szCs w:val="21"/>
          <w:lang w:val="en-GB"/>
        </w:rPr>
        <w:t>such as women, unaccompanied minors, expectant mothers, mothers with young children, heads of household, persons with disabilities and the elderly.</w:t>
      </w:r>
    </w:p>
    <w:p w:rsidR="003367A5" w:rsidRPr="00DA0F97" w:rsidRDefault="003367A5" w:rsidP="003367A5">
      <w:pPr>
        <w:spacing w:after="120" w:line="276" w:lineRule="auto"/>
        <w:jc w:val="both"/>
        <w:rPr>
          <w:rFonts w:cstheme="minorHAnsi"/>
          <w:sz w:val="21"/>
          <w:szCs w:val="21"/>
        </w:rPr>
      </w:pPr>
      <w:r w:rsidRPr="00DA0F97">
        <w:rPr>
          <w:rFonts w:cstheme="minorHAnsi"/>
          <w:sz w:val="21"/>
          <w:szCs w:val="21"/>
        </w:rPr>
        <w:t>These principles are especially important during the beneficiary selection phase for temporary and long-term shelter.</w:t>
      </w:r>
    </w:p>
    <w:p w:rsidR="003367A5" w:rsidRPr="00DA0F97" w:rsidRDefault="003367A5" w:rsidP="0046778E">
      <w:pPr>
        <w:spacing w:after="120" w:line="276" w:lineRule="auto"/>
        <w:jc w:val="both"/>
        <w:rPr>
          <w:rFonts w:cstheme="minorHAnsi"/>
          <w:sz w:val="21"/>
          <w:szCs w:val="21"/>
        </w:rPr>
      </w:pPr>
    </w:p>
    <w:p w:rsidR="00022069" w:rsidRPr="003367A5" w:rsidRDefault="003367A5" w:rsidP="003367A5">
      <w:pPr>
        <w:spacing w:after="120" w:line="276" w:lineRule="auto"/>
        <w:jc w:val="both"/>
        <w:rPr>
          <w:rFonts w:cstheme="minorHAnsi"/>
          <w:b/>
          <w:sz w:val="21"/>
          <w:szCs w:val="21"/>
        </w:rPr>
      </w:pPr>
      <w:r>
        <w:rPr>
          <w:rFonts w:cstheme="minorHAnsi"/>
          <w:b/>
          <w:sz w:val="21"/>
          <w:szCs w:val="21"/>
        </w:rPr>
        <w:t>3.</w:t>
      </w:r>
      <w:r>
        <w:rPr>
          <w:rFonts w:cstheme="minorHAnsi"/>
          <w:b/>
          <w:sz w:val="21"/>
          <w:szCs w:val="21"/>
        </w:rPr>
        <w:tab/>
      </w:r>
      <w:bookmarkStart w:id="0" w:name="_GoBack"/>
      <w:bookmarkEnd w:id="0"/>
      <w:r w:rsidR="00022069" w:rsidRPr="003367A5">
        <w:rPr>
          <w:rFonts w:cstheme="minorHAnsi"/>
          <w:b/>
          <w:sz w:val="21"/>
          <w:szCs w:val="21"/>
        </w:rPr>
        <w:t>ALL AFFECTED PERSONS SHOULD HAVE ACCESS TO INFORMATION AND THE RIGHT TO PARTICIPATE</w:t>
      </w:r>
    </w:p>
    <w:p w:rsidR="00022069" w:rsidRPr="00DA0F97" w:rsidRDefault="00022069" w:rsidP="0046778E">
      <w:pPr>
        <w:widowControl w:val="0"/>
        <w:tabs>
          <w:tab w:val="left" w:pos="220"/>
          <w:tab w:val="left" w:pos="720"/>
        </w:tabs>
        <w:autoSpaceDE w:val="0"/>
        <w:autoSpaceDN w:val="0"/>
        <w:adjustRightInd w:val="0"/>
        <w:spacing w:after="120" w:line="276" w:lineRule="auto"/>
        <w:jc w:val="both"/>
        <w:rPr>
          <w:rFonts w:cstheme="minorHAnsi"/>
          <w:sz w:val="21"/>
          <w:szCs w:val="21"/>
        </w:rPr>
      </w:pPr>
      <w:r w:rsidRPr="00DA0F97">
        <w:rPr>
          <w:rFonts w:cstheme="minorHAnsi"/>
          <w:sz w:val="21"/>
          <w:szCs w:val="21"/>
        </w:rPr>
        <w:t>All affected groups and persons should have access to information and be able to participate meaningfully in the planning and implementation of the shelter response.</w:t>
      </w:r>
      <w:r w:rsidRPr="00DA0F97">
        <w:rPr>
          <w:rStyle w:val="FootnoteReference"/>
          <w:rFonts w:cstheme="minorHAnsi"/>
          <w:sz w:val="21"/>
          <w:szCs w:val="21"/>
        </w:rPr>
        <w:footnoteReference w:id="14"/>
      </w:r>
    </w:p>
    <w:p w:rsidR="00022069" w:rsidRPr="00DA0F97" w:rsidRDefault="00022069" w:rsidP="0046778E">
      <w:pPr>
        <w:suppressAutoHyphens/>
        <w:spacing w:after="120" w:line="276" w:lineRule="auto"/>
        <w:jc w:val="both"/>
        <w:rPr>
          <w:rFonts w:cstheme="minorHAnsi"/>
          <w:sz w:val="21"/>
          <w:szCs w:val="21"/>
        </w:rPr>
      </w:pPr>
      <w:r w:rsidRPr="00DA0F97">
        <w:rPr>
          <w:rFonts w:cstheme="minorHAnsi"/>
          <w:sz w:val="21"/>
          <w:szCs w:val="21"/>
        </w:rPr>
        <w:t xml:space="preserve">In particular, all affected persons should have the opportunity to participate in the identification and determination of tenure rights; the choice over planning and implementation of transitional shelter and </w:t>
      </w:r>
      <w:r w:rsidRPr="00DA0F97">
        <w:rPr>
          <w:rFonts w:cstheme="minorHAnsi"/>
          <w:sz w:val="21"/>
          <w:szCs w:val="21"/>
        </w:rPr>
        <w:lastRenderedPageBreak/>
        <w:t xml:space="preserve">permanent housing </w:t>
      </w:r>
      <w:proofErr w:type="spellStart"/>
      <w:r w:rsidRPr="00DA0F97">
        <w:rPr>
          <w:rFonts w:cstheme="minorHAnsi"/>
          <w:sz w:val="21"/>
          <w:szCs w:val="21"/>
        </w:rPr>
        <w:t>programmes</w:t>
      </w:r>
      <w:proofErr w:type="spellEnd"/>
      <w:r w:rsidRPr="00DA0F97">
        <w:rPr>
          <w:rFonts w:cstheme="minorHAnsi"/>
          <w:sz w:val="21"/>
          <w:szCs w:val="21"/>
        </w:rPr>
        <w:t>, and of durable solutions (return, local integration, relocation); and in decisions over land use planning and restrictions.</w:t>
      </w:r>
      <w:r w:rsidRPr="00DA0F97">
        <w:rPr>
          <w:rStyle w:val="FootnoteReference"/>
          <w:rFonts w:cstheme="minorHAnsi"/>
          <w:sz w:val="21"/>
          <w:szCs w:val="21"/>
        </w:rPr>
        <w:footnoteReference w:id="15"/>
      </w:r>
    </w:p>
    <w:p w:rsidR="00022069" w:rsidRPr="00DA0F97" w:rsidRDefault="00022069" w:rsidP="0046778E">
      <w:pPr>
        <w:suppressAutoHyphens/>
        <w:spacing w:after="120" w:line="276" w:lineRule="auto"/>
        <w:jc w:val="both"/>
        <w:rPr>
          <w:rFonts w:cstheme="minorHAnsi"/>
          <w:sz w:val="21"/>
          <w:szCs w:val="21"/>
        </w:rPr>
      </w:pPr>
      <w:r w:rsidRPr="00DA0F97">
        <w:rPr>
          <w:rFonts w:cstheme="minorHAnsi"/>
          <w:sz w:val="21"/>
          <w:szCs w:val="21"/>
        </w:rPr>
        <w:t>To the maximum extent possible, and provided that necessary safety standards are met, owners of destroyed houses should be allowed to decide on their own how to rebuild them.</w:t>
      </w:r>
      <w:r w:rsidRPr="00DA0F97">
        <w:rPr>
          <w:rStyle w:val="FootnoteReference"/>
          <w:rFonts w:cstheme="minorHAnsi"/>
          <w:sz w:val="21"/>
          <w:szCs w:val="21"/>
        </w:rPr>
        <w:footnoteReference w:id="16"/>
      </w:r>
    </w:p>
    <w:p w:rsidR="00022069" w:rsidRPr="00DA0F97" w:rsidRDefault="00022069" w:rsidP="0046778E">
      <w:pPr>
        <w:suppressAutoHyphens/>
        <w:spacing w:after="120" w:line="276" w:lineRule="auto"/>
        <w:ind w:right="720"/>
        <w:jc w:val="both"/>
        <w:rPr>
          <w:rFonts w:cstheme="minorHAnsi"/>
          <w:b/>
          <w:sz w:val="21"/>
          <w:szCs w:val="21"/>
        </w:rPr>
      </w:pPr>
      <w:r w:rsidRPr="00DA0F97">
        <w:rPr>
          <w:rFonts w:cstheme="minorHAnsi"/>
          <w:b/>
          <w:sz w:val="21"/>
          <w:szCs w:val="21"/>
        </w:rPr>
        <w:t>4. AFFECTED PERSONS SHOULD HAVE THE RIGHT TO CHOOSE BETWEEN RETURN, LOCAL INTEGRATION AND RELOCATION</w:t>
      </w:r>
    </w:p>
    <w:p w:rsidR="00022069" w:rsidRPr="00DA0F97" w:rsidRDefault="00022069" w:rsidP="0046778E">
      <w:pPr>
        <w:widowControl w:val="0"/>
        <w:autoSpaceDE w:val="0"/>
        <w:autoSpaceDN w:val="0"/>
        <w:adjustRightInd w:val="0"/>
        <w:spacing w:after="120" w:line="276" w:lineRule="auto"/>
        <w:jc w:val="both"/>
        <w:rPr>
          <w:rFonts w:cstheme="minorHAnsi"/>
          <w:sz w:val="21"/>
          <w:szCs w:val="21"/>
        </w:rPr>
      </w:pPr>
      <w:r w:rsidRPr="00DA0F97">
        <w:rPr>
          <w:rFonts w:cstheme="minorHAnsi"/>
          <w:sz w:val="21"/>
          <w:szCs w:val="21"/>
        </w:rPr>
        <w:t>After the emergency phase, affected persons should be granted the right to choose freely whether they want to:</w:t>
      </w:r>
      <w:r w:rsidRPr="00DA0F97">
        <w:rPr>
          <w:rStyle w:val="FootnoteReference"/>
          <w:rFonts w:cstheme="minorHAnsi"/>
          <w:sz w:val="21"/>
          <w:szCs w:val="21"/>
        </w:rPr>
        <w:footnoteReference w:id="17"/>
      </w:r>
    </w:p>
    <w:p w:rsidR="00022069" w:rsidRPr="00DA0F97" w:rsidRDefault="00022069" w:rsidP="0046778E">
      <w:pPr>
        <w:widowControl w:val="0"/>
        <w:autoSpaceDE w:val="0"/>
        <w:autoSpaceDN w:val="0"/>
        <w:adjustRightInd w:val="0"/>
        <w:spacing w:after="120" w:line="276" w:lineRule="auto"/>
        <w:ind w:left="720"/>
        <w:jc w:val="both"/>
        <w:rPr>
          <w:rFonts w:cstheme="minorHAnsi"/>
          <w:sz w:val="21"/>
          <w:szCs w:val="21"/>
        </w:rPr>
      </w:pPr>
      <w:r w:rsidRPr="00DA0F97">
        <w:rPr>
          <w:rFonts w:cstheme="minorHAnsi"/>
          <w:sz w:val="21"/>
          <w:szCs w:val="21"/>
        </w:rPr>
        <w:t>- Return to their homes and places of origin;</w:t>
      </w:r>
    </w:p>
    <w:p w:rsidR="00022069" w:rsidRPr="00DA0F97" w:rsidRDefault="00022069" w:rsidP="0046778E">
      <w:pPr>
        <w:widowControl w:val="0"/>
        <w:autoSpaceDE w:val="0"/>
        <w:autoSpaceDN w:val="0"/>
        <w:adjustRightInd w:val="0"/>
        <w:spacing w:after="120" w:line="276" w:lineRule="auto"/>
        <w:ind w:left="720"/>
        <w:jc w:val="both"/>
        <w:rPr>
          <w:rFonts w:cstheme="minorHAnsi"/>
          <w:sz w:val="21"/>
          <w:szCs w:val="21"/>
        </w:rPr>
      </w:pPr>
      <w:r w:rsidRPr="00DA0F97">
        <w:rPr>
          <w:rFonts w:cstheme="minorHAnsi"/>
          <w:sz w:val="21"/>
          <w:szCs w:val="21"/>
        </w:rPr>
        <w:t>- To integrate locally in the area to which they have been displaced; or</w:t>
      </w:r>
    </w:p>
    <w:p w:rsidR="00022069" w:rsidRPr="00DA0F97" w:rsidRDefault="00022069" w:rsidP="0046778E">
      <w:pPr>
        <w:widowControl w:val="0"/>
        <w:autoSpaceDE w:val="0"/>
        <w:autoSpaceDN w:val="0"/>
        <w:adjustRightInd w:val="0"/>
        <w:spacing w:after="120" w:line="276" w:lineRule="auto"/>
        <w:ind w:left="720"/>
        <w:jc w:val="both"/>
        <w:rPr>
          <w:rFonts w:cstheme="minorHAnsi"/>
          <w:sz w:val="21"/>
          <w:szCs w:val="21"/>
        </w:rPr>
      </w:pPr>
      <w:r w:rsidRPr="00DA0F97">
        <w:rPr>
          <w:rFonts w:cstheme="minorHAnsi"/>
          <w:sz w:val="21"/>
          <w:szCs w:val="21"/>
        </w:rPr>
        <w:t>- To settle elsewhere in the country.</w:t>
      </w:r>
    </w:p>
    <w:p w:rsidR="00022069" w:rsidRPr="00DA0F97" w:rsidRDefault="00022069" w:rsidP="0046778E">
      <w:pPr>
        <w:suppressAutoHyphens/>
        <w:spacing w:after="120" w:line="276" w:lineRule="auto"/>
        <w:ind w:right="720"/>
        <w:jc w:val="both"/>
        <w:rPr>
          <w:rFonts w:cstheme="minorHAnsi"/>
          <w:sz w:val="21"/>
          <w:szCs w:val="21"/>
        </w:rPr>
      </w:pPr>
      <w:r w:rsidRPr="00DA0F97">
        <w:rPr>
          <w:rFonts w:cstheme="minorHAnsi"/>
          <w:sz w:val="21"/>
          <w:szCs w:val="21"/>
        </w:rPr>
        <w:t>Any restrictions on the right to these durable solutions – for example the imposition of a No Build Zone which restricts the right to return, remain and rebuild - should only be enforced in limited circumstances and only where international and national standards are met. In particular, the restriction must be:</w:t>
      </w:r>
    </w:p>
    <w:p w:rsidR="00022069" w:rsidRPr="00DA0F97" w:rsidRDefault="00022069" w:rsidP="0046778E">
      <w:pPr>
        <w:suppressAutoHyphens/>
        <w:spacing w:after="120" w:line="276" w:lineRule="auto"/>
        <w:ind w:left="720" w:right="720"/>
        <w:jc w:val="both"/>
        <w:rPr>
          <w:rFonts w:cstheme="minorHAnsi"/>
          <w:sz w:val="21"/>
          <w:szCs w:val="21"/>
        </w:rPr>
      </w:pPr>
      <w:r w:rsidRPr="00DA0F97">
        <w:rPr>
          <w:rFonts w:cstheme="minorHAnsi"/>
          <w:sz w:val="21"/>
          <w:szCs w:val="21"/>
        </w:rPr>
        <w:t>- Provided for by law;</w:t>
      </w:r>
    </w:p>
    <w:p w:rsidR="00022069" w:rsidRPr="00DA0F97" w:rsidRDefault="00022069" w:rsidP="0046778E">
      <w:pPr>
        <w:suppressAutoHyphens/>
        <w:spacing w:after="120" w:line="276" w:lineRule="auto"/>
        <w:ind w:left="720" w:right="720"/>
        <w:jc w:val="both"/>
        <w:rPr>
          <w:rFonts w:cstheme="minorHAnsi"/>
          <w:sz w:val="21"/>
          <w:szCs w:val="21"/>
        </w:rPr>
      </w:pPr>
      <w:r w:rsidRPr="00DA0F97">
        <w:rPr>
          <w:rFonts w:cstheme="minorHAnsi"/>
          <w:sz w:val="21"/>
          <w:szCs w:val="21"/>
        </w:rPr>
        <w:t>- Necessary and solely implemented to protect the lives and health of the affected population; and</w:t>
      </w:r>
    </w:p>
    <w:p w:rsidR="00022069" w:rsidRPr="00DA0F97" w:rsidRDefault="00022069" w:rsidP="0046778E">
      <w:pPr>
        <w:suppressAutoHyphens/>
        <w:spacing w:after="120" w:line="276" w:lineRule="auto"/>
        <w:ind w:left="720" w:right="720"/>
        <w:jc w:val="both"/>
        <w:rPr>
          <w:rFonts w:cstheme="minorHAnsi"/>
          <w:sz w:val="21"/>
          <w:szCs w:val="21"/>
        </w:rPr>
      </w:pPr>
      <w:r w:rsidRPr="00DA0F97">
        <w:rPr>
          <w:rFonts w:cstheme="minorHAnsi"/>
          <w:sz w:val="21"/>
          <w:szCs w:val="21"/>
        </w:rPr>
        <w:t>- Only imposed where the risks to lives and health could not be mitigated by other adaptation or less intrusive protective measures.</w:t>
      </w:r>
      <w:r w:rsidRPr="00DA0F97">
        <w:rPr>
          <w:rStyle w:val="FootnoteReference"/>
          <w:rFonts w:cstheme="minorHAnsi"/>
          <w:sz w:val="21"/>
          <w:szCs w:val="21"/>
        </w:rPr>
        <w:footnoteReference w:id="18"/>
      </w:r>
      <w:r w:rsidRPr="00DA0F97">
        <w:rPr>
          <w:rFonts w:cstheme="minorHAnsi"/>
          <w:sz w:val="21"/>
          <w:szCs w:val="21"/>
        </w:rPr>
        <w:t xml:space="preserve"> </w:t>
      </w:r>
    </w:p>
    <w:p w:rsidR="00022069" w:rsidRPr="00DA0F97" w:rsidRDefault="00022069" w:rsidP="0046778E">
      <w:pPr>
        <w:suppressAutoHyphens/>
        <w:spacing w:after="120" w:line="276" w:lineRule="auto"/>
        <w:jc w:val="both"/>
        <w:rPr>
          <w:rFonts w:cstheme="minorHAnsi"/>
          <w:sz w:val="21"/>
          <w:szCs w:val="21"/>
        </w:rPr>
      </w:pPr>
      <w:r w:rsidRPr="00DA0F97">
        <w:rPr>
          <w:rFonts w:cstheme="minorHAnsi"/>
          <w:sz w:val="21"/>
          <w:szCs w:val="21"/>
        </w:rPr>
        <w:t>Where these restrictions result in the voluntary or forced relocation of populations, specific international and national standards must be met, including:</w:t>
      </w:r>
    </w:p>
    <w:p w:rsidR="00022069" w:rsidRPr="00DA0F97" w:rsidRDefault="00022069" w:rsidP="0046778E">
      <w:pPr>
        <w:widowControl w:val="0"/>
        <w:autoSpaceDE w:val="0"/>
        <w:autoSpaceDN w:val="0"/>
        <w:adjustRightInd w:val="0"/>
        <w:spacing w:after="120" w:line="276" w:lineRule="auto"/>
        <w:ind w:left="720"/>
        <w:jc w:val="both"/>
        <w:rPr>
          <w:rFonts w:cstheme="minorHAnsi"/>
          <w:sz w:val="21"/>
          <w:szCs w:val="21"/>
        </w:rPr>
      </w:pPr>
      <w:r w:rsidRPr="00DA0F97">
        <w:rPr>
          <w:rFonts w:cstheme="minorHAnsi"/>
          <w:sz w:val="21"/>
          <w:szCs w:val="21"/>
        </w:rPr>
        <w:t>- Forced evictions and relocations should be a measure of last resort and should not render persons homeless or vulnerable to the violation of other rights;</w:t>
      </w:r>
      <w:r w:rsidRPr="00DA0F97">
        <w:rPr>
          <w:rStyle w:val="FootnoteReference"/>
          <w:rFonts w:cstheme="minorHAnsi"/>
          <w:sz w:val="21"/>
          <w:szCs w:val="21"/>
        </w:rPr>
        <w:footnoteReference w:id="19"/>
      </w:r>
    </w:p>
    <w:p w:rsidR="00022069" w:rsidRPr="00DA0F97" w:rsidRDefault="005E76CF" w:rsidP="0046778E">
      <w:pPr>
        <w:widowControl w:val="0"/>
        <w:autoSpaceDE w:val="0"/>
        <w:autoSpaceDN w:val="0"/>
        <w:adjustRightInd w:val="0"/>
        <w:spacing w:after="120" w:line="276" w:lineRule="auto"/>
        <w:ind w:left="720"/>
        <w:jc w:val="both"/>
        <w:rPr>
          <w:rFonts w:cstheme="minorHAnsi"/>
          <w:sz w:val="21"/>
          <w:szCs w:val="21"/>
        </w:rPr>
      </w:pPr>
      <w:r w:rsidRPr="00DA0F97">
        <w:rPr>
          <w:rFonts w:cstheme="minorHAnsi"/>
          <w:sz w:val="21"/>
          <w:szCs w:val="21"/>
        </w:rPr>
        <w:t xml:space="preserve">- </w:t>
      </w:r>
      <w:r w:rsidR="00022069" w:rsidRPr="00DA0F97">
        <w:rPr>
          <w:rFonts w:cstheme="minorHAnsi"/>
          <w:sz w:val="21"/>
          <w:szCs w:val="21"/>
        </w:rPr>
        <w:t>Affected populations must be provided with adequate information on the eviction/relocation process, the reasons for the decision and the future use of the land;</w:t>
      </w:r>
      <w:r w:rsidR="00022069" w:rsidRPr="00DA0F97">
        <w:rPr>
          <w:rStyle w:val="FootnoteReference"/>
          <w:rFonts w:cstheme="minorHAnsi"/>
          <w:sz w:val="21"/>
          <w:szCs w:val="21"/>
        </w:rPr>
        <w:footnoteReference w:id="20"/>
      </w:r>
    </w:p>
    <w:p w:rsidR="00022069" w:rsidRPr="00DA0F97" w:rsidRDefault="00022069" w:rsidP="00AA0E90">
      <w:pPr>
        <w:suppressAutoHyphens/>
        <w:spacing w:after="120" w:line="276" w:lineRule="auto"/>
        <w:ind w:left="720"/>
        <w:jc w:val="both"/>
        <w:rPr>
          <w:rFonts w:cstheme="minorHAnsi"/>
          <w:sz w:val="21"/>
          <w:szCs w:val="21"/>
        </w:rPr>
      </w:pPr>
      <w:r w:rsidRPr="00DA0F97">
        <w:rPr>
          <w:rFonts w:cstheme="minorHAnsi"/>
          <w:sz w:val="21"/>
          <w:szCs w:val="21"/>
        </w:rPr>
        <w:t xml:space="preserve">- Affected persons must be genuinely consulted during all phases of the relocation, including the choice of site and the construction of housing, services and livelihoods; </w:t>
      </w:r>
      <w:r w:rsidR="00B224C9">
        <w:rPr>
          <w:rFonts w:cstheme="minorHAnsi"/>
          <w:sz w:val="21"/>
          <w:szCs w:val="21"/>
        </w:rPr>
        <w:t>this con</w:t>
      </w:r>
      <w:proofErr w:type="spellStart"/>
      <w:r w:rsidRPr="00DA0F97">
        <w:rPr>
          <w:rFonts w:cstheme="minorHAnsi"/>
          <w:sz w:val="21"/>
          <w:szCs w:val="21"/>
          <w:lang w:val="en-GB"/>
        </w:rPr>
        <w:t>sultation</w:t>
      </w:r>
      <w:proofErr w:type="spellEnd"/>
      <w:r w:rsidRPr="00DA0F97">
        <w:rPr>
          <w:rFonts w:cstheme="minorHAnsi"/>
          <w:sz w:val="21"/>
          <w:szCs w:val="21"/>
          <w:lang w:val="en-GB"/>
        </w:rPr>
        <w:t xml:space="preserve"> should include vulnerable and marginalised groups;</w:t>
      </w:r>
    </w:p>
    <w:p w:rsidR="00022069" w:rsidRPr="00DA0F97" w:rsidRDefault="00022069" w:rsidP="0046778E">
      <w:pPr>
        <w:widowControl w:val="0"/>
        <w:autoSpaceDE w:val="0"/>
        <w:autoSpaceDN w:val="0"/>
        <w:adjustRightInd w:val="0"/>
        <w:spacing w:after="120" w:line="276" w:lineRule="auto"/>
        <w:ind w:left="720"/>
        <w:jc w:val="both"/>
        <w:rPr>
          <w:rFonts w:cstheme="minorHAnsi"/>
          <w:sz w:val="21"/>
          <w:szCs w:val="21"/>
        </w:rPr>
      </w:pPr>
      <w:r w:rsidRPr="00DA0F97">
        <w:rPr>
          <w:rFonts w:cstheme="minorHAnsi"/>
          <w:sz w:val="21"/>
          <w:szCs w:val="21"/>
        </w:rPr>
        <w:t>- Adequate and reasonable notice must be given prior to the date of eviction/relocation;</w:t>
      </w:r>
    </w:p>
    <w:p w:rsidR="00022069" w:rsidRPr="00DA0F97" w:rsidRDefault="00022069" w:rsidP="0046778E">
      <w:pPr>
        <w:suppressAutoHyphens/>
        <w:spacing w:after="120" w:line="276" w:lineRule="auto"/>
        <w:ind w:left="720"/>
        <w:jc w:val="both"/>
        <w:rPr>
          <w:rFonts w:cstheme="minorHAnsi"/>
          <w:sz w:val="21"/>
          <w:szCs w:val="21"/>
        </w:rPr>
      </w:pPr>
      <w:r w:rsidRPr="00DA0F97">
        <w:rPr>
          <w:rFonts w:cstheme="minorHAnsi"/>
          <w:sz w:val="21"/>
          <w:szCs w:val="21"/>
        </w:rPr>
        <w:lastRenderedPageBreak/>
        <w:t>- Legal remedies that respect due process guarantees should be provided, including the right to be heard and the right of access to an independent court or tribunal, as well as to just compensation.</w:t>
      </w:r>
      <w:r w:rsidRPr="00DA0F97">
        <w:rPr>
          <w:rStyle w:val="FootnoteReference"/>
          <w:rFonts w:cstheme="minorHAnsi"/>
          <w:sz w:val="21"/>
          <w:szCs w:val="21"/>
        </w:rPr>
        <w:footnoteReference w:id="21"/>
      </w:r>
    </w:p>
    <w:p w:rsidR="00022069" w:rsidRPr="00DA0F97" w:rsidRDefault="00022069" w:rsidP="0046778E">
      <w:pPr>
        <w:spacing w:after="120" w:line="276" w:lineRule="auto"/>
        <w:jc w:val="both"/>
        <w:rPr>
          <w:rFonts w:cstheme="minorHAnsi"/>
          <w:sz w:val="21"/>
          <w:szCs w:val="21"/>
        </w:rPr>
      </w:pPr>
      <w:r w:rsidRPr="00DA0F97">
        <w:rPr>
          <w:rFonts w:cstheme="minorHAnsi"/>
          <w:sz w:val="21"/>
          <w:szCs w:val="21"/>
        </w:rPr>
        <w:t>These protections apply to all affected persons, irrespective of their tenure status.</w:t>
      </w:r>
    </w:p>
    <w:p w:rsidR="00022069" w:rsidRPr="00DA0F97" w:rsidRDefault="00022069" w:rsidP="0046778E">
      <w:pPr>
        <w:suppressAutoHyphens/>
        <w:spacing w:after="120" w:line="276" w:lineRule="auto"/>
        <w:jc w:val="both"/>
        <w:rPr>
          <w:rFonts w:cstheme="minorHAnsi"/>
          <w:sz w:val="21"/>
          <w:szCs w:val="21"/>
        </w:rPr>
      </w:pPr>
      <w:r w:rsidRPr="00DA0F97">
        <w:rPr>
          <w:rFonts w:cstheme="minorHAnsi"/>
          <w:sz w:val="21"/>
          <w:szCs w:val="21"/>
        </w:rPr>
        <w:t>It must also be ensured that conditions at the site of relocation are adequate under national and international standards, including</w:t>
      </w:r>
    </w:p>
    <w:p w:rsidR="00022069" w:rsidRPr="00DA0F97" w:rsidRDefault="00022069" w:rsidP="0046778E">
      <w:pPr>
        <w:suppressAutoHyphens/>
        <w:spacing w:after="120" w:line="276" w:lineRule="auto"/>
        <w:ind w:left="720"/>
        <w:jc w:val="both"/>
        <w:rPr>
          <w:rFonts w:cstheme="minorHAnsi"/>
          <w:sz w:val="21"/>
          <w:szCs w:val="21"/>
        </w:rPr>
      </w:pPr>
      <w:r w:rsidRPr="00DA0F97">
        <w:rPr>
          <w:rFonts w:cstheme="minorHAnsi"/>
          <w:sz w:val="21"/>
          <w:szCs w:val="21"/>
        </w:rPr>
        <w:t>- The proposed relocation sites are not exposed to secondary impacts of the disaster and are safe from recurrent disasters; and</w:t>
      </w:r>
    </w:p>
    <w:p w:rsidR="00022069" w:rsidRPr="00DA0F97" w:rsidRDefault="00022069" w:rsidP="00AA0E90">
      <w:pPr>
        <w:suppressAutoHyphens/>
        <w:spacing w:after="120" w:line="276" w:lineRule="auto"/>
        <w:ind w:left="720"/>
        <w:jc w:val="both"/>
        <w:rPr>
          <w:rFonts w:cstheme="minorHAnsi"/>
          <w:sz w:val="21"/>
          <w:szCs w:val="21"/>
        </w:rPr>
      </w:pPr>
      <w:r w:rsidRPr="00DA0F97">
        <w:rPr>
          <w:rFonts w:cstheme="minorHAnsi"/>
          <w:sz w:val="21"/>
          <w:szCs w:val="21"/>
        </w:rPr>
        <w:t>- Affected persons have access to adequate housing, WASH, health services and education and livelihoods without discrimination.</w:t>
      </w:r>
    </w:p>
    <w:p w:rsidR="00AA0E90" w:rsidRPr="00DA0F97" w:rsidRDefault="00AA0E90" w:rsidP="00AD5C9E">
      <w:pPr>
        <w:spacing w:after="120" w:line="276" w:lineRule="auto"/>
        <w:jc w:val="both"/>
        <w:rPr>
          <w:rFonts w:cstheme="minorHAnsi"/>
          <w:bCs/>
          <w:iCs/>
          <w:sz w:val="21"/>
          <w:szCs w:val="21"/>
        </w:rPr>
      </w:pPr>
      <w:r w:rsidRPr="00DA0F97">
        <w:rPr>
          <w:rFonts w:cstheme="minorHAnsi"/>
          <w:bCs/>
          <w:iCs/>
          <w:sz w:val="21"/>
          <w:szCs w:val="21"/>
        </w:rPr>
        <w:t>For any further information on HLP principles for Shelter Partners, please contact</w:t>
      </w:r>
      <w:r w:rsidR="008B765F" w:rsidRPr="00DA0F97">
        <w:rPr>
          <w:rFonts w:cstheme="minorHAnsi"/>
          <w:bCs/>
          <w:iCs/>
          <w:sz w:val="21"/>
          <w:szCs w:val="21"/>
        </w:rPr>
        <w:t>:</w:t>
      </w:r>
      <w:r w:rsidR="00AD5C9E">
        <w:rPr>
          <w:rFonts w:cstheme="minorHAnsi"/>
          <w:bCs/>
          <w:iCs/>
          <w:sz w:val="21"/>
          <w:szCs w:val="21"/>
        </w:rPr>
        <w:t xml:space="preserve"> </w:t>
      </w:r>
      <w:r w:rsidR="00B224C9">
        <w:rPr>
          <w:rFonts w:cstheme="minorHAnsi"/>
          <w:bCs/>
          <w:iCs/>
          <w:sz w:val="21"/>
          <w:szCs w:val="21"/>
        </w:rPr>
        <w:t xml:space="preserve">Victoria Stodart at </w:t>
      </w:r>
      <w:hyperlink r:id="rId9" w:history="1">
        <w:r w:rsidR="00B224C9" w:rsidRPr="00F14646">
          <w:rPr>
            <w:rStyle w:val="Hyperlink"/>
            <w:rFonts w:cstheme="minorHAnsi"/>
            <w:bCs/>
            <w:iCs/>
            <w:sz w:val="21"/>
            <w:szCs w:val="21"/>
          </w:rPr>
          <w:t>victoria.stodart@ifrc.org</w:t>
        </w:r>
      </w:hyperlink>
      <w:r w:rsidR="00B224C9">
        <w:rPr>
          <w:rFonts w:cstheme="minorHAnsi"/>
          <w:bCs/>
          <w:iCs/>
          <w:sz w:val="21"/>
          <w:szCs w:val="21"/>
        </w:rPr>
        <w:t xml:space="preserve"> </w:t>
      </w:r>
    </w:p>
    <w:p w:rsidR="008B765F" w:rsidRPr="00DA0F97" w:rsidRDefault="008B765F" w:rsidP="008B765F">
      <w:pPr>
        <w:spacing w:after="120" w:line="276" w:lineRule="auto"/>
        <w:jc w:val="both"/>
        <w:rPr>
          <w:rFonts w:cstheme="minorHAnsi"/>
          <w:bCs/>
          <w:iCs/>
          <w:sz w:val="21"/>
          <w:szCs w:val="21"/>
        </w:rPr>
      </w:pPr>
    </w:p>
    <w:sectPr w:rsidR="008B765F" w:rsidRPr="00DA0F97" w:rsidSect="00534C3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6F" w:rsidRDefault="00CE126F" w:rsidP="00584F10">
      <w:r>
        <w:separator/>
      </w:r>
    </w:p>
  </w:endnote>
  <w:endnote w:type="continuationSeparator" w:id="0">
    <w:p w:rsidR="00CE126F" w:rsidRDefault="00CE126F"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koola Pota">
    <w:altName w:val="Didot"/>
    <w:panose1 w:val="020B0502040204020203"/>
    <w:charset w:val="00"/>
    <w:family w:val="swiss"/>
    <w:pitch w:val="variable"/>
    <w:sig w:usb0="00000003" w:usb1="00000000" w:usb2="000002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90" w:rsidRPr="00B2499F" w:rsidRDefault="00AA0E90" w:rsidP="00913C21">
    <w:pPr>
      <w:pStyle w:val="Footer"/>
      <w:rPr>
        <w:color w:val="7F1416"/>
        <w:sz w:val="18"/>
        <w:szCs w:val="18"/>
      </w:rPr>
    </w:pPr>
    <w:r>
      <w:rPr>
        <w:noProof/>
        <w:color w:val="7F1416"/>
        <w:sz w:val="18"/>
        <w:szCs w:val="18"/>
        <w:lang w:val="en-GB" w:eastAsia="en-GB"/>
      </w:rPr>
      <mc:AlternateContent>
        <mc:Choice Requires="wps">
          <w:drawing>
            <wp:anchor distT="4294967295" distB="4294967295" distL="114300" distR="114300" simplePos="0" relativeHeight="251659264" behindDoc="0" locked="0" layoutInCell="1" allowOverlap="1" wp14:anchorId="4AAE0102" wp14:editId="10699327">
              <wp:simplePos x="0" y="0"/>
              <wp:positionH relativeFrom="margin">
                <wp:align>center</wp:align>
              </wp:positionH>
              <wp:positionV relativeFrom="paragraph">
                <wp:posOffset>-51436</wp:posOffset>
              </wp:positionV>
              <wp:extent cx="5760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id="Straight Connector 4"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3367A5">
      <w:rPr>
        <w:noProof/>
        <w:color w:val="7F1416"/>
        <w:sz w:val="18"/>
        <w:szCs w:val="18"/>
      </w:rPr>
      <w:t>1</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6F" w:rsidRDefault="00CE126F" w:rsidP="00584F10">
      <w:r>
        <w:separator/>
      </w:r>
    </w:p>
  </w:footnote>
  <w:footnote w:type="continuationSeparator" w:id="0">
    <w:p w:rsidR="00CE126F" w:rsidRDefault="00CE126F" w:rsidP="00584F10">
      <w:r>
        <w:continuationSeparator/>
      </w:r>
    </w:p>
  </w:footnote>
  <w:footnote w:id="1">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See Inter-Agency Standing Committee, </w:t>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xml:space="preserve">, January 2011, p2; Special Rapporteur on Adequate Housing, </w:t>
      </w:r>
      <w:r w:rsidRPr="00AA0E90">
        <w:rPr>
          <w:rFonts w:ascii="Calibri" w:hAnsi="Calibri" w:cstheme="minorHAnsi"/>
          <w:i/>
          <w:sz w:val="18"/>
          <w:szCs w:val="18"/>
        </w:rPr>
        <w:t>Report to the Human Rights Council</w:t>
      </w:r>
      <w:r w:rsidRPr="00AA0E90">
        <w:rPr>
          <w:rFonts w:ascii="Calibri" w:hAnsi="Calibri" w:cstheme="minorHAnsi"/>
          <w:sz w:val="18"/>
          <w:szCs w:val="18"/>
        </w:rPr>
        <w:t xml:space="preserve">, Sixteenth Session, UN Doc. A/HRC/16/42, 20 December 2010, p3 and Special Rapporteur on the Adequate Housing, </w:t>
      </w:r>
      <w:r w:rsidRPr="00AA0E90">
        <w:rPr>
          <w:rFonts w:ascii="Calibri" w:hAnsi="Calibri" w:cstheme="minorHAnsi"/>
          <w:i/>
          <w:sz w:val="18"/>
          <w:szCs w:val="18"/>
        </w:rPr>
        <w:t>Report to the General Assembly</w:t>
      </w:r>
      <w:r w:rsidRPr="00AA0E90">
        <w:rPr>
          <w:rFonts w:ascii="Calibri" w:hAnsi="Calibri" w:cstheme="minorHAnsi"/>
          <w:sz w:val="18"/>
          <w:szCs w:val="18"/>
        </w:rPr>
        <w:t>, Sixty-Sixth Session, UN Doc. A/66/270, 5 August 2011, p4.</w:t>
      </w:r>
    </w:p>
  </w:footnote>
  <w:footnote w:id="2">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Article 25(1) of the </w:t>
      </w:r>
      <w:r w:rsidRPr="00AA0E90">
        <w:rPr>
          <w:rFonts w:ascii="Calibri" w:hAnsi="Calibri" w:cstheme="minorHAnsi"/>
          <w:i/>
          <w:sz w:val="18"/>
          <w:szCs w:val="18"/>
        </w:rPr>
        <w:t>Universal Declaration on Human Rights</w:t>
      </w:r>
      <w:r w:rsidRPr="00AA0E90">
        <w:rPr>
          <w:rFonts w:ascii="Calibri" w:hAnsi="Calibri" w:cstheme="minorHAnsi"/>
          <w:sz w:val="18"/>
          <w:szCs w:val="18"/>
        </w:rPr>
        <w:t xml:space="preserve">. </w:t>
      </w:r>
    </w:p>
  </w:footnote>
  <w:footnote w:id="3">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Article 14 (2) (h) of the </w:t>
      </w:r>
      <w:r w:rsidRPr="00AA0E90">
        <w:rPr>
          <w:rFonts w:ascii="Calibri" w:hAnsi="Calibri" w:cstheme="minorHAnsi"/>
          <w:i/>
          <w:sz w:val="18"/>
          <w:szCs w:val="18"/>
        </w:rPr>
        <w:t>Convention on the Elimination of All Forms of Discrimination Against Women</w:t>
      </w:r>
      <w:r w:rsidRPr="00AA0E90">
        <w:rPr>
          <w:rFonts w:ascii="Calibri" w:hAnsi="Calibri" w:cstheme="minorHAnsi"/>
          <w:sz w:val="18"/>
          <w:szCs w:val="18"/>
        </w:rPr>
        <w:t>.</w:t>
      </w:r>
    </w:p>
  </w:footnote>
  <w:footnote w:id="4">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Article 27 (3) of the </w:t>
      </w:r>
      <w:r w:rsidRPr="00AA0E90">
        <w:rPr>
          <w:rFonts w:ascii="Calibri" w:hAnsi="Calibri" w:cstheme="minorHAnsi"/>
          <w:i/>
          <w:sz w:val="18"/>
          <w:szCs w:val="18"/>
        </w:rPr>
        <w:t>Convention on the Rights of the Child</w:t>
      </w:r>
      <w:r w:rsidRPr="00AA0E90">
        <w:rPr>
          <w:rFonts w:ascii="Calibri" w:hAnsi="Calibri" w:cstheme="minorHAnsi"/>
          <w:sz w:val="18"/>
          <w:szCs w:val="18"/>
        </w:rPr>
        <w:t xml:space="preserve">. </w:t>
      </w:r>
    </w:p>
  </w:footnote>
  <w:footnote w:id="5">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Article 28 (1) of the </w:t>
      </w:r>
      <w:r w:rsidRPr="00AA0E90">
        <w:rPr>
          <w:rFonts w:ascii="Calibri" w:hAnsi="Calibri" w:cstheme="minorHAnsi"/>
          <w:i/>
          <w:sz w:val="18"/>
          <w:szCs w:val="18"/>
        </w:rPr>
        <w:t>Convention on the Rights of Persons with Disabilities</w:t>
      </w:r>
      <w:r w:rsidRPr="00AA0E90">
        <w:rPr>
          <w:rFonts w:ascii="Calibri" w:hAnsi="Calibri" w:cstheme="minorHAnsi"/>
          <w:sz w:val="18"/>
          <w:szCs w:val="18"/>
        </w:rPr>
        <w:t xml:space="preserve">. </w:t>
      </w:r>
    </w:p>
  </w:footnote>
  <w:footnote w:id="6">
    <w:p w:rsidR="004A27B9" w:rsidRPr="004A27B9" w:rsidRDefault="004A27B9">
      <w:pPr>
        <w:pStyle w:val="FootnoteText"/>
      </w:pPr>
      <w:r>
        <w:rPr>
          <w:rStyle w:val="FootnoteReference"/>
        </w:rPr>
        <w:footnoteRef/>
      </w:r>
      <w:r>
        <w:t xml:space="preserve"> </w:t>
      </w:r>
      <w:hyperlink r:id="rId1" w:history="1">
        <w:r w:rsidRPr="00C61AAC">
          <w:rPr>
            <w:rStyle w:val="Hyperlink"/>
          </w:rPr>
          <w:t>https://parliament.gov.vu/images/pdf/constitution.pdf</w:t>
        </w:r>
      </w:hyperlink>
      <w:r>
        <w:t xml:space="preserve"> </w:t>
      </w:r>
    </w:p>
  </w:footnote>
  <w:footnote w:id="7">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UN Economic and Social Council (ECOSOC), </w:t>
      </w:r>
      <w:r w:rsidRPr="00AA0E90">
        <w:rPr>
          <w:rFonts w:ascii="Calibri" w:hAnsi="Calibri" w:cstheme="minorHAnsi"/>
          <w:i/>
          <w:sz w:val="18"/>
          <w:szCs w:val="18"/>
        </w:rPr>
        <w:t>Guiding Principles on Internal Displacement</w:t>
      </w:r>
      <w:r w:rsidRPr="00AA0E90">
        <w:rPr>
          <w:rFonts w:ascii="Calibri" w:hAnsi="Calibri" w:cstheme="minorHAnsi"/>
          <w:sz w:val="18"/>
          <w:szCs w:val="18"/>
        </w:rPr>
        <w:t>, 22 July 1998, E/CN.4/1998/53/Add.2.</w:t>
      </w:r>
    </w:p>
  </w:footnote>
  <w:footnote w:id="8">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UN Sub-Commission on the Promotion and Protection of Human Rights, </w:t>
      </w:r>
      <w:r w:rsidRPr="00AA0E90">
        <w:rPr>
          <w:rFonts w:ascii="Calibri" w:hAnsi="Calibri" w:cstheme="minorHAnsi"/>
          <w:i/>
          <w:sz w:val="18"/>
          <w:szCs w:val="18"/>
        </w:rPr>
        <w:t>Principles on Housing and Property Restitution for Refugees and Displaced Persons</w:t>
      </w:r>
      <w:r w:rsidRPr="00AA0E90">
        <w:rPr>
          <w:rFonts w:ascii="Calibri" w:hAnsi="Calibri" w:cstheme="minorHAnsi"/>
          <w:sz w:val="18"/>
          <w:szCs w:val="18"/>
        </w:rPr>
        <w:t>, 28 June 2005, E/CN.4/Sub.2/2005/17.</w:t>
      </w:r>
    </w:p>
  </w:footnote>
  <w:footnote w:id="9">
    <w:p w:rsidR="00AA0E90" w:rsidRPr="00AA0E90" w:rsidRDefault="00AA0E90" w:rsidP="00AD5C9E">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Principle 3 of the </w:t>
      </w:r>
      <w:r w:rsidRPr="00AA0E90">
        <w:rPr>
          <w:rFonts w:ascii="Calibri" w:hAnsi="Calibri" w:cstheme="minorHAnsi"/>
          <w:i/>
          <w:sz w:val="18"/>
          <w:szCs w:val="18"/>
        </w:rPr>
        <w:t>Guiding Principles on Internal Displacement</w:t>
      </w:r>
      <w:r w:rsidRPr="00AA0E90">
        <w:rPr>
          <w:rFonts w:ascii="Calibri" w:hAnsi="Calibri" w:cstheme="minorHAnsi"/>
          <w:sz w:val="18"/>
          <w:szCs w:val="18"/>
        </w:rPr>
        <w:t xml:space="preserve">; </w:t>
      </w:r>
    </w:p>
  </w:footnote>
  <w:footnote w:id="10">
    <w:p w:rsidR="00AA0E90" w:rsidRPr="00AA0E90" w:rsidRDefault="00AA0E90" w:rsidP="002706B7">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General Principle III, IASC, </w:t>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p3.</w:t>
      </w:r>
    </w:p>
  </w:footnote>
  <w:footnote w:id="11">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General Principle III, IASC, p3.</w:t>
      </w:r>
    </w:p>
  </w:footnote>
  <w:footnote w:id="12">
    <w:p w:rsidR="00AA0E90" w:rsidRPr="00AA0E90" w:rsidRDefault="00AA0E90" w:rsidP="00022069">
      <w:pPr>
        <w:pStyle w:val="FootnoteText"/>
        <w:contextualSpacing/>
        <w:rPr>
          <w:rFonts w:ascii="Calibri" w:hAnsi="Calibr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UN Committee on Economic, Social and Cultural Rights (CESCR), </w:t>
      </w:r>
      <w:r w:rsidRPr="00AA0E90">
        <w:rPr>
          <w:rFonts w:ascii="Calibri" w:hAnsi="Calibri" w:cstheme="minorHAnsi"/>
          <w:i/>
          <w:sz w:val="18"/>
          <w:szCs w:val="18"/>
        </w:rPr>
        <w:t>General Comment No. 4: The Right to Adequate Housing (Art. 11 (1) of the Covenant)</w:t>
      </w:r>
      <w:r w:rsidRPr="00AA0E90">
        <w:rPr>
          <w:rFonts w:ascii="Calibri" w:hAnsi="Calibri" w:cstheme="minorHAnsi"/>
          <w:sz w:val="18"/>
          <w:szCs w:val="18"/>
        </w:rPr>
        <w:t>, 13 December 1991, E/1992/23, para 7.</w:t>
      </w:r>
    </w:p>
  </w:footnote>
  <w:footnote w:id="13">
    <w:p w:rsidR="00AA0E90" w:rsidRPr="00AA0E90" w:rsidRDefault="00AA0E90" w:rsidP="00022069">
      <w:pPr>
        <w:pStyle w:val="FootnoteText"/>
        <w:contextualSpacing/>
        <w:rPr>
          <w:rFonts w:ascii="Calibri" w:hAnsi="Calibri" w:cstheme="minorHAnsi"/>
          <w:sz w:val="18"/>
          <w:szCs w:val="18"/>
        </w:rPr>
      </w:pPr>
      <w:r w:rsidRPr="00AA0E90">
        <w:rPr>
          <w:rStyle w:val="FootnoteReference"/>
          <w:rFonts w:ascii="Calibri" w:hAnsi="Calibri"/>
          <w:sz w:val="18"/>
          <w:szCs w:val="18"/>
        </w:rPr>
        <w:footnoteRef/>
      </w:r>
      <w:r w:rsidRPr="00AA0E90">
        <w:rPr>
          <w:rFonts w:ascii="Calibri" w:hAnsi="Calibri"/>
          <w:sz w:val="18"/>
          <w:szCs w:val="18"/>
        </w:rPr>
        <w:t xml:space="preserve"> </w:t>
      </w:r>
      <w:r w:rsidRPr="00AA0E90">
        <w:rPr>
          <w:rFonts w:ascii="Calibri" w:hAnsi="Calibri" w:cstheme="minorHAnsi"/>
          <w:sz w:val="18"/>
          <w:szCs w:val="18"/>
        </w:rPr>
        <w:t xml:space="preserve">Inter-Agency Standing Committee, </w:t>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C.3.2, January 2011.</w:t>
      </w:r>
    </w:p>
  </w:footnote>
  <w:footnote w:id="14">
    <w:p w:rsidR="00AA0E90" w:rsidRPr="00AA0E90" w:rsidRDefault="00AA0E90" w:rsidP="00022069">
      <w:pPr>
        <w:pStyle w:val="FootnoteText"/>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See </w:t>
      </w:r>
      <w:r w:rsidRPr="00AA0E90">
        <w:rPr>
          <w:rFonts w:ascii="Calibri" w:hAnsi="Calibri" w:cstheme="minorHAnsi"/>
          <w:i/>
          <w:sz w:val="18"/>
          <w:szCs w:val="18"/>
        </w:rPr>
        <w:t>IASC Operational Guidelines on the Protection of persons in Situations of Natural Disaster</w:t>
      </w:r>
      <w:r w:rsidRPr="00AA0E90">
        <w:rPr>
          <w:rFonts w:ascii="Calibri" w:hAnsi="Calibri" w:cstheme="minorHAnsi"/>
          <w:sz w:val="18"/>
          <w:szCs w:val="18"/>
        </w:rPr>
        <w:t xml:space="preserve">, January 2011, C.2.3, p41; </w:t>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C.3.3, p28; and The IASC Principals’ Commitments on Accountability to Affected Populations, 2011.</w:t>
      </w:r>
    </w:p>
  </w:footnote>
  <w:footnote w:id="15">
    <w:p w:rsidR="00AA0E90" w:rsidRPr="00AA0E90" w:rsidRDefault="00AA0E90" w:rsidP="00022069">
      <w:pPr>
        <w:pStyle w:val="FootnoteText"/>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w:t>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C.3.3, p28.</w:t>
      </w:r>
    </w:p>
  </w:footnote>
  <w:footnote w:id="16">
    <w:p w:rsidR="00AA0E90" w:rsidRPr="00AA0E90" w:rsidRDefault="00AA0E90" w:rsidP="00022069">
      <w:pPr>
        <w:pStyle w:val="FootnoteText"/>
        <w:rPr>
          <w:rFonts w:ascii="Calibri" w:hAnsi="Calibri" w:cstheme="minorHAns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w:t>
      </w:r>
      <w:r w:rsidRPr="00AA0E90">
        <w:rPr>
          <w:rFonts w:ascii="Calibri" w:hAnsi="Calibri" w:cstheme="minorHAnsi"/>
          <w:i/>
          <w:sz w:val="18"/>
          <w:szCs w:val="18"/>
        </w:rPr>
        <w:t>Human Rights and Natural Disasters. Operational Guidelines and Field Manual on Human Rights Protection in Situations of Natural Disaster</w:t>
      </w:r>
      <w:r w:rsidRPr="00AA0E90">
        <w:rPr>
          <w:rFonts w:ascii="Calibri" w:hAnsi="Calibri" w:cstheme="minorHAnsi"/>
          <w:sz w:val="18"/>
          <w:szCs w:val="18"/>
        </w:rPr>
        <w:t>, C.3.3, p28.</w:t>
      </w:r>
    </w:p>
  </w:footnote>
  <w:footnote w:id="17">
    <w:p w:rsidR="00AA0E90" w:rsidRPr="00AA0E90" w:rsidRDefault="00AA0E90" w:rsidP="00022069">
      <w:pPr>
        <w:pStyle w:val="FootnoteText"/>
        <w:rPr>
          <w:rFonts w:ascii="Calibri" w:hAnsi="Calibri"/>
          <w:sz w:val="18"/>
          <w:szCs w:val="18"/>
        </w:rPr>
      </w:pPr>
      <w:r w:rsidRPr="00AA0E90">
        <w:rPr>
          <w:rStyle w:val="FootnoteReference"/>
          <w:rFonts w:ascii="Calibri" w:hAnsi="Calibri" w:cstheme="minorHAnsi"/>
          <w:sz w:val="18"/>
          <w:szCs w:val="18"/>
        </w:rPr>
        <w:footnoteRef/>
      </w:r>
      <w:r w:rsidRPr="00AA0E90">
        <w:rPr>
          <w:rFonts w:ascii="Calibri" w:hAnsi="Calibri" w:cstheme="minorHAnsi"/>
          <w:sz w:val="18"/>
          <w:szCs w:val="18"/>
        </w:rPr>
        <w:t xml:space="preserve"> Principle 28 of the </w:t>
      </w:r>
      <w:r w:rsidRPr="00AA0E90">
        <w:rPr>
          <w:rFonts w:ascii="Calibri" w:hAnsi="Calibri" w:cstheme="minorHAnsi"/>
          <w:i/>
          <w:sz w:val="18"/>
          <w:szCs w:val="18"/>
        </w:rPr>
        <w:t>Guiding Principles on Internal Displacement</w:t>
      </w:r>
      <w:r w:rsidRPr="00AA0E90">
        <w:rPr>
          <w:rFonts w:ascii="Calibri" w:hAnsi="Calibri" w:cstheme="minorHAnsi"/>
          <w:sz w:val="18"/>
          <w:szCs w:val="18"/>
        </w:rPr>
        <w:t>, 1998.</w:t>
      </w:r>
    </w:p>
  </w:footnote>
  <w:footnote w:id="18">
    <w:p w:rsidR="00AA0E90" w:rsidRPr="00AA0E90" w:rsidRDefault="00AA0E90" w:rsidP="00022069">
      <w:pPr>
        <w:pStyle w:val="FootnoteText"/>
        <w:contextualSpacing/>
        <w:rPr>
          <w:rFonts w:ascii="Calibri" w:hAnsi="Calibri" w:cs="Calibri"/>
          <w:sz w:val="18"/>
          <w:szCs w:val="18"/>
        </w:rPr>
      </w:pPr>
      <w:r w:rsidRPr="00AA0E90">
        <w:rPr>
          <w:rStyle w:val="FootnoteReference"/>
          <w:rFonts w:ascii="Calibri" w:hAnsi="Calibri" w:cs="Calibri"/>
          <w:sz w:val="18"/>
          <w:szCs w:val="18"/>
        </w:rPr>
        <w:footnoteRef/>
      </w:r>
      <w:r w:rsidRPr="00AA0E90">
        <w:rPr>
          <w:rFonts w:ascii="Calibri" w:hAnsi="Calibri" w:cs="Calibri"/>
          <w:sz w:val="18"/>
          <w:szCs w:val="18"/>
        </w:rPr>
        <w:t xml:space="preserve"> </w:t>
      </w:r>
      <w:r w:rsidRPr="00AA0E90">
        <w:rPr>
          <w:rFonts w:ascii="Calibri" w:hAnsi="Calibri" w:cs="Calibri"/>
          <w:i/>
          <w:sz w:val="18"/>
          <w:szCs w:val="18"/>
        </w:rPr>
        <w:t>Human Rights and Natural Disasters. Operational Guidelines and Field Manual on Human Rights Protection in Situations of Natural Disaster</w:t>
      </w:r>
      <w:r w:rsidRPr="00AA0E90">
        <w:rPr>
          <w:rFonts w:ascii="Calibri" w:hAnsi="Calibri" w:cs="Calibri"/>
          <w:sz w:val="18"/>
          <w:szCs w:val="18"/>
        </w:rPr>
        <w:t xml:space="preserve">, C.2.9. p27 and </w:t>
      </w:r>
      <w:r w:rsidRPr="00AA0E90">
        <w:rPr>
          <w:rFonts w:ascii="Calibri" w:hAnsi="Calibri" w:cs="Calibri"/>
          <w:i/>
          <w:sz w:val="18"/>
          <w:szCs w:val="18"/>
        </w:rPr>
        <w:t>IASC Operational Guidelines on the Protection of persons in Situations of Natural Disaster</w:t>
      </w:r>
      <w:r>
        <w:rPr>
          <w:rFonts w:ascii="Calibri" w:hAnsi="Calibri" w:cs="Calibri"/>
          <w:sz w:val="18"/>
          <w:szCs w:val="18"/>
        </w:rPr>
        <w:t>, January 2011, D.2.4, p48.</w:t>
      </w:r>
    </w:p>
  </w:footnote>
  <w:footnote w:id="19">
    <w:p w:rsidR="00AA0E90" w:rsidRPr="00AA0E90" w:rsidRDefault="00AA0E90" w:rsidP="00022069">
      <w:pPr>
        <w:pStyle w:val="FootnoteText"/>
        <w:rPr>
          <w:rFonts w:ascii="Calibri" w:hAnsi="Calibri" w:cs="Calibri"/>
          <w:sz w:val="18"/>
          <w:szCs w:val="18"/>
        </w:rPr>
      </w:pPr>
      <w:r w:rsidRPr="00AA0E90">
        <w:rPr>
          <w:rStyle w:val="FootnoteReference"/>
          <w:rFonts w:ascii="Calibri" w:hAnsi="Calibri" w:cs="Calibri"/>
          <w:sz w:val="18"/>
          <w:szCs w:val="18"/>
        </w:rPr>
        <w:footnoteRef/>
      </w:r>
      <w:r w:rsidRPr="00AA0E90">
        <w:rPr>
          <w:rFonts w:ascii="Calibri" w:hAnsi="Calibri" w:cs="Calibri"/>
          <w:sz w:val="18"/>
          <w:szCs w:val="18"/>
        </w:rPr>
        <w:t xml:space="preserve"> </w:t>
      </w:r>
      <w:r w:rsidRPr="00AA0E90">
        <w:rPr>
          <w:rFonts w:ascii="Calibri" w:hAnsi="Calibri" w:cs="Calibri"/>
          <w:i/>
          <w:sz w:val="18"/>
          <w:szCs w:val="18"/>
        </w:rPr>
        <w:t>IASC Operational Guidelines on the Protection of persons in Situations of Natural Disaster</w:t>
      </w:r>
      <w:r w:rsidRPr="00AA0E90">
        <w:rPr>
          <w:rFonts w:ascii="Calibri" w:hAnsi="Calibri" w:cs="Calibri"/>
          <w:sz w:val="18"/>
          <w:szCs w:val="18"/>
        </w:rPr>
        <w:t>, January 2011, C.2.5, p42</w:t>
      </w:r>
    </w:p>
  </w:footnote>
  <w:footnote w:id="20">
    <w:p w:rsidR="00AA0E90" w:rsidRPr="00AA0E90" w:rsidRDefault="00AA0E90" w:rsidP="00022069">
      <w:pPr>
        <w:pStyle w:val="FootnoteText"/>
        <w:rPr>
          <w:rFonts w:ascii="Calibri" w:hAnsi="Calibri" w:cs="Calibri"/>
          <w:sz w:val="18"/>
          <w:szCs w:val="18"/>
        </w:rPr>
      </w:pPr>
      <w:r w:rsidRPr="00AA0E90">
        <w:rPr>
          <w:rStyle w:val="FootnoteReference"/>
          <w:rFonts w:ascii="Calibri" w:hAnsi="Calibri" w:cs="Calibri"/>
          <w:sz w:val="18"/>
          <w:szCs w:val="18"/>
        </w:rPr>
        <w:footnoteRef/>
      </w:r>
      <w:r w:rsidRPr="00AA0E90">
        <w:rPr>
          <w:rFonts w:ascii="Calibri" w:hAnsi="Calibri" w:cs="Calibri"/>
          <w:sz w:val="18"/>
          <w:szCs w:val="18"/>
        </w:rPr>
        <w:t xml:space="preserve"> </w:t>
      </w:r>
      <w:r w:rsidRPr="00AA0E90">
        <w:rPr>
          <w:rFonts w:ascii="Calibri" w:hAnsi="Calibri" w:cs="Calibri"/>
          <w:i/>
          <w:sz w:val="18"/>
          <w:szCs w:val="18"/>
        </w:rPr>
        <w:t>Ibid</w:t>
      </w:r>
      <w:r w:rsidRPr="00AA0E90">
        <w:rPr>
          <w:rFonts w:ascii="Calibri" w:hAnsi="Calibri" w:cs="Calibri"/>
          <w:sz w:val="18"/>
          <w:szCs w:val="18"/>
        </w:rPr>
        <w:t>, D.2.2, p47.</w:t>
      </w:r>
    </w:p>
  </w:footnote>
  <w:footnote w:id="21">
    <w:p w:rsidR="00AA0E90" w:rsidRPr="00AA0E90" w:rsidRDefault="00AA0E90" w:rsidP="00022069">
      <w:pPr>
        <w:pStyle w:val="FootnoteText"/>
        <w:rPr>
          <w:rFonts w:ascii="Calibri" w:hAnsi="Calibri"/>
          <w:sz w:val="18"/>
          <w:szCs w:val="18"/>
        </w:rPr>
      </w:pPr>
      <w:r w:rsidRPr="00AA0E90">
        <w:rPr>
          <w:rStyle w:val="FootnoteReference"/>
          <w:rFonts w:ascii="Calibri" w:hAnsi="Calibri" w:cs="Calibri"/>
          <w:sz w:val="18"/>
          <w:szCs w:val="18"/>
        </w:rPr>
        <w:footnoteRef/>
      </w:r>
      <w:r w:rsidRPr="00AA0E90">
        <w:rPr>
          <w:rFonts w:ascii="Calibri" w:hAnsi="Calibri" w:cs="Calibri"/>
          <w:sz w:val="18"/>
          <w:szCs w:val="18"/>
        </w:rPr>
        <w:t xml:space="preserve"> </w:t>
      </w:r>
      <w:r w:rsidRPr="00AA0E90">
        <w:rPr>
          <w:rFonts w:ascii="Calibri" w:hAnsi="Calibri" w:cs="Calibri"/>
          <w:i/>
          <w:sz w:val="18"/>
          <w:szCs w:val="18"/>
        </w:rPr>
        <w:t>Ibid</w:t>
      </w:r>
      <w:r w:rsidRPr="00AA0E90">
        <w:rPr>
          <w:rFonts w:ascii="Calibri" w:hAnsi="Calibri" w:cs="Calibri"/>
          <w:sz w:val="18"/>
          <w:szCs w:val="18"/>
        </w:rPr>
        <w:t>, D.2.4, p49.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90" w:rsidRPr="001171B8" w:rsidRDefault="00AA0E90" w:rsidP="00CC5B47">
    <w:pPr>
      <w:pStyle w:val="Header"/>
      <w:tabs>
        <w:tab w:val="clear" w:pos="4536"/>
        <w:tab w:val="clear" w:pos="9072"/>
        <w:tab w:val="left" w:pos="7371"/>
      </w:tabs>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60288" behindDoc="0" locked="0" layoutInCell="1" allowOverlap="1" wp14:anchorId="3313185A" wp14:editId="7E99FE0C">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5C324F">
      <w:rPr>
        <w:rFonts w:ascii="Verdana" w:hAnsi="Verdana"/>
        <w:b/>
        <w:color w:val="7F1416"/>
        <w:sz w:val="16"/>
        <w:szCs w:val="16"/>
      </w:rPr>
      <w:t>Shelter Cluster</w:t>
    </w:r>
    <w:r>
      <w:rPr>
        <w:rFonts w:ascii="Verdana" w:hAnsi="Verdana"/>
        <w:b/>
        <w:color w:val="7F1416"/>
        <w:sz w:val="16"/>
        <w:szCs w:val="16"/>
      </w:rPr>
      <w:t xml:space="preserve"> </w:t>
    </w:r>
    <w:r w:rsidR="00CC5B47">
      <w:rPr>
        <w:rFonts w:ascii="Verdana" w:hAnsi="Verdana"/>
        <w:b/>
        <w:color w:val="7F1416"/>
        <w:sz w:val="16"/>
        <w:szCs w:val="16"/>
      </w:rPr>
      <w:t>Vanuatu</w:t>
    </w:r>
    <w:r>
      <w:rPr>
        <w:rFonts w:ascii="Verdana" w:hAnsi="Verdana"/>
        <w:b/>
        <w:color w:val="7F1416"/>
        <w:sz w:val="16"/>
        <w:szCs w:val="16"/>
      </w:rPr>
      <w:tab/>
      <w:t xml:space="preserve">          </w:t>
    </w:r>
  </w:p>
  <w:p w:rsidR="00AA0E90" w:rsidRPr="005C324F" w:rsidRDefault="00AA0E90"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AA0E90" w:rsidRPr="005C324F" w:rsidRDefault="00AA0E90"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A2745A"/>
    <w:multiLevelType w:val="hybridMultilevel"/>
    <w:tmpl w:val="CCF68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8">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DB74181"/>
    <w:multiLevelType w:val="hybridMultilevel"/>
    <w:tmpl w:val="CCF68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11"/>
  </w:num>
  <w:num w:numId="6">
    <w:abstractNumId w:val="3"/>
  </w:num>
  <w:num w:numId="7">
    <w:abstractNumId w:val="9"/>
  </w:num>
  <w:num w:numId="8">
    <w:abstractNumId w:val="7"/>
  </w:num>
  <w:num w:numId="9">
    <w:abstractNumId w:val="2"/>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69"/>
    <w:rsid w:val="00013D97"/>
    <w:rsid w:val="00022069"/>
    <w:rsid w:val="00030530"/>
    <w:rsid w:val="00062558"/>
    <w:rsid w:val="00071D43"/>
    <w:rsid w:val="000874E5"/>
    <w:rsid w:val="00090A37"/>
    <w:rsid w:val="000C6D71"/>
    <w:rsid w:val="000D244D"/>
    <w:rsid w:val="000F3113"/>
    <w:rsid w:val="00110270"/>
    <w:rsid w:val="001171B8"/>
    <w:rsid w:val="001312DF"/>
    <w:rsid w:val="00161C31"/>
    <w:rsid w:val="00163E2F"/>
    <w:rsid w:val="001767A4"/>
    <w:rsid w:val="001E4389"/>
    <w:rsid w:val="001F18F1"/>
    <w:rsid w:val="00203D40"/>
    <w:rsid w:val="00205387"/>
    <w:rsid w:val="002154CA"/>
    <w:rsid w:val="00217E6B"/>
    <w:rsid w:val="00241F07"/>
    <w:rsid w:val="002706B7"/>
    <w:rsid w:val="00276798"/>
    <w:rsid w:val="002856C7"/>
    <w:rsid w:val="002A04AE"/>
    <w:rsid w:val="002B0591"/>
    <w:rsid w:val="002C2EE4"/>
    <w:rsid w:val="002E28D1"/>
    <w:rsid w:val="002E64B5"/>
    <w:rsid w:val="002E6B43"/>
    <w:rsid w:val="002F0383"/>
    <w:rsid w:val="002F3F2F"/>
    <w:rsid w:val="00315C0F"/>
    <w:rsid w:val="00320A52"/>
    <w:rsid w:val="003232A2"/>
    <w:rsid w:val="003367A5"/>
    <w:rsid w:val="003738B6"/>
    <w:rsid w:val="0037585D"/>
    <w:rsid w:val="003A4B8D"/>
    <w:rsid w:val="003C0D47"/>
    <w:rsid w:val="003C582E"/>
    <w:rsid w:val="003D3B37"/>
    <w:rsid w:val="003F4219"/>
    <w:rsid w:val="00400A3D"/>
    <w:rsid w:val="0040142F"/>
    <w:rsid w:val="004424C8"/>
    <w:rsid w:val="00446AC9"/>
    <w:rsid w:val="0046778E"/>
    <w:rsid w:val="00477BB3"/>
    <w:rsid w:val="00483E5C"/>
    <w:rsid w:val="00485CDA"/>
    <w:rsid w:val="004A27B9"/>
    <w:rsid w:val="004C279B"/>
    <w:rsid w:val="004C7173"/>
    <w:rsid w:val="0050377B"/>
    <w:rsid w:val="00510903"/>
    <w:rsid w:val="0051752C"/>
    <w:rsid w:val="00523A33"/>
    <w:rsid w:val="0052408A"/>
    <w:rsid w:val="005260B4"/>
    <w:rsid w:val="0053049C"/>
    <w:rsid w:val="0053395D"/>
    <w:rsid w:val="00534C3B"/>
    <w:rsid w:val="00567F7D"/>
    <w:rsid w:val="0057408E"/>
    <w:rsid w:val="00584F10"/>
    <w:rsid w:val="005A0134"/>
    <w:rsid w:val="005B7B5E"/>
    <w:rsid w:val="005C324F"/>
    <w:rsid w:val="005D2A9A"/>
    <w:rsid w:val="005D6DF3"/>
    <w:rsid w:val="005E6B61"/>
    <w:rsid w:val="005E76CF"/>
    <w:rsid w:val="005F0D53"/>
    <w:rsid w:val="005F57A6"/>
    <w:rsid w:val="00606EE7"/>
    <w:rsid w:val="00607E43"/>
    <w:rsid w:val="006210C2"/>
    <w:rsid w:val="00640275"/>
    <w:rsid w:val="00643791"/>
    <w:rsid w:val="00662F33"/>
    <w:rsid w:val="00677930"/>
    <w:rsid w:val="00690722"/>
    <w:rsid w:val="006B6B15"/>
    <w:rsid w:val="006C5FAB"/>
    <w:rsid w:val="006D744A"/>
    <w:rsid w:val="006E47BD"/>
    <w:rsid w:val="006F67D6"/>
    <w:rsid w:val="006F6CBD"/>
    <w:rsid w:val="00706CF8"/>
    <w:rsid w:val="00716660"/>
    <w:rsid w:val="007312A2"/>
    <w:rsid w:val="00733F2A"/>
    <w:rsid w:val="00761A2C"/>
    <w:rsid w:val="00765564"/>
    <w:rsid w:val="00773FD9"/>
    <w:rsid w:val="00780BF8"/>
    <w:rsid w:val="00780EFE"/>
    <w:rsid w:val="00790CB0"/>
    <w:rsid w:val="007949A5"/>
    <w:rsid w:val="00806D4E"/>
    <w:rsid w:val="00813A44"/>
    <w:rsid w:val="00821E17"/>
    <w:rsid w:val="00821E60"/>
    <w:rsid w:val="00825528"/>
    <w:rsid w:val="00832406"/>
    <w:rsid w:val="00832E7E"/>
    <w:rsid w:val="0084110A"/>
    <w:rsid w:val="008705EC"/>
    <w:rsid w:val="008769B9"/>
    <w:rsid w:val="00883E0D"/>
    <w:rsid w:val="008B14BE"/>
    <w:rsid w:val="008B2895"/>
    <w:rsid w:val="008B765F"/>
    <w:rsid w:val="008C06F0"/>
    <w:rsid w:val="008C6C92"/>
    <w:rsid w:val="008C7872"/>
    <w:rsid w:val="008D3D2E"/>
    <w:rsid w:val="008F2572"/>
    <w:rsid w:val="008F34F9"/>
    <w:rsid w:val="00903D87"/>
    <w:rsid w:val="00913C21"/>
    <w:rsid w:val="00930F85"/>
    <w:rsid w:val="0095081B"/>
    <w:rsid w:val="00951CA1"/>
    <w:rsid w:val="0096584E"/>
    <w:rsid w:val="00987E70"/>
    <w:rsid w:val="009A4FE4"/>
    <w:rsid w:val="009B6AAE"/>
    <w:rsid w:val="009C0760"/>
    <w:rsid w:val="009E7ABF"/>
    <w:rsid w:val="00A0059D"/>
    <w:rsid w:val="00A00FCF"/>
    <w:rsid w:val="00A16B69"/>
    <w:rsid w:val="00A22B22"/>
    <w:rsid w:val="00A23C02"/>
    <w:rsid w:val="00A4574B"/>
    <w:rsid w:val="00A57897"/>
    <w:rsid w:val="00A60668"/>
    <w:rsid w:val="00A60B2D"/>
    <w:rsid w:val="00A616DE"/>
    <w:rsid w:val="00A92B90"/>
    <w:rsid w:val="00A977A9"/>
    <w:rsid w:val="00AA03AC"/>
    <w:rsid w:val="00AA0E90"/>
    <w:rsid w:val="00AA4074"/>
    <w:rsid w:val="00AB260B"/>
    <w:rsid w:val="00AB2AF8"/>
    <w:rsid w:val="00AD5C9E"/>
    <w:rsid w:val="00AD72AF"/>
    <w:rsid w:val="00AE23F4"/>
    <w:rsid w:val="00B166BD"/>
    <w:rsid w:val="00B224C9"/>
    <w:rsid w:val="00B2499F"/>
    <w:rsid w:val="00B425DC"/>
    <w:rsid w:val="00B47014"/>
    <w:rsid w:val="00B55CBA"/>
    <w:rsid w:val="00B72373"/>
    <w:rsid w:val="00B737F0"/>
    <w:rsid w:val="00BA57D3"/>
    <w:rsid w:val="00BA6BB6"/>
    <w:rsid w:val="00BB0AFF"/>
    <w:rsid w:val="00BB4A12"/>
    <w:rsid w:val="00BC50CC"/>
    <w:rsid w:val="00BD6830"/>
    <w:rsid w:val="00BD6B11"/>
    <w:rsid w:val="00BE7BE0"/>
    <w:rsid w:val="00C23D0C"/>
    <w:rsid w:val="00C75497"/>
    <w:rsid w:val="00C81294"/>
    <w:rsid w:val="00C91470"/>
    <w:rsid w:val="00C92CF3"/>
    <w:rsid w:val="00C96B38"/>
    <w:rsid w:val="00CB38E2"/>
    <w:rsid w:val="00CC1B5A"/>
    <w:rsid w:val="00CC360A"/>
    <w:rsid w:val="00CC5B47"/>
    <w:rsid w:val="00CD3CC5"/>
    <w:rsid w:val="00CE126F"/>
    <w:rsid w:val="00CE5166"/>
    <w:rsid w:val="00D1203F"/>
    <w:rsid w:val="00D14A53"/>
    <w:rsid w:val="00D16ADE"/>
    <w:rsid w:val="00D265FC"/>
    <w:rsid w:val="00D2710E"/>
    <w:rsid w:val="00D35CA6"/>
    <w:rsid w:val="00D41053"/>
    <w:rsid w:val="00D463F7"/>
    <w:rsid w:val="00D650D3"/>
    <w:rsid w:val="00D7148C"/>
    <w:rsid w:val="00D73ADD"/>
    <w:rsid w:val="00D81853"/>
    <w:rsid w:val="00D92430"/>
    <w:rsid w:val="00DA0F97"/>
    <w:rsid w:val="00DA4B0D"/>
    <w:rsid w:val="00DB3DBA"/>
    <w:rsid w:val="00DC07F5"/>
    <w:rsid w:val="00DD187F"/>
    <w:rsid w:val="00DD1A95"/>
    <w:rsid w:val="00DE357F"/>
    <w:rsid w:val="00DF2192"/>
    <w:rsid w:val="00DF4E95"/>
    <w:rsid w:val="00E17A2A"/>
    <w:rsid w:val="00E20F5B"/>
    <w:rsid w:val="00E36C33"/>
    <w:rsid w:val="00E513AC"/>
    <w:rsid w:val="00E52F1D"/>
    <w:rsid w:val="00E55792"/>
    <w:rsid w:val="00E567A1"/>
    <w:rsid w:val="00E7333B"/>
    <w:rsid w:val="00E86518"/>
    <w:rsid w:val="00E930A3"/>
    <w:rsid w:val="00E95676"/>
    <w:rsid w:val="00ED0E37"/>
    <w:rsid w:val="00ED3EEC"/>
    <w:rsid w:val="00EE3557"/>
    <w:rsid w:val="00EF2574"/>
    <w:rsid w:val="00F45174"/>
    <w:rsid w:val="00F5045A"/>
    <w:rsid w:val="00F50867"/>
    <w:rsid w:val="00F84EC2"/>
    <w:rsid w:val="00F95A0C"/>
    <w:rsid w:val="00FA189D"/>
    <w:rsid w:val="00FA6D2A"/>
    <w:rsid w:val="00FA70D1"/>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69"/>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autoRedefine/>
    <w:uiPriority w:val="9"/>
    <w:unhideWhenUsed/>
    <w:qFormat/>
    <w:rsid w:val="00E930A3"/>
    <w:pPr>
      <w:keepNext/>
      <w:keepLines/>
      <w:spacing w:before="200"/>
      <w:ind w:left="357" w:hanging="357"/>
      <w:outlineLvl w:val="1"/>
    </w:pPr>
    <w:rPr>
      <w:rFonts w:ascii="Calibri Bold" w:eastAsiaTheme="majorEastAsia" w:hAnsi="Calibri Bold" w:cstheme="majorBidi"/>
      <w:b/>
      <w:bC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E930A3"/>
    <w:rPr>
      <w:rFonts w:ascii="Calibri Bold" w:eastAsiaTheme="majorEastAsia" w:hAnsi="Calibri Bold" w:cstheme="majorBidi"/>
      <w:b/>
      <w:bCs/>
      <w:color w:val="04314C"/>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semiHidden/>
    <w:unhideWhenUsed/>
    <w:rsid w:val="00E567A1"/>
    <w:rPr>
      <w:sz w:val="20"/>
      <w:szCs w:val="20"/>
    </w:rPr>
  </w:style>
  <w:style w:type="character" w:customStyle="1" w:styleId="FootnoteTextChar">
    <w:name w:val="Footnote Text Char"/>
    <w:basedOn w:val="DefaultParagraphFont"/>
    <w:link w:val="FootnoteText"/>
    <w:semiHidden/>
    <w:rsid w:val="00E567A1"/>
    <w:rPr>
      <w:sz w:val="20"/>
      <w:szCs w:val="20"/>
    </w:rPr>
  </w:style>
  <w:style w:type="character" w:styleId="FootnoteReference">
    <w:name w:val="footnote reference"/>
    <w:basedOn w:val="DefaultParagraphFont"/>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69"/>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Cs w:val="28"/>
    </w:rPr>
  </w:style>
  <w:style w:type="paragraph" w:styleId="Heading2">
    <w:name w:val="heading 2"/>
    <w:basedOn w:val="Normal"/>
    <w:next w:val="Normal"/>
    <w:link w:val="Heading2Char"/>
    <w:autoRedefine/>
    <w:uiPriority w:val="9"/>
    <w:unhideWhenUsed/>
    <w:qFormat/>
    <w:rsid w:val="00E930A3"/>
    <w:pPr>
      <w:keepNext/>
      <w:keepLines/>
      <w:spacing w:before="200"/>
      <w:ind w:left="357" w:hanging="357"/>
      <w:outlineLvl w:val="1"/>
    </w:pPr>
    <w:rPr>
      <w:rFonts w:ascii="Calibri Bold" w:eastAsiaTheme="majorEastAsia" w:hAnsi="Calibri Bold" w:cstheme="majorBidi"/>
      <w:b/>
      <w:bCs/>
      <w:color w:val="04314C"/>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E930A3"/>
    <w:rPr>
      <w:rFonts w:ascii="Calibri Bold" w:eastAsiaTheme="majorEastAsia" w:hAnsi="Calibri Bold" w:cstheme="majorBidi"/>
      <w:b/>
      <w:bCs/>
      <w:color w:val="04314C"/>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semiHidden/>
    <w:unhideWhenUsed/>
    <w:rsid w:val="00E567A1"/>
    <w:rPr>
      <w:sz w:val="20"/>
      <w:szCs w:val="20"/>
    </w:rPr>
  </w:style>
  <w:style w:type="character" w:customStyle="1" w:styleId="FootnoteTextChar">
    <w:name w:val="Footnote Text Char"/>
    <w:basedOn w:val="DefaultParagraphFont"/>
    <w:link w:val="FootnoteText"/>
    <w:semiHidden/>
    <w:rsid w:val="00E567A1"/>
    <w:rPr>
      <w:sz w:val="20"/>
      <w:szCs w:val="20"/>
    </w:rPr>
  </w:style>
  <w:style w:type="character" w:styleId="FootnoteReference">
    <w:name w:val="footnote reference"/>
    <w:basedOn w:val="DefaultParagraphFont"/>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ctoria.stodart@if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rliament.gov.vu/images/pdf/constitu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ictoria.stodart\Dropbox\2013%20Haiyan%20Typhoon\12%20Media%20and%20Comms\00%20Templates\Shelter%20Cluster%20Philippines%20Word%20Template%20v%201%2002.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4C680-9BA1-4812-880B-835420C1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Cluster Philippines Word Template v 1 02.dotx</Template>
  <TotalTime>0</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STODART</dc:creator>
  <cp:lastModifiedBy>Victoria STODART</cp:lastModifiedBy>
  <cp:revision>2</cp:revision>
  <cp:lastPrinted>2013-03-26T13:18:00Z</cp:lastPrinted>
  <dcterms:created xsi:type="dcterms:W3CDTF">2015-03-16T17:16:00Z</dcterms:created>
  <dcterms:modified xsi:type="dcterms:W3CDTF">2015-03-16T17:16:00Z</dcterms:modified>
</cp:coreProperties>
</file>