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64" w:lineRule="auto"/>
        <w:jc w:val="center"/>
        <w:rPr>
          <w:b w:val="1"/>
          <w:color w:val="365f91"/>
          <w:sz w:val="16"/>
          <w:szCs w:val="16"/>
        </w:rPr>
      </w:pPr>
      <w:r w:rsidDel="00000000" w:rsidR="00000000" w:rsidRPr="00000000">
        <w:rPr>
          <w:b w:val="1"/>
          <w:color w:val="365f91"/>
          <w:sz w:val="24"/>
          <w:szCs w:val="24"/>
          <w:rtl w:val="0"/>
        </w:rPr>
        <w:t xml:space="preserve">NFI</w:t>
      </w:r>
      <w:r w:rsidDel="00000000" w:rsidR="00000000" w:rsidRPr="00000000">
        <w:rPr>
          <w:rtl w:val="0"/>
        </w:rPr>
        <w:t xml:space="preserve"> </w:t>
      </w:r>
      <w:r w:rsidDel="00000000" w:rsidR="00000000" w:rsidRPr="00000000">
        <w:rPr>
          <w:rtl w:val="0"/>
        </w:rPr>
      </w:r>
    </w:p>
    <w:tbl>
      <w:tblPr>
        <w:tblStyle w:val="Table1"/>
        <w:tblW w:w="10035.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2730"/>
        <w:gridCol w:w="7305"/>
        <w:tblGridChange w:id="0">
          <w:tblGrid>
            <w:gridCol w:w="2730"/>
            <w:gridCol w:w="7305"/>
          </w:tblGrid>
        </w:tblGridChange>
      </w:tblGrid>
      <w:tr>
        <w:tc>
          <w:tcPr>
            <w:tcBorders>
              <w:right w:color="a6a6a6" w:space="0" w:sz="4" w:val="single"/>
            </w:tcBorders>
          </w:tcPr>
          <w:p w:rsidR="00000000" w:rsidDel="00000000" w:rsidP="00000000" w:rsidRDefault="00000000" w:rsidRPr="00000000" w14:paraId="00000002">
            <w:pPr>
              <w:spacing w:after="120" w:before="120" w:line="264" w:lineRule="auto"/>
              <w:rPr>
                <w:b w:val="1"/>
                <w:color w:val="980000"/>
              </w:rPr>
            </w:pPr>
            <w:r w:rsidDel="00000000" w:rsidR="00000000" w:rsidRPr="00000000">
              <w:rPr>
                <w:b w:val="1"/>
                <w:color w:val="980000"/>
                <w:rtl w:val="0"/>
              </w:rPr>
              <w:t xml:space="preserve">Topic/Title:</w:t>
            </w:r>
          </w:p>
        </w:tc>
        <w:tc>
          <w:tcPr>
            <w:tcBorders>
              <w:left w:color="a6a6a6" w:space="0" w:sz="4" w:val="single"/>
            </w:tcBorders>
          </w:tcPr>
          <w:p w:rsidR="00000000" w:rsidDel="00000000" w:rsidP="00000000" w:rsidRDefault="00000000" w:rsidRPr="00000000" w14:paraId="00000003">
            <w:pPr>
              <w:rPr/>
            </w:pPr>
            <w:r w:rsidDel="00000000" w:rsidR="00000000" w:rsidRPr="00000000">
              <w:rPr>
                <w:rtl w:val="0"/>
              </w:rPr>
              <w:t xml:space="preserve">NFI WG</w:t>
            </w:r>
          </w:p>
        </w:tc>
      </w:tr>
      <w:tr>
        <w:tc>
          <w:tcPr>
            <w:tcBorders>
              <w:right w:color="a6a6a6" w:space="0" w:sz="4" w:val="single"/>
            </w:tcBorders>
          </w:tcPr>
          <w:p w:rsidR="00000000" w:rsidDel="00000000" w:rsidP="00000000" w:rsidRDefault="00000000" w:rsidRPr="00000000" w14:paraId="00000004">
            <w:pPr>
              <w:spacing w:after="120" w:before="120" w:lineRule="auto"/>
              <w:rPr/>
            </w:pPr>
            <w:r w:rsidDel="00000000" w:rsidR="00000000" w:rsidRPr="00000000">
              <w:rPr>
                <w:b w:val="1"/>
                <w:color w:val="980000"/>
                <w:rtl w:val="0"/>
              </w:rPr>
              <w:t xml:space="preserve">Background:</w:t>
            </w:r>
            <w:r w:rsidDel="00000000" w:rsidR="00000000" w:rsidRPr="00000000">
              <w:rPr>
                <w:rtl w:val="0"/>
              </w:rPr>
              <w:t xml:space="preserve"> (include relevance of topic to GSC stakeholders’ needs, interests, expectations)</w:t>
            </w:r>
          </w:p>
        </w:tc>
        <w:tc>
          <w:tcPr>
            <w:tcBorders>
              <w:left w:color="a6a6a6" w:space="0" w:sz="4" w:val="single"/>
            </w:tcBorders>
          </w:tcPr>
          <w:p w:rsidR="00000000" w:rsidDel="00000000" w:rsidP="00000000" w:rsidRDefault="00000000" w:rsidRPr="00000000" w14:paraId="00000005">
            <w:pPr>
              <w:rPr/>
            </w:pPr>
            <w:r w:rsidDel="00000000" w:rsidR="00000000" w:rsidRPr="00000000">
              <w:rPr>
                <w:rtl w:val="0"/>
              </w:rPr>
              <w:t xml:space="preserve">Apart from maintaining the contextualized repository of NFI practices the main objective of the NFI WG is to build capacity for NFI practices. For this, a number of relevant topics have been identified for which short online training modules could be produced. In order to produce these modules or equivalent guidelines, significant funding is needed. Hence the delivery of this output is contingent upon funding.</w:t>
            </w:r>
          </w:p>
          <w:p w:rsidR="00000000" w:rsidDel="00000000" w:rsidP="00000000" w:rsidRDefault="00000000" w:rsidRPr="00000000" w14:paraId="00000006">
            <w:pPr>
              <w:rPr/>
            </w:pPr>
            <w:bookmarkStart w:colFirst="0" w:colLast="0" w:name="_heading=h.gjdgxs" w:id="0"/>
            <w:bookmarkEnd w:id="0"/>
            <w:r w:rsidDel="00000000" w:rsidR="00000000" w:rsidRPr="00000000">
              <w:rPr>
                <w:rtl w:val="0"/>
              </w:rPr>
              <w:t xml:space="preserve">Furthermore, together with the ECoP and the green response initiative the NFI WG advocates for the removal of all non-essential plastic packaging in NFI kits (by revising specs etc.) The NFI WG would like to support this advocacy by helping the Shelter Cluster to collect best practices and lessons learned from country-level responses. In order to do this, the NFI WG needs partners willing to help in sharing these practices at global level. </w:t>
            </w:r>
          </w:p>
        </w:tc>
      </w:tr>
      <w:tr>
        <w:tc>
          <w:tcPr>
            <w:tcBorders>
              <w:right w:color="a6a6a6" w:space="0" w:sz="4" w:val="single"/>
            </w:tcBorders>
          </w:tcPr>
          <w:p w:rsidR="00000000" w:rsidDel="00000000" w:rsidP="00000000" w:rsidRDefault="00000000" w:rsidRPr="00000000" w14:paraId="00000007">
            <w:pPr>
              <w:spacing w:after="120" w:before="120" w:lineRule="auto"/>
              <w:rPr/>
            </w:pPr>
            <w:r w:rsidDel="00000000" w:rsidR="00000000" w:rsidRPr="00000000">
              <w:rPr>
                <w:b w:val="1"/>
                <w:color w:val="980000"/>
                <w:rtl w:val="0"/>
              </w:rPr>
              <w:t xml:space="preserve">Link to 2019 theme:</w:t>
            </w:r>
            <w:r w:rsidDel="00000000" w:rsidR="00000000" w:rsidRPr="00000000">
              <w:rPr>
                <w:rtl w:val="0"/>
              </w:rPr>
              <w:t xml:space="preserve">  How are you linking to the Pillar 4 theme (Capacity, including localisation)</w:t>
            </w:r>
          </w:p>
        </w:tc>
        <w:tc>
          <w:tcPr>
            <w:tcBorders>
              <w:left w:color="a6a6a6" w:space="0" w:sz="4" w:val="single"/>
            </w:tcBorders>
          </w:tcPr>
          <w:p w:rsidR="00000000" w:rsidDel="00000000" w:rsidP="00000000" w:rsidRDefault="00000000" w:rsidRPr="00000000" w14:paraId="00000008">
            <w:pPr>
              <w:rPr>
                <w:i w:val="1"/>
                <w:sz w:val="20"/>
                <w:szCs w:val="20"/>
              </w:rPr>
            </w:pPr>
            <w:r w:rsidDel="00000000" w:rsidR="00000000" w:rsidRPr="00000000">
              <w:rPr>
                <w:b w:val="1"/>
                <w:rtl w:val="0"/>
              </w:rPr>
              <w:t xml:space="preserve">Capacity 4.1 </w:t>
            </w:r>
            <w:r w:rsidDel="00000000" w:rsidR="00000000" w:rsidRPr="00000000">
              <w:rPr>
                <w:i w:val="1"/>
                <w:sz w:val="20"/>
                <w:szCs w:val="20"/>
                <w:rtl w:val="0"/>
              </w:rPr>
              <w:t xml:space="preserve">Skills- Increased and localised shelter response capacity</w:t>
            </w:r>
          </w:p>
          <w:p w:rsidR="00000000" w:rsidDel="00000000" w:rsidP="00000000" w:rsidRDefault="00000000" w:rsidRPr="00000000" w14:paraId="00000009">
            <w:pPr>
              <w:rPr>
                <w:b w:val="1"/>
              </w:rPr>
            </w:pPr>
            <w:r w:rsidDel="00000000" w:rsidR="00000000" w:rsidRPr="00000000">
              <w:rPr>
                <w:b w:val="1"/>
                <w:rtl w:val="0"/>
              </w:rPr>
              <w:t xml:space="preserve"> 4.1.G.11 </w:t>
            </w:r>
            <w:r w:rsidDel="00000000" w:rsidR="00000000" w:rsidRPr="00000000">
              <w:rPr>
                <w:i w:val="1"/>
                <w:sz w:val="20"/>
                <w:szCs w:val="20"/>
                <w:rtl w:val="0"/>
              </w:rPr>
              <w:t xml:space="preserve">Relevant online trainings integrated into the GSC website and available in key operational languages</w:t>
            </w:r>
            <w:r w:rsidDel="00000000" w:rsidR="00000000" w:rsidRPr="00000000">
              <w:rPr>
                <w:rtl w:val="0"/>
              </w:rPr>
            </w:r>
          </w:p>
          <w:p w:rsidR="00000000" w:rsidDel="00000000" w:rsidP="00000000" w:rsidRDefault="00000000" w:rsidRPr="00000000" w14:paraId="0000000A">
            <w:pPr>
              <w:rPr>
                <w:i w:val="1"/>
                <w:sz w:val="20"/>
                <w:szCs w:val="20"/>
              </w:rPr>
            </w:pPr>
            <w:r w:rsidDel="00000000" w:rsidR="00000000" w:rsidRPr="00000000">
              <w:rPr>
                <w:b w:val="1"/>
                <w:rtl w:val="0"/>
              </w:rPr>
              <w:t xml:space="preserve">4.3 </w:t>
            </w:r>
            <w:r w:rsidDel="00000000" w:rsidR="00000000" w:rsidRPr="00000000">
              <w:rPr>
                <w:i w:val="1"/>
                <w:sz w:val="20"/>
                <w:szCs w:val="20"/>
                <w:rtl w:val="0"/>
              </w:rPr>
              <w:t xml:space="preserve">Cash and Markets Shelter responders apply cash modalities appropriately </w:t>
            </w:r>
          </w:p>
          <w:p w:rsidR="00000000" w:rsidDel="00000000" w:rsidP="00000000" w:rsidRDefault="00000000" w:rsidRPr="00000000" w14:paraId="0000000B">
            <w:pPr>
              <w:rPr/>
            </w:pPr>
            <w:r w:rsidDel="00000000" w:rsidR="00000000" w:rsidRPr="00000000">
              <w:rPr>
                <w:b w:val="1"/>
                <w:rtl w:val="0"/>
              </w:rPr>
              <w:t xml:space="preserve">4.3.G.2 </w:t>
            </w:r>
            <w:r w:rsidDel="00000000" w:rsidR="00000000" w:rsidRPr="00000000">
              <w:rPr>
                <w:i w:val="1"/>
                <w:sz w:val="20"/>
                <w:szCs w:val="20"/>
                <w:rtl w:val="0"/>
              </w:rPr>
              <w:t xml:space="preserve">Support country-level clusters with shelter-related materials to guide appropriate use of cash and markets modalities in achieving shelter outcomes</w:t>
            </w:r>
            <w:r w:rsidDel="00000000" w:rsidR="00000000" w:rsidRPr="00000000">
              <w:rPr>
                <w:rtl w:val="0"/>
              </w:rPr>
            </w:r>
          </w:p>
        </w:tc>
      </w:tr>
      <w:tr>
        <w:tc>
          <w:tcPr>
            <w:tcBorders>
              <w:right w:color="a6a6a6" w:space="0" w:sz="4" w:val="single"/>
            </w:tcBorders>
          </w:tcPr>
          <w:p w:rsidR="00000000" w:rsidDel="00000000" w:rsidP="00000000" w:rsidRDefault="00000000" w:rsidRPr="00000000" w14:paraId="0000000C">
            <w:pPr>
              <w:spacing w:after="120" w:before="120" w:lineRule="auto"/>
              <w:rPr>
                <w:b w:val="1"/>
                <w:color w:val="980000"/>
              </w:rPr>
            </w:pPr>
            <w:r w:rsidDel="00000000" w:rsidR="00000000" w:rsidRPr="00000000">
              <w:rPr>
                <w:b w:val="1"/>
                <w:color w:val="980000"/>
                <w:rtl w:val="0"/>
              </w:rPr>
              <w:t xml:space="preserve">Your objectives (what you want to achieve)</w:t>
            </w:r>
          </w:p>
        </w:tc>
        <w:tc>
          <w:tcPr>
            <w:tcBorders>
              <w:left w:color="a6a6a6" w:space="0" w:sz="4" w:val="single"/>
            </w:tcBorders>
          </w:tcPr>
          <w:p w:rsidR="00000000" w:rsidDel="00000000" w:rsidP="00000000" w:rsidRDefault="00000000" w:rsidRPr="00000000" w14:paraId="0000000D">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Update participants on the status of the WG</w:t>
            </w:r>
          </w:p>
          <w:p w:rsidR="00000000" w:rsidDel="00000000" w:rsidP="00000000" w:rsidRDefault="00000000" w:rsidRPr="00000000" w14:paraId="0000000E">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Appeal for engagement in the WG and potentially for funding</w:t>
            </w:r>
          </w:p>
          <w:p w:rsidR="00000000" w:rsidDel="00000000" w:rsidP="00000000" w:rsidRDefault="00000000" w:rsidRPr="00000000" w14:paraId="0000000F">
            <w:pPr>
              <w:keepNext w:val="0"/>
              <w:keepLines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Flag new topics to gauge potential interest to take them up </w:t>
            </w:r>
          </w:p>
        </w:tc>
      </w:tr>
      <w:tr>
        <w:tc>
          <w:tcPr>
            <w:tcBorders>
              <w:right w:color="a6a6a6" w:space="0" w:sz="4" w:val="single"/>
            </w:tcBorders>
          </w:tcPr>
          <w:p w:rsidR="00000000" w:rsidDel="00000000" w:rsidP="00000000" w:rsidRDefault="00000000" w:rsidRPr="00000000" w14:paraId="00000010">
            <w:pPr>
              <w:spacing w:after="120" w:before="120" w:lineRule="auto"/>
              <w:rPr/>
            </w:pPr>
            <w:r w:rsidDel="00000000" w:rsidR="00000000" w:rsidRPr="00000000">
              <w:rPr>
                <w:b w:val="1"/>
                <w:color w:val="980000"/>
                <w:rtl w:val="0"/>
              </w:rPr>
              <w:t xml:space="preserve">Anticipated Outcomes  for participants </w:t>
            </w:r>
            <w:r w:rsidDel="00000000" w:rsidR="00000000" w:rsidRPr="00000000">
              <w:rPr>
                <w:rtl w:val="0"/>
              </w:rPr>
            </w:r>
          </w:p>
        </w:tc>
        <w:tc>
          <w:tcPr>
            <w:tcBorders>
              <w:left w:color="a6a6a6" w:space="0" w:sz="4" w:val="single"/>
            </w:tcBorders>
          </w:tcPr>
          <w:p w:rsidR="00000000" w:rsidDel="00000000" w:rsidP="00000000" w:rsidRDefault="00000000" w:rsidRPr="00000000" w14:paraId="00000011">
            <w:pPr>
              <w:rPr/>
            </w:pPr>
            <w:r w:rsidDel="00000000" w:rsidR="00000000" w:rsidRPr="00000000">
              <w:rPr>
                <w:rtl w:val="0"/>
              </w:rPr>
              <w:t xml:space="preserve">Know what the WG is working on and where it stands</w:t>
            </w:r>
          </w:p>
          <w:p w:rsidR="00000000" w:rsidDel="00000000" w:rsidP="00000000" w:rsidRDefault="00000000" w:rsidRPr="00000000" w14:paraId="00000012">
            <w:pPr>
              <w:rPr/>
            </w:pPr>
            <w:r w:rsidDel="00000000" w:rsidR="00000000" w:rsidRPr="00000000">
              <w:rPr>
                <w:rtl w:val="0"/>
              </w:rPr>
              <w:t xml:space="preserve">Partners share WG session with their respective agencies both at global and country level so as to generate interest</w:t>
            </w:r>
          </w:p>
        </w:tc>
      </w:tr>
      <w:tr>
        <w:tc>
          <w:tcPr>
            <w:tcBorders>
              <w:right w:color="a6a6a6" w:space="0" w:sz="4" w:val="single"/>
            </w:tcBorders>
          </w:tcPr>
          <w:p w:rsidR="00000000" w:rsidDel="00000000" w:rsidP="00000000" w:rsidRDefault="00000000" w:rsidRPr="00000000" w14:paraId="00000013">
            <w:pPr>
              <w:spacing w:after="120" w:before="120" w:lineRule="auto"/>
              <w:rPr>
                <w:b w:val="1"/>
                <w:color w:val="980000"/>
              </w:rPr>
            </w:pPr>
            <w:r w:rsidDel="00000000" w:rsidR="00000000" w:rsidRPr="00000000">
              <w:rPr>
                <w:b w:val="1"/>
                <w:color w:val="980000"/>
                <w:rtl w:val="0"/>
              </w:rPr>
              <w:t xml:space="preserve">Outputs (if any)</w:t>
            </w:r>
          </w:p>
        </w:tc>
        <w:tc>
          <w:tcPr>
            <w:tcBorders>
              <w:left w:color="a6a6a6" w:space="0" w:sz="4" w:val="single"/>
            </w:tcBorders>
          </w:tcPr>
          <w:p w:rsidR="00000000" w:rsidDel="00000000" w:rsidP="00000000" w:rsidRDefault="00000000" w:rsidRPr="00000000" w14:paraId="00000014">
            <w:pPr>
              <w:rPr/>
            </w:pPr>
            <w:r w:rsidDel="00000000" w:rsidR="00000000" w:rsidRPr="00000000">
              <w:rPr>
                <w:rtl w:val="0"/>
              </w:rPr>
              <w:t xml:space="preserve">-</w:t>
            </w:r>
          </w:p>
        </w:tc>
      </w:tr>
      <w:tr>
        <w:tc>
          <w:tcPr>
            <w:tcBorders>
              <w:right w:color="a6a6a6" w:space="0" w:sz="4" w:val="single"/>
            </w:tcBorders>
          </w:tcPr>
          <w:p w:rsidR="00000000" w:rsidDel="00000000" w:rsidP="00000000" w:rsidRDefault="00000000" w:rsidRPr="00000000" w14:paraId="00000015">
            <w:pPr>
              <w:spacing w:after="120" w:before="120" w:lineRule="auto"/>
              <w:rPr>
                <w:b w:val="1"/>
                <w:color w:val="980000"/>
              </w:rPr>
            </w:pPr>
            <w:r w:rsidDel="00000000" w:rsidR="00000000" w:rsidRPr="00000000">
              <w:rPr>
                <w:b w:val="1"/>
                <w:color w:val="980000"/>
                <w:rtl w:val="0"/>
              </w:rPr>
              <w:t xml:space="preserve">Time required:</w:t>
            </w:r>
          </w:p>
        </w:tc>
        <w:tc>
          <w:tcPr>
            <w:tcBorders>
              <w:left w:color="a6a6a6" w:space="0" w:sz="4" w:val="single"/>
            </w:tcBorders>
          </w:tcPr>
          <w:p w:rsidR="00000000" w:rsidDel="00000000" w:rsidP="00000000" w:rsidRDefault="00000000" w:rsidRPr="00000000" w14:paraId="00000016">
            <w:pPr>
              <w:rPr/>
            </w:pPr>
            <w:r w:rsidDel="00000000" w:rsidR="00000000" w:rsidRPr="00000000">
              <w:rPr>
                <w:rtl w:val="0"/>
              </w:rPr>
              <w:t xml:space="preserve">45-60 mins</w:t>
            </w:r>
          </w:p>
        </w:tc>
      </w:tr>
    </w:tbl>
    <w:p w:rsidR="00000000" w:rsidDel="00000000" w:rsidP="00000000" w:rsidRDefault="00000000" w:rsidRPr="00000000" w14:paraId="00000017">
      <w:pPr>
        <w:spacing w:after="120" w:before="120" w:line="264" w:lineRule="auto"/>
        <w:rPr>
          <w:sz w:val="20"/>
          <w:szCs w:val="20"/>
        </w:rPr>
      </w:pPr>
      <w:r w:rsidDel="00000000" w:rsidR="00000000" w:rsidRPr="00000000">
        <w:rPr>
          <w:rtl w:val="0"/>
        </w:rPr>
      </w:r>
    </w:p>
    <w:tbl>
      <w:tblPr>
        <w:tblStyle w:val="Table2"/>
        <w:tblW w:w="10035.0" w:type="dxa"/>
        <w:jc w:val="left"/>
        <w:tblInd w:w="0.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2685"/>
        <w:gridCol w:w="7350"/>
        <w:tblGridChange w:id="0">
          <w:tblGrid>
            <w:gridCol w:w="2685"/>
            <w:gridCol w:w="7350"/>
          </w:tblGrid>
        </w:tblGridChange>
      </w:tblGrid>
      <w:tr>
        <w:trPr>
          <w:trHeight w:val="1960" w:hRule="atLeast"/>
        </w:trP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18">
            <w:pPr>
              <w:rPr/>
            </w:pPr>
            <w:r w:rsidDel="00000000" w:rsidR="00000000" w:rsidRPr="00000000">
              <w:rPr>
                <w:rtl w:val="0"/>
              </w:rPr>
              <w:t xml:space="preserve"> </w:t>
            </w:r>
            <w:r w:rsidDel="00000000" w:rsidR="00000000" w:rsidRPr="00000000">
              <w:rPr/>
              <w:drawing>
                <wp:inline distB="0" distT="0" distL="0" distR="0">
                  <wp:extent cx="635797" cy="621348"/>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35797" cy="621348"/>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Your session plan </w:t>
            </w:r>
          </w:p>
          <w:p w:rsidR="00000000" w:rsidDel="00000000" w:rsidP="00000000" w:rsidRDefault="00000000" w:rsidRPr="00000000" w14:paraId="0000001A">
            <w:pPr>
              <w:rPr/>
            </w:pPr>
            <w:r w:rsidDel="00000000" w:rsidR="00000000" w:rsidRPr="00000000">
              <w:rPr>
                <w:rtl w:val="0"/>
              </w:rPr>
              <w:t xml:space="preserve">With approx. timings, activities and roles</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1B">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presentation of update of the WG achievements + Q&amp;A (20 mins)</w:t>
            </w:r>
          </w:p>
          <w:p w:rsidR="00000000" w:rsidDel="00000000" w:rsidP="00000000" w:rsidRDefault="00000000" w:rsidRPr="00000000" w14:paraId="0000001C">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quick consultation regarding interest to engage and/or potential funding options for the NFI online training package (10 mins)</w:t>
            </w:r>
          </w:p>
          <w:p w:rsidR="00000000" w:rsidDel="00000000" w:rsidP="00000000" w:rsidRDefault="00000000" w:rsidRPr="00000000" w14:paraId="0000001D">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introduction of new topics of potential interest to and quick consultation regarding interest to engage/commit (15 mins) </w:t>
            </w:r>
          </w:p>
          <w:p w:rsidR="00000000" w:rsidDel="00000000" w:rsidP="00000000" w:rsidRDefault="00000000" w:rsidRPr="00000000" w14:paraId="0000001E">
            <w:pPr>
              <w:keepNext w:val="0"/>
              <w:keepLines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final question whether to continue or discontinue the WG? (10mins)</w:t>
            </w:r>
          </w:p>
        </w:tc>
      </w:tr>
      <w:t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1F">
            <w:pPr>
              <w:rPr/>
            </w:pPr>
            <w:r w:rsidDel="00000000" w:rsidR="00000000" w:rsidRPr="00000000">
              <w:rPr>
                <w:rtl w:val="0"/>
              </w:rPr>
              <w:t xml:space="preserve">Materials and equipment needed*</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0">
            <w:pPr>
              <w:rPr/>
            </w:pPr>
            <w:r w:rsidDel="00000000" w:rsidR="00000000" w:rsidRPr="00000000">
              <w:rPr>
                <w:rtl w:val="0"/>
              </w:rPr>
              <w:t xml:space="preserve">Projector</w:t>
            </w:r>
          </w:p>
          <w:p w:rsidR="00000000" w:rsidDel="00000000" w:rsidP="00000000" w:rsidRDefault="00000000" w:rsidRPr="00000000" w14:paraId="00000021">
            <w:pPr>
              <w:rPr/>
            </w:pPr>
            <w:r w:rsidDel="00000000" w:rsidR="00000000" w:rsidRPr="00000000">
              <w:rPr>
                <w:rtl w:val="0"/>
              </w:rPr>
              <w:t xml:space="preserve">2 Flipcharts &amp; pens, post-its</w:t>
            </w:r>
          </w:p>
        </w:tc>
      </w:tr>
      <w:t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2">
            <w:pPr>
              <w:rPr/>
            </w:pPr>
            <w:r w:rsidDel="00000000" w:rsidR="00000000" w:rsidRPr="00000000">
              <w:rPr>
                <w:rtl w:val="0"/>
              </w:rPr>
              <w:t xml:space="preserve">What resources will you provide (papers etc)?</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3">
            <w:pPr>
              <w:rPr/>
            </w:pPr>
            <w:r w:rsidDel="00000000" w:rsidR="00000000" w:rsidRPr="00000000">
              <w:rPr>
                <w:rtl w:val="0"/>
              </w:rPr>
              <w:t xml:space="preserve">Two moderators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tc>
      </w:tr>
      <w:t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4">
            <w:pPr>
              <w:rPr/>
            </w:pPr>
            <w:r w:rsidDel="00000000" w:rsidR="00000000" w:rsidRPr="00000000">
              <w:rPr>
                <w:rtl w:val="0"/>
              </w:rPr>
              <w:t xml:space="preserve">How will you capture information/actions)?</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5">
            <w:pPr>
              <w:spacing w:after="120" w:before="120" w:line="264" w:lineRule="auto"/>
              <w:rPr>
                <w:sz w:val="20"/>
                <w:szCs w:val="20"/>
              </w:rPr>
            </w:pPr>
            <w:r w:rsidDel="00000000" w:rsidR="00000000" w:rsidRPr="00000000">
              <w:rPr>
                <w:sz w:val="20"/>
                <w:szCs w:val="20"/>
                <w:rtl w:val="0"/>
              </w:rPr>
              <w:t xml:space="preserve">Flipchart, post-its</w:t>
            </w:r>
          </w:p>
        </w:tc>
      </w:tr>
      <w:tr>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6">
            <w:pPr>
              <w:rPr/>
            </w:pPr>
            <w:r w:rsidDel="00000000" w:rsidR="00000000" w:rsidRPr="00000000">
              <w:rPr>
                <w:rtl w:val="0"/>
              </w:rPr>
              <w:t xml:space="preserve">Would you like to discuss your session with Lesley or with GSC representatives?</w:t>
            </w:r>
          </w:p>
        </w:tc>
        <w:tc>
          <w:tcPr>
            <w:tcBorders>
              <w:top w:color="a6a6a6" w:space="0" w:sz="4" w:val="single"/>
              <w:left w:color="a6a6a6" w:space="0" w:sz="4" w:val="single"/>
              <w:bottom w:color="a6a6a6" w:space="0" w:sz="4" w:val="single"/>
              <w:right w:color="a6a6a6" w:space="0" w:sz="4" w:val="single"/>
            </w:tcBorders>
          </w:tcPr>
          <w:p w:rsidR="00000000" w:rsidDel="00000000" w:rsidP="00000000" w:rsidRDefault="00000000" w:rsidRPr="00000000" w14:paraId="00000027">
            <w:pPr>
              <w:spacing w:after="120" w:before="120" w:line="264" w:lineRule="auto"/>
              <w:rPr>
                <w:sz w:val="20"/>
                <w:szCs w:val="20"/>
              </w:rPr>
            </w:pPr>
            <w:r w:rsidDel="00000000" w:rsidR="00000000" w:rsidRPr="00000000">
              <w:rPr>
                <w:sz w:val="20"/>
                <w:szCs w:val="20"/>
                <w:rtl w:val="0"/>
              </w:rPr>
              <w:t xml:space="preserve">Not necessarily</w:t>
            </w:r>
          </w:p>
        </w:tc>
      </w:tr>
    </w:tbl>
    <w:p w:rsidR="00000000" w:rsidDel="00000000" w:rsidP="00000000" w:rsidRDefault="00000000" w:rsidRPr="00000000" w14:paraId="00000028">
      <w:pPr>
        <w:spacing w:after="120" w:before="120" w:line="264" w:lineRule="auto"/>
        <w:rPr/>
      </w:pPr>
      <w:r w:rsidDel="00000000" w:rsidR="00000000" w:rsidRPr="00000000">
        <w:rPr>
          <w:rtl w:val="0"/>
        </w:rPr>
      </w:r>
    </w:p>
    <w:p w:rsidR="00000000" w:rsidDel="00000000" w:rsidP="00000000" w:rsidRDefault="00000000" w:rsidRPr="00000000" w14:paraId="00000029">
      <w:pPr>
        <w:spacing w:after="120" w:before="120" w:line="264" w:lineRule="auto"/>
        <w:ind w:hanging="720"/>
        <w:rPr>
          <w:color w:val="000000"/>
        </w:rPr>
      </w:pPr>
      <w:r w:rsidDel="00000000" w:rsidR="00000000" w:rsidRPr="00000000">
        <w:rPr>
          <w:rtl w:val="0"/>
        </w:rPr>
      </w:r>
    </w:p>
    <w:sectPr>
      <w:headerReference r:id="rId8" w:type="default"/>
      <w:footerReference r:id="rId9" w:type="default"/>
      <w:pgSz w:h="16838" w:w="11906"/>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tabs>
        <w:tab w:val="center" w:pos="4320"/>
        <w:tab w:val="right" w:pos="8640"/>
      </w:tabs>
      <w:spacing w:after="200" w:line="276" w:lineRule="auto"/>
      <w:jc w:val="center"/>
      <w:rPr>
        <w:b w:val="1"/>
        <w:color w:val="943634"/>
      </w:rPr>
    </w:pPr>
    <w:r w:rsidDel="00000000" w:rsidR="00000000" w:rsidRPr="00000000">
      <w:rPr>
        <w:b w:val="1"/>
        <w:color w:val="943634"/>
        <w:rtl w:val="0"/>
      </w:rPr>
      <w:t xml:space="preserve">GSC Meeting 9-10 October 2019</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5"/>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Bdr>
          <w:top w:color="000000" w:space="0" w:sz="0" w:val="none"/>
          <w:left w:color="000000" w:space="0" w:sz="0" w:val="none"/>
          <w:bottom w:color="000000" w:space="0" w:sz="0" w:val="none"/>
          <w:right w:color="000000" w:space="0" w:sz="0" w:val="none"/>
          <w:between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Arial" w:cs="Arial" w:eastAsia="Arial" w:hAnsi="Arial"/>
      <w:b w:val="1"/>
      <w:color w:val="000000"/>
      <w:sz w:val="48"/>
      <w:szCs w:val="48"/>
    </w:rPr>
  </w:style>
  <w:style w:type="paragraph" w:styleId="Heading2">
    <w:name w:val="heading 2"/>
    <w:basedOn w:val="Normal"/>
    <w:next w:val="Normal"/>
    <w:pPr>
      <w:keepNext w:val="1"/>
      <w:keepLines w:val="1"/>
      <w:spacing w:before="200" w:lineRule="auto"/>
    </w:pPr>
    <w:rPr>
      <w:rFonts w:ascii="Arial" w:cs="Arial" w:eastAsia="Arial" w:hAnsi="Arial"/>
      <w:b w:val="1"/>
      <w:color w:val="000000"/>
      <w:sz w:val="40"/>
      <w:szCs w:val="40"/>
    </w:rPr>
  </w:style>
  <w:style w:type="paragraph" w:styleId="Heading3">
    <w:name w:val="heading 3"/>
    <w:basedOn w:val="Normal"/>
    <w:next w:val="Normal"/>
    <w:pPr>
      <w:keepNext w:val="1"/>
      <w:keepLines w:val="1"/>
      <w:spacing w:before="200" w:lineRule="auto"/>
    </w:pPr>
    <w:rPr>
      <w:rFonts w:ascii="Arial" w:cs="Arial" w:eastAsia="Arial" w:hAnsi="Arial"/>
      <w:b w:val="1"/>
      <w:i w:val="1"/>
      <w:color w:val="000000"/>
      <w:sz w:val="36"/>
      <w:szCs w:val="36"/>
    </w:rPr>
  </w:style>
  <w:style w:type="paragraph" w:styleId="Heading4">
    <w:name w:val="heading 4"/>
    <w:basedOn w:val="Normal"/>
    <w:next w:val="Normal"/>
    <w:pPr>
      <w:keepNext w:val="1"/>
      <w:keepLines w:val="1"/>
      <w:spacing w:before="200" w:lineRule="auto"/>
    </w:pPr>
    <w:rPr>
      <w:rFonts w:ascii="Arial" w:cs="Arial" w:eastAsia="Arial" w:hAnsi="Arial"/>
      <w:color w:val="232323"/>
      <w:sz w:val="32"/>
      <w:szCs w:val="32"/>
    </w:rPr>
  </w:style>
  <w:style w:type="paragraph" w:styleId="Heading5">
    <w:name w:val="heading 5"/>
    <w:basedOn w:val="Normal"/>
    <w:next w:val="Normal"/>
    <w:pPr>
      <w:keepNext w:val="1"/>
      <w:keepLines w:val="1"/>
      <w:spacing w:before="200" w:lineRule="auto"/>
    </w:pPr>
    <w:rPr>
      <w:rFonts w:ascii="Arial" w:cs="Arial" w:eastAsia="Arial" w:hAnsi="Arial"/>
      <w:b w:val="1"/>
      <w:color w:val="444444"/>
      <w:sz w:val="28"/>
      <w:szCs w:val="28"/>
    </w:rPr>
  </w:style>
  <w:style w:type="paragraph" w:styleId="Heading6">
    <w:name w:val="heading 6"/>
    <w:basedOn w:val="Normal"/>
    <w:next w:val="Normal"/>
    <w:pPr>
      <w:keepNext w:val="1"/>
      <w:keepLines w:val="1"/>
      <w:spacing w:before="200" w:lineRule="auto"/>
    </w:pPr>
    <w:rPr>
      <w:rFonts w:ascii="Arial" w:cs="Arial" w:eastAsia="Arial" w:hAnsi="Arial"/>
      <w:i w:val="1"/>
      <w:color w:val="232323"/>
      <w:sz w:val="28"/>
      <w:szCs w:val="28"/>
    </w:rPr>
  </w:style>
  <w:style w:type="paragraph" w:styleId="Title">
    <w:name w:val="Title"/>
    <w:basedOn w:val="Normal"/>
    <w:next w:val="Normal"/>
    <w:pPr>
      <w:pBdr>
        <w:bottom w:color="000000" w:space="0" w:sz="24" w:val="single"/>
      </w:pBdr>
      <w:spacing w:after="80" w:before="300" w:lineRule="auto"/>
    </w:pPr>
    <w:rPr>
      <w:b w:val="1"/>
      <w:color w:val="000000"/>
      <w:sz w:val="72"/>
      <w:szCs w:val="72"/>
    </w:rPr>
  </w:style>
  <w:style w:type="paragraph" w:styleId="Normal" w:default="1">
    <w:name w:val="Normal"/>
  </w:style>
  <w:style w:type="paragraph" w:styleId="Heading1">
    <w:name w:val="heading 1"/>
    <w:basedOn w:val="Normal"/>
    <w:next w:val="Normal"/>
    <w:pPr>
      <w:keepNext w:val="1"/>
      <w:keepLines w:val="1"/>
      <w:spacing w:before="480"/>
      <w:outlineLvl w:val="0"/>
    </w:pPr>
    <w:rPr>
      <w:rFonts w:ascii="Arial" w:cs="Arial" w:eastAsia="Arial" w:hAnsi="Arial"/>
      <w:b w:val="1"/>
      <w:color w:val="000000"/>
      <w:sz w:val="48"/>
      <w:szCs w:val="48"/>
    </w:rPr>
  </w:style>
  <w:style w:type="paragraph" w:styleId="Heading2">
    <w:name w:val="heading 2"/>
    <w:basedOn w:val="Normal"/>
    <w:next w:val="Normal"/>
    <w:pPr>
      <w:keepNext w:val="1"/>
      <w:keepLines w:val="1"/>
      <w:spacing w:before="200"/>
      <w:outlineLvl w:val="1"/>
    </w:pPr>
    <w:rPr>
      <w:rFonts w:ascii="Arial" w:cs="Arial" w:eastAsia="Arial" w:hAnsi="Arial"/>
      <w:b w:val="1"/>
      <w:color w:val="000000"/>
      <w:sz w:val="40"/>
      <w:szCs w:val="40"/>
    </w:rPr>
  </w:style>
  <w:style w:type="paragraph" w:styleId="Heading3">
    <w:name w:val="heading 3"/>
    <w:basedOn w:val="Normal"/>
    <w:next w:val="Normal"/>
    <w:pPr>
      <w:keepNext w:val="1"/>
      <w:keepLines w:val="1"/>
      <w:spacing w:before="200"/>
      <w:outlineLvl w:val="2"/>
    </w:pPr>
    <w:rPr>
      <w:rFonts w:ascii="Arial" w:cs="Arial" w:eastAsia="Arial" w:hAnsi="Arial"/>
      <w:b w:val="1"/>
      <w:i w:val="1"/>
      <w:color w:val="000000"/>
      <w:sz w:val="36"/>
      <w:szCs w:val="36"/>
    </w:rPr>
  </w:style>
  <w:style w:type="paragraph" w:styleId="Heading4">
    <w:name w:val="heading 4"/>
    <w:basedOn w:val="Normal"/>
    <w:next w:val="Normal"/>
    <w:pPr>
      <w:keepNext w:val="1"/>
      <w:keepLines w:val="1"/>
      <w:spacing w:before="200"/>
      <w:outlineLvl w:val="3"/>
    </w:pPr>
    <w:rPr>
      <w:rFonts w:ascii="Arial" w:cs="Arial" w:eastAsia="Arial" w:hAnsi="Arial"/>
      <w:color w:val="232323"/>
      <w:sz w:val="32"/>
      <w:szCs w:val="32"/>
    </w:rPr>
  </w:style>
  <w:style w:type="paragraph" w:styleId="Heading5">
    <w:name w:val="heading 5"/>
    <w:basedOn w:val="Normal"/>
    <w:next w:val="Normal"/>
    <w:pPr>
      <w:keepNext w:val="1"/>
      <w:keepLines w:val="1"/>
      <w:spacing w:before="200"/>
      <w:outlineLvl w:val="4"/>
    </w:pPr>
    <w:rPr>
      <w:rFonts w:ascii="Arial" w:cs="Arial" w:eastAsia="Arial" w:hAnsi="Arial"/>
      <w:b w:val="1"/>
      <w:color w:val="444444"/>
      <w:sz w:val="28"/>
      <w:szCs w:val="28"/>
    </w:rPr>
  </w:style>
  <w:style w:type="paragraph" w:styleId="Heading6">
    <w:name w:val="heading 6"/>
    <w:basedOn w:val="Normal"/>
    <w:next w:val="Normal"/>
    <w:pPr>
      <w:keepNext w:val="1"/>
      <w:keepLines w:val="1"/>
      <w:spacing w:before="200"/>
      <w:outlineLvl w:val="5"/>
    </w:pPr>
    <w:rPr>
      <w:rFonts w:ascii="Arial" w:cs="Arial" w:eastAsia="Arial" w:hAnsi="Arial"/>
      <w:i w:val="1"/>
      <w:color w:val="232323"/>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pBdr>
        <w:bottom w:color="000000" w:space="0" w:sz="24" w:val="single"/>
      </w:pBdr>
      <w:spacing w:after="80" w:before="300"/>
    </w:pPr>
    <w:rPr>
      <w:b w:val="1"/>
      <w:color w:val="000000"/>
      <w:sz w:val="72"/>
      <w:szCs w:val="72"/>
    </w:rPr>
  </w:style>
  <w:style w:type="paragraph" w:styleId="Subtitle">
    <w:name w:val="Subtitle"/>
    <w:basedOn w:val="Normal"/>
    <w:next w:val="Normal"/>
    <w:rPr>
      <w:i w:val="1"/>
      <w:color w:val="444444"/>
      <w:sz w:val="52"/>
      <w:szCs w:val="52"/>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F73A2B"/>
    <w:pPr>
      <w:ind w:left="720"/>
      <w:contextualSpacing w:val="1"/>
    </w:pPr>
  </w:style>
  <w:style w:type="paragraph" w:styleId="Subtitle">
    <w:name w:val="Subtitle"/>
    <w:basedOn w:val="Normal"/>
    <w:next w:val="Normal"/>
    <w:pPr/>
    <w:rPr>
      <w:i w:val="1"/>
      <w:color w:val="444444"/>
      <w:sz w:val="52"/>
      <w:szCs w:val="5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Th+DQwmVsRm/zynT0jc2qSPzWg==">AMUW2mWTlinZqCtJCDfcxYVFAFbReUhgH8XuVeqzdrmUSkVdMiBW2dinDCC2G0eHO5M/KPOXTieNJAedxAG89W0ZZWSZMl9Svl/Ds8ughRAEfnXx9af365tBzniQYPsLePOKrug7WaibzK2SLWb1BFJCqkFP9yOJcQ==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2019-09-25T17:47:00Z</dcterms:created>
  <dc:creator>Renee Wynveen</dc:creator>
</cp:coreProperties>
</file>